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colors6.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charts/style6.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2C1A408">
      <w:pPr>
        <w:pStyle w:val="8"/>
        <w:spacing w:line="264" w:lineRule="auto"/>
        <w:rPr>
          <w:color w:val="auto"/>
        </w:rPr>
      </w:pPr>
    </w:p>
    <w:p w14:paraId="7ED51AC1">
      <w:pPr>
        <w:pStyle w:val="8"/>
        <w:spacing w:line="265" w:lineRule="auto"/>
        <w:rPr>
          <w:color w:val="auto"/>
        </w:rPr>
      </w:pPr>
    </w:p>
    <w:p w14:paraId="6B8A78DA">
      <w:pPr>
        <w:pStyle w:val="8"/>
        <w:spacing w:line="265" w:lineRule="auto"/>
        <w:rPr>
          <w:color w:val="auto"/>
        </w:rPr>
      </w:pPr>
    </w:p>
    <w:p w14:paraId="65963FC7">
      <w:pPr>
        <w:pStyle w:val="8"/>
        <w:spacing w:line="265" w:lineRule="auto"/>
        <w:rPr>
          <w:color w:val="auto"/>
        </w:rPr>
      </w:pPr>
    </w:p>
    <w:p w14:paraId="31618838">
      <w:pPr>
        <w:pStyle w:val="8"/>
        <w:spacing w:line="265" w:lineRule="auto"/>
        <w:rPr>
          <w:color w:val="auto"/>
        </w:rPr>
      </w:pPr>
    </w:p>
    <w:p w14:paraId="69A03EFE">
      <w:pPr>
        <w:pStyle w:val="8"/>
        <w:spacing w:line="265" w:lineRule="auto"/>
        <w:rPr>
          <w:color w:val="auto"/>
        </w:rPr>
      </w:pPr>
    </w:p>
    <w:p w14:paraId="0FCBC33B">
      <w:pPr>
        <w:pStyle w:val="8"/>
        <w:spacing w:line="265" w:lineRule="auto"/>
        <w:rPr>
          <w:color w:val="auto"/>
        </w:rPr>
      </w:pPr>
    </w:p>
    <w:p w14:paraId="67EFF8B3">
      <w:pPr>
        <w:pStyle w:val="8"/>
        <w:spacing w:line="265" w:lineRule="auto"/>
        <w:rPr>
          <w:color w:val="auto"/>
        </w:rPr>
      </w:pPr>
    </w:p>
    <w:p w14:paraId="56E41D71">
      <w:pPr>
        <w:keepNext w:val="0"/>
        <w:keepLines w:val="0"/>
        <w:pageBreakBefore w:val="0"/>
        <w:widowControl/>
        <w:kinsoku w:val="0"/>
        <w:wordWrap/>
        <w:overflowPunct/>
        <w:topLinePunct w:val="0"/>
        <w:autoSpaceDE w:val="0"/>
        <w:autoSpaceDN w:val="0"/>
        <w:bidi w:val="0"/>
        <w:adjustRightInd w:val="0"/>
        <w:snapToGrid w:val="0"/>
        <w:spacing w:before="156" w:line="220" w:lineRule="auto"/>
        <w:jc w:val="center"/>
        <w:textAlignment w:val="baseline"/>
        <w:outlineLvl w:val="9"/>
        <w:rPr>
          <w:rFonts w:ascii="Times New Roman" w:hAnsi="Times New Roman" w:eastAsia="宋体" w:cs="Times New Roman"/>
          <w:b/>
          <w:bCs/>
          <w:color w:val="auto"/>
          <w:sz w:val="40"/>
          <w:szCs w:val="40"/>
          <w:highlight w:val="none"/>
        </w:rPr>
      </w:pPr>
      <w:bookmarkStart w:id="0" w:name="_Toc2443"/>
      <w:bookmarkStart w:id="1" w:name="_Toc537"/>
      <w:bookmarkStart w:id="2" w:name="OLE_LINK12"/>
      <w:bookmarkStart w:id="3" w:name="OLE_LINK14"/>
      <w:r>
        <w:rPr>
          <w:rFonts w:ascii="宋体" w:hAnsi="宋体" w:eastAsia="宋体" w:cs="宋体"/>
          <w:b/>
          <w:bCs/>
          <w:color w:val="auto"/>
          <w:spacing w:val="-6"/>
          <w:sz w:val="48"/>
          <w:szCs w:val="48"/>
          <w:highlight w:val="none"/>
        </w:rPr>
        <w:t>南京江宁经济技术开发区</w:t>
      </w:r>
      <w:bookmarkEnd w:id="0"/>
      <w:bookmarkEnd w:id="1"/>
      <w:bookmarkEnd w:id="2"/>
      <w:bookmarkStart w:id="4" w:name="pindex8"/>
      <w:bookmarkEnd w:id="4"/>
    </w:p>
    <w:bookmarkEnd w:id="3"/>
    <w:p w14:paraId="63658C45">
      <w:pPr>
        <w:keepNext w:val="0"/>
        <w:keepLines w:val="0"/>
        <w:pageBreakBefore w:val="0"/>
        <w:widowControl/>
        <w:kinsoku w:val="0"/>
        <w:wordWrap/>
        <w:overflowPunct/>
        <w:topLinePunct w:val="0"/>
        <w:autoSpaceDE w:val="0"/>
        <w:autoSpaceDN w:val="0"/>
        <w:bidi w:val="0"/>
        <w:adjustRightInd w:val="0"/>
        <w:snapToGrid w:val="0"/>
        <w:spacing w:before="363" w:line="218" w:lineRule="auto"/>
        <w:jc w:val="center"/>
        <w:textAlignment w:val="baseline"/>
        <w:outlineLvl w:val="9"/>
        <w:rPr>
          <w:rFonts w:ascii="宋体" w:hAnsi="宋体" w:eastAsia="宋体" w:cs="宋体"/>
          <w:b/>
          <w:bCs/>
          <w:color w:val="auto"/>
          <w:spacing w:val="-6"/>
          <w:sz w:val="48"/>
          <w:szCs w:val="48"/>
        </w:rPr>
      </w:pPr>
      <w:bookmarkStart w:id="5" w:name="_Toc12181"/>
      <w:bookmarkStart w:id="6" w:name="_Toc13255"/>
      <w:bookmarkStart w:id="7" w:name="OLE_LINK29"/>
      <w:r>
        <w:rPr>
          <w:rFonts w:ascii="宋体" w:hAnsi="宋体" w:eastAsia="宋体" w:cs="宋体"/>
          <w:b/>
          <w:bCs/>
          <w:color w:val="auto"/>
          <w:spacing w:val="-6"/>
          <w:sz w:val="48"/>
          <w:szCs w:val="48"/>
        </w:rPr>
        <w:t>环境影响评价区域评估报告</w:t>
      </w:r>
      <w:bookmarkEnd w:id="5"/>
      <w:bookmarkEnd w:id="6"/>
    </w:p>
    <w:p w14:paraId="25074379">
      <w:pPr>
        <w:keepNext w:val="0"/>
        <w:keepLines w:val="0"/>
        <w:pageBreakBefore w:val="0"/>
        <w:widowControl/>
        <w:kinsoku w:val="0"/>
        <w:wordWrap/>
        <w:overflowPunct/>
        <w:topLinePunct w:val="0"/>
        <w:autoSpaceDE w:val="0"/>
        <w:autoSpaceDN w:val="0"/>
        <w:bidi w:val="0"/>
        <w:adjustRightInd w:val="0"/>
        <w:snapToGrid w:val="0"/>
        <w:spacing w:before="363" w:line="218" w:lineRule="auto"/>
        <w:jc w:val="center"/>
        <w:textAlignment w:val="baseline"/>
        <w:outlineLvl w:val="9"/>
        <w:rPr>
          <w:rFonts w:hint="default" w:ascii="Times New Roman" w:hAnsi="Times New Roman" w:eastAsia="宋体" w:cs="Times New Roman"/>
          <w:b/>
          <w:bCs/>
          <w:color w:val="auto"/>
          <w:spacing w:val="-6"/>
          <w:sz w:val="48"/>
          <w:szCs w:val="48"/>
          <w:lang w:eastAsia="zh-CN"/>
        </w:rPr>
      </w:pPr>
      <w:r>
        <w:rPr>
          <w:rFonts w:hint="default" w:ascii="Times New Roman" w:hAnsi="Times New Roman" w:eastAsia="宋体" w:cs="Times New Roman"/>
          <w:b/>
          <w:bCs/>
          <w:color w:val="auto"/>
          <w:spacing w:val="-6"/>
          <w:sz w:val="48"/>
          <w:szCs w:val="48"/>
          <w:lang w:eastAsia="zh-CN"/>
        </w:rPr>
        <w:t>（</w:t>
      </w:r>
      <w:r>
        <w:rPr>
          <w:rFonts w:hint="default" w:ascii="Times New Roman" w:hAnsi="Times New Roman" w:eastAsia="宋体" w:cs="Times New Roman"/>
          <w:b/>
          <w:bCs/>
          <w:color w:val="auto"/>
          <w:spacing w:val="-6"/>
          <w:sz w:val="48"/>
          <w:szCs w:val="48"/>
          <w:lang w:val="en-US" w:eastAsia="zh-CN"/>
        </w:rPr>
        <w:t>2024年版</w:t>
      </w:r>
      <w:r>
        <w:rPr>
          <w:rFonts w:hint="default" w:ascii="Times New Roman" w:hAnsi="Times New Roman" w:eastAsia="宋体" w:cs="Times New Roman"/>
          <w:b/>
          <w:bCs/>
          <w:color w:val="auto"/>
          <w:spacing w:val="-6"/>
          <w:sz w:val="48"/>
          <w:szCs w:val="48"/>
          <w:lang w:eastAsia="zh-CN"/>
        </w:rPr>
        <w:t>）</w:t>
      </w:r>
    </w:p>
    <w:p w14:paraId="29129635">
      <w:pPr>
        <w:keepNext w:val="0"/>
        <w:keepLines w:val="0"/>
        <w:pageBreakBefore w:val="0"/>
        <w:widowControl/>
        <w:kinsoku w:val="0"/>
        <w:wordWrap/>
        <w:overflowPunct/>
        <w:topLinePunct w:val="0"/>
        <w:autoSpaceDE w:val="0"/>
        <w:autoSpaceDN w:val="0"/>
        <w:bidi w:val="0"/>
        <w:adjustRightInd w:val="0"/>
        <w:snapToGrid w:val="0"/>
        <w:spacing w:before="363" w:line="218" w:lineRule="auto"/>
        <w:jc w:val="center"/>
        <w:textAlignment w:val="baseline"/>
        <w:outlineLvl w:val="9"/>
        <w:rPr>
          <w:rFonts w:hint="default" w:ascii="宋体" w:hAnsi="宋体" w:eastAsia="宋体" w:cs="宋体"/>
          <w:b/>
          <w:bCs/>
          <w:color w:val="auto"/>
          <w:spacing w:val="-6"/>
          <w:sz w:val="48"/>
          <w:szCs w:val="48"/>
          <w:lang w:val="en-US" w:eastAsia="zh-CN"/>
        </w:rPr>
      </w:pPr>
      <w:r>
        <w:rPr>
          <w:rFonts w:hint="eastAsia" w:ascii="宋体" w:hAnsi="宋体" w:eastAsia="宋体" w:cs="宋体"/>
          <w:b/>
          <w:bCs/>
          <w:color w:val="auto"/>
          <w:spacing w:val="-6"/>
          <w:sz w:val="48"/>
          <w:szCs w:val="48"/>
          <w:lang w:eastAsia="zh-CN"/>
        </w:rPr>
        <w:t>（</w:t>
      </w:r>
      <w:r>
        <w:rPr>
          <w:rFonts w:hint="eastAsia" w:ascii="宋体" w:hAnsi="宋体" w:eastAsia="宋体" w:cs="宋体"/>
          <w:b/>
          <w:bCs/>
          <w:color w:val="auto"/>
          <w:spacing w:val="-6"/>
          <w:sz w:val="48"/>
          <w:szCs w:val="48"/>
          <w:lang w:val="en-US" w:eastAsia="zh-CN"/>
        </w:rPr>
        <w:t>简本）</w:t>
      </w:r>
    </w:p>
    <w:p w14:paraId="0EC8D0C3">
      <w:pPr>
        <w:jc w:val="center"/>
        <w:outlineLvl w:val="9"/>
        <w:rPr>
          <w:rFonts w:hint="default" w:ascii="Times New Roman" w:hAnsi="Times New Roman" w:eastAsia="宋体" w:cs="Times New Roman"/>
          <w:color w:val="auto"/>
          <w:sz w:val="48"/>
          <w:szCs w:val="48"/>
          <w:lang w:eastAsia="zh-CN"/>
        </w:rPr>
      </w:pPr>
    </w:p>
    <w:bookmarkEnd w:id="7"/>
    <w:p w14:paraId="3EDDCE05">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326D9EE6">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05C95E78">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79221C52">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5DE1E557">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4894F18C">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2B7FB03A">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2CF0C845">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3790BD5A">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3DD18BF8">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4B32EC29">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0E42BA0A">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34F75B76">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334A4587">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15BE7193">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50C7D986">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0406FF85">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32826B7E">
      <w:pPr>
        <w:pStyle w:val="8"/>
        <w:keepNext w:val="0"/>
        <w:keepLines w:val="0"/>
        <w:pageBreakBefore w:val="0"/>
        <w:widowControl/>
        <w:kinsoku w:val="0"/>
        <w:wordWrap/>
        <w:overflowPunct/>
        <w:topLinePunct w:val="0"/>
        <w:autoSpaceDE w:val="0"/>
        <w:autoSpaceDN w:val="0"/>
        <w:bidi w:val="0"/>
        <w:adjustRightInd w:val="0"/>
        <w:snapToGrid w:val="0"/>
        <w:spacing w:line="243" w:lineRule="auto"/>
        <w:textAlignment w:val="baseline"/>
        <w:outlineLvl w:val="9"/>
        <w:rPr>
          <w:color w:val="auto"/>
        </w:rPr>
      </w:pPr>
    </w:p>
    <w:p w14:paraId="168C6966">
      <w:pPr>
        <w:pStyle w:val="8"/>
        <w:keepNext w:val="0"/>
        <w:keepLines w:val="0"/>
        <w:pageBreakBefore w:val="0"/>
        <w:widowControl/>
        <w:kinsoku w:val="0"/>
        <w:wordWrap/>
        <w:overflowPunct/>
        <w:topLinePunct w:val="0"/>
        <w:autoSpaceDE w:val="0"/>
        <w:autoSpaceDN w:val="0"/>
        <w:bidi w:val="0"/>
        <w:adjustRightInd w:val="0"/>
        <w:snapToGrid w:val="0"/>
        <w:spacing w:line="244" w:lineRule="auto"/>
        <w:textAlignment w:val="baseline"/>
        <w:outlineLvl w:val="9"/>
        <w:rPr>
          <w:color w:val="auto"/>
        </w:rPr>
      </w:pPr>
    </w:p>
    <w:p w14:paraId="5CC37C23">
      <w:pPr>
        <w:pStyle w:val="8"/>
        <w:keepNext w:val="0"/>
        <w:keepLines w:val="0"/>
        <w:pageBreakBefore w:val="0"/>
        <w:widowControl/>
        <w:kinsoku w:val="0"/>
        <w:wordWrap/>
        <w:overflowPunct/>
        <w:topLinePunct w:val="0"/>
        <w:autoSpaceDE w:val="0"/>
        <w:autoSpaceDN w:val="0"/>
        <w:bidi w:val="0"/>
        <w:adjustRightInd w:val="0"/>
        <w:snapToGrid w:val="0"/>
        <w:spacing w:line="244" w:lineRule="auto"/>
        <w:textAlignment w:val="baseline"/>
        <w:outlineLvl w:val="9"/>
        <w:rPr>
          <w:color w:val="auto"/>
        </w:rPr>
      </w:pPr>
    </w:p>
    <w:p w14:paraId="287A4A0E">
      <w:pPr>
        <w:pStyle w:val="8"/>
        <w:keepNext w:val="0"/>
        <w:keepLines w:val="0"/>
        <w:pageBreakBefore w:val="0"/>
        <w:widowControl/>
        <w:kinsoku w:val="0"/>
        <w:wordWrap/>
        <w:overflowPunct/>
        <w:topLinePunct w:val="0"/>
        <w:autoSpaceDE w:val="0"/>
        <w:autoSpaceDN w:val="0"/>
        <w:bidi w:val="0"/>
        <w:adjustRightInd w:val="0"/>
        <w:snapToGrid w:val="0"/>
        <w:spacing w:line="244" w:lineRule="auto"/>
        <w:textAlignment w:val="baseline"/>
        <w:outlineLvl w:val="9"/>
        <w:rPr>
          <w:color w:val="auto"/>
        </w:rPr>
      </w:pPr>
    </w:p>
    <w:p w14:paraId="03D48B93">
      <w:pPr>
        <w:pStyle w:val="8"/>
        <w:keepNext w:val="0"/>
        <w:keepLines w:val="0"/>
        <w:pageBreakBefore w:val="0"/>
        <w:widowControl/>
        <w:kinsoku w:val="0"/>
        <w:wordWrap/>
        <w:overflowPunct/>
        <w:topLinePunct w:val="0"/>
        <w:autoSpaceDE w:val="0"/>
        <w:autoSpaceDN w:val="0"/>
        <w:bidi w:val="0"/>
        <w:adjustRightInd w:val="0"/>
        <w:snapToGrid w:val="0"/>
        <w:spacing w:line="244" w:lineRule="auto"/>
        <w:textAlignment w:val="baseline"/>
        <w:outlineLvl w:val="9"/>
        <w:rPr>
          <w:color w:val="auto"/>
        </w:rPr>
      </w:pPr>
    </w:p>
    <w:p w14:paraId="059BF446">
      <w:pPr>
        <w:pStyle w:val="8"/>
        <w:keepNext w:val="0"/>
        <w:keepLines w:val="0"/>
        <w:pageBreakBefore w:val="0"/>
        <w:widowControl/>
        <w:kinsoku w:val="0"/>
        <w:wordWrap/>
        <w:overflowPunct/>
        <w:topLinePunct w:val="0"/>
        <w:autoSpaceDE w:val="0"/>
        <w:autoSpaceDN w:val="0"/>
        <w:bidi w:val="0"/>
        <w:adjustRightInd w:val="0"/>
        <w:snapToGrid w:val="0"/>
        <w:spacing w:line="244" w:lineRule="auto"/>
        <w:textAlignment w:val="baseline"/>
        <w:outlineLvl w:val="9"/>
        <w:rPr>
          <w:color w:val="auto"/>
        </w:rPr>
      </w:pPr>
    </w:p>
    <w:p w14:paraId="48C58C42">
      <w:pPr>
        <w:pStyle w:val="8"/>
        <w:keepNext w:val="0"/>
        <w:keepLines w:val="0"/>
        <w:pageBreakBefore w:val="0"/>
        <w:widowControl/>
        <w:kinsoku w:val="0"/>
        <w:wordWrap/>
        <w:overflowPunct/>
        <w:topLinePunct w:val="0"/>
        <w:autoSpaceDE w:val="0"/>
        <w:autoSpaceDN w:val="0"/>
        <w:bidi w:val="0"/>
        <w:adjustRightInd w:val="0"/>
        <w:snapToGrid w:val="0"/>
        <w:spacing w:line="244" w:lineRule="auto"/>
        <w:textAlignment w:val="baseline"/>
        <w:outlineLvl w:val="9"/>
        <w:rPr>
          <w:color w:val="auto"/>
        </w:rPr>
      </w:pPr>
      <w:bookmarkStart w:id="2613" w:name="_GoBack"/>
      <w:bookmarkEnd w:id="2613"/>
    </w:p>
    <w:p w14:paraId="6CB00494">
      <w:pPr>
        <w:pStyle w:val="8"/>
        <w:keepNext w:val="0"/>
        <w:keepLines w:val="0"/>
        <w:pageBreakBefore w:val="0"/>
        <w:widowControl/>
        <w:kinsoku w:val="0"/>
        <w:wordWrap/>
        <w:overflowPunct/>
        <w:topLinePunct w:val="0"/>
        <w:autoSpaceDE w:val="0"/>
        <w:autoSpaceDN w:val="0"/>
        <w:bidi w:val="0"/>
        <w:adjustRightInd w:val="0"/>
        <w:snapToGrid w:val="0"/>
        <w:spacing w:line="244" w:lineRule="auto"/>
        <w:textAlignment w:val="baseline"/>
        <w:outlineLvl w:val="9"/>
        <w:rPr>
          <w:color w:val="auto"/>
        </w:rPr>
      </w:pPr>
    </w:p>
    <w:p w14:paraId="65BD1CCD">
      <w:pPr>
        <w:pStyle w:val="8"/>
        <w:keepNext w:val="0"/>
        <w:keepLines w:val="0"/>
        <w:pageBreakBefore w:val="0"/>
        <w:widowControl/>
        <w:kinsoku w:val="0"/>
        <w:wordWrap/>
        <w:overflowPunct/>
        <w:topLinePunct w:val="0"/>
        <w:autoSpaceDE w:val="0"/>
        <w:autoSpaceDN w:val="0"/>
        <w:bidi w:val="0"/>
        <w:adjustRightInd w:val="0"/>
        <w:snapToGrid w:val="0"/>
        <w:spacing w:line="244" w:lineRule="auto"/>
        <w:textAlignment w:val="baseline"/>
        <w:outlineLvl w:val="9"/>
        <w:rPr>
          <w:color w:val="auto"/>
        </w:rPr>
      </w:pPr>
    </w:p>
    <w:p w14:paraId="6D10E981">
      <w:pPr>
        <w:pStyle w:val="8"/>
        <w:keepNext w:val="0"/>
        <w:keepLines w:val="0"/>
        <w:pageBreakBefore w:val="0"/>
        <w:widowControl/>
        <w:kinsoku w:val="0"/>
        <w:wordWrap/>
        <w:overflowPunct/>
        <w:topLinePunct w:val="0"/>
        <w:autoSpaceDE w:val="0"/>
        <w:autoSpaceDN w:val="0"/>
        <w:bidi w:val="0"/>
        <w:adjustRightInd w:val="0"/>
        <w:snapToGrid w:val="0"/>
        <w:spacing w:line="244" w:lineRule="auto"/>
        <w:textAlignment w:val="baseline"/>
        <w:outlineLvl w:val="9"/>
        <w:rPr>
          <w:color w:val="auto"/>
        </w:rPr>
      </w:pPr>
    </w:p>
    <w:p w14:paraId="40746856">
      <w:pPr>
        <w:keepNext w:val="0"/>
        <w:keepLines w:val="0"/>
        <w:pageBreakBefore w:val="0"/>
        <w:widowControl/>
        <w:kinsoku w:val="0"/>
        <w:wordWrap/>
        <w:overflowPunct/>
        <w:topLinePunct w:val="0"/>
        <w:autoSpaceDE w:val="0"/>
        <w:autoSpaceDN w:val="0"/>
        <w:bidi w:val="0"/>
        <w:adjustRightInd w:val="0"/>
        <w:snapToGrid w:val="0"/>
        <w:spacing w:before="101" w:line="356" w:lineRule="auto"/>
        <w:ind w:right="0"/>
        <w:jc w:val="center"/>
        <w:textAlignment w:val="baseline"/>
        <w:outlineLvl w:val="9"/>
        <w:rPr>
          <w:rFonts w:hint="eastAsia" w:ascii="宋体" w:hAnsi="宋体" w:eastAsia="宋体" w:cs="宋体"/>
          <w:b/>
          <w:bCs/>
          <w:color w:val="auto"/>
          <w:spacing w:val="6"/>
          <w:sz w:val="31"/>
          <w:szCs w:val="31"/>
          <w:lang w:eastAsia="zh-CN"/>
        </w:rPr>
      </w:pPr>
      <w:r>
        <w:rPr>
          <w:rFonts w:hint="eastAsia" w:ascii="宋体" w:hAnsi="宋体" w:eastAsia="宋体" w:cs="宋体"/>
          <w:b/>
          <w:bCs/>
          <w:color w:val="auto"/>
          <w:spacing w:val="6"/>
          <w:sz w:val="31"/>
          <w:szCs w:val="31"/>
          <w:lang w:eastAsia="zh-CN"/>
        </w:rPr>
        <w:t>南京江宁经济技术开发区管理委员会</w:t>
      </w:r>
    </w:p>
    <w:p w14:paraId="6CCF9B2B">
      <w:pPr>
        <w:keepNext w:val="0"/>
        <w:keepLines w:val="0"/>
        <w:pageBreakBefore w:val="0"/>
        <w:widowControl/>
        <w:kinsoku w:val="0"/>
        <w:wordWrap/>
        <w:overflowPunct/>
        <w:topLinePunct w:val="0"/>
        <w:autoSpaceDE w:val="0"/>
        <w:autoSpaceDN w:val="0"/>
        <w:bidi w:val="0"/>
        <w:adjustRightInd w:val="0"/>
        <w:snapToGrid w:val="0"/>
        <w:spacing w:before="101" w:line="356" w:lineRule="auto"/>
        <w:ind w:right="0"/>
        <w:jc w:val="center"/>
        <w:textAlignment w:val="baseline"/>
        <w:outlineLvl w:val="9"/>
        <w:rPr>
          <w:rFonts w:ascii="宋体" w:hAnsi="宋体" w:eastAsia="宋体" w:cs="宋体"/>
          <w:color w:val="auto"/>
          <w:sz w:val="31"/>
          <w:szCs w:val="31"/>
        </w:rPr>
      </w:pPr>
      <w:r>
        <w:rPr>
          <w:rFonts w:ascii="宋体" w:hAnsi="宋体" w:eastAsia="宋体" w:cs="宋体"/>
          <w:b/>
          <w:bCs/>
          <w:color w:val="auto"/>
          <w:spacing w:val="5"/>
          <w:sz w:val="31"/>
          <w:szCs w:val="31"/>
        </w:rPr>
        <w:t>二〇二</w:t>
      </w:r>
      <w:r>
        <w:rPr>
          <w:rFonts w:hint="eastAsia" w:ascii="宋体" w:hAnsi="宋体" w:eastAsia="宋体" w:cs="宋体"/>
          <w:b/>
          <w:bCs/>
          <w:color w:val="auto"/>
          <w:spacing w:val="5"/>
          <w:sz w:val="31"/>
          <w:szCs w:val="31"/>
          <w:lang w:val="en-US" w:eastAsia="zh-CN"/>
        </w:rPr>
        <w:t>四</w:t>
      </w:r>
      <w:r>
        <w:rPr>
          <w:rFonts w:ascii="宋体" w:hAnsi="宋体" w:eastAsia="宋体" w:cs="宋体"/>
          <w:b/>
          <w:bCs/>
          <w:color w:val="auto"/>
          <w:spacing w:val="5"/>
          <w:sz w:val="31"/>
          <w:szCs w:val="31"/>
        </w:rPr>
        <w:t>年</w:t>
      </w:r>
      <w:r>
        <w:rPr>
          <w:rFonts w:hint="eastAsia" w:ascii="宋体" w:hAnsi="宋体" w:eastAsia="宋体" w:cs="宋体"/>
          <w:b/>
          <w:bCs/>
          <w:color w:val="auto"/>
          <w:spacing w:val="5"/>
          <w:sz w:val="31"/>
          <w:szCs w:val="31"/>
          <w:lang w:val="en-US" w:eastAsia="zh-CN"/>
        </w:rPr>
        <w:t>十</w:t>
      </w:r>
      <w:r>
        <w:rPr>
          <w:rFonts w:ascii="宋体" w:hAnsi="宋体" w:eastAsia="宋体" w:cs="宋体"/>
          <w:b/>
          <w:bCs/>
          <w:color w:val="auto"/>
          <w:spacing w:val="5"/>
          <w:sz w:val="31"/>
          <w:szCs w:val="31"/>
        </w:rPr>
        <w:t>月</w:t>
      </w:r>
    </w:p>
    <w:p w14:paraId="3E2F8034">
      <w:pPr>
        <w:spacing w:line="356" w:lineRule="auto"/>
        <w:rPr>
          <w:rFonts w:ascii="宋体" w:hAnsi="宋体" w:eastAsia="宋体" w:cs="宋体"/>
          <w:color w:val="auto"/>
          <w:sz w:val="31"/>
          <w:szCs w:val="31"/>
        </w:rPr>
      </w:pPr>
    </w:p>
    <w:p w14:paraId="7C28D6AC">
      <w:pPr>
        <w:spacing w:line="356" w:lineRule="auto"/>
        <w:rPr>
          <w:rFonts w:ascii="宋体" w:hAnsi="宋体" w:eastAsia="宋体" w:cs="宋体"/>
          <w:color w:val="auto"/>
          <w:sz w:val="31"/>
          <w:szCs w:val="31"/>
        </w:rPr>
        <w:sectPr>
          <w:pgSz w:w="11907" w:h="16841"/>
          <w:pgMar w:top="1431" w:right="1785" w:bottom="0" w:left="1785" w:header="0" w:footer="0" w:gutter="0"/>
          <w:pgBorders>
            <w:top w:val="none" w:sz="0" w:space="0"/>
            <w:left w:val="none" w:sz="0" w:space="0"/>
            <w:bottom w:val="none" w:sz="0" w:space="0"/>
            <w:right w:val="none" w:sz="0" w:space="0"/>
          </w:pgBorders>
          <w:pgNumType w:fmt="upperRoman" w:start="1"/>
          <w:cols w:space="720" w:num="1"/>
        </w:sectPr>
      </w:pPr>
    </w:p>
    <w:sdt>
      <w:sdtPr>
        <w:rPr>
          <w:rFonts w:ascii="宋体" w:hAnsi="宋体" w:eastAsia="宋体" w:cs="Arial"/>
          <w:snapToGrid w:val="0"/>
          <w:color w:val="auto"/>
          <w:kern w:val="0"/>
          <w:sz w:val="21"/>
          <w:szCs w:val="21"/>
          <w:lang w:val="en-US" w:eastAsia="en-US" w:bidi="ar-SA"/>
        </w:rPr>
        <w:id w:val="147467285"/>
        <w15:color w:val="DBDBDB"/>
        <w:docPartObj>
          <w:docPartGallery w:val="Table of Contents"/>
          <w:docPartUnique/>
        </w:docPartObj>
      </w:sdtPr>
      <w:sdtEndPr>
        <w:rPr>
          <w:rFonts w:ascii="Times New Roman" w:hAnsi="Times New Roman" w:eastAsia="Times New Roman" w:cs="Times New Roman"/>
          <w:snapToGrid w:val="0"/>
          <w:color w:val="auto"/>
          <w:kern w:val="0"/>
          <w:sz w:val="21"/>
          <w:szCs w:val="28"/>
          <w:lang w:val="en-US" w:eastAsia="en-US" w:bidi="ar-SA"/>
        </w:rPr>
      </w:sdtEndPr>
      <w:sdtContent>
        <w:p w14:paraId="2BD069CA">
          <w:pPr>
            <w:keepNext w:val="0"/>
            <w:keepLines w:val="0"/>
            <w:pageBreakBefore w:val="0"/>
            <w:widowControl/>
            <w:wordWrap/>
            <w:overflowPunct/>
            <w:topLinePunct w:val="0"/>
            <w:bidi w:val="0"/>
            <w:spacing w:before="0" w:beforeLines="0" w:after="0" w:afterLines="0" w:line="460" w:lineRule="exact"/>
            <w:ind w:left="0" w:leftChars="0" w:right="0" w:rightChars="0" w:firstLine="0" w:firstLineChars="0"/>
            <w:jc w:val="center"/>
            <w:rPr>
              <w:color w:val="auto"/>
              <w:sz w:val="36"/>
              <w:szCs w:val="36"/>
            </w:rPr>
          </w:pPr>
          <w:r>
            <w:rPr>
              <w:rFonts w:ascii="宋体" w:hAnsi="宋体" w:eastAsia="宋体"/>
              <w:color w:val="auto"/>
              <w:sz w:val="36"/>
              <w:szCs w:val="36"/>
            </w:rPr>
            <w:t>目</w:t>
          </w:r>
          <w:r>
            <w:rPr>
              <w:rFonts w:hint="eastAsia" w:ascii="宋体" w:hAnsi="宋体" w:eastAsia="宋体"/>
              <w:color w:val="auto"/>
              <w:sz w:val="36"/>
              <w:szCs w:val="36"/>
              <w:lang w:val="en-US" w:eastAsia="zh-CN"/>
            </w:rPr>
            <w:t xml:space="preserve">  </w:t>
          </w:r>
          <w:r>
            <w:rPr>
              <w:rFonts w:ascii="宋体" w:hAnsi="宋体" w:eastAsia="宋体"/>
              <w:color w:val="auto"/>
              <w:sz w:val="36"/>
              <w:szCs w:val="36"/>
            </w:rPr>
            <w:t>录</w:t>
          </w:r>
        </w:p>
        <w:p w14:paraId="6AB3459D">
          <w:pPr>
            <w:pStyle w:val="13"/>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ascii="Times New Roman" w:hAnsi="Times New Roman" w:eastAsia="Times New Roman" w:cs="Times New Roman"/>
              <w:b/>
              <w:snapToGrid w:val="0"/>
              <w:color w:val="auto"/>
              <w:kern w:val="0"/>
              <w:sz w:val="24"/>
              <w:szCs w:val="24"/>
              <w:lang w:val="en-US" w:eastAsia="en-US" w:bidi="ar-SA"/>
            </w:rPr>
            <w:fldChar w:fldCharType="begin"/>
          </w:r>
          <w:r>
            <w:rPr>
              <w:rFonts w:ascii="Times New Roman" w:hAnsi="Times New Roman" w:eastAsia="Times New Roman" w:cs="Times New Roman"/>
              <w:b/>
              <w:snapToGrid w:val="0"/>
              <w:color w:val="auto"/>
              <w:kern w:val="0"/>
              <w:sz w:val="24"/>
              <w:szCs w:val="24"/>
              <w:lang w:val="en-US" w:eastAsia="en-US" w:bidi="ar-SA"/>
            </w:rPr>
            <w:instrText xml:space="preserve">TOC \o "1-3" \h \u </w:instrText>
          </w:r>
          <w:r>
            <w:rPr>
              <w:rFonts w:ascii="Times New Roman" w:hAnsi="Times New Roman" w:eastAsia="Times New Roman" w:cs="Times New Roman"/>
              <w:b/>
              <w:snapToGrid w:val="0"/>
              <w:color w:val="auto"/>
              <w:kern w:val="0"/>
              <w:sz w:val="24"/>
              <w:szCs w:val="24"/>
              <w:lang w:val="en-US" w:eastAsia="en-US" w:bidi="ar-SA"/>
            </w:rPr>
            <w:fldChar w:fldCharType="separate"/>
          </w: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_Toc22972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lang w:val="en-US" w:eastAsia="zh-CN"/>
            </w:rPr>
            <w:t>1</w:t>
          </w:r>
          <w:r>
            <w:rPr>
              <w:rFonts w:hint="default" w:ascii="Times New Roman" w:hAnsi="Times New Roman" w:eastAsia="Times New Roman" w:cs="Times New Roman"/>
              <w:bCs/>
              <w:color w:val="auto"/>
              <w:spacing w:val="-2"/>
              <w:sz w:val="24"/>
              <w:szCs w:val="24"/>
            </w:rPr>
            <w:t>评估范围和目的</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_Toc22972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92752E2">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_Toc15234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1.1</w:t>
          </w:r>
          <w:r>
            <w:rPr>
              <w:rFonts w:hint="default" w:ascii="Times New Roman" w:hAnsi="Times New Roman" w:eastAsia="宋体" w:cs="Times New Roman"/>
              <w:bCs/>
              <w:color w:val="auto"/>
              <w:spacing w:val="-3"/>
              <w:sz w:val="24"/>
              <w:szCs w:val="24"/>
              <w:lang w:val="en-US" w:eastAsia="zh-CN"/>
            </w:rPr>
            <w:t>任务</w:t>
          </w:r>
          <w:r>
            <w:rPr>
              <w:rFonts w:hint="default" w:ascii="Times New Roman" w:hAnsi="Times New Roman" w:eastAsia="Times New Roman" w:cs="Times New Roman"/>
              <w:bCs/>
              <w:color w:val="auto"/>
              <w:spacing w:val="-3"/>
              <w:sz w:val="24"/>
              <w:szCs w:val="24"/>
            </w:rPr>
            <w:t>由来</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_Toc15234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CA26E64">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_Toc8416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1.2</w:t>
          </w:r>
          <w:r>
            <w:rPr>
              <w:rFonts w:hint="default" w:ascii="Times New Roman" w:hAnsi="Times New Roman" w:eastAsia="宋体" w:cs="Times New Roman"/>
              <w:bCs/>
              <w:color w:val="auto"/>
              <w:spacing w:val="-3"/>
              <w:sz w:val="24"/>
              <w:szCs w:val="24"/>
              <w:highlight w:val="none"/>
            </w:rPr>
            <w:t>评估范围</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_Toc8416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BA39C72">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_Toc234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1.3评估原则和工作程序</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_Toc234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9</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39882B7">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_Toc24523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1.4评估目的</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_Toc24523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92C8161">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_Toc30678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highlight w:val="none"/>
            </w:rPr>
            <w:t>1.4.1资料共享</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_Toc30678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4DE6AB1">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_Toc15515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highlight w:val="none"/>
            </w:rPr>
            <w:t>1.4.2简化环评编制内容</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_Toc15515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2724885">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_Toc1738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highlight w:val="none"/>
            </w:rPr>
            <w:t>1.4.3简化环评审批流程</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_Toc1738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12</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BE46E11">
          <w:pPr>
            <w:pStyle w:val="13"/>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_Toc24884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highlight w:val="none"/>
              <w:lang w:val="en-US" w:eastAsia="zh-CN"/>
            </w:rPr>
            <w:t>2相关法律、法规、政府管理文件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_Toc24884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13</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CC35F13">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_Toc24517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highlight w:val="none"/>
              <w:lang w:val="en-US" w:eastAsia="zh-CN"/>
            </w:rPr>
            <w:t>2.1国家法律、法规、部门规章及政策文件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_Toc24517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13</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4B647BC">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_Toc20635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2.2江苏省法规、政府规章及政策文件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_Toc20635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7DC83AA">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_Toc13994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2.3南京法规、政府规章及政策文件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_Toc13994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8BB2E1A">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_Toc8245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2.4技术导则与规范</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_Toc8245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2322F31">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_Toc30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2.5与园区主导产业相关的政策</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19</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325690B">
          <w:pPr>
            <w:pStyle w:val="13"/>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_Toc31676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lang w:val="en-US" w:eastAsia="zh-CN"/>
            </w:rPr>
            <w:t>3环境功能区划、环境标准</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_Toc31676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0BC8D616">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_Toc9220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3.1</w:t>
          </w:r>
          <w:r>
            <w:rPr>
              <w:rFonts w:hint="default" w:ascii="Times New Roman" w:hAnsi="Times New Roman" w:eastAsia="Times New Roman" w:cs="Times New Roman"/>
              <w:bCs/>
              <w:color w:val="auto"/>
              <w:spacing w:val="-3"/>
              <w:sz w:val="24"/>
              <w:szCs w:val="24"/>
              <w:lang w:val="en-US" w:eastAsia="zh-CN"/>
            </w:rPr>
            <w:t>环境</w:t>
          </w:r>
          <w:r>
            <w:rPr>
              <w:rFonts w:hint="default" w:ascii="Times New Roman" w:hAnsi="Times New Roman" w:eastAsia="Times New Roman" w:cs="Times New Roman"/>
              <w:bCs/>
              <w:color w:val="auto"/>
              <w:spacing w:val="-3"/>
              <w:sz w:val="24"/>
              <w:szCs w:val="24"/>
            </w:rPr>
            <w:t>功能区划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_Toc9220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47B00D7">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_Toc21041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3.1</w:t>
          </w:r>
          <w:r>
            <w:rPr>
              <w:rFonts w:hint="default" w:ascii="Times New Roman" w:hAnsi="Times New Roman" w:eastAsia="宋体" w:cs="Times New Roman"/>
              <w:bCs/>
              <w:color w:val="auto"/>
              <w:spacing w:val="-3"/>
              <w:sz w:val="24"/>
              <w:szCs w:val="24"/>
              <w:lang w:val="en-US" w:eastAsia="zh-CN"/>
            </w:rPr>
            <w:t>.1</w:t>
          </w:r>
          <w:r>
            <w:rPr>
              <w:rFonts w:hint="default" w:ascii="Times New Roman" w:hAnsi="Times New Roman" w:eastAsia="Times New Roman" w:cs="Times New Roman"/>
              <w:bCs/>
              <w:color w:val="auto"/>
              <w:spacing w:val="-3"/>
              <w:sz w:val="24"/>
              <w:szCs w:val="24"/>
              <w:lang w:val="en-US" w:eastAsia="zh-CN"/>
            </w:rPr>
            <w:t>主体</w:t>
          </w:r>
          <w:r>
            <w:rPr>
              <w:rFonts w:hint="default" w:ascii="Times New Roman" w:hAnsi="Times New Roman" w:eastAsia="Times New Roman" w:cs="Times New Roman"/>
              <w:bCs/>
              <w:color w:val="auto"/>
              <w:spacing w:val="-3"/>
              <w:sz w:val="24"/>
              <w:szCs w:val="24"/>
            </w:rPr>
            <w:t>功能区划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_Toc21041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675C27D7">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_Toc10569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3.1</w:t>
          </w:r>
          <w:r>
            <w:rPr>
              <w:rFonts w:hint="default" w:ascii="Times New Roman" w:hAnsi="Times New Roman" w:eastAsia="宋体" w:cs="Times New Roman"/>
              <w:bCs/>
              <w:color w:val="auto"/>
              <w:spacing w:val="-3"/>
              <w:sz w:val="24"/>
              <w:szCs w:val="24"/>
              <w:lang w:val="en-US" w:eastAsia="zh-CN"/>
            </w:rPr>
            <w:t>.2</w:t>
          </w:r>
          <w:r>
            <w:rPr>
              <w:rFonts w:hint="default" w:ascii="Times New Roman" w:hAnsi="Times New Roman" w:eastAsia="Times New Roman" w:cs="Times New Roman"/>
              <w:bCs/>
              <w:color w:val="auto"/>
              <w:spacing w:val="-3"/>
              <w:sz w:val="24"/>
              <w:szCs w:val="24"/>
              <w:lang w:val="en-US" w:eastAsia="zh-CN"/>
            </w:rPr>
            <w:t>环境</w:t>
          </w:r>
          <w:r>
            <w:rPr>
              <w:rFonts w:hint="default" w:ascii="Times New Roman" w:hAnsi="Times New Roman" w:eastAsia="Times New Roman" w:cs="Times New Roman"/>
              <w:bCs/>
              <w:color w:val="auto"/>
              <w:spacing w:val="-3"/>
              <w:sz w:val="24"/>
              <w:szCs w:val="24"/>
            </w:rPr>
            <w:t>功能区划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_Toc10569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660C09A8">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_Toc15128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3.1</w:t>
          </w:r>
          <w:r>
            <w:rPr>
              <w:rFonts w:hint="default" w:ascii="Times New Roman" w:hAnsi="Times New Roman" w:eastAsia="宋体" w:cs="Times New Roman"/>
              <w:bCs/>
              <w:color w:val="auto"/>
              <w:spacing w:val="-3"/>
              <w:sz w:val="24"/>
              <w:szCs w:val="24"/>
              <w:lang w:val="en-US" w:eastAsia="zh-CN"/>
            </w:rPr>
            <w:t>.3生态</w:t>
          </w:r>
          <w:r>
            <w:rPr>
              <w:rFonts w:hint="default" w:ascii="Times New Roman" w:hAnsi="Times New Roman" w:eastAsia="Times New Roman" w:cs="Times New Roman"/>
              <w:bCs/>
              <w:color w:val="auto"/>
              <w:spacing w:val="-3"/>
              <w:sz w:val="24"/>
              <w:szCs w:val="24"/>
            </w:rPr>
            <w:t>功能区划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_Toc15128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C927E8F">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_Toc19610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highlight w:val="none"/>
            </w:rPr>
            <w:t>3.</w:t>
          </w:r>
          <w:r>
            <w:rPr>
              <w:rFonts w:hint="default" w:ascii="Times New Roman" w:hAnsi="Times New Roman" w:eastAsia="宋体" w:cs="Times New Roman"/>
              <w:bCs/>
              <w:color w:val="auto"/>
              <w:spacing w:val="-3"/>
              <w:sz w:val="24"/>
              <w:szCs w:val="24"/>
              <w:highlight w:val="none"/>
              <w:lang w:val="en-US" w:eastAsia="zh-CN"/>
            </w:rPr>
            <w:t>2</w:t>
          </w:r>
          <w:r>
            <w:rPr>
              <w:rFonts w:hint="default" w:ascii="Times New Roman" w:hAnsi="Times New Roman" w:eastAsia="Times New Roman" w:cs="Times New Roman"/>
              <w:bCs/>
              <w:color w:val="auto"/>
              <w:spacing w:val="-3"/>
              <w:sz w:val="24"/>
              <w:szCs w:val="24"/>
              <w:highlight w:val="none"/>
              <w:lang w:val="en-US" w:eastAsia="zh-CN"/>
            </w:rPr>
            <w:t>环境</w:t>
          </w:r>
          <w:r>
            <w:rPr>
              <w:rFonts w:hint="default" w:ascii="Times New Roman" w:hAnsi="Times New Roman" w:eastAsia="宋体" w:cs="Times New Roman"/>
              <w:bCs/>
              <w:color w:val="auto"/>
              <w:spacing w:val="-3"/>
              <w:sz w:val="24"/>
              <w:szCs w:val="24"/>
              <w:highlight w:val="none"/>
              <w:lang w:val="en-US" w:eastAsia="zh-CN"/>
            </w:rPr>
            <w:t>标准</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_Toc19610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374CEBB">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_Toc24244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highlight w:val="none"/>
            </w:rPr>
            <w:t>3.</w:t>
          </w:r>
          <w:r>
            <w:rPr>
              <w:rFonts w:hint="default" w:ascii="Times New Roman" w:hAnsi="Times New Roman" w:eastAsia="宋体" w:cs="Times New Roman"/>
              <w:bCs/>
              <w:color w:val="auto"/>
              <w:spacing w:val="-3"/>
              <w:sz w:val="24"/>
              <w:szCs w:val="24"/>
              <w:highlight w:val="none"/>
              <w:lang w:val="en-US" w:eastAsia="zh-CN"/>
            </w:rPr>
            <w:t>2.1</w:t>
          </w:r>
          <w:r>
            <w:rPr>
              <w:rFonts w:hint="default" w:ascii="Times New Roman" w:hAnsi="Times New Roman" w:eastAsia="Times New Roman" w:cs="Times New Roman"/>
              <w:bCs/>
              <w:color w:val="auto"/>
              <w:spacing w:val="-3"/>
              <w:sz w:val="24"/>
              <w:szCs w:val="24"/>
              <w:highlight w:val="none"/>
            </w:rPr>
            <w:t>环境质量标准</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_Toc24244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735697E">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_Toc16951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3.</w:t>
          </w:r>
          <w:r>
            <w:rPr>
              <w:rFonts w:hint="default" w:ascii="Times New Roman" w:hAnsi="Times New Roman" w:eastAsia="宋体" w:cs="Times New Roman"/>
              <w:bCs/>
              <w:color w:val="auto"/>
              <w:spacing w:val="-3"/>
              <w:sz w:val="24"/>
              <w:szCs w:val="24"/>
              <w:lang w:val="en-US" w:eastAsia="zh-CN"/>
            </w:rPr>
            <w:t>2.2污染物排放</w:t>
          </w:r>
          <w:r>
            <w:rPr>
              <w:rFonts w:hint="default" w:ascii="Times New Roman" w:hAnsi="Times New Roman" w:eastAsia="Times New Roman" w:cs="Times New Roman"/>
              <w:bCs/>
              <w:color w:val="auto"/>
              <w:spacing w:val="-3"/>
              <w:sz w:val="24"/>
              <w:szCs w:val="24"/>
            </w:rPr>
            <w:t>标准</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_Toc16951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29</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522447B">
          <w:pPr>
            <w:pStyle w:val="13"/>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_Toc16682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lang w:val="en-US" w:eastAsia="zh-CN"/>
            </w:rPr>
            <w:t>4规划分析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_Toc16682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49</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6463DFAE">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_Toc8969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4.1规</w:t>
          </w:r>
          <w:r>
            <w:rPr>
              <w:rFonts w:hint="default" w:ascii="Times New Roman" w:hAnsi="Times New Roman" w:eastAsia="Times New Roman" w:cs="Times New Roman"/>
              <w:bCs/>
              <w:color w:val="auto"/>
              <w:spacing w:val="-3"/>
              <w:sz w:val="24"/>
              <w:szCs w:val="24"/>
              <w:highlight w:val="none"/>
            </w:rPr>
            <w:t>划环评概要</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_Toc8969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49</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572E309">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_Toc4018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highlight w:val="none"/>
            </w:rPr>
            <w:t>4.2规划范围与规划期限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_Toc4018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50</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7727B2A">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_Toc18329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highlight w:val="none"/>
            </w:rPr>
            <w:t>4.3</w:t>
          </w:r>
          <w:r>
            <w:rPr>
              <w:rFonts w:hint="default" w:ascii="Times New Roman" w:hAnsi="Times New Roman" w:eastAsia="宋体" w:cs="Times New Roman"/>
              <w:bCs/>
              <w:color w:val="auto"/>
              <w:spacing w:val="-2"/>
              <w:sz w:val="24"/>
              <w:szCs w:val="24"/>
              <w:highlight w:val="none"/>
            </w:rPr>
            <w:t>规划目标和定位</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_Toc18329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50</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2785C09">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_Toc18484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highlight w:val="none"/>
            </w:rPr>
            <w:t>4.4产业发展规划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_Toc18484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50</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0EF18B7B">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_Toc10145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4"/>
              <w:sz w:val="24"/>
              <w:szCs w:val="24"/>
              <w:lang w:val="en-US" w:eastAsia="zh-CN"/>
            </w:rPr>
            <w:t>4.4.1产业定位</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_Toc10145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50</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97F3B39">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_Toc5903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4"/>
              <w:sz w:val="24"/>
              <w:szCs w:val="24"/>
              <w:lang w:val="en-US" w:eastAsia="zh-CN"/>
            </w:rPr>
            <w:t>4.4.2产业布局</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_Toc5903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9147915">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_Toc19280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lang w:val="en-US" w:eastAsia="zh-CN"/>
            </w:rPr>
            <w:t>4.5基础设施规划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_Toc19280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9CB7F50">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_Toc25565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4"/>
              <w:sz w:val="24"/>
              <w:szCs w:val="24"/>
              <w:lang w:val="en-US" w:eastAsia="zh-CN"/>
            </w:rPr>
            <w:t>4.5.1给水工程规划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_Toc25565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4491101">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_Toc884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highlight w:val="none"/>
              <w:lang w:val="en-US" w:eastAsia="zh-CN"/>
            </w:rPr>
            <w:t>4.5.2排水工程规划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_Toc884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52</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ECEF739">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_Toc3428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highlight w:val="none"/>
              <w:lang w:val="en-US" w:eastAsia="zh-CN"/>
            </w:rPr>
            <w:t>4.5.3供电工程规划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_Toc3428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64863A3D">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_Toc2085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lang w:val="en-US" w:eastAsia="zh-CN"/>
            </w:rPr>
            <w:t>4.5.4燃气工程规划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_Toc2085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50D184C">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_Toc5663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highlight w:val="none"/>
              <w:lang w:val="en-US" w:eastAsia="zh-CN"/>
            </w:rPr>
            <w:t>4.5.5供热工程规划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_Toc5663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12DDFFA">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_Toc22957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highlight w:val="none"/>
              <w:lang w:val="en-US" w:eastAsia="zh-CN"/>
            </w:rPr>
            <w:t>4.5.6固废处置规划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_Toc22957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56</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5F961A7">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_Toc19969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lang w:val="en-US" w:eastAsia="zh-CN"/>
            </w:rPr>
            <w:t>4.6行业准入清单</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_Toc19969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56</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389EFBC">
          <w:pPr>
            <w:pStyle w:val="13"/>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_Toc23995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highlight w:val="none"/>
              <w:lang w:val="en-US" w:eastAsia="zh-CN"/>
            </w:rPr>
            <w:t>5分析判定相关情况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_Toc23995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2FD83C6">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_Toc11104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highlight w:val="none"/>
              <w:lang w:val="en-US" w:eastAsia="zh-CN"/>
            </w:rPr>
            <w:t>5.1</w:t>
          </w:r>
          <w:r>
            <w:rPr>
              <w:rFonts w:hint="default" w:ascii="Times New Roman" w:hAnsi="Times New Roman" w:eastAsia="Times New Roman" w:cs="Times New Roman"/>
              <w:bCs/>
              <w:color w:val="auto"/>
              <w:spacing w:val="-3"/>
              <w:sz w:val="24"/>
              <w:szCs w:val="24"/>
              <w:highlight w:val="none"/>
            </w:rPr>
            <w:t>与区域主导产业相关的政策、规范相符性分析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_Toc11104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CD09883">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_Toc17188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lang w:val="en-US" w:eastAsia="zh-CN"/>
            </w:rPr>
            <w:t>5.2园区环境准入</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_Toc17188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3E8EF1A">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_Toc21550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lang w:val="en-US" w:eastAsia="zh-CN"/>
            </w:rPr>
            <w:t>5.2.1生态保护红线及生态空间管控区域</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_Toc21550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A42E88C">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_Toc18625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lang w:val="en-US" w:eastAsia="zh-CN"/>
            </w:rPr>
            <w:t>5.2.2生活空间和生产空间</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_Toc18625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59</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86B60EE">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_Toc8671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lang w:val="en-US" w:eastAsia="zh-CN"/>
            </w:rPr>
            <w:t>5.2.3环境质量底线</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_Toc8671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59</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59F6EEF">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_Toc10287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lang w:val="en-US" w:eastAsia="zh-CN"/>
            </w:rPr>
            <w:t>5.3最新规划环评审查意见落实情况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_Toc10287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62</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1658120">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_Toc32183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lang w:val="en-US" w:eastAsia="zh-CN"/>
            </w:rPr>
            <w:t>5.4清洁生产成果</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_Toc32183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67</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CB9A293">
          <w:pPr>
            <w:pStyle w:val="13"/>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_Toc11116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highlight w:val="none"/>
            </w:rPr>
            <w:t>6</w:t>
          </w:r>
          <w:r>
            <w:rPr>
              <w:rFonts w:hint="default" w:ascii="Times New Roman" w:hAnsi="Times New Roman" w:eastAsia="宋体" w:cs="Times New Roman"/>
              <w:bCs/>
              <w:color w:val="auto"/>
              <w:spacing w:val="-3"/>
              <w:sz w:val="24"/>
              <w:szCs w:val="24"/>
              <w:highlight w:val="none"/>
            </w:rPr>
            <w:t>环境现状调查</w:t>
          </w:r>
          <w:r>
            <w:rPr>
              <w:rFonts w:hint="default" w:ascii="Times New Roman" w:hAnsi="Times New Roman" w:eastAsia="宋体" w:cs="Times New Roman"/>
              <w:bCs/>
              <w:color w:val="auto"/>
              <w:spacing w:val="-3"/>
              <w:sz w:val="24"/>
              <w:szCs w:val="24"/>
              <w:highlight w:val="none"/>
              <w:lang w:val="en-US" w:eastAsia="zh-CN"/>
            </w:rPr>
            <w:t>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_Toc11116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68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220FDC0">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_Toc8274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6.1自然环境概况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_Toc8274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68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28F9C89">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_Toc27834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6.1.1地理位置</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_Toc27834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68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4535F08">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_Toc22183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highlight w:val="none"/>
            </w:rPr>
            <w:t>6.1.2地形地貌</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_Toc22183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68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42A04C0">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_Toc31269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rPr>
            <w:t>6.1.3水文</w:t>
          </w:r>
          <w:r>
            <w:rPr>
              <w:rFonts w:hint="default" w:ascii="Times New Roman" w:hAnsi="Times New Roman" w:eastAsia="Times New Roman" w:cs="Times New Roman"/>
              <w:bCs/>
              <w:color w:val="auto"/>
              <w:spacing w:val="-2"/>
              <w:sz w:val="24"/>
              <w:szCs w:val="24"/>
              <w:lang w:val="en-US" w:eastAsia="zh-CN"/>
            </w:rPr>
            <w:t>概况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_Toc31269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69</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D0A0A05">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_Toc16334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highlight w:val="none"/>
            </w:rPr>
            <w:t>6.1.4气候气象</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_Toc16334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70</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4E43D3C">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_Toc8858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highlight w:val="none"/>
            </w:rPr>
            <w:t>6.1.5</w:t>
          </w:r>
          <w:r>
            <w:rPr>
              <w:rFonts w:hint="default" w:ascii="Times New Roman" w:hAnsi="Times New Roman" w:eastAsia="Times New Roman" w:cs="Times New Roman"/>
              <w:bCs/>
              <w:color w:val="auto"/>
              <w:spacing w:val="-2"/>
              <w:sz w:val="24"/>
              <w:szCs w:val="24"/>
              <w:highlight w:val="none"/>
              <w:lang w:val="en-US" w:eastAsia="zh-CN"/>
            </w:rPr>
            <w:t>生态环境</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_Toc8858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2E2772C">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_Toc21075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highlight w:val="none"/>
            </w:rPr>
            <w:t>6.1.</w:t>
          </w:r>
          <w:r>
            <w:rPr>
              <w:rFonts w:hint="default" w:ascii="Times New Roman" w:hAnsi="Times New Roman" w:eastAsia="Times New Roman" w:cs="Times New Roman"/>
              <w:bCs/>
              <w:color w:val="auto"/>
              <w:spacing w:val="-2"/>
              <w:sz w:val="24"/>
              <w:szCs w:val="24"/>
              <w:highlight w:val="none"/>
              <w:lang w:val="en-US" w:eastAsia="zh-CN"/>
            </w:rPr>
            <w:t>6区域产业发展情况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_Toc21075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8282696">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_Toc8319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highlight w:val="none"/>
            </w:rPr>
            <w:t>6.2社会经济概况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_Toc8319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72</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C58BA7B">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_Toc11494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highlight w:val="none"/>
            </w:rPr>
            <w:t>6.2.1</w:t>
          </w:r>
          <w:r>
            <w:rPr>
              <w:rFonts w:hint="default" w:ascii="Times New Roman" w:hAnsi="Times New Roman" w:eastAsia="宋体" w:cs="Times New Roman"/>
              <w:bCs/>
              <w:color w:val="auto"/>
              <w:spacing w:val="-2"/>
              <w:sz w:val="24"/>
              <w:szCs w:val="24"/>
              <w:highlight w:val="none"/>
            </w:rPr>
            <w:t>人口</w:t>
          </w:r>
          <w:r>
            <w:rPr>
              <w:rFonts w:hint="default" w:ascii="Times New Roman" w:hAnsi="Times New Roman" w:eastAsia="宋体" w:cs="Times New Roman"/>
              <w:bCs/>
              <w:color w:val="auto"/>
              <w:spacing w:val="-2"/>
              <w:sz w:val="24"/>
              <w:szCs w:val="24"/>
              <w:highlight w:val="none"/>
              <w:lang w:val="en-US" w:eastAsia="zh-CN"/>
            </w:rPr>
            <w:t>规模</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_Toc11494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72</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88D9D9C">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_Toc13854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highlight w:val="none"/>
            </w:rPr>
            <w:t>6.2.2</w:t>
          </w:r>
          <w:r>
            <w:rPr>
              <w:rFonts w:hint="default" w:ascii="Times New Roman" w:hAnsi="Times New Roman" w:eastAsia="宋体" w:cs="Times New Roman"/>
              <w:bCs/>
              <w:color w:val="auto"/>
              <w:spacing w:val="-2"/>
              <w:sz w:val="24"/>
              <w:szCs w:val="24"/>
              <w:highlight w:val="none"/>
            </w:rPr>
            <w:t>经济概况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_Toc13854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73</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CBFEDEA">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_Toc5530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6.3环境质量现状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_Toc5530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73</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485D1DE">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_Toc12907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6.3.1环境空气质量现状监测与评价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_Toc12907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73</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14E1EDD">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_Toc25623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rPr>
            <w:t>6.3.2</w:t>
          </w:r>
          <w:r>
            <w:rPr>
              <w:rFonts w:hint="default" w:ascii="Times New Roman" w:hAnsi="Times New Roman" w:eastAsia="宋体" w:cs="Times New Roman"/>
              <w:bCs/>
              <w:color w:val="auto"/>
              <w:spacing w:val="-2"/>
              <w:sz w:val="24"/>
              <w:szCs w:val="24"/>
            </w:rPr>
            <w:t>地表水质量现状监测与评价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_Toc25623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82</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4AAC358">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_Toc18663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rPr>
            <w:t>6.3.3</w:t>
          </w:r>
          <w:r>
            <w:rPr>
              <w:rFonts w:hint="default" w:ascii="Times New Roman" w:hAnsi="Times New Roman" w:eastAsia="宋体" w:cs="Times New Roman"/>
              <w:bCs/>
              <w:color w:val="auto"/>
              <w:spacing w:val="-2"/>
              <w:sz w:val="24"/>
              <w:szCs w:val="24"/>
            </w:rPr>
            <w:t>声环境质量现状监测与评价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_Toc18663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93</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4659002">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_Toc13932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4"/>
              <w:sz w:val="24"/>
              <w:szCs w:val="24"/>
              <w:lang w:val="en-US" w:eastAsia="zh-CN"/>
            </w:rPr>
            <w:t>6.3.4地下水环境质量现状监测与评价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_Toc13932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95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D93ADB4">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_Toc15791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rPr>
            <w:t>6.3.5</w:t>
          </w:r>
          <w:r>
            <w:rPr>
              <w:rFonts w:hint="default" w:ascii="Times New Roman" w:hAnsi="Times New Roman" w:eastAsia="宋体" w:cs="Times New Roman"/>
              <w:bCs/>
              <w:color w:val="auto"/>
              <w:spacing w:val="-2"/>
              <w:sz w:val="24"/>
              <w:szCs w:val="24"/>
            </w:rPr>
            <w:t>土壤环境质量现状监测与评价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_Toc15791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101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14E6B96">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_Toc12026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rPr>
            <w:t>6.3.6</w:t>
          </w:r>
          <w:r>
            <w:rPr>
              <w:rFonts w:hint="default" w:ascii="Times New Roman" w:hAnsi="Times New Roman" w:eastAsia="宋体" w:cs="Times New Roman"/>
              <w:bCs/>
              <w:color w:val="auto"/>
              <w:spacing w:val="-2"/>
              <w:sz w:val="24"/>
              <w:szCs w:val="24"/>
              <w:highlight w:val="none"/>
            </w:rPr>
            <w:t>底泥环境质量现状监测</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_Toc12026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110</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9C02B6F">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_Toc5257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highlight w:val="none"/>
            </w:rPr>
            <w:t>6.4环保基础设施现状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_Toc5257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111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A979D5E">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_Toc20372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cs="Times New Roman"/>
              <w:bCs/>
              <w:color w:val="auto"/>
              <w:sz w:val="24"/>
              <w:szCs w:val="24"/>
              <w:lang w:val="en-US" w:eastAsia="zh-CN"/>
            </w:rPr>
            <w:t>6.4.1供水水源及水厂</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_Toc20372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111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034591F">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_Toc15165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rPr>
            <w:t>6.4.2</w:t>
          </w:r>
          <w:r>
            <w:rPr>
              <w:rFonts w:hint="default" w:ascii="Times New Roman" w:hAnsi="Times New Roman" w:eastAsia="宋体" w:cs="Times New Roman"/>
              <w:bCs/>
              <w:color w:val="auto"/>
              <w:spacing w:val="-2"/>
              <w:sz w:val="24"/>
              <w:szCs w:val="24"/>
            </w:rPr>
            <w:t>污水集中处理设施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_Toc15165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112</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845E6BB">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_Toc16916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rPr>
            <w:t>6.4.3供热设施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_Toc16916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117</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A2CAB51">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_Toc12171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rPr>
            <w:t>6.4.</w:t>
          </w:r>
          <w:r>
            <w:rPr>
              <w:rFonts w:hint="default" w:ascii="Times New Roman" w:hAnsi="Times New Roman" w:eastAsia="Times New Roman" w:cs="Times New Roman"/>
              <w:bCs/>
              <w:color w:val="auto"/>
              <w:spacing w:val="-2"/>
              <w:sz w:val="24"/>
              <w:szCs w:val="24"/>
              <w:lang w:val="en-US" w:eastAsia="zh-CN"/>
            </w:rPr>
            <w:t>4危险废物</w:t>
          </w:r>
          <w:r>
            <w:rPr>
              <w:rFonts w:hint="default" w:ascii="Times New Roman" w:hAnsi="Times New Roman" w:eastAsia="Times New Roman" w:cs="Times New Roman"/>
              <w:bCs/>
              <w:color w:val="auto"/>
              <w:spacing w:val="-2"/>
              <w:sz w:val="24"/>
              <w:szCs w:val="24"/>
            </w:rPr>
            <w:t>处置设施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_Toc12171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119</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4BA819C">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_Toc735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3"/>
              <w:sz w:val="24"/>
              <w:szCs w:val="24"/>
            </w:rPr>
            <w:t>6.5区域污染源调查</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_Toc735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123</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42DA960">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_Toc4261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cs="Times New Roman"/>
              <w:bCs/>
              <w:color w:val="auto"/>
              <w:sz w:val="24"/>
              <w:szCs w:val="24"/>
              <w:lang w:val="en-US" w:eastAsia="zh-CN"/>
            </w:rPr>
            <w:t>6.5.1区域企业现状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_Toc4261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123</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9BF9A64">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_Toc32574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cs="Times New Roman"/>
              <w:bCs/>
              <w:color w:val="auto"/>
              <w:sz w:val="24"/>
              <w:szCs w:val="24"/>
              <w:lang w:val="en-US" w:eastAsia="zh-CN"/>
            </w:rPr>
            <w:t>6.5.2产业园区污染源调查与评价</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_Toc32574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124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073134F">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_Toc7719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cs="Times New Roman"/>
              <w:bCs/>
              <w:color w:val="auto"/>
              <w:sz w:val="24"/>
              <w:szCs w:val="24"/>
              <w:highlight w:val="none"/>
              <w:lang w:val="en-US" w:eastAsia="zh-CN"/>
            </w:rPr>
            <w:t>6.5.3主要污染行业、重点企业污染防治情况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_Toc7719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138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ACE587C">
          <w:pPr>
            <w:pStyle w:val="13"/>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_Toc10755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3"/>
              <w:sz w:val="24"/>
              <w:szCs w:val="24"/>
              <w:lang w:val="en-US" w:eastAsia="zh-CN"/>
            </w:rPr>
            <w:t>7环境要素预测所需基本资料</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_Toc10755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51C2E38">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_Toc4756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lang w:val="en-US" w:eastAsia="zh-CN"/>
            </w:rPr>
            <w:t>7.1大气环境要素预测所需基本资料</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_Toc4756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334B6FF">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_Toc8864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lang w:val="en-US" w:eastAsia="zh-CN"/>
            </w:rPr>
            <w:t>7.1.1大气估算模型参数</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_Toc8864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73BA7CF">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_Toc2736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lang w:val="en-US" w:eastAsia="zh-CN"/>
            </w:rPr>
            <w:t>7.1.2大气预测参数</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_Toc2736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D3F7A39">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_Toc27029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lang w:val="en-US" w:eastAsia="zh-CN"/>
            </w:rPr>
            <w:t>7.2地表水环境要素预测所需基本资料</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_Toc27029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4751854">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_Toc10394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lang w:val="en-US" w:eastAsia="zh-CN"/>
            </w:rPr>
            <w:t>7.2.1区域环境水系现状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_Toc10394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0E9CE8FB">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_Toc13722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highlight w:val="none"/>
              <w:lang w:val="en-US" w:eastAsia="zh-CN"/>
            </w:rPr>
            <w:t>7.2.2区域地表水功能区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_Toc13722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146</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80AB4C6">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_Toc22748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3"/>
              <w:sz w:val="24"/>
              <w:szCs w:val="24"/>
              <w:highlight w:val="none"/>
              <w:lang w:val="en-US" w:eastAsia="zh-CN"/>
            </w:rPr>
            <w:t>7.3地下水环境要素预测所需基本资料</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_Toc22748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147</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F143924">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_Toc22272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3"/>
              <w:sz w:val="24"/>
              <w:szCs w:val="24"/>
              <w:highlight w:val="none"/>
              <w:lang w:val="en-US" w:eastAsia="zh-CN"/>
            </w:rPr>
            <w:t>7.3.1区域地层岩性</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_Toc22272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147</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AB0329B">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_Toc4294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3"/>
              <w:sz w:val="24"/>
              <w:szCs w:val="24"/>
              <w:lang w:val="en-US" w:eastAsia="zh-CN"/>
            </w:rPr>
            <w:t>7.3.2区域地质构造</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_Toc4294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57F06CD">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_Toc17169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3"/>
              <w:sz w:val="24"/>
              <w:szCs w:val="24"/>
              <w:lang w:val="en-US" w:eastAsia="zh-CN"/>
            </w:rPr>
            <w:t>7.3.3区域水文地质概况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_Toc17169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149</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8B3B46A">
          <w:pPr>
            <w:pStyle w:val="13"/>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_Toc22731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3"/>
              <w:sz w:val="24"/>
              <w:szCs w:val="24"/>
              <w:highlight w:val="none"/>
              <w:lang w:val="en-US" w:eastAsia="zh-CN"/>
            </w:rPr>
            <w:t>8环境污染</w:t>
          </w:r>
          <w:r>
            <w:rPr>
              <w:rFonts w:hint="default" w:ascii="Times New Roman" w:hAnsi="Times New Roman" w:eastAsia="宋体" w:cs="Times New Roman"/>
              <w:bCs/>
              <w:color w:val="auto"/>
              <w:spacing w:val="-3"/>
              <w:sz w:val="24"/>
              <w:szCs w:val="24"/>
              <w:highlight w:val="none"/>
            </w:rPr>
            <w:t>防</w:t>
          </w:r>
          <w:r>
            <w:rPr>
              <w:rFonts w:hint="default" w:ascii="Times New Roman" w:hAnsi="Times New Roman" w:eastAsia="宋体" w:cs="Times New Roman"/>
              <w:bCs/>
              <w:color w:val="auto"/>
              <w:spacing w:val="-3"/>
              <w:sz w:val="24"/>
              <w:szCs w:val="24"/>
              <w:highlight w:val="none"/>
              <w:lang w:val="en-US" w:eastAsia="zh-CN"/>
            </w:rPr>
            <w:t>治</w:t>
          </w:r>
          <w:r>
            <w:rPr>
              <w:rFonts w:hint="default" w:ascii="Times New Roman" w:hAnsi="Times New Roman" w:eastAsia="宋体" w:cs="Times New Roman"/>
              <w:bCs/>
              <w:color w:val="auto"/>
              <w:spacing w:val="-3"/>
              <w:sz w:val="24"/>
              <w:szCs w:val="24"/>
              <w:highlight w:val="none"/>
            </w:rPr>
            <w:t>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_Toc22731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654BE0A3">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_Toc28538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lang w:val="en-US" w:eastAsia="zh-CN"/>
            </w:rPr>
            <w:t>8</w:t>
          </w:r>
          <w:r>
            <w:rPr>
              <w:rFonts w:hint="default" w:ascii="Times New Roman" w:hAnsi="Times New Roman" w:eastAsia="宋体" w:cs="Times New Roman"/>
              <w:bCs/>
              <w:color w:val="auto"/>
              <w:sz w:val="24"/>
              <w:szCs w:val="24"/>
            </w:rPr>
            <w:t>.1</w:t>
          </w:r>
          <w:r>
            <w:rPr>
              <w:rFonts w:hint="default" w:ascii="Times New Roman" w:hAnsi="Times New Roman" w:eastAsia="宋体" w:cs="Times New Roman"/>
              <w:bCs/>
              <w:color w:val="auto"/>
              <w:sz w:val="24"/>
              <w:szCs w:val="24"/>
              <w:lang w:val="en-US" w:eastAsia="zh-CN"/>
            </w:rPr>
            <w:t>大气环境污染防治措施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_Toc28538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3C1415F">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_Toc19142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lang w:val="en-US" w:eastAsia="zh-CN"/>
            </w:rPr>
            <w:t>8</w:t>
          </w:r>
          <w:r>
            <w:rPr>
              <w:rFonts w:hint="default" w:ascii="Times New Roman" w:hAnsi="Times New Roman" w:eastAsia="宋体" w:cs="Times New Roman"/>
              <w:bCs/>
              <w:color w:val="auto"/>
              <w:sz w:val="24"/>
              <w:szCs w:val="24"/>
            </w:rPr>
            <w:t>.</w:t>
          </w:r>
          <w:r>
            <w:rPr>
              <w:rFonts w:hint="default" w:ascii="Times New Roman" w:hAnsi="Times New Roman" w:eastAsia="宋体" w:cs="Times New Roman"/>
              <w:bCs/>
              <w:color w:val="auto"/>
              <w:sz w:val="24"/>
              <w:szCs w:val="24"/>
              <w:lang w:val="en-US" w:eastAsia="zh-CN"/>
            </w:rPr>
            <w:t>2水环境污染防治措施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_Toc19142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96B6EA6">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_Toc9735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lang w:val="en-US" w:eastAsia="zh-CN"/>
            </w:rPr>
            <w:t>8.3固体废物污染防治措施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_Toc9735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566607B">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_Toc11077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lang w:val="en-US" w:eastAsia="zh-CN"/>
            </w:rPr>
            <w:t>8.4噪声污染防治措施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_Toc11077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60B078B2">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_Toc31543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lang w:val="en-US" w:eastAsia="zh-CN"/>
            </w:rPr>
            <w:t>8</w:t>
          </w:r>
          <w:r>
            <w:rPr>
              <w:rFonts w:hint="default" w:ascii="Times New Roman" w:hAnsi="Times New Roman" w:eastAsia="宋体" w:cs="Times New Roman"/>
              <w:bCs/>
              <w:color w:val="auto"/>
              <w:sz w:val="24"/>
              <w:szCs w:val="24"/>
            </w:rPr>
            <w:t>.</w:t>
          </w:r>
          <w:r>
            <w:rPr>
              <w:rFonts w:hint="default" w:ascii="Times New Roman" w:hAnsi="Times New Roman" w:eastAsia="宋体" w:cs="Times New Roman"/>
              <w:bCs/>
              <w:color w:val="auto"/>
              <w:sz w:val="24"/>
              <w:szCs w:val="24"/>
              <w:lang w:val="en-US" w:eastAsia="zh-CN"/>
            </w:rPr>
            <w:t>5环境风险防范措施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_Toc31543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C239E53">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_Toc15951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lang w:val="en-US" w:eastAsia="zh-CN"/>
            </w:rPr>
            <w:t>8</w:t>
          </w:r>
          <w:r>
            <w:rPr>
              <w:rFonts w:hint="default" w:ascii="Times New Roman" w:hAnsi="Times New Roman" w:eastAsia="Times New Roman" w:cs="Times New Roman"/>
              <w:bCs/>
              <w:color w:val="auto"/>
              <w:spacing w:val="-2"/>
              <w:sz w:val="24"/>
              <w:szCs w:val="24"/>
            </w:rPr>
            <w:t>.</w:t>
          </w:r>
          <w:r>
            <w:rPr>
              <w:rFonts w:hint="default" w:ascii="Times New Roman" w:hAnsi="Times New Roman" w:eastAsia="宋体" w:cs="Times New Roman"/>
              <w:bCs/>
              <w:color w:val="auto"/>
              <w:spacing w:val="-2"/>
              <w:sz w:val="24"/>
              <w:szCs w:val="24"/>
              <w:lang w:val="en-US" w:eastAsia="zh-CN"/>
            </w:rPr>
            <w:t>5.1大气</w:t>
          </w:r>
          <w:r>
            <w:rPr>
              <w:rFonts w:hint="default" w:ascii="Times New Roman" w:hAnsi="Times New Roman" w:eastAsia="宋体" w:cs="Times New Roman"/>
              <w:bCs/>
              <w:color w:val="auto"/>
              <w:spacing w:val="-2"/>
              <w:sz w:val="24"/>
              <w:szCs w:val="24"/>
            </w:rPr>
            <w:t>风险防</w:t>
          </w:r>
          <w:r>
            <w:rPr>
              <w:rFonts w:hint="default" w:ascii="Times New Roman" w:hAnsi="Times New Roman" w:eastAsia="宋体" w:cs="Times New Roman"/>
              <w:bCs/>
              <w:color w:val="auto"/>
              <w:spacing w:val="-2"/>
              <w:sz w:val="24"/>
              <w:szCs w:val="24"/>
              <w:lang w:val="en-US" w:eastAsia="zh-CN"/>
            </w:rPr>
            <w:t>范措施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_Toc15951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096BBF73">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_Toc9839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lang w:val="en-US" w:eastAsia="zh-CN"/>
            </w:rPr>
            <w:t>8</w:t>
          </w:r>
          <w:r>
            <w:rPr>
              <w:rFonts w:hint="default" w:ascii="Times New Roman" w:hAnsi="Times New Roman" w:eastAsia="Times New Roman" w:cs="Times New Roman"/>
              <w:bCs/>
              <w:color w:val="auto"/>
              <w:spacing w:val="-2"/>
              <w:sz w:val="24"/>
              <w:szCs w:val="24"/>
            </w:rPr>
            <w:t>.</w:t>
          </w:r>
          <w:r>
            <w:rPr>
              <w:rFonts w:hint="default" w:ascii="Times New Roman" w:hAnsi="Times New Roman" w:eastAsia="宋体" w:cs="Times New Roman"/>
              <w:bCs/>
              <w:color w:val="auto"/>
              <w:spacing w:val="-2"/>
              <w:sz w:val="24"/>
              <w:szCs w:val="24"/>
              <w:lang w:val="en-US" w:eastAsia="zh-CN"/>
            </w:rPr>
            <w:t>5.2地表水</w:t>
          </w:r>
          <w:r>
            <w:rPr>
              <w:rFonts w:hint="default" w:ascii="Times New Roman" w:hAnsi="Times New Roman" w:eastAsia="宋体" w:cs="Times New Roman"/>
              <w:bCs/>
              <w:color w:val="auto"/>
              <w:spacing w:val="-2"/>
              <w:sz w:val="24"/>
              <w:szCs w:val="24"/>
            </w:rPr>
            <w:t>风险防</w:t>
          </w:r>
          <w:r>
            <w:rPr>
              <w:rFonts w:hint="default" w:ascii="Times New Roman" w:hAnsi="Times New Roman" w:eastAsia="宋体" w:cs="Times New Roman"/>
              <w:bCs/>
              <w:color w:val="auto"/>
              <w:spacing w:val="-2"/>
              <w:sz w:val="24"/>
              <w:szCs w:val="24"/>
              <w:lang w:val="en-US" w:eastAsia="zh-CN"/>
            </w:rPr>
            <w:t>范措施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_Toc9839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93E64FB">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_Toc15172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lang w:val="en-US" w:eastAsia="zh-CN"/>
            </w:rPr>
            <w:t>8</w:t>
          </w:r>
          <w:r>
            <w:rPr>
              <w:rFonts w:hint="default" w:ascii="Times New Roman" w:hAnsi="Times New Roman" w:eastAsia="Times New Roman" w:cs="Times New Roman"/>
              <w:bCs/>
              <w:color w:val="auto"/>
              <w:spacing w:val="-2"/>
              <w:sz w:val="24"/>
              <w:szCs w:val="24"/>
            </w:rPr>
            <w:t>.</w:t>
          </w:r>
          <w:r>
            <w:rPr>
              <w:rFonts w:hint="default" w:ascii="Times New Roman" w:hAnsi="Times New Roman" w:eastAsia="宋体" w:cs="Times New Roman"/>
              <w:bCs/>
              <w:color w:val="auto"/>
              <w:spacing w:val="-2"/>
              <w:sz w:val="24"/>
              <w:szCs w:val="24"/>
              <w:lang w:val="en-US" w:eastAsia="zh-CN"/>
            </w:rPr>
            <w:t>5.3地下水</w:t>
          </w:r>
          <w:r>
            <w:rPr>
              <w:rFonts w:hint="default" w:ascii="Times New Roman" w:hAnsi="Times New Roman" w:eastAsia="宋体" w:cs="Times New Roman"/>
              <w:bCs/>
              <w:color w:val="auto"/>
              <w:spacing w:val="-2"/>
              <w:sz w:val="24"/>
              <w:szCs w:val="24"/>
            </w:rPr>
            <w:t>风险防</w:t>
          </w:r>
          <w:r>
            <w:rPr>
              <w:rFonts w:hint="default" w:ascii="Times New Roman" w:hAnsi="Times New Roman" w:eastAsia="宋体" w:cs="Times New Roman"/>
              <w:bCs/>
              <w:color w:val="auto"/>
              <w:spacing w:val="-2"/>
              <w:sz w:val="24"/>
              <w:szCs w:val="24"/>
              <w:lang w:val="en-US" w:eastAsia="zh-CN"/>
            </w:rPr>
            <w:t>范措施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_Toc15172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156</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251558F">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_Toc12508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lang w:val="en-US" w:eastAsia="zh-CN"/>
            </w:rPr>
            <w:t>8</w:t>
          </w:r>
          <w:r>
            <w:rPr>
              <w:rFonts w:hint="default" w:ascii="Times New Roman" w:hAnsi="Times New Roman" w:eastAsia="Times New Roman" w:cs="Times New Roman"/>
              <w:bCs/>
              <w:color w:val="auto"/>
              <w:spacing w:val="-2"/>
              <w:sz w:val="24"/>
              <w:szCs w:val="24"/>
            </w:rPr>
            <w:t>.</w:t>
          </w:r>
          <w:r>
            <w:rPr>
              <w:rFonts w:hint="default" w:ascii="Times New Roman" w:hAnsi="Times New Roman" w:eastAsia="宋体" w:cs="Times New Roman"/>
              <w:bCs/>
              <w:color w:val="auto"/>
              <w:spacing w:val="-2"/>
              <w:sz w:val="24"/>
              <w:szCs w:val="24"/>
              <w:lang w:val="en-US" w:eastAsia="zh-CN"/>
            </w:rPr>
            <w:t>5.4企业</w:t>
          </w:r>
          <w:r>
            <w:rPr>
              <w:rFonts w:hint="default" w:ascii="Times New Roman" w:hAnsi="Times New Roman" w:eastAsia="宋体" w:cs="Times New Roman"/>
              <w:bCs/>
              <w:color w:val="auto"/>
              <w:spacing w:val="-2"/>
              <w:sz w:val="24"/>
              <w:szCs w:val="24"/>
            </w:rPr>
            <w:t>风险防</w:t>
          </w:r>
          <w:r>
            <w:rPr>
              <w:rFonts w:hint="default" w:ascii="Times New Roman" w:hAnsi="Times New Roman" w:eastAsia="宋体" w:cs="Times New Roman"/>
              <w:bCs/>
              <w:color w:val="auto"/>
              <w:spacing w:val="-2"/>
              <w:sz w:val="24"/>
              <w:szCs w:val="24"/>
              <w:lang w:val="en-US" w:eastAsia="zh-CN"/>
            </w:rPr>
            <w:t>范措施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_Toc12508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156</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6F5AAC3B">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_Toc8384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lang w:val="en-US" w:eastAsia="zh-CN"/>
            </w:rPr>
            <w:t>8</w:t>
          </w:r>
          <w:r>
            <w:rPr>
              <w:rFonts w:hint="default" w:ascii="Times New Roman" w:hAnsi="Times New Roman" w:eastAsia="Times New Roman" w:cs="Times New Roman"/>
              <w:bCs/>
              <w:color w:val="auto"/>
              <w:spacing w:val="-2"/>
              <w:sz w:val="24"/>
              <w:szCs w:val="24"/>
            </w:rPr>
            <w:t>.</w:t>
          </w:r>
          <w:r>
            <w:rPr>
              <w:rFonts w:hint="default" w:ascii="Times New Roman" w:hAnsi="Times New Roman" w:eastAsia="宋体" w:cs="Times New Roman"/>
              <w:bCs/>
              <w:color w:val="auto"/>
              <w:spacing w:val="-2"/>
              <w:sz w:val="24"/>
              <w:szCs w:val="24"/>
              <w:lang w:val="en-US" w:eastAsia="zh-CN"/>
            </w:rPr>
            <w:t>5.5</w:t>
          </w:r>
          <w:r>
            <w:rPr>
              <w:rFonts w:hint="default" w:ascii="Times New Roman" w:hAnsi="Times New Roman" w:eastAsia="宋体" w:cs="Times New Roman"/>
              <w:bCs/>
              <w:color w:val="auto"/>
              <w:spacing w:val="-2"/>
              <w:sz w:val="24"/>
              <w:szCs w:val="24"/>
            </w:rPr>
            <w:t>环境应急管理</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_Toc8384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156</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3833D5B">
          <w:pPr>
            <w:pStyle w:val="13"/>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_Toc22591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Times New Roman" w:cs="Times New Roman"/>
              <w:bCs/>
              <w:color w:val="auto"/>
              <w:spacing w:val="-2"/>
              <w:sz w:val="24"/>
              <w:szCs w:val="24"/>
              <w:lang w:val="en-US" w:eastAsia="zh-CN"/>
            </w:rPr>
            <w:t>9环境监测计划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_Toc22591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170</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A96931B">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_Toc28850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highlight w:val="none"/>
              <w:lang w:val="en-US" w:eastAsia="zh-CN"/>
            </w:rPr>
            <w:t>9</w:t>
          </w:r>
          <w:r>
            <w:rPr>
              <w:rFonts w:hint="default" w:ascii="Times New Roman" w:hAnsi="Times New Roman" w:eastAsia="Times New Roman" w:cs="Times New Roman"/>
              <w:bCs/>
              <w:color w:val="auto"/>
              <w:spacing w:val="-2"/>
              <w:sz w:val="24"/>
              <w:szCs w:val="24"/>
              <w:highlight w:val="none"/>
            </w:rPr>
            <w:t>.1</w:t>
          </w:r>
          <w:r>
            <w:rPr>
              <w:rFonts w:hint="default" w:ascii="Times New Roman" w:hAnsi="Times New Roman" w:eastAsia="宋体" w:cs="Times New Roman"/>
              <w:bCs/>
              <w:color w:val="auto"/>
              <w:spacing w:val="-2"/>
              <w:sz w:val="24"/>
              <w:szCs w:val="24"/>
              <w:highlight w:val="none"/>
            </w:rPr>
            <w:t>大气环境质量监测计划</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_Toc28850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170</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3DBC90C">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_Toc11574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highlight w:val="none"/>
              <w:lang w:val="en-US" w:eastAsia="zh-CN"/>
            </w:rPr>
            <w:t>9.2地表水环境质量现状监测</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_Toc11574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40E930E">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_Toc24066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highlight w:val="none"/>
              <w:lang w:val="en-US" w:eastAsia="zh-CN"/>
            </w:rPr>
            <w:t>9.3声环境质量现状监测</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_Toc24066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171</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D9D931F">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_Toc28870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highlight w:val="none"/>
              <w:lang w:val="en-US" w:eastAsia="zh-CN"/>
            </w:rPr>
            <w:t>9.4地下水环境质量现状监测</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_Toc28870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172</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43D45680">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_Toc115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highlight w:val="none"/>
              <w:lang w:val="en-US" w:eastAsia="zh-CN"/>
            </w:rPr>
            <w:t>9.5土壤环境质量现状监测</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172</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2E65AF5">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_Toc4908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lang w:val="en-US" w:eastAsia="zh-CN"/>
            </w:rPr>
            <w:t>9</w:t>
          </w:r>
          <w:r>
            <w:rPr>
              <w:rFonts w:hint="default" w:ascii="Times New Roman" w:hAnsi="Times New Roman" w:eastAsia="Times New Roman" w:cs="Times New Roman"/>
              <w:bCs/>
              <w:color w:val="auto"/>
              <w:spacing w:val="-2"/>
              <w:sz w:val="24"/>
              <w:szCs w:val="24"/>
            </w:rPr>
            <w:t>.6</w:t>
          </w:r>
          <w:r>
            <w:rPr>
              <w:rFonts w:hint="default" w:ascii="Times New Roman" w:hAnsi="Times New Roman" w:eastAsia="宋体" w:cs="Times New Roman"/>
              <w:bCs/>
              <w:color w:val="auto"/>
              <w:spacing w:val="-2"/>
              <w:sz w:val="24"/>
              <w:szCs w:val="24"/>
            </w:rPr>
            <w:t>底泥质量现状监测</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_Toc4908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173</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001382F">
          <w:pPr>
            <w:pStyle w:val="13"/>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_Toc2226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4"/>
              <w:sz w:val="24"/>
              <w:szCs w:val="24"/>
              <w:lang w:val="en-US" w:eastAsia="zh-CN"/>
            </w:rPr>
            <w:t>10生态环境准入清单</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_Toc2226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03508FA6">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_Toc1600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lang w:val="en-US" w:eastAsia="zh-CN"/>
            </w:rPr>
            <w:t>10.1生态保护红线</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_Toc1600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AC4624A">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_Toc32166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lang w:val="en-US" w:eastAsia="zh-CN"/>
            </w:rPr>
            <w:t>10.2环境质量底线</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_Toc32166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7FAC051">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_Toc26610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4"/>
              <w:sz w:val="24"/>
              <w:szCs w:val="24"/>
              <w:lang w:val="en-US" w:eastAsia="zh-CN"/>
            </w:rPr>
            <w:t>10.2</w:t>
          </w:r>
          <w:r>
            <w:rPr>
              <w:rFonts w:hint="default" w:ascii="Times New Roman" w:hAnsi="Times New Roman" w:eastAsia="Times New Roman" w:cs="Times New Roman"/>
              <w:bCs/>
              <w:color w:val="auto"/>
              <w:spacing w:val="-4"/>
              <w:sz w:val="24"/>
              <w:szCs w:val="24"/>
            </w:rPr>
            <w:t>.1</w:t>
          </w:r>
          <w:r>
            <w:rPr>
              <w:rFonts w:hint="default" w:ascii="Times New Roman" w:hAnsi="Times New Roman" w:eastAsia="宋体" w:cs="Times New Roman"/>
              <w:bCs/>
              <w:color w:val="auto"/>
              <w:spacing w:val="-4"/>
              <w:sz w:val="24"/>
              <w:szCs w:val="24"/>
              <w:lang w:val="en-US" w:eastAsia="zh-CN"/>
            </w:rPr>
            <w:t>环境质量现状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_Toc26610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50EF2FC">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_Toc5506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4"/>
              <w:sz w:val="24"/>
              <w:szCs w:val="24"/>
              <w:highlight w:val="none"/>
              <w:lang w:val="en-US" w:eastAsia="zh-CN"/>
            </w:rPr>
            <w:t>10.2</w:t>
          </w:r>
          <w:r>
            <w:rPr>
              <w:rFonts w:hint="default" w:ascii="Times New Roman" w:hAnsi="Times New Roman" w:eastAsia="Times New Roman" w:cs="Times New Roman"/>
              <w:bCs/>
              <w:color w:val="auto"/>
              <w:spacing w:val="-4"/>
              <w:sz w:val="24"/>
              <w:szCs w:val="24"/>
              <w:highlight w:val="none"/>
            </w:rPr>
            <w:t>.</w:t>
          </w:r>
          <w:r>
            <w:rPr>
              <w:rFonts w:hint="default" w:ascii="Times New Roman" w:hAnsi="Times New Roman" w:eastAsia="宋体" w:cs="Times New Roman"/>
              <w:bCs/>
              <w:color w:val="auto"/>
              <w:spacing w:val="-4"/>
              <w:sz w:val="24"/>
              <w:szCs w:val="24"/>
              <w:highlight w:val="none"/>
              <w:lang w:val="en-US" w:eastAsia="zh-CN"/>
            </w:rPr>
            <w:t>2环境质量标准要求</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_Toc5506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08088E4E">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_Toc28072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4"/>
              <w:sz w:val="24"/>
              <w:szCs w:val="24"/>
              <w:highlight w:val="none"/>
              <w:lang w:val="en-US" w:eastAsia="zh-CN"/>
            </w:rPr>
            <w:t>10.2</w:t>
          </w:r>
          <w:r>
            <w:rPr>
              <w:rFonts w:hint="default" w:ascii="Times New Roman" w:hAnsi="Times New Roman" w:eastAsia="Times New Roman" w:cs="Times New Roman"/>
              <w:bCs/>
              <w:color w:val="auto"/>
              <w:spacing w:val="-4"/>
              <w:sz w:val="24"/>
              <w:szCs w:val="24"/>
              <w:highlight w:val="none"/>
            </w:rPr>
            <w:t>.</w:t>
          </w:r>
          <w:r>
            <w:rPr>
              <w:rFonts w:hint="default" w:ascii="Times New Roman" w:hAnsi="Times New Roman" w:eastAsia="宋体" w:cs="Times New Roman"/>
              <w:bCs/>
              <w:color w:val="auto"/>
              <w:spacing w:val="-4"/>
              <w:sz w:val="24"/>
              <w:szCs w:val="24"/>
              <w:highlight w:val="none"/>
              <w:lang w:val="en-US" w:eastAsia="zh-CN"/>
            </w:rPr>
            <w:t>3污染物排放标准要求</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_Toc28072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176</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E1DD014">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_Toc4136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highlight w:val="none"/>
              <w:lang w:val="en-US" w:eastAsia="zh-CN"/>
            </w:rPr>
            <w:t>10.3资源利用上线</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_Toc4136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2788C648">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_Toc32640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1"/>
              <w:sz w:val="24"/>
              <w:szCs w:val="24"/>
              <w:highlight w:val="none"/>
              <w:lang w:val="en-US" w:eastAsia="zh-CN"/>
            </w:rPr>
            <w:t>10</w:t>
          </w:r>
          <w:r>
            <w:rPr>
              <w:rFonts w:hint="default" w:ascii="Times New Roman" w:hAnsi="Times New Roman" w:eastAsia="Times New Roman" w:cs="Times New Roman"/>
              <w:bCs/>
              <w:color w:val="auto"/>
              <w:spacing w:val="-1"/>
              <w:sz w:val="24"/>
              <w:szCs w:val="24"/>
              <w:highlight w:val="none"/>
            </w:rPr>
            <w:t>.</w:t>
          </w:r>
          <w:r>
            <w:rPr>
              <w:rFonts w:hint="default" w:ascii="Times New Roman" w:hAnsi="Times New Roman" w:eastAsia="宋体" w:cs="Times New Roman"/>
              <w:bCs/>
              <w:color w:val="auto"/>
              <w:spacing w:val="-1"/>
              <w:sz w:val="24"/>
              <w:szCs w:val="24"/>
              <w:highlight w:val="none"/>
              <w:lang w:val="en-US" w:eastAsia="zh-CN"/>
            </w:rPr>
            <w:t>3</w:t>
          </w:r>
          <w:r>
            <w:rPr>
              <w:rFonts w:hint="default" w:ascii="Times New Roman" w:hAnsi="Times New Roman" w:eastAsia="Times New Roman" w:cs="Times New Roman"/>
              <w:bCs/>
              <w:color w:val="auto"/>
              <w:spacing w:val="-1"/>
              <w:sz w:val="24"/>
              <w:szCs w:val="24"/>
              <w:highlight w:val="none"/>
            </w:rPr>
            <w:t>.</w:t>
          </w:r>
          <w:r>
            <w:rPr>
              <w:rFonts w:hint="default" w:ascii="Times New Roman" w:hAnsi="Times New Roman" w:eastAsia="宋体" w:cs="Times New Roman"/>
              <w:bCs/>
              <w:color w:val="auto"/>
              <w:spacing w:val="-1"/>
              <w:sz w:val="24"/>
              <w:szCs w:val="24"/>
              <w:highlight w:val="none"/>
              <w:lang w:val="en-US" w:eastAsia="zh-CN"/>
            </w:rPr>
            <w:t>1水资源利用上线</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_Toc32640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62BC3CE">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_Toc26076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1"/>
              <w:sz w:val="24"/>
              <w:szCs w:val="24"/>
              <w:lang w:val="en-US" w:eastAsia="zh-CN"/>
            </w:rPr>
            <w:t>10</w:t>
          </w:r>
          <w:r>
            <w:rPr>
              <w:rFonts w:hint="default" w:ascii="Times New Roman" w:hAnsi="Times New Roman" w:eastAsia="Times New Roman" w:cs="Times New Roman"/>
              <w:bCs/>
              <w:color w:val="auto"/>
              <w:spacing w:val="-1"/>
              <w:sz w:val="24"/>
              <w:szCs w:val="24"/>
            </w:rPr>
            <w:t>.</w:t>
          </w:r>
          <w:r>
            <w:rPr>
              <w:rFonts w:hint="default" w:ascii="Times New Roman" w:hAnsi="Times New Roman" w:eastAsia="宋体" w:cs="Times New Roman"/>
              <w:bCs/>
              <w:color w:val="auto"/>
              <w:spacing w:val="-1"/>
              <w:sz w:val="24"/>
              <w:szCs w:val="24"/>
              <w:lang w:val="en-US" w:eastAsia="zh-CN"/>
            </w:rPr>
            <w:t>3</w:t>
          </w:r>
          <w:r>
            <w:rPr>
              <w:rFonts w:hint="default" w:ascii="Times New Roman" w:hAnsi="Times New Roman" w:eastAsia="Times New Roman" w:cs="Times New Roman"/>
              <w:bCs/>
              <w:color w:val="auto"/>
              <w:spacing w:val="-1"/>
              <w:sz w:val="24"/>
              <w:szCs w:val="24"/>
            </w:rPr>
            <w:t>.</w:t>
          </w:r>
          <w:r>
            <w:rPr>
              <w:rFonts w:hint="default" w:ascii="Times New Roman" w:hAnsi="Times New Roman" w:eastAsia="宋体" w:cs="Times New Roman"/>
              <w:bCs/>
              <w:color w:val="auto"/>
              <w:spacing w:val="-1"/>
              <w:sz w:val="24"/>
              <w:szCs w:val="24"/>
              <w:lang w:val="en-US" w:eastAsia="zh-CN"/>
            </w:rPr>
            <w:t>2土地资源利用上线</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_Toc26076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25F7168">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_Toc10957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1"/>
              <w:sz w:val="24"/>
              <w:szCs w:val="24"/>
              <w:lang w:val="en-US" w:eastAsia="zh-CN"/>
            </w:rPr>
            <w:t>10</w:t>
          </w:r>
          <w:r>
            <w:rPr>
              <w:rFonts w:hint="default" w:ascii="Times New Roman" w:hAnsi="Times New Roman" w:eastAsia="Times New Roman" w:cs="Times New Roman"/>
              <w:bCs/>
              <w:color w:val="auto"/>
              <w:spacing w:val="-1"/>
              <w:sz w:val="24"/>
              <w:szCs w:val="24"/>
            </w:rPr>
            <w:t>.</w:t>
          </w:r>
          <w:r>
            <w:rPr>
              <w:rFonts w:hint="default" w:ascii="Times New Roman" w:hAnsi="Times New Roman" w:eastAsia="宋体" w:cs="Times New Roman"/>
              <w:bCs/>
              <w:color w:val="auto"/>
              <w:spacing w:val="-1"/>
              <w:sz w:val="24"/>
              <w:szCs w:val="24"/>
              <w:lang w:val="en-US" w:eastAsia="zh-CN"/>
            </w:rPr>
            <w:t>3</w:t>
          </w:r>
          <w:r>
            <w:rPr>
              <w:rFonts w:hint="default" w:ascii="Times New Roman" w:hAnsi="Times New Roman" w:eastAsia="Times New Roman" w:cs="Times New Roman"/>
              <w:bCs/>
              <w:color w:val="auto"/>
              <w:spacing w:val="-1"/>
              <w:sz w:val="24"/>
              <w:szCs w:val="24"/>
            </w:rPr>
            <w:t>.</w:t>
          </w:r>
          <w:r>
            <w:rPr>
              <w:rFonts w:hint="default" w:ascii="Times New Roman" w:hAnsi="Times New Roman" w:eastAsia="宋体" w:cs="Times New Roman"/>
              <w:bCs/>
              <w:color w:val="auto"/>
              <w:spacing w:val="-1"/>
              <w:sz w:val="24"/>
              <w:szCs w:val="24"/>
              <w:lang w:val="en-US" w:eastAsia="zh-CN"/>
            </w:rPr>
            <w:t>3能源利用上线</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_Toc10957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178</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0F02A5E4">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_Toc29786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1"/>
              <w:sz w:val="24"/>
              <w:szCs w:val="24"/>
              <w:lang w:val="en-US" w:eastAsia="zh-CN"/>
            </w:rPr>
            <w:t>10</w:t>
          </w:r>
          <w:r>
            <w:rPr>
              <w:rFonts w:hint="default" w:ascii="Times New Roman" w:hAnsi="Times New Roman" w:eastAsia="Times New Roman" w:cs="Times New Roman"/>
              <w:bCs/>
              <w:color w:val="auto"/>
              <w:spacing w:val="-1"/>
              <w:sz w:val="24"/>
              <w:szCs w:val="24"/>
            </w:rPr>
            <w:t>.</w:t>
          </w:r>
          <w:r>
            <w:rPr>
              <w:rFonts w:hint="default" w:ascii="Times New Roman" w:hAnsi="Times New Roman" w:eastAsia="宋体" w:cs="Times New Roman"/>
              <w:bCs/>
              <w:color w:val="auto"/>
              <w:spacing w:val="-1"/>
              <w:sz w:val="24"/>
              <w:szCs w:val="24"/>
              <w:lang w:val="en-US" w:eastAsia="zh-CN"/>
            </w:rPr>
            <w:t>3</w:t>
          </w:r>
          <w:r>
            <w:rPr>
              <w:rFonts w:hint="default" w:ascii="Times New Roman" w:hAnsi="Times New Roman" w:eastAsia="Times New Roman" w:cs="Times New Roman"/>
              <w:bCs/>
              <w:color w:val="auto"/>
              <w:spacing w:val="-1"/>
              <w:sz w:val="24"/>
              <w:szCs w:val="24"/>
            </w:rPr>
            <w:t>.</w:t>
          </w:r>
          <w:r>
            <w:rPr>
              <w:rFonts w:hint="default" w:ascii="Times New Roman" w:hAnsi="Times New Roman" w:eastAsia="宋体" w:cs="Times New Roman"/>
              <w:bCs/>
              <w:color w:val="auto"/>
              <w:spacing w:val="-1"/>
              <w:sz w:val="24"/>
              <w:szCs w:val="24"/>
              <w:lang w:val="en-US" w:eastAsia="zh-CN"/>
            </w:rPr>
            <w:t>4能源利用总量及效率要求</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_Toc29786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179</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009AC1A9">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_Toc3395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lang w:val="en-US" w:eastAsia="zh-CN"/>
            </w:rPr>
            <w:t>10.4环境准入负面清单</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_Toc3395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179</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A810413">
          <w:pPr>
            <w:pStyle w:val="13"/>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_Toc26057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4"/>
              <w:sz w:val="24"/>
              <w:szCs w:val="24"/>
              <w:lang w:val="en-US" w:eastAsia="zh-CN"/>
            </w:rPr>
            <w:t>11</w:t>
          </w:r>
          <w:r>
            <w:rPr>
              <w:rFonts w:hint="default" w:ascii="Times New Roman" w:hAnsi="Times New Roman" w:eastAsia="宋体" w:cs="Times New Roman"/>
              <w:bCs/>
              <w:color w:val="auto"/>
              <w:spacing w:val="-4"/>
              <w:sz w:val="24"/>
              <w:szCs w:val="24"/>
            </w:rPr>
            <w:t>结论与成果应用</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_Toc26057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182</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DB25BEB">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_Toc9896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5"/>
              <w:sz w:val="24"/>
              <w:szCs w:val="24"/>
              <w:highlight w:val="none"/>
              <w:lang w:val="en-US" w:eastAsia="zh-CN"/>
            </w:rPr>
            <w:t>11</w:t>
          </w:r>
          <w:r>
            <w:rPr>
              <w:rFonts w:hint="default" w:ascii="Times New Roman" w:hAnsi="Times New Roman" w:eastAsia="Times New Roman" w:cs="Times New Roman"/>
              <w:bCs/>
              <w:color w:val="auto"/>
              <w:spacing w:val="-5"/>
              <w:sz w:val="24"/>
              <w:szCs w:val="24"/>
              <w:highlight w:val="none"/>
            </w:rPr>
            <w:t>.1</w:t>
          </w:r>
          <w:r>
            <w:rPr>
              <w:rFonts w:hint="default" w:ascii="Times New Roman" w:hAnsi="Times New Roman" w:eastAsia="宋体" w:cs="Times New Roman"/>
              <w:bCs/>
              <w:color w:val="auto"/>
              <w:spacing w:val="-5"/>
              <w:sz w:val="24"/>
              <w:szCs w:val="24"/>
              <w:highlight w:val="none"/>
            </w:rPr>
            <w:t>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_Toc9896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182</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FCC1D10">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_Toc10277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highlight w:val="none"/>
              <w:lang w:val="en-US" w:eastAsia="zh-CN"/>
            </w:rPr>
            <w:t>11</w:t>
          </w:r>
          <w:r>
            <w:rPr>
              <w:rFonts w:hint="default" w:ascii="Times New Roman" w:hAnsi="Times New Roman" w:eastAsia="Times New Roman" w:cs="Times New Roman"/>
              <w:bCs/>
              <w:color w:val="auto"/>
              <w:spacing w:val="-2"/>
              <w:sz w:val="24"/>
              <w:szCs w:val="24"/>
              <w:highlight w:val="none"/>
            </w:rPr>
            <w:t>.1.1</w:t>
          </w:r>
          <w:r>
            <w:rPr>
              <w:rFonts w:hint="default" w:ascii="Times New Roman" w:hAnsi="Times New Roman" w:eastAsia="宋体" w:cs="Times New Roman"/>
              <w:bCs/>
              <w:color w:val="auto"/>
              <w:spacing w:val="-2"/>
              <w:sz w:val="24"/>
              <w:szCs w:val="24"/>
              <w:highlight w:val="none"/>
            </w:rPr>
            <w:t>规划概述</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_Toc10277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182</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AE6449E">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_Toc11538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highlight w:val="none"/>
              <w:lang w:val="en-US" w:eastAsia="zh-CN"/>
            </w:rPr>
            <w:t>11.1.2区域环境治理现状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_Toc11538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182</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0DB2C841">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_Toc16658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cs="Times New Roman"/>
              <w:bCs/>
              <w:color w:val="auto"/>
              <w:sz w:val="24"/>
              <w:szCs w:val="24"/>
              <w:lang w:val="en-US" w:eastAsia="zh-CN"/>
            </w:rPr>
            <w:t>11.1.3区域发展现状及污染物排放情况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_Toc16658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183</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39F5188">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_Toc8173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cs="Times New Roman"/>
              <w:bCs/>
              <w:color w:val="auto"/>
              <w:sz w:val="24"/>
              <w:szCs w:val="24"/>
              <w:lang w:val="en-US" w:eastAsia="zh-CN"/>
            </w:rPr>
            <w:t>11.1.4污染源调查</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_Toc8173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183</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4C2D423">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_Toc26939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cs="Times New Roman"/>
              <w:bCs/>
              <w:color w:val="auto"/>
              <w:sz w:val="24"/>
              <w:szCs w:val="24"/>
              <w:highlight w:val="none"/>
              <w:lang w:val="en-US" w:eastAsia="zh-CN"/>
            </w:rPr>
            <w:t>11.1.5园区基础设施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_Toc26939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183</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1C27D26">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_Toc30819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highlight w:val="none"/>
              <w:lang w:val="en-US" w:eastAsia="zh-CN"/>
            </w:rPr>
            <w:t>11.</w:t>
          </w:r>
          <w:r>
            <w:rPr>
              <w:rFonts w:hint="default" w:ascii="Times New Roman" w:hAnsi="Times New Roman" w:eastAsia="Times New Roman" w:cs="Times New Roman"/>
              <w:bCs/>
              <w:color w:val="auto"/>
              <w:spacing w:val="-2"/>
              <w:sz w:val="24"/>
              <w:szCs w:val="24"/>
              <w:highlight w:val="none"/>
            </w:rPr>
            <w:t>1.</w:t>
          </w:r>
          <w:r>
            <w:rPr>
              <w:rFonts w:hint="default" w:ascii="Times New Roman" w:hAnsi="Times New Roman" w:eastAsia="宋体" w:cs="Times New Roman"/>
              <w:bCs/>
              <w:color w:val="auto"/>
              <w:spacing w:val="-2"/>
              <w:sz w:val="24"/>
              <w:szCs w:val="24"/>
              <w:highlight w:val="none"/>
              <w:lang w:val="en-US" w:eastAsia="zh-CN"/>
            </w:rPr>
            <w:t>6</w:t>
          </w:r>
          <w:r>
            <w:rPr>
              <w:rFonts w:hint="default" w:ascii="Times New Roman" w:hAnsi="Times New Roman" w:eastAsia="宋体" w:cs="Times New Roman"/>
              <w:bCs/>
              <w:color w:val="auto"/>
              <w:spacing w:val="-2"/>
              <w:sz w:val="24"/>
              <w:szCs w:val="24"/>
              <w:highlight w:val="none"/>
            </w:rPr>
            <w:t>三线一单</w:t>
          </w:r>
          <w:r>
            <w:rPr>
              <w:rFonts w:hint="default" w:ascii="Times New Roman" w:hAnsi="Times New Roman" w:eastAsia="宋体" w:cs="Times New Roman"/>
              <w:bCs/>
              <w:color w:val="auto"/>
              <w:spacing w:val="-2"/>
              <w:sz w:val="24"/>
              <w:szCs w:val="24"/>
              <w:highlight w:val="none"/>
              <w:lang w:val="en-US" w:eastAsia="zh-CN"/>
            </w:rPr>
            <w:t>要求</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_Toc30819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184</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466A708">
          <w:pPr>
            <w:pStyle w:val="15"/>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_Toc29605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highlight w:val="none"/>
              <w:lang w:val="en-US" w:eastAsia="zh-CN"/>
            </w:rPr>
            <w:t>11</w:t>
          </w:r>
          <w:r>
            <w:rPr>
              <w:rFonts w:hint="default" w:ascii="Times New Roman" w:hAnsi="Times New Roman" w:eastAsia="Times New Roman" w:cs="Times New Roman"/>
              <w:bCs/>
              <w:color w:val="auto"/>
              <w:spacing w:val="-2"/>
              <w:sz w:val="24"/>
              <w:szCs w:val="24"/>
              <w:highlight w:val="none"/>
            </w:rPr>
            <w:t>.2成果应用</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_Toc29605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7E916D33">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_Toc2528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highlight w:val="none"/>
              <w:lang w:val="en-US" w:eastAsia="zh-CN"/>
            </w:rPr>
            <w:t>11.2.1资料共享</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_Toc2528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52D6BC49">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_Toc26783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2"/>
              <w:sz w:val="24"/>
              <w:szCs w:val="24"/>
              <w:highlight w:val="none"/>
              <w:lang w:val="en-US" w:eastAsia="zh-CN"/>
            </w:rPr>
            <w:t>11</w:t>
          </w:r>
          <w:r>
            <w:rPr>
              <w:rFonts w:hint="default" w:ascii="Times New Roman" w:hAnsi="Times New Roman" w:eastAsia="Times New Roman" w:cs="Times New Roman"/>
              <w:bCs/>
              <w:color w:val="auto"/>
              <w:spacing w:val="-2"/>
              <w:sz w:val="24"/>
              <w:szCs w:val="24"/>
              <w:highlight w:val="none"/>
            </w:rPr>
            <w:t>.2.2简化环评编制内容</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_Toc26783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185</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64B8C65A">
          <w:pPr>
            <w:pStyle w:val="10"/>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rFonts w:hint="default" w:ascii="Times New Roman" w:hAnsi="Times New Roman" w:cs="Times New Roman"/>
              <w:color w:val="auto"/>
              <w:sz w:val="24"/>
              <w:szCs w:val="24"/>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_Toc31679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z w:val="24"/>
              <w:szCs w:val="24"/>
              <w:highlight w:val="none"/>
              <w:lang w:val="en-US" w:eastAsia="zh-CN"/>
            </w:rPr>
            <w:t>11</w:t>
          </w:r>
          <w:r>
            <w:rPr>
              <w:rFonts w:hint="default" w:ascii="Times New Roman" w:hAnsi="Times New Roman" w:eastAsia="Times New Roman" w:cs="Times New Roman"/>
              <w:bCs/>
              <w:color w:val="auto"/>
              <w:spacing w:val="-2"/>
              <w:sz w:val="24"/>
              <w:szCs w:val="24"/>
              <w:highlight w:val="none"/>
            </w:rPr>
            <w:t>.2.3简化环评审批流程</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_Toc31679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186</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34727243">
          <w:pPr>
            <w:pStyle w:val="13"/>
            <w:keepNext w:val="0"/>
            <w:keepLines w:val="0"/>
            <w:pageBreakBefore w:val="0"/>
            <w:widowControl/>
            <w:tabs>
              <w:tab w:val="right" w:leader="dot" w:pos="8564"/>
            </w:tabs>
            <w:kinsoku w:val="0"/>
            <w:wordWrap/>
            <w:overflowPunct/>
            <w:topLinePunct w:val="0"/>
            <w:autoSpaceDE w:val="0"/>
            <w:autoSpaceDN w:val="0"/>
            <w:bidi w:val="0"/>
            <w:adjustRightInd w:val="0"/>
            <w:snapToGrid w:val="0"/>
            <w:spacing w:line="460" w:lineRule="exact"/>
            <w:textAlignment w:val="baseline"/>
            <w:rPr>
              <w:color w:val="auto"/>
            </w:rPr>
          </w:pPr>
          <w:r>
            <w:rPr>
              <w:rFonts w:hint="default" w:ascii="Times New Roman" w:hAnsi="Times New Roman" w:eastAsia="Times New Roman" w:cs="Times New Roman"/>
              <w:snapToGrid w:val="0"/>
              <w:color w:val="auto"/>
              <w:kern w:val="0"/>
              <w:sz w:val="24"/>
              <w:szCs w:val="24"/>
              <w:lang w:val="en-US" w:eastAsia="en-US" w:bidi="ar-SA"/>
            </w:rPr>
            <w:fldChar w:fldCharType="begin"/>
          </w:r>
          <w:r>
            <w:rPr>
              <w:rFonts w:hint="default" w:ascii="Times New Roman" w:hAnsi="Times New Roman" w:eastAsia="Times New Roman" w:cs="Times New Roman"/>
              <w:snapToGrid w:val="0"/>
              <w:color w:val="auto"/>
              <w:kern w:val="0"/>
              <w:sz w:val="24"/>
              <w:szCs w:val="24"/>
              <w:lang w:val="en-US" w:eastAsia="en-US" w:bidi="ar-SA"/>
            </w:rPr>
            <w:instrText xml:space="preserve"> HYPERLINK \l _Toc14649 </w:instrText>
          </w:r>
          <w:r>
            <w:rPr>
              <w:rFonts w:hint="default" w:ascii="Times New Roman" w:hAnsi="Times New Roman" w:eastAsia="Times New Roman" w:cs="Times New Roman"/>
              <w:snapToGrid w:val="0"/>
              <w:color w:val="auto"/>
              <w:kern w:val="0"/>
              <w:sz w:val="24"/>
              <w:szCs w:val="24"/>
              <w:lang w:val="en-US" w:eastAsia="en-US" w:bidi="ar-SA"/>
            </w:rPr>
            <w:fldChar w:fldCharType="separate"/>
          </w:r>
          <w:r>
            <w:rPr>
              <w:rFonts w:hint="default" w:ascii="Times New Roman" w:hAnsi="Times New Roman" w:eastAsia="宋体" w:cs="Times New Roman"/>
              <w:bCs/>
              <w:color w:val="auto"/>
              <w:spacing w:val="-1"/>
              <w:sz w:val="24"/>
              <w:szCs w:val="24"/>
              <w:highlight w:val="none"/>
              <w:lang w:val="en-US" w:eastAsia="zh-CN"/>
            </w:rPr>
            <w:t>附表、附图、附件</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_Toc14649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187</w:t>
          </w:r>
          <w:r>
            <w:rPr>
              <w:rFonts w:hint="default" w:ascii="Times New Roman" w:hAnsi="Times New Roman" w:cs="Times New Roman"/>
              <w:color w:val="auto"/>
              <w:sz w:val="24"/>
              <w:szCs w:val="24"/>
            </w:rPr>
            <w:fldChar w:fldCharType="end"/>
          </w:r>
          <w:r>
            <w:rPr>
              <w:rFonts w:hint="default" w:ascii="Times New Roman" w:hAnsi="Times New Roman" w:eastAsia="Times New Roman" w:cs="Times New Roman"/>
              <w:snapToGrid w:val="0"/>
              <w:color w:val="auto"/>
              <w:kern w:val="0"/>
              <w:sz w:val="24"/>
              <w:szCs w:val="24"/>
              <w:lang w:val="en-US" w:eastAsia="en-US" w:bidi="ar-SA"/>
            </w:rPr>
            <w:fldChar w:fldCharType="end"/>
          </w:r>
        </w:p>
        <w:p w14:paraId="1AFDE760">
          <w:pPr>
            <w:keepNext w:val="0"/>
            <w:keepLines w:val="0"/>
            <w:pageBreakBefore w:val="0"/>
            <w:widowControl/>
            <w:wordWrap/>
            <w:overflowPunct/>
            <w:topLinePunct w:val="0"/>
            <w:bidi w:val="0"/>
            <w:spacing w:line="460" w:lineRule="exact"/>
            <w:rPr>
              <w:rFonts w:ascii="Times New Roman" w:hAnsi="Times New Roman" w:eastAsia="Times New Roman" w:cs="Times New Roman"/>
              <w:snapToGrid w:val="0"/>
              <w:color w:val="auto"/>
              <w:kern w:val="0"/>
              <w:sz w:val="21"/>
              <w:szCs w:val="28"/>
              <w:lang w:val="en-US" w:eastAsia="en-US" w:bidi="ar-SA"/>
            </w:rPr>
          </w:pPr>
          <w:r>
            <w:rPr>
              <w:rFonts w:ascii="Times New Roman" w:hAnsi="Times New Roman" w:eastAsia="Times New Roman" w:cs="Times New Roman"/>
              <w:snapToGrid w:val="0"/>
              <w:color w:val="auto"/>
              <w:kern w:val="0"/>
              <w:szCs w:val="24"/>
              <w:lang w:val="en-US" w:eastAsia="en-US" w:bidi="ar-SA"/>
            </w:rPr>
            <w:fldChar w:fldCharType="end"/>
          </w:r>
        </w:p>
      </w:sdtContent>
    </w:sdt>
    <w:p w14:paraId="6CD9BD08">
      <w:pPr>
        <w:pStyle w:val="8"/>
        <w:rPr>
          <w:color w:val="auto"/>
          <w:lang w:val="en-US" w:eastAsia="en-US"/>
        </w:rPr>
        <w:sectPr>
          <w:headerReference r:id="rId5" w:type="default"/>
          <w:footerReference r:id="rId6" w:type="default"/>
          <w:pgSz w:w="11907" w:h="16839"/>
          <w:pgMar w:top="1134" w:right="1670" w:bottom="1198" w:left="1673" w:header="863" w:footer="963" w:gutter="0"/>
          <w:pgBorders>
            <w:top w:val="none" w:sz="0" w:space="0"/>
            <w:left w:val="none" w:sz="0" w:space="0"/>
            <w:bottom w:val="none" w:sz="0" w:space="0"/>
            <w:right w:val="none" w:sz="0" w:space="0"/>
          </w:pgBorders>
          <w:pgNumType w:fmt="upperRoman" w:start="1"/>
          <w:cols w:space="720" w:num="1"/>
        </w:sectPr>
      </w:pPr>
    </w:p>
    <w:p w14:paraId="28B39F1E">
      <w:pPr>
        <w:keepNext w:val="0"/>
        <w:keepLines w:val="0"/>
        <w:pageBreakBefore w:val="0"/>
        <w:widowControl/>
        <w:kinsoku w:val="0"/>
        <w:wordWrap/>
        <w:overflowPunct/>
        <w:topLinePunct w:val="0"/>
        <w:autoSpaceDE w:val="0"/>
        <w:autoSpaceDN w:val="0"/>
        <w:bidi w:val="0"/>
        <w:adjustRightInd w:val="0"/>
        <w:snapToGrid w:val="0"/>
        <w:spacing w:before="91" w:line="360" w:lineRule="auto"/>
        <w:ind w:left="34"/>
        <w:textAlignment w:val="baseline"/>
        <w:outlineLvl w:val="0"/>
        <w:rPr>
          <w:rFonts w:ascii="Times New Roman" w:hAnsi="Times New Roman" w:eastAsia="Times New Roman" w:cs="Times New Roman"/>
          <w:b/>
          <w:bCs/>
          <w:color w:val="auto"/>
          <w:spacing w:val="-2"/>
          <w:sz w:val="28"/>
          <w:szCs w:val="28"/>
        </w:rPr>
      </w:pPr>
      <w:bookmarkStart w:id="8" w:name="bookmark1"/>
      <w:bookmarkEnd w:id="8"/>
      <w:bookmarkStart w:id="9" w:name="_Toc22972"/>
      <w:r>
        <w:rPr>
          <w:rFonts w:hint="eastAsia" w:ascii="Times New Roman" w:hAnsi="Times New Roman" w:eastAsia="Times New Roman" w:cs="Times New Roman"/>
          <w:b/>
          <w:bCs/>
          <w:color w:val="auto"/>
          <w:spacing w:val="-2"/>
          <w:sz w:val="28"/>
          <w:szCs w:val="28"/>
          <w:lang w:val="en-US" w:eastAsia="zh-CN"/>
        </w:rPr>
        <w:t>1</w:t>
      </w:r>
      <w:r>
        <w:rPr>
          <w:rFonts w:ascii="Times New Roman" w:hAnsi="Times New Roman" w:eastAsia="Times New Roman" w:cs="Times New Roman"/>
          <w:b/>
          <w:bCs/>
          <w:color w:val="auto"/>
          <w:spacing w:val="-2"/>
          <w:sz w:val="28"/>
          <w:szCs w:val="28"/>
        </w:rPr>
        <w:t>评估范围和目的</w:t>
      </w:r>
      <w:bookmarkEnd w:id="9"/>
      <w:bookmarkStart w:id="10" w:name="pindex176"/>
      <w:bookmarkEnd w:id="10"/>
    </w:p>
    <w:p w14:paraId="4BA40A70">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hint="eastAsia" w:ascii="Times New Roman" w:hAnsi="Times New Roman" w:eastAsia="Times New Roman" w:cs="Times New Roman"/>
          <w:color w:val="auto"/>
          <w:sz w:val="24"/>
          <w:szCs w:val="24"/>
          <w:highlight w:val="none"/>
        </w:rPr>
      </w:pPr>
      <w:bookmarkStart w:id="11" w:name="bookmark3"/>
      <w:bookmarkEnd w:id="11"/>
      <w:bookmarkStart w:id="12" w:name="_Toc15234"/>
      <w:r>
        <w:rPr>
          <w:rFonts w:ascii="Times New Roman" w:hAnsi="Times New Roman" w:eastAsia="Times New Roman" w:cs="Times New Roman"/>
          <w:b/>
          <w:bCs/>
          <w:color w:val="auto"/>
          <w:spacing w:val="-3"/>
          <w:sz w:val="24"/>
          <w:szCs w:val="24"/>
        </w:rPr>
        <w:t>1.1</w:t>
      </w:r>
      <w:r>
        <w:rPr>
          <w:rFonts w:hint="eastAsia" w:ascii="Times New Roman" w:hAnsi="Times New Roman" w:eastAsia="宋体" w:cs="Times New Roman"/>
          <w:b/>
          <w:bCs/>
          <w:color w:val="auto"/>
          <w:spacing w:val="-3"/>
          <w:sz w:val="24"/>
          <w:szCs w:val="24"/>
          <w:lang w:val="en-US" w:eastAsia="zh-CN"/>
        </w:rPr>
        <w:t>任务</w:t>
      </w:r>
      <w:r>
        <w:rPr>
          <w:rFonts w:ascii="Times New Roman" w:hAnsi="Times New Roman" w:eastAsia="Times New Roman" w:cs="Times New Roman"/>
          <w:b/>
          <w:bCs/>
          <w:color w:val="auto"/>
          <w:spacing w:val="-3"/>
          <w:sz w:val="24"/>
          <w:szCs w:val="24"/>
        </w:rPr>
        <w:t>由来</w:t>
      </w:r>
      <w:bookmarkEnd w:id="12"/>
      <w:bookmarkStart w:id="13" w:name="pindex177"/>
      <w:bookmarkEnd w:id="13"/>
    </w:p>
    <w:p w14:paraId="01A0C4E9">
      <w:pPr>
        <w:keepNext w:val="0"/>
        <w:keepLines w:val="0"/>
        <w:pageBreakBefore w:val="0"/>
        <w:widowControl/>
        <w:kinsoku w:val="0"/>
        <w:wordWrap/>
        <w:overflowPunct/>
        <w:topLinePunct w:val="0"/>
        <w:autoSpaceDE w:val="0"/>
        <w:autoSpaceDN w:val="0"/>
        <w:bidi w:val="0"/>
        <w:adjustRightInd w:val="0"/>
        <w:snapToGrid w:val="0"/>
        <w:spacing w:before="37" w:line="360" w:lineRule="auto"/>
        <w:ind w:left="37" w:right="115" w:firstLine="483"/>
        <w:textAlignment w:val="baseline"/>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为深入落实《中共南京市委 南京市人民政府关于持续优化营商环境的实施意见》（宁委发〔2023〕1号）、《市政府办公厅关于印发南京市工程建设项目审批领域深化区域评估改革实施方案的通知》（宁政办发〔2023〕2号）等文件要求，更好支撑深化区域评估改革各项举措取得实效，充分发挥区域评估对建设项目减时间、减费用、减环节的作用，促进营商环境持续优化，市各主管部门根据职责分工对2020年6月发布的《南京市区域评估成果应用指南（试行）》进行全面修订，印发《市规划资源局 市商务局 市生态环境局等七部门关于印发</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南京市区域评估成果生成和应用指南（2023年版）</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的通知》（宁规划资源发〔2023〕65号）。2020年6月南京江宁经济技术开发区管委会开展了“南京江宁经济技术开发区环境影响评价区域评估”工作；根据宁规划资源发〔2023〕65号等相关文件要求，区域评估报告需要根据区域评估相关政策文件和工作实际变化情况适时进行修订。</w:t>
      </w:r>
    </w:p>
    <w:p w14:paraId="5D69AEC5">
      <w:pPr>
        <w:keepNext w:val="0"/>
        <w:keepLines w:val="0"/>
        <w:pageBreakBefore w:val="0"/>
        <w:widowControl/>
        <w:kinsoku/>
        <w:wordWrap/>
        <w:overflowPunct/>
        <w:topLinePunct w:val="0"/>
        <w:autoSpaceDE w:val="0"/>
        <w:autoSpaceDN w:val="0"/>
        <w:bidi w:val="0"/>
        <w:adjustRightInd w:val="0"/>
        <w:snapToGrid w:val="0"/>
        <w:spacing w:before="37" w:line="360" w:lineRule="auto"/>
        <w:ind w:left="40" w:right="113" w:firstLine="482"/>
        <w:textAlignment w:val="baseline"/>
        <w:rPr>
          <w:rFonts w:hint="eastAsia" w:ascii="Times New Roman" w:hAnsi="Times New Roman" w:eastAsia="Times New Roman" w:cs="Times New Roman"/>
          <w:color w:val="auto"/>
          <w:sz w:val="24"/>
          <w:szCs w:val="24"/>
          <w:highlight w:val="none"/>
        </w:rPr>
      </w:pPr>
      <w:bookmarkStart w:id="14" w:name="sys179085"/>
      <w:r>
        <w:rPr>
          <w:rFonts w:hint="eastAsia" w:ascii="Times New Roman" w:hAnsi="Times New Roman" w:eastAsia="Times New Roman" w:cs="Times New Roman"/>
          <w:color w:val="auto"/>
          <w:sz w:val="24"/>
          <w:szCs w:val="24"/>
          <w:highlight w:val="none"/>
        </w:rPr>
        <w:t>江宁经济技术开发区（原“江宁经济开发区”）位于江苏省南京市江宁区，1993年11月经江苏省人民政府批准为省级经济开发区（苏政复</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1993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56号），批复面积6.8km</w:t>
      </w:r>
      <w:r>
        <w:rPr>
          <w:rFonts w:hint="eastAsia" w:ascii="Times New Roman" w:hAnsi="Times New Roman" w:eastAsia="Times New Roman" w:cs="Times New Roman"/>
          <w:color w:val="auto"/>
          <w:sz w:val="24"/>
          <w:szCs w:val="24"/>
          <w:highlight w:val="none"/>
          <w:vertAlign w:val="superscript"/>
        </w:rPr>
        <w:t>2</w:t>
      </w:r>
      <w:r>
        <w:rPr>
          <w:rFonts w:hint="eastAsia" w:ascii="Times New Roman" w:hAnsi="Times New Roman" w:eastAsia="Times New Roman" w:cs="Times New Roman"/>
          <w:color w:val="auto"/>
          <w:sz w:val="24"/>
          <w:szCs w:val="24"/>
          <w:highlight w:val="none"/>
        </w:rPr>
        <w:t>。</w:t>
      </w:r>
      <w:bookmarkEnd w:id="14"/>
      <w:bookmarkStart w:id="15" w:name="sys17985172"/>
      <w:r>
        <w:rPr>
          <w:rFonts w:hint="eastAsia" w:ascii="Times New Roman" w:hAnsi="Times New Roman" w:eastAsia="Times New Roman" w:cs="Times New Roman"/>
          <w:color w:val="auto"/>
          <w:sz w:val="24"/>
          <w:szCs w:val="24"/>
          <w:highlight w:val="none"/>
        </w:rPr>
        <w:t>根据中华人民共和国发改委公告2006年第66号第八批通过审核公告的省级开发区名单，以及中华人民共和国</w:t>
      </w:r>
      <w:r>
        <w:rPr>
          <w:rFonts w:hint="eastAsia" w:ascii="Times New Roman" w:hAnsi="Times New Roman" w:eastAsia="宋体" w:cs="Times New Roman"/>
          <w:color w:val="auto"/>
          <w:sz w:val="24"/>
          <w:szCs w:val="24"/>
          <w:highlight w:val="none"/>
          <w:lang w:eastAsia="zh-CN"/>
        </w:rPr>
        <w:t>自然资源部</w:t>
      </w:r>
      <w:r>
        <w:rPr>
          <w:rFonts w:hint="eastAsia" w:ascii="Times New Roman" w:hAnsi="Times New Roman" w:eastAsia="Times New Roman" w:cs="Times New Roman"/>
          <w:color w:val="auto"/>
          <w:sz w:val="24"/>
          <w:szCs w:val="24"/>
          <w:highlight w:val="none"/>
        </w:rPr>
        <w:t>公告2006年第29号第十四批落实四至范围的开发区公告，江宁经济开发区包括：九龙湖片区、科学园产业区、高新产业区、原上坊工业园、原秣陵工业园、原禄口华商科技园六个片区，总面积38.47km</w:t>
      </w:r>
      <w:r>
        <w:rPr>
          <w:rFonts w:hint="eastAsia" w:ascii="Times New Roman" w:hAnsi="Times New Roman" w:eastAsia="Times New Roman" w:cs="Times New Roman"/>
          <w:color w:val="auto"/>
          <w:sz w:val="24"/>
          <w:szCs w:val="24"/>
          <w:highlight w:val="none"/>
          <w:vertAlign w:val="superscript"/>
        </w:rPr>
        <w:t>2</w:t>
      </w:r>
      <w:r>
        <w:rPr>
          <w:rFonts w:hint="eastAsia" w:ascii="Times New Roman" w:hAnsi="Times New Roman" w:eastAsia="Times New Roman" w:cs="Times New Roman"/>
          <w:color w:val="auto"/>
          <w:sz w:val="24"/>
          <w:szCs w:val="24"/>
          <w:highlight w:val="none"/>
        </w:rPr>
        <w:t>，主导产业为电子信息、汽车、电气机械及器材。</w:t>
      </w:r>
      <w:bookmarkEnd w:id="15"/>
    </w:p>
    <w:p w14:paraId="2B7DC5AE">
      <w:pPr>
        <w:keepNext w:val="0"/>
        <w:keepLines w:val="0"/>
        <w:pageBreakBefore w:val="0"/>
        <w:widowControl/>
        <w:kinsoku w:val="0"/>
        <w:wordWrap/>
        <w:overflowPunct/>
        <w:topLinePunct w:val="0"/>
        <w:autoSpaceDE w:val="0"/>
        <w:autoSpaceDN w:val="0"/>
        <w:bidi w:val="0"/>
        <w:adjustRightInd w:val="0"/>
        <w:snapToGrid w:val="0"/>
        <w:spacing w:before="37" w:line="360" w:lineRule="auto"/>
        <w:ind w:left="37" w:right="115" w:firstLine="483"/>
        <w:textAlignment w:val="baseline"/>
        <w:rPr>
          <w:rFonts w:hint="eastAsia" w:ascii="Times New Roman" w:hAnsi="Times New Roman" w:eastAsia="Times New Roman" w:cs="Times New Roman"/>
          <w:color w:val="auto"/>
          <w:sz w:val="24"/>
          <w:szCs w:val="24"/>
          <w:highlight w:val="none"/>
        </w:rPr>
      </w:pPr>
      <w:bookmarkStart w:id="16" w:name="sys1800169"/>
      <w:r>
        <w:rPr>
          <w:rFonts w:hint="eastAsia" w:ascii="Times New Roman" w:hAnsi="Times New Roman" w:eastAsia="Times New Roman" w:cs="Times New Roman"/>
          <w:color w:val="auto"/>
          <w:sz w:val="24"/>
          <w:szCs w:val="24"/>
          <w:highlight w:val="none"/>
        </w:rPr>
        <w:t>2010年11月，国务院办公厅下发《关于江宁经济开发区升级为国家级经济技术开发区的复函》（国办函</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2010</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163号），江宁经济开发区升级为国家级经济技术开发区，定名为江宁经济技术开发区，区域范围包括九龙湖片区、科学园产业区、高新产业区、原上坊工业园、原秣陵工业园、原禄口华商科技园六个片区，总面积38.47km</w:t>
      </w:r>
      <w:r>
        <w:rPr>
          <w:rFonts w:hint="eastAsia" w:ascii="Times New Roman" w:hAnsi="Times New Roman" w:eastAsia="Times New Roman" w:cs="Times New Roman"/>
          <w:color w:val="auto"/>
          <w:sz w:val="24"/>
          <w:szCs w:val="24"/>
          <w:highlight w:val="none"/>
          <w:vertAlign w:val="superscript"/>
        </w:rPr>
        <w:t>2</w:t>
      </w:r>
      <w:r>
        <w:rPr>
          <w:rFonts w:hint="eastAsia" w:ascii="Times New Roman" w:hAnsi="Times New Roman" w:eastAsia="Times New Roman" w:cs="Times New Roman"/>
          <w:color w:val="auto"/>
          <w:sz w:val="24"/>
          <w:szCs w:val="24"/>
          <w:highlight w:val="none"/>
        </w:rPr>
        <w:t>，同审核公告确定的范围。</w:t>
      </w:r>
      <w:bookmarkEnd w:id="16"/>
      <w:r>
        <w:rPr>
          <w:rFonts w:hint="eastAsia" w:ascii="Times New Roman" w:hAnsi="Times New Roman" w:eastAsia="Times New Roman" w:cs="Times New Roman"/>
          <w:color w:val="auto"/>
          <w:sz w:val="24"/>
          <w:szCs w:val="24"/>
          <w:highlight w:val="none"/>
        </w:rPr>
        <w:t>根据《中国开发区审核公告目录》（发展改革委公告2018年第4号），江宁经济技术开发区核准面积38.47km</w:t>
      </w:r>
      <w:r>
        <w:rPr>
          <w:rFonts w:hint="eastAsia" w:ascii="Times New Roman" w:hAnsi="Times New Roman" w:eastAsia="Times New Roman" w:cs="Times New Roman"/>
          <w:color w:val="auto"/>
          <w:sz w:val="24"/>
          <w:szCs w:val="24"/>
          <w:highlight w:val="none"/>
          <w:vertAlign w:val="superscript"/>
        </w:rPr>
        <w:t>2</w:t>
      </w:r>
      <w:r>
        <w:rPr>
          <w:rFonts w:hint="eastAsia" w:ascii="Times New Roman" w:hAnsi="Times New Roman" w:eastAsia="Times New Roman" w:cs="Times New Roman"/>
          <w:color w:val="auto"/>
          <w:sz w:val="24"/>
          <w:szCs w:val="24"/>
          <w:highlight w:val="none"/>
        </w:rPr>
        <w:t>，主导产业为汽车、电气机械器材、电子。</w:t>
      </w:r>
    </w:p>
    <w:p w14:paraId="628F7DF1">
      <w:pPr>
        <w:keepNext w:val="0"/>
        <w:keepLines w:val="0"/>
        <w:pageBreakBefore w:val="0"/>
        <w:widowControl/>
        <w:kinsoku/>
        <w:wordWrap/>
        <w:overflowPunct/>
        <w:topLinePunct w:val="0"/>
        <w:autoSpaceDE w:val="0"/>
        <w:autoSpaceDN w:val="0"/>
        <w:bidi w:val="0"/>
        <w:adjustRightInd w:val="0"/>
        <w:snapToGrid w:val="0"/>
        <w:spacing w:before="37" w:line="360" w:lineRule="auto"/>
        <w:ind w:left="40" w:right="113" w:firstLine="482"/>
        <w:textAlignment w:val="baseline"/>
        <w:rPr>
          <w:rFonts w:hint="eastAsia" w:ascii="Times New Roman" w:hAnsi="Times New Roman" w:eastAsia="Times New Roman" w:cs="Times New Roman"/>
          <w:color w:val="auto"/>
          <w:sz w:val="24"/>
          <w:szCs w:val="24"/>
          <w:highlight w:val="none"/>
        </w:rPr>
      </w:pPr>
      <w:bookmarkStart w:id="17" w:name="sys1810245"/>
      <w:r>
        <w:rPr>
          <w:rFonts w:hint="eastAsia" w:ascii="Times New Roman" w:hAnsi="Times New Roman" w:eastAsia="Times New Roman" w:cs="Times New Roman"/>
          <w:color w:val="auto"/>
          <w:sz w:val="24"/>
          <w:szCs w:val="24"/>
          <w:highlight w:val="none"/>
        </w:rPr>
        <w:t>2012年，为将开发区现有分散的6个发展片区进行</w:t>
      </w:r>
      <w:r>
        <w:rPr>
          <w:rFonts w:hint="eastAsia" w:ascii="Times New Roman" w:hAnsi="Times New Roman" w:eastAsia="宋体" w:cs="Times New Roman"/>
          <w:color w:val="auto"/>
          <w:sz w:val="24"/>
          <w:szCs w:val="24"/>
          <w:highlight w:val="none"/>
          <w:lang w:eastAsia="zh-CN"/>
        </w:rPr>
        <w:t>有效的</w:t>
      </w:r>
      <w:r>
        <w:rPr>
          <w:rFonts w:hint="eastAsia" w:ascii="Times New Roman" w:hAnsi="Times New Roman" w:eastAsia="Times New Roman" w:cs="Times New Roman"/>
          <w:color w:val="auto"/>
          <w:sz w:val="24"/>
          <w:szCs w:val="24"/>
          <w:highlight w:val="none"/>
        </w:rPr>
        <w:t>整合，同时考虑开发区实际的控制面积及行政管理范围，开发区管委会组织编制了《江宁经济技术开发区总体发展规划（2012-2030）》，规划范围为东至青龙山</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大连山，东南至汤铜公路，南至禄口新城、城市三环，西至吉山及吉山水库，和牛首山</w:t>
      </w:r>
      <w:r>
        <w:rPr>
          <w:rFonts w:ascii="Times New Roman" w:hAnsi="Times New Roman" w:eastAsia="Times New Roman" w:cs="Times New Roman"/>
          <w:color w:val="auto"/>
          <w:sz w:val="24"/>
          <w:szCs w:val="24"/>
          <w:highlight w:val="none"/>
        </w:rPr>
        <w:t>、祖</w:t>
      </w:r>
      <w:r>
        <w:rPr>
          <w:rFonts w:hint="eastAsia" w:ascii="Times New Roman" w:hAnsi="Times New Roman" w:eastAsia="Times New Roman" w:cs="Times New Roman"/>
          <w:color w:val="auto"/>
          <w:sz w:val="24"/>
          <w:szCs w:val="24"/>
          <w:highlight w:val="none"/>
        </w:rPr>
        <w:t>堂山沿线，北至秦淮新河、东山老城和上坊地区，规划面积为348.7平方公里，重点发展信息通信、汽车、新能源、电力自动化与智能电网、航空和生命科技等产业，软件及服务外包、商务商贸、现代物流、文化创意等服务业。</w:t>
      </w:r>
      <w:bookmarkEnd w:id="17"/>
      <w:bookmarkStart w:id="18" w:name="sys18124553"/>
      <w:r>
        <w:rPr>
          <w:rFonts w:hint="eastAsia" w:ascii="Times New Roman" w:hAnsi="Times New Roman" w:eastAsia="Times New Roman" w:cs="Times New Roman"/>
          <w:color w:val="auto"/>
          <w:sz w:val="24"/>
          <w:szCs w:val="24"/>
          <w:highlight w:val="none"/>
        </w:rPr>
        <w:t>并同步开展了规划环评工作，于2015年10月12日获得原环境保护部的审查意见（环审〔20</w:t>
      </w:r>
      <w:r>
        <w:rPr>
          <w:rFonts w:hint="eastAsia" w:ascii="Times New Roman" w:hAnsi="Times New Roman" w:eastAsia="宋体" w:cs="Times New Roman"/>
          <w:color w:val="auto"/>
          <w:sz w:val="24"/>
          <w:szCs w:val="24"/>
          <w:highlight w:val="none"/>
          <w:lang w:val="en-US" w:eastAsia="zh-CN"/>
        </w:rPr>
        <w:t>15</w:t>
      </w:r>
      <w:r>
        <w:rPr>
          <w:rFonts w:hint="eastAsia" w:ascii="Times New Roman" w:hAnsi="Times New Roman" w:eastAsia="Times New Roman" w:cs="Times New Roman"/>
          <w:color w:val="auto"/>
          <w:sz w:val="24"/>
          <w:szCs w:val="24"/>
          <w:highlight w:val="none"/>
        </w:rPr>
        <w:t>〕210号）。</w:t>
      </w:r>
      <w:bookmarkEnd w:id="18"/>
    </w:p>
    <w:p w14:paraId="26B4F5FB">
      <w:pPr>
        <w:keepNext w:val="0"/>
        <w:keepLines w:val="0"/>
        <w:pageBreakBefore w:val="0"/>
        <w:widowControl/>
        <w:kinsoku w:val="0"/>
        <w:wordWrap/>
        <w:overflowPunct/>
        <w:topLinePunct w:val="0"/>
        <w:autoSpaceDE w:val="0"/>
        <w:autoSpaceDN w:val="0"/>
        <w:bidi w:val="0"/>
        <w:adjustRightInd w:val="0"/>
        <w:snapToGrid w:val="0"/>
        <w:spacing w:before="37" w:line="360" w:lineRule="auto"/>
        <w:ind w:left="37" w:right="115" w:firstLine="483"/>
        <w:textAlignment w:val="baseline"/>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2021年，开发区上一轮规划已实施5年以上，受经济社会发展形势不断变化、生态环保管理要求不断提升的影响，上一轮规划实施面临的发展环境、条件出现了重大变化。在新时期新阶段，需重新审视发展环境，上一轮规划已不能满足开发区发展需求。为更好</w:t>
      </w:r>
      <w:r>
        <w:rPr>
          <w:rFonts w:hint="eastAsia" w:ascii="Times New Roman" w:hAnsi="Times New Roman" w:eastAsia="宋体" w:cs="Times New Roman"/>
          <w:color w:val="auto"/>
          <w:sz w:val="24"/>
          <w:szCs w:val="24"/>
          <w:highlight w:val="none"/>
          <w:lang w:eastAsia="zh-CN"/>
        </w:rPr>
        <w:t>地</w:t>
      </w:r>
      <w:r>
        <w:rPr>
          <w:rFonts w:hint="eastAsia" w:ascii="Times New Roman" w:hAnsi="Times New Roman" w:eastAsia="Times New Roman" w:cs="Times New Roman"/>
          <w:color w:val="auto"/>
          <w:sz w:val="24"/>
          <w:szCs w:val="24"/>
          <w:highlight w:val="none"/>
        </w:rPr>
        <w:t>贯彻落实国家、江苏省、南京市和江宁区有关要求，加快推进江宁经济技术开发区产业结构调整和产业布局优化，提升区域环境承载力，促进开发区全面协调可持续发展，江宁经济技术开发区管委会决定组织编制《江宁经济技术开发区总体发展规划（</w:t>
      </w:r>
      <w:sdt>
        <w:sdtPr>
          <w:rPr>
            <w:color w:val="auto"/>
          </w:rPr>
          <w:alias w:val="易错词检查"/>
          <w:tag w:val="auto"/>
          <w:id w:val="2180452"/>
        </w:sdtPr>
        <w:sdtEndPr>
          <w:rPr>
            <w:color w:val="auto"/>
          </w:rPr>
        </w:sdtEndPr>
        <w:sdtContent>
          <w:bookmarkStart w:id="19" w:name="bkReivew2180452"/>
          <w:r>
            <w:rPr>
              <w:rFonts w:hint="eastAsia" w:ascii="Times New Roman" w:hAnsi="Times New Roman" w:eastAsia="Times New Roman" w:cs="Times New Roman"/>
              <w:color w:val="auto"/>
              <w:sz w:val="24"/>
              <w:szCs w:val="24"/>
              <w:highlight w:val="none"/>
            </w:rPr>
            <w:t>2020</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Times New Roman" w:cs="Times New Roman"/>
              <w:color w:val="auto"/>
              <w:sz w:val="24"/>
              <w:szCs w:val="24"/>
              <w:highlight w:val="none"/>
            </w:rPr>
            <w:t>2035</w:t>
          </w:r>
          <w:bookmarkEnd w:id="19"/>
        </w:sdtContent>
      </w:sdt>
      <w:r>
        <w:rPr>
          <w:rFonts w:hint="eastAsia" w:ascii="Times New Roman" w:hAnsi="Times New Roman" w:eastAsia="Times New Roman" w:cs="Times New Roman"/>
          <w:color w:val="auto"/>
          <w:sz w:val="24"/>
          <w:szCs w:val="24"/>
          <w:highlight w:val="none"/>
        </w:rPr>
        <w:t>）》，并重新开展规划环境影响评价工作，规划范围和面积同上一轮规划环评，即348.7平方公里，于2022年4月25日获得中华人民共和国生态环境部的审查意见（环审〔202</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Times New Roman" w:cs="Times New Roman"/>
          <w:color w:val="auto"/>
          <w:sz w:val="24"/>
          <w:szCs w:val="24"/>
          <w:highlight w:val="none"/>
        </w:rPr>
        <w:t>〕46号）。</w:t>
      </w:r>
    </w:p>
    <w:p w14:paraId="643A09E3">
      <w:pPr>
        <w:keepNext w:val="0"/>
        <w:keepLines w:val="0"/>
        <w:pageBreakBefore w:val="0"/>
        <w:widowControl/>
        <w:kinsoku w:val="0"/>
        <w:wordWrap/>
        <w:overflowPunct/>
        <w:topLinePunct w:val="0"/>
        <w:autoSpaceDE w:val="0"/>
        <w:autoSpaceDN w:val="0"/>
        <w:bidi w:val="0"/>
        <w:adjustRightInd w:val="0"/>
        <w:snapToGrid w:val="0"/>
        <w:spacing w:before="37" w:line="360" w:lineRule="auto"/>
        <w:ind w:left="37" w:right="115" w:firstLine="483"/>
        <w:textAlignment w:val="baseline"/>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由于江宁经济技术开发区更新了区域规划和规划环评，现状监测数据已满3年，本次区域评估修订主要对现状监测数据进行了更新，以及对照最新的《</w:t>
      </w:r>
      <w:bookmarkStart w:id="20" w:name="OLE_LINK45"/>
      <w:r>
        <w:rPr>
          <w:rFonts w:hint="eastAsia" w:ascii="Times New Roman" w:hAnsi="Times New Roman" w:eastAsia="Times New Roman" w:cs="Times New Roman"/>
          <w:color w:val="auto"/>
          <w:sz w:val="24"/>
          <w:szCs w:val="24"/>
          <w:highlight w:val="none"/>
        </w:rPr>
        <w:t>江宁经济技术开发区总体发展规划（</w:t>
      </w:r>
      <w:sdt>
        <w:sdtPr>
          <w:rPr>
            <w:color w:val="auto"/>
          </w:rPr>
          <w:alias w:val="易错词检查"/>
          <w:tag w:val="auto"/>
          <w:id w:val="1002610"/>
        </w:sdtPr>
        <w:sdtEndPr>
          <w:rPr>
            <w:color w:val="auto"/>
          </w:rPr>
        </w:sdtEndPr>
        <w:sdtContent>
          <w:bookmarkStart w:id="21" w:name="bkReivew1002610"/>
          <w:r>
            <w:rPr>
              <w:rFonts w:hint="eastAsia" w:ascii="Times New Roman" w:hAnsi="Times New Roman" w:eastAsia="Times New Roman" w:cs="Times New Roman"/>
              <w:color w:val="auto"/>
              <w:sz w:val="24"/>
              <w:szCs w:val="24"/>
              <w:highlight w:val="none"/>
            </w:rPr>
            <w:t>2020-2035</w:t>
          </w:r>
          <w:bookmarkEnd w:id="21"/>
        </w:sdtContent>
      </w:sdt>
      <w:r>
        <w:rPr>
          <w:rFonts w:hint="eastAsia" w:ascii="Times New Roman" w:hAnsi="Times New Roman" w:eastAsia="Times New Roman" w:cs="Times New Roman"/>
          <w:color w:val="auto"/>
          <w:sz w:val="24"/>
          <w:szCs w:val="24"/>
          <w:highlight w:val="none"/>
        </w:rPr>
        <w:t>）环境影响报告书</w:t>
      </w:r>
      <w:bookmarkEnd w:id="20"/>
      <w:r>
        <w:rPr>
          <w:rFonts w:hint="eastAsia" w:ascii="Times New Roman" w:hAnsi="Times New Roman" w:eastAsia="Times New Roman" w:cs="Times New Roman"/>
          <w:color w:val="auto"/>
          <w:sz w:val="24"/>
          <w:szCs w:val="24"/>
          <w:highlight w:val="none"/>
        </w:rPr>
        <w:t>》中相关调整的内容进行更新。</w:t>
      </w:r>
    </w:p>
    <w:p w14:paraId="6EFB5B0F">
      <w:pPr>
        <w:keepNext w:val="0"/>
        <w:keepLines w:val="0"/>
        <w:pageBreakBefore w:val="0"/>
        <w:widowControl/>
        <w:kinsoku w:val="0"/>
        <w:wordWrap/>
        <w:overflowPunct/>
        <w:topLinePunct w:val="0"/>
        <w:autoSpaceDE w:val="0"/>
        <w:autoSpaceDN w:val="0"/>
        <w:bidi w:val="0"/>
        <w:adjustRightInd w:val="0"/>
        <w:snapToGrid w:val="0"/>
        <w:spacing w:before="37" w:line="360" w:lineRule="auto"/>
        <w:ind w:left="37" w:right="115" w:firstLine="483"/>
        <w:textAlignment w:val="baseline"/>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Times New Roman" w:cs="Times New Roman"/>
          <w:color w:val="auto"/>
          <w:sz w:val="24"/>
          <w:szCs w:val="24"/>
          <w:highlight w:val="none"/>
        </w:rPr>
        <w:t>南京江宁经济技术开发区管理委员会委托南京伊环环境科技有限公司开展区域性环境现状调查与评价。评价单位接到委托后按照环评导则、有关技术规划及管理要求委托南京</w:t>
      </w:r>
      <w:r>
        <w:rPr>
          <w:rFonts w:hint="eastAsia" w:ascii="Times New Roman" w:hAnsi="Times New Roman" w:eastAsia="Times New Roman" w:cs="Times New Roman"/>
          <w:color w:val="auto"/>
          <w:sz w:val="24"/>
          <w:szCs w:val="24"/>
          <w:highlight w:val="none"/>
          <w:lang w:val="en-US" w:eastAsia="zh-CN"/>
        </w:rPr>
        <w:t>学府环境安全科技</w:t>
      </w:r>
      <w:r>
        <w:rPr>
          <w:rFonts w:hint="eastAsia" w:ascii="Times New Roman" w:hAnsi="Times New Roman" w:eastAsia="Times New Roman" w:cs="Times New Roman"/>
          <w:color w:val="auto"/>
          <w:sz w:val="24"/>
          <w:szCs w:val="24"/>
          <w:highlight w:val="none"/>
        </w:rPr>
        <w:t>有限公司进行了环境现状监测，并编制了本报告，评价结果尽可能满足入区建设项目环评要求，供入区项目环评共享。南京江宁经济技术开发区管理委员会将定期开展环境影响评价区域评估工作，定期更新评价结果。本报告将依据《江苏省开发区区域评估工作方案（试行）实施细则》（苏商开发〔2019〕548号）文件要求，相关内容和数据可供区域内建设项目环境影响评价引用</w:t>
      </w:r>
      <w:r>
        <w:rPr>
          <w:rFonts w:hint="eastAsia" w:ascii="Times New Roman" w:hAnsi="Times New Roman" w:eastAsia="宋体" w:cs="Times New Roman"/>
          <w:color w:val="auto"/>
          <w:sz w:val="24"/>
          <w:szCs w:val="24"/>
          <w:highlight w:val="none"/>
          <w:lang w:eastAsia="zh-CN"/>
        </w:rPr>
        <w:t>。</w:t>
      </w:r>
    </w:p>
    <w:p w14:paraId="5AF61DA2">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9"/>
        <w:rPr>
          <w:rFonts w:ascii="Times New Roman" w:hAnsi="Times New Roman" w:eastAsia="Times New Roman" w:cs="Times New Roman"/>
          <w:b/>
          <w:bCs/>
          <w:color w:val="auto"/>
          <w:spacing w:val="-3"/>
          <w:sz w:val="24"/>
          <w:szCs w:val="24"/>
        </w:rPr>
        <w:sectPr>
          <w:footerReference r:id="rId7" w:type="default"/>
          <w:pgSz w:w="11907" w:h="16839"/>
          <w:pgMar w:top="1134" w:right="1769" w:bottom="1168" w:left="1771" w:header="863" w:footer="991" w:gutter="0"/>
          <w:pgBorders>
            <w:top w:val="none" w:sz="0" w:space="0"/>
            <w:left w:val="none" w:sz="0" w:space="0"/>
            <w:bottom w:val="none" w:sz="0" w:space="0"/>
            <w:right w:val="none" w:sz="0" w:space="0"/>
          </w:pgBorders>
          <w:pgNumType w:fmt="decimal" w:start="1"/>
          <w:cols w:space="720" w:num="1"/>
        </w:sectPr>
      </w:pPr>
      <w:bookmarkStart w:id="22" w:name="bookmark5"/>
      <w:bookmarkEnd w:id="22"/>
    </w:p>
    <w:p w14:paraId="56618B42">
      <w:pPr>
        <w:keepNext w:val="0"/>
        <w:keepLines w:val="0"/>
        <w:pageBreakBefore w:val="0"/>
        <w:widowControl/>
        <w:kinsoku w:val="0"/>
        <w:wordWrap/>
        <w:overflowPunct/>
        <w:topLinePunct w:val="0"/>
        <w:autoSpaceDE w:val="0"/>
        <w:autoSpaceDN w:val="0"/>
        <w:bidi w:val="0"/>
        <w:adjustRightInd w:val="0"/>
        <w:snapToGrid w:val="0"/>
        <w:spacing w:before="36" w:line="240" w:lineRule="auto"/>
        <w:ind w:left="45"/>
        <w:jc w:val="center"/>
        <w:textAlignment w:val="baseline"/>
        <w:outlineLvl w:val="9"/>
        <w:rPr>
          <w:rFonts w:hint="eastAsia" w:ascii="Times New Roman" w:hAnsi="Times New Roman" w:eastAsia="宋体" w:cs="Times New Roman"/>
          <w:b/>
          <w:bCs/>
          <w:color w:val="auto"/>
          <w:spacing w:val="-3"/>
          <w:sz w:val="24"/>
          <w:szCs w:val="24"/>
          <w:lang w:val="en-US" w:eastAsia="zh-CN"/>
        </w:rPr>
      </w:pPr>
      <w:r>
        <w:rPr>
          <w:rFonts w:hint="eastAsia" w:ascii="Times New Roman" w:hAnsi="Times New Roman" w:eastAsia="宋体" w:cs="Times New Roman"/>
          <w:b/>
          <w:bCs/>
          <w:color w:val="auto"/>
          <w:spacing w:val="-3"/>
          <w:sz w:val="24"/>
          <w:szCs w:val="24"/>
          <w:lang w:val="en-US" w:eastAsia="zh-CN"/>
        </w:rPr>
        <w:t>表1-1-1  江宁经济技术开发区规划变化情况</w:t>
      </w:r>
      <w:bookmarkStart w:id="23" w:name="pindex186"/>
      <w:bookmarkEnd w:id="23"/>
    </w:p>
    <w:tbl>
      <w:tblPr>
        <w:tblStyle w:val="2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5644"/>
        <w:gridCol w:w="5700"/>
        <w:gridCol w:w="2656"/>
      </w:tblGrid>
      <w:tr w14:paraId="3962F5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tcBorders>
              <w:tl2br w:val="nil"/>
              <w:tr2bl w:val="nil"/>
            </w:tcBorders>
            <w:vAlign w:val="center"/>
          </w:tcPr>
          <w:p w14:paraId="3A376CAE">
            <w:pPr>
              <w:widowControl w:val="0"/>
              <w:bidi w:val="0"/>
              <w:jc w:val="center"/>
              <w:rPr>
                <w:rFonts w:hint="default" w:ascii="Times New Roman" w:hAnsi="Times New Roman" w:eastAsia="宋体" w:cs="Times New Roman"/>
                <w:b/>
                <w:bCs/>
                <w:color w:val="auto"/>
                <w:sz w:val="21"/>
                <w:szCs w:val="21"/>
                <w:highlight w:val="none"/>
                <w:lang w:val="en-US" w:eastAsia="zh-CN"/>
              </w:rPr>
            </w:pPr>
            <w:bookmarkStart w:id="24" w:name="_Toc32298"/>
            <w:bookmarkStart w:id="25" w:name="_Toc18514"/>
            <w:r>
              <w:rPr>
                <w:rFonts w:hint="default" w:ascii="Times New Roman" w:hAnsi="Times New Roman" w:eastAsia="宋体" w:cs="Times New Roman"/>
                <w:b/>
                <w:bCs/>
                <w:color w:val="auto"/>
                <w:sz w:val="21"/>
                <w:szCs w:val="21"/>
                <w:highlight w:val="none"/>
                <w:lang w:val="en-US" w:eastAsia="zh-CN"/>
              </w:rPr>
              <w:t>所属规划</w:t>
            </w:r>
            <w:bookmarkEnd w:id="24"/>
            <w:bookmarkEnd w:id="25"/>
          </w:p>
        </w:tc>
        <w:tc>
          <w:tcPr>
            <w:tcW w:w="5644" w:type="dxa"/>
            <w:tcBorders>
              <w:tl2br w:val="nil"/>
              <w:tr2bl w:val="nil"/>
            </w:tcBorders>
            <w:shd w:val="clear" w:color="auto" w:fill="auto"/>
            <w:vAlign w:val="center"/>
          </w:tcPr>
          <w:p w14:paraId="42C40DCE">
            <w:pPr>
              <w:widowControl w:val="0"/>
              <w:bidi w:val="0"/>
              <w:jc w:val="center"/>
              <w:rPr>
                <w:rFonts w:hint="default" w:ascii="Times New Roman" w:hAnsi="Times New Roman" w:eastAsia="宋体" w:cs="Times New Roman"/>
                <w:b/>
                <w:bCs/>
                <w:color w:val="auto"/>
                <w:sz w:val="21"/>
                <w:szCs w:val="21"/>
                <w:highlight w:val="none"/>
                <w:lang w:val="en-US" w:eastAsia="zh-CN"/>
              </w:rPr>
            </w:pPr>
            <w:bookmarkStart w:id="26" w:name="_Toc31704"/>
            <w:bookmarkStart w:id="27" w:name="_Toc27523"/>
            <w:r>
              <w:rPr>
                <w:rFonts w:hint="default" w:ascii="Times New Roman" w:hAnsi="Times New Roman" w:eastAsia="宋体" w:cs="Times New Roman"/>
                <w:b/>
                <w:bCs/>
                <w:color w:val="auto"/>
                <w:sz w:val="21"/>
                <w:szCs w:val="21"/>
                <w:highlight w:val="none"/>
                <w:lang w:val="en-US" w:eastAsia="zh-CN"/>
              </w:rPr>
              <w:t>上一轮规划环评情况</w:t>
            </w:r>
            <w:bookmarkEnd w:id="26"/>
            <w:bookmarkEnd w:id="27"/>
          </w:p>
        </w:tc>
        <w:tc>
          <w:tcPr>
            <w:tcW w:w="5700" w:type="dxa"/>
            <w:tcBorders>
              <w:tl2br w:val="nil"/>
              <w:tr2bl w:val="nil"/>
            </w:tcBorders>
            <w:shd w:val="clear" w:color="auto" w:fill="auto"/>
            <w:vAlign w:val="center"/>
          </w:tcPr>
          <w:p w14:paraId="502840C2">
            <w:pPr>
              <w:widowControl w:val="0"/>
              <w:bidi w:val="0"/>
              <w:jc w:val="center"/>
              <w:rPr>
                <w:rFonts w:hint="default" w:ascii="Times New Roman" w:hAnsi="Times New Roman" w:eastAsia="宋体" w:cs="Times New Roman"/>
                <w:b/>
                <w:bCs/>
                <w:color w:val="auto"/>
                <w:sz w:val="21"/>
                <w:szCs w:val="21"/>
                <w:highlight w:val="none"/>
                <w:lang w:val="en-US" w:eastAsia="zh-CN"/>
              </w:rPr>
            </w:pPr>
            <w:bookmarkStart w:id="28" w:name="_Toc9060"/>
            <w:bookmarkStart w:id="29" w:name="_Toc25488"/>
            <w:r>
              <w:rPr>
                <w:rFonts w:hint="default" w:ascii="Times New Roman" w:hAnsi="Times New Roman" w:eastAsia="宋体" w:cs="Times New Roman"/>
                <w:b/>
                <w:bCs/>
                <w:color w:val="auto"/>
                <w:sz w:val="21"/>
                <w:szCs w:val="21"/>
                <w:highlight w:val="none"/>
                <w:lang w:val="en-US" w:eastAsia="zh-CN"/>
              </w:rPr>
              <w:t>最新一轮规划环评情况</w:t>
            </w:r>
            <w:bookmarkEnd w:id="28"/>
            <w:bookmarkEnd w:id="29"/>
          </w:p>
        </w:tc>
        <w:tc>
          <w:tcPr>
            <w:tcW w:w="2656" w:type="dxa"/>
            <w:tcBorders>
              <w:tl2br w:val="nil"/>
              <w:tr2bl w:val="nil"/>
            </w:tcBorders>
            <w:shd w:val="clear" w:color="auto" w:fill="auto"/>
            <w:vAlign w:val="center"/>
          </w:tcPr>
          <w:p w14:paraId="57EE76EA">
            <w:pPr>
              <w:widowControl w:val="0"/>
              <w:bidi w:val="0"/>
              <w:jc w:val="center"/>
              <w:rPr>
                <w:rFonts w:hint="default" w:ascii="Times New Roman" w:hAnsi="Times New Roman" w:eastAsia="宋体" w:cs="Times New Roman"/>
                <w:b/>
                <w:bCs/>
                <w:color w:val="auto"/>
                <w:sz w:val="21"/>
                <w:szCs w:val="21"/>
                <w:highlight w:val="none"/>
                <w:lang w:val="en-US" w:eastAsia="zh-CN"/>
              </w:rPr>
            </w:pPr>
            <w:bookmarkStart w:id="30" w:name="_Toc14163"/>
            <w:bookmarkStart w:id="31" w:name="_Toc271"/>
            <w:r>
              <w:rPr>
                <w:rFonts w:hint="default" w:ascii="Times New Roman" w:hAnsi="Times New Roman" w:eastAsia="宋体" w:cs="Times New Roman"/>
                <w:b/>
                <w:bCs/>
                <w:color w:val="auto"/>
                <w:sz w:val="21"/>
                <w:szCs w:val="21"/>
                <w:highlight w:val="none"/>
                <w:lang w:val="en-US" w:eastAsia="zh-CN"/>
              </w:rPr>
              <w:t>对比分析</w:t>
            </w:r>
            <w:bookmarkEnd w:id="30"/>
            <w:bookmarkEnd w:id="31"/>
          </w:p>
        </w:tc>
      </w:tr>
      <w:tr w14:paraId="24C9E6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tcBorders>
              <w:tl2br w:val="nil"/>
              <w:tr2bl w:val="nil"/>
            </w:tcBorders>
            <w:vAlign w:val="center"/>
          </w:tcPr>
          <w:p w14:paraId="71A27CC4">
            <w:pPr>
              <w:widowControl w:val="0"/>
              <w:bidi w:val="0"/>
              <w:jc w:val="center"/>
              <w:rPr>
                <w:rFonts w:hint="default" w:ascii="Times New Roman" w:hAnsi="Times New Roman" w:eastAsia="宋体" w:cs="Times New Roman"/>
                <w:color w:val="auto"/>
                <w:sz w:val="21"/>
                <w:szCs w:val="21"/>
                <w:highlight w:val="none"/>
                <w:lang w:val="en-US" w:eastAsia="zh-CN"/>
              </w:rPr>
            </w:pPr>
            <w:bookmarkStart w:id="32" w:name="_Toc10497"/>
            <w:bookmarkStart w:id="33" w:name="_Toc1487"/>
            <w:r>
              <w:rPr>
                <w:rFonts w:hint="default" w:ascii="Times New Roman" w:hAnsi="Times New Roman" w:eastAsia="宋体" w:cs="Times New Roman"/>
                <w:color w:val="auto"/>
                <w:sz w:val="21"/>
                <w:szCs w:val="21"/>
                <w:highlight w:val="none"/>
                <w:lang w:val="en-US" w:eastAsia="zh-CN"/>
              </w:rPr>
              <w:t>规划名称</w:t>
            </w:r>
            <w:bookmarkEnd w:id="32"/>
            <w:bookmarkEnd w:id="33"/>
          </w:p>
        </w:tc>
        <w:tc>
          <w:tcPr>
            <w:tcW w:w="5644" w:type="dxa"/>
            <w:tcBorders>
              <w:tl2br w:val="nil"/>
              <w:tr2bl w:val="nil"/>
            </w:tcBorders>
            <w:shd w:val="clear" w:color="auto" w:fill="auto"/>
            <w:vAlign w:val="center"/>
          </w:tcPr>
          <w:p w14:paraId="6BC76AAC">
            <w:pPr>
              <w:widowControl w:val="0"/>
              <w:bidi w:val="0"/>
              <w:jc w:val="center"/>
              <w:rPr>
                <w:rFonts w:hint="default" w:ascii="Times New Roman" w:hAnsi="Times New Roman" w:eastAsia="宋体" w:cs="Times New Roman"/>
                <w:color w:val="auto"/>
                <w:sz w:val="21"/>
                <w:szCs w:val="21"/>
                <w:highlight w:val="none"/>
                <w:lang w:val="en-US" w:eastAsia="zh-CN"/>
              </w:rPr>
            </w:pPr>
            <w:bookmarkStart w:id="34" w:name="_Toc9205"/>
            <w:bookmarkStart w:id="35" w:name="_Toc21828"/>
            <w:r>
              <w:rPr>
                <w:rFonts w:hint="default" w:ascii="Times New Roman" w:hAnsi="Times New Roman" w:eastAsia="宋体" w:cs="Times New Roman"/>
                <w:color w:val="auto"/>
                <w:sz w:val="21"/>
                <w:szCs w:val="21"/>
                <w:highlight w:val="none"/>
                <w:lang w:val="en-US" w:eastAsia="zh-CN"/>
              </w:rPr>
              <w:t>《江宁经济技术开发区总体发展规划（2012-2030）》</w:t>
            </w:r>
            <w:bookmarkEnd w:id="34"/>
            <w:bookmarkEnd w:id="35"/>
          </w:p>
        </w:tc>
        <w:tc>
          <w:tcPr>
            <w:tcW w:w="5700" w:type="dxa"/>
            <w:tcBorders>
              <w:tl2br w:val="nil"/>
              <w:tr2bl w:val="nil"/>
            </w:tcBorders>
            <w:shd w:val="clear" w:color="auto" w:fill="auto"/>
            <w:vAlign w:val="center"/>
          </w:tcPr>
          <w:p w14:paraId="3F728A8E">
            <w:pPr>
              <w:widowControl w:val="0"/>
              <w:bidi w:val="0"/>
              <w:jc w:val="center"/>
              <w:rPr>
                <w:rFonts w:hint="default" w:ascii="Times New Roman" w:hAnsi="Times New Roman" w:eastAsia="宋体" w:cs="Times New Roman"/>
                <w:color w:val="auto"/>
                <w:sz w:val="21"/>
                <w:szCs w:val="21"/>
                <w:highlight w:val="none"/>
                <w:lang w:val="en-US" w:eastAsia="zh-CN"/>
              </w:rPr>
            </w:pPr>
            <w:bookmarkStart w:id="36" w:name="_Toc31185"/>
            <w:bookmarkStart w:id="37" w:name="_Toc11640"/>
            <w:r>
              <w:rPr>
                <w:rFonts w:hint="default" w:ascii="Times New Roman" w:hAnsi="Times New Roman" w:eastAsia="宋体" w:cs="Times New Roman"/>
                <w:color w:val="auto"/>
                <w:sz w:val="21"/>
                <w:szCs w:val="21"/>
                <w:highlight w:val="none"/>
                <w:lang w:val="en-US" w:eastAsia="zh-CN"/>
              </w:rPr>
              <w:t>《江宁经济技术开发区总体发展规划（</w:t>
            </w:r>
            <w:sdt>
              <w:sdtPr>
                <w:rPr>
                  <w:color w:val="auto"/>
                  <w:highlight w:val="none"/>
                </w:rPr>
                <w:alias w:val="易错词检查"/>
                <w:tag w:val="auto"/>
                <w:id w:val="1013546"/>
              </w:sdtPr>
              <w:sdtEndPr>
                <w:rPr>
                  <w:color w:val="auto"/>
                  <w:highlight w:val="none"/>
                </w:rPr>
              </w:sdtEndPr>
              <w:sdtContent>
                <w:bookmarkStart w:id="38" w:name="bkReivew1013546"/>
                <w:r>
                  <w:rPr>
                    <w:rFonts w:hint="default" w:ascii="Times New Roman" w:hAnsi="Times New Roman" w:eastAsia="宋体" w:cs="Times New Roman"/>
                    <w:color w:val="auto"/>
                    <w:sz w:val="21"/>
                    <w:szCs w:val="21"/>
                    <w:highlight w:val="none"/>
                    <w:lang w:val="en-US" w:eastAsia="zh-CN"/>
                  </w:rPr>
                  <w:t>2020-2035</w:t>
                </w:r>
                <w:bookmarkEnd w:id="38"/>
              </w:sdtContent>
            </w:sdt>
            <w:r>
              <w:rPr>
                <w:rFonts w:hint="default" w:ascii="Times New Roman" w:hAnsi="Times New Roman" w:eastAsia="宋体" w:cs="Times New Roman"/>
                <w:color w:val="auto"/>
                <w:sz w:val="21"/>
                <w:szCs w:val="21"/>
                <w:highlight w:val="none"/>
                <w:lang w:val="en-US" w:eastAsia="zh-CN"/>
              </w:rPr>
              <w:t>）》</w:t>
            </w:r>
            <w:bookmarkEnd w:id="36"/>
            <w:bookmarkEnd w:id="37"/>
          </w:p>
        </w:tc>
        <w:tc>
          <w:tcPr>
            <w:tcW w:w="2656" w:type="dxa"/>
            <w:tcBorders>
              <w:tl2br w:val="nil"/>
              <w:tr2bl w:val="nil"/>
            </w:tcBorders>
            <w:shd w:val="clear" w:color="auto" w:fill="auto"/>
            <w:vAlign w:val="center"/>
          </w:tcPr>
          <w:p w14:paraId="75A5F649">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规划期限与南京市国土空间总体规划一致</w:t>
            </w:r>
          </w:p>
        </w:tc>
      </w:tr>
      <w:tr w14:paraId="16D5C7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3" w:type="dxa"/>
            <w:tcBorders>
              <w:tl2br w:val="nil"/>
              <w:tr2bl w:val="nil"/>
            </w:tcBorders>
            <w:vAlign w:val="center"/>
          </w:tcPr>
          <w:p w14:paraId="5D782327">
            <w:pPr>
              <w:widowControl w:val="0"/>
              <w:bidi w:val="0"/>
              <w:jc w:val="center"/>
              <w:rPr>
                <w:rFonts w:hint="default" w:ascii="Times New Roman" w:hAnsi="Times New Roman" w:eastAsia="宋体" w:cs="Times New Roman"/>
                <w:color w:val="auto"/>
                <w:sz w:val="21"/>
                <w:szCs w:val="21"/>
                <w:highlight w:val="none"/>
                <w:lang w:val="en-US" w:eastAsia="zh-CN"/>
              </w:rPr>
            </w:pPr>
            <w:bookmarkStart w:id="39" w:name="_Toc16394"/>
            <w:bookmarkStart w:id="40" w:name="_Toc29202"/>
            <w:r>
              <w:rPr>
                <w:rFonts w:hint="default" w:ascii="Times New Roman" w:hAnsi="Times New Roman" w:eastAsia="宋体" w:cs="Times New Roman"/>
                <w:color w:val="auto"/>
                <w:sz w:val="21"/>
                <w:szCs w:val="21"/>
                <w:highlight w:val="none"/>
                <w:lang w:val="en-US" w:eastAsia="zh-CN"/>
              </w:rPr>
              <w:t>规划范围及期限</w:t>
            </w:r>
            <w:bookmarkEnd w:id="39"/>
            <w:bookmarkEnd w:id="40"/>
          </w:p>
        </w:tc>
        <w:tc>
          <w:tcPr>
            <w:tcW w:w="5644" w:type="dxa"/>
            <w:tcBorders>
              <w:tl2br w:val="nil"/>
              <w:tr2bl w:val="nil"/>
            </w:tcBorders>
            <w:shd w:val="clear" w:color="auto" w:fill="auto"/>
            <w:vAlign w:val="center"/>
          </w:tcPr>
          <w:p w14:paraId="4CD44B37">
            <w:pPr>
              <w:widowControl w:val="0"/>
              <w:bidi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规划范围：348.7km</w:t>
            </w:r>
            <w:r>
              <w:rPr>
                <w:rFonts w:hint="default" w:ascii="Times New Roman" w:hAnsi="Times New Roman" w:eastAsia="宋体" w:cs="Times New Roman"/>
                <w:color w:val="auto"/>
                <w:sz w:val="21"/>
                <w:szCs w:val="21"/>
                <w:highlight w:val="none"/>
                <w:vertAlign w:val="superscript"/>
                <w:lang w:val="en-US" w:eastAsia="zh-CN"/>
              </w:rPr>
              <w:t>2</w:t>
            </w:r>
          </w:p>
          <w:p w14:paraId="4226CBBA">
            <w:pPr>
              <w:widowControl w:val="0"/>
              <w:bidi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规划期限：2012-2030年，规划近期：2012-2020年，远期：2021-2030年；现状基准年为2011年（部分数据更新至2012年）</w:t>
            </w:r>
          </w:p>
        </w:tc>
        <w:tc>
          <w:tcPr>
            <w:tcW w:w="5700" w:type="dxa"/>
            <w:tcBorders>
              <w:tl2br w:val="nil"/>
              <w:tr2bl w:val="nil"/>
            </w:tcBorders>
            <w:shd w:val="clear" w:color="auto" w:fill="auto"/>
            <w:vAlign w:val="center"/>
          </w:tcPr>
          <w:p w14:paraId="20926C55">
            <w:pPr>
              <w:widowControl w:val="0"/>
              <w:bidi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规划范围：348.7km</w:t>
            </w:r>
            <w:r>
              <w:rPr>
                <w:rFonts w:hint="default" w:ascii="Times New Roman" w:hAnsi="Times New Roman" w:eastAsia="宋体" w:cs="Times New Roman"/>
                <w:color w:val="auto"/>
                <w:sz w:val="21"/>
                <w:szCs w:val="21"/>
                <w:highlight w:val="none"/>
                <w:vertAlign w:val="superscript"/>
                <w:lang w:val="en-US" w:eastAsia="zh-CN"/>
              </w:rPr>
              <w:t>2</w:t>
            </w:r>
          </w:p>
          <w:p w14:paraId="33DEE618">
            <w:pPr>
              <w:widowControl w:val="0"/>
              <w:bidi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规划期限：</w:t>
            </w:r>
            <w:sdt>
              <w:sdtPr>
                <w:rPr>
                  <w:color w:val="auto"/>
                  <w:highlight w:val="none"/>
                </w:rPr>
                <w:alias w:val="易错词检查"/>
                <w:tag w:val="auto"/>
                <w:id w:val="2080222"/>
              </w:sdtPr>
              <w:sdtEndPr>
                <w:rPr>
                  <w:color w:val="auto"/>
                  <w:highlight w:val="none"/>
                </w:rPr>
              </w:sdtEndPr>
              <w:sdtContent>
                <w:bookmarkStart w:id="41" w:name="bkReivew2080222"/>
                <w:r>
                  <w:rPr>
                    <w:rFonts w:hint="default" w:ascii="Times New Roman" w:hAnsi="Times New Roman" w:eastAsia="宋体" w:cs="Times New Roman"/>
                    <w:color w:val="auto"/>
                    <w:sz w:val="21"/>
                    <w:szCs w:val="21"/>
                    <w:highlight w:val="none"/>
                    <w:lang w:val="en-US" w:eastAsia="zh-CN"/>
                  </w:rPr>
                  <w:t>2020-2035</w:t>
                </w:r>
                <w:bookmarkEnd w:id="41"/>
              </w:sdtContent>
            </w:sdt>
            <w:r>
              <w:rPr>
                <w:rFonts w:hint="default" w:ascii="Times New Roman" w:hAnsi="Times New Roman" w:eastAsia="宋体" w:cs="Times New Roman"/>
                <w:color w:val="auto"/>
                <w:sz w:val="21"/>
                <w:szCs w:val="21"/>
                <w:highlight w:val="none"/>
                <w:lang w:val="en-US" w:eastAsia="zh-CN"/>
              </w:rPr>
              <w:t>年，其中近期：2020-2025年，远期：2026-2035年；现状基准年为2019年（部分数据更新至2020年）</w:t>
            </w:r>
          </w:p>
        </w:tc>
        <w:tc>
          <w:tcPr>
            <w:tcW w:w="2656" w:type="dxa"/>
            <w:tcBorders>
              <w:tl2br w:val="nil"/>
              <w:tr2bl w:val="nil"/>
            </w:tcBorders>
            <w:shd w:val="clear" w:color="auto" w:fill="auto"/>
            <w:vAlign w:val="center"/>
          </w:tcPr>
          <w:p w14:paraId="19200567">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规划范围和面积与上一轮规划范围一致</w:t>
            </w:r>
          </w:p>
        </w:tc>
      </w:tr>
      <w:tr w14:paraId="2F0F29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tcBorders>
              <w:tl2br w:val="nil"/>
              <w:tr2bl w:val="nil"/>
            </w:tcBorders>
            <w:vAlign w:val="center"/>
          </w:tcPr>
          <w:p w14:paraId="63B3DCCE">
            <w:pPr>
              <w:widowControl w:val="0"/>
              <w:bidi w:val="0"/>
              <w:jc w:val="center"/>
              <w:rPr>
                <w:rFonts w:hint="default" w:ascii="Times New Roman" w:hAnsi="Times New Roman" w:eastAsia="宋体" w:cs="Times New Roman"/>
                <w:color w:val="auto"/>
                <w:sz w:val="21"/>
                <w:szCs w:val="21"/>
                <w:highlight w:val="none"/>
                <w:lang w:val="en-US" w:eastAsia="zh-CN"/>
              </w:rPr>
            </w:pPr>
            <w:bookmarkStart w:id="42" w:name="_Toc551"/>
            <w:bookmarkStart w:id="43" w:name="_Toc6611"/>
            <w:r>
              <w:rPr>
                <w:rFonts w:hint="default" w:ascii="Times New Roman" w:hAnsi="Times New Roman" w:eastAsia="宋体" w:cs="Times New Roman"/>
                <w:color w:val="auto"/>
                <w:sz w:val="21"/>
                <w:szCs w:val="21"/>
                <w:highlight w:val="none"/>
                <w:lang w:val="en-US" w:eastAsia="zh-CN"/>
              </w:rPr>
              <w:t>功能定位</w:t>
            </w:r>
            <w:bookmarkEnd w:id="42"/>
            <w:bookmarkEnd w:id="43"/>
          </w:p>
        </w:tc>
        <w:tc>
          <w:tcPr>
            <w:tcW w:w="5644" w:type="dxa"/>
            <w:tcBorders>
              <w:tl2br w:val="nil"/>
              <w:tr2bl w:val="nil"/>
            </w:tcBorders>
            <w:shd w:val="clear" w:color="auto" w:fill="auto"/>
            <w:vAlign w:val="center"/>
          </w:tcPr>
          <w:p w14:paraId="0E519BB0">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依托目前已有资源和产业发展基础，将江宁经济技术开发区总体定位为：生态化科技产业新城，国际化品质宜居新城，现代化科教创新园区。</w:t>
            </w:r>
          </w:p>
        </w:tc>
        <w:tc>
          <w:tcPr>
            <w:tcW w:w="5700" w:type="dxa"/>
            <w:tcBorders>
              <w:tl2br w:val="nil"/>
              <w:tr2bl w:val="nil"/>
            </w:tcBorders>
            <w:shd w:val="clear" w:color="auto" w:fill="auto"/>
            <w:vAlign w:val="center"/>
          </w:tcPr>
          <w:p w14:paraId="2C0F4D20">
            <w:pPr>
              <w:widowControl w:val="0"/>
              <w:bidi w:val="0"/>
              <w:jc w:val="center"/>
              <w:rPr>
                <w:rFonts w:hint="default" w:ascii="Times New Roman" w:hAnsi="Times New Roman" w:eastAsia="宋体" w:cs="Times New Roman"/>
                <w:color w:val="auto"/>
                <w:sz w:val="21"/>
                <w:szCs w:val="21"/>
                <w:highlight w:val="none"/>
                <w:lang w:val="en-US" w:eastAsia="zh-CN"/>
              </w:rPr>
            </w:pPr>
            <w:bookmarkStart w:id="44" w:name="sys2030152"/>
            <w:r>
              <w:rPr>
                <w:rFonts w:hint="default" w:ascii="Times New Roman" w:hAnsi="Times New Roman" w:eastAsia="宋体" w:cs="Times New Roman"/>
                <w:color w:val="auto"/>
                <w:sz w:val="21"/>
                <w:szCs w:val="21"/>
                <w:highlight w:val="none"/>
                <w:lang w:val="en-US" w:eastAsia="zh-CN"/>
              </w:rPr>
              <w:t>围绕现代化国际性高科技产业新城发展定位，努力打造国际性科技创新先行区、制造业高质量发展示范区、江苏国际航空枢纽核心区、南京主城南部中心标志区、江宁生态人文融合活力区，加快建设“创新高地、智造强区、开放枢纽、魅力新城、生态都市”，注重社会和谐、宜居宜业的现代、生态、文明之城，奋力由全国前列迈向全国最前列。</w:t>
            </w:r>
            <w:bookmarkEnd w:id="44"/>
          </w:p>
        </w:tc>
        <w:tc>
          <w:tcPr>
            <w:tcW w:w="2656" w:type="dxa"/>
            <w:tcBorders>
              <w:tl2br w:val="nil"/>
              <w:tr2bl w:val="nil"/>
            </w:tcBorders>
            <w:shd w:val="clear" w:color="auto" w:fill="auto"/>
            <w:vAlign w:val="center"/>
          </w:tcPr>
          <w:p w14:paraId="26A8CFEA">
            <w:pPr>
              <w:widowControl w:val="0"/>
              <w:bidi w:val="0"/>
              <w:jc w:val="center"/>
              <w:rPr>
                <w:rFonts w:hint="default" w:ascii="Times New Roman" w:hAnsi="Times New Roman" w:eastAsia="宋体" w:cs="Times New Roman"/>
                <w:color w:val="auto"/>
                <w:sz w:val="21"/>
                <w:szCs w:val="21"/>
                <w:highlight w:val="none"/>
                <w:lang w:val="en-US" w:eastAsia="zh-CN"/>
              </w:rPr>
            </w:pPr>
            <w:bookmarkStart w:id="45" w:name="sys204035"/>
            <w:r>
              <w:rPr>
                <w:rFonts w:hint="default" w:ascii="Times New Roman" w:hAnsi="Times New Roman" w:eastAsia="宋体" w:cs="Times New Roman"/>
                <w:color w:val="auto"/>
                <w:sz w:val="21"/>
                <w:szCs w:val="21"/>
                <w:highlight w:val="none"/>
                <w:lang w:val="en-US" w:eastAsia="zh-CN"/>
              </w:rPr>
              <w:t>根据南京市“创新名城、美丽古都”新南京的发展愿景，进一步完善功能定位。</w:t>
            </w:r>
            <w:bookmarkEnd w:id="45"/>
          </w:p>
        </w:tc>
      </w:tr>
      <w:tr w14:paraId="0D6805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tcBorders>
              <w:tl2br w:val="nil"/>
              <w:tr2bl w:val="nil"/>
            </w:tcBorders>
            <w:vAlign w:val="center"/>
          </w:tcPr>
          <w:p w14:paraId="338D9F6C">
            <w:pPr>
              <w:widowControl w:val="0"/>
              <w:bidi w:val="0"/>
              <w:jc w:val="center"/>
              <w:rPr>
                <w:rFonts w:hint="default" w:ascii="Times New Roman" w:hAnsi="Times New Roman" w:eastAsia="宋体" w:cs="Times New Roman"/>
                <w:color w:val="auto"/>
                <w:sz w:val="21"/>
                <w:szCs w:val="21"/>
                <w:highlight w:val="none"/>
                <w:lang w:val="en-US" w:eastAsia="zh-CN"/>
              </w:rPr>
            </w:pPr>
            <w:bookmarkStart w:id="46" w:name="_Toc30951"/>
            <w:bookmarkStart w:id="47" w:name="_Toc27217"/>
            <w:r>
              <w:rPr>
                <w:rFonts w:hint="default" w:ascii="Times New Roman" w:hAnsi="Times New Roman" w:eastAsia="宋体" w:cs="Times New Roman"/>
                <w:color w:val="auto"/>
                <w:sz w:val="21"/>
                <w:szCs w:val="21"/>
                <w:highlight w:val="none"/>
                <w:lang w:val="en-US" w:eastAsia="zh-CN"/>
              </w:rPr>
              <w:t>空间布局</w:t>
            </w:r>
            <w:bookmarkEnd w:id="46"/>
            <w:bookmarkEnd w:id="47"/>
          </w:p>
        </w:tc>
        <w:tc>
          <w:tcPr>
            <w:tcW w:w="5644" w:type="dxa"/>
            <w:tcBorders>
              <w:tl2br w:val="nil"/>
              <w:tr2bl w:val="nil"/>
            </w:tcBorders>
            <w:shd w:val="clear" w:color="auto" w:fill="auto"/>
            <w:vAlign w:val="center"/>
          </w:tcPr>
          <w:p w14:paraId="3E63C5CD">
            <w:pPr>
              <w:widowControl w:val="0"/>
              <w:bidi w:val="0"/>
              <w:jc w:val="center"/>
              <w:rPr>
                <w:rFonts w:hint="default" w:ascii="Times New Roman" w:hAnsi="Times New Roman" w:eastAsia="宋体" w:cs="Times New Roman"/>
                <w:color w:val="auto"/>
                <w:sz w:val="21"/>
                <w:szCs w:val="21"/>
                <w:highlight w:val="none"/>
                <w:lang w:val="en-US" w:eastAsia="zh-CN"/>
              </w:rPr>
            </w:pPr>
            <w:bookmarkStart w:id="48" w:name="sys206047"/>
            <w:r>
              <w:rPr>
                <w:rFonts w:hint="default" w:ascii="Times New Roman" w:hAnsi="Times New Roman" w:eastAsia="宋体" w:cs="Times New Roman"/>
                <w:color w:val="auto"/>
                <w:sz w:val="21"/>
                <w:szCs w:val="21"/>
                <w:highlight w:val="none"/>
                <w:lang w:val="en-US" w:eastAsia="zh-CN"/>
              </w:rPr>
              <w:t>规划至2030年江宁经济技术开发区的总体空间结构为：“1核2</w:t>
            </w:r>
            <w:sdt>
              <w:sdtPr>
                <w:rPr>
                  <w:color w:val="auto"/>
                  <w:highlight w:val="none"/>
                </w:rPr>
                <w:alias w:val="易错词检查"/>
                <w:tag w:val="auto"/>
                <w:id w:val="3011103"/>
              </w:sdtPr>
              <w:sdtEndPr>
                <w:rPr>
                  <w:color w:val="auto"/>
                  <w:highlight w:val="none"/>
                </w:rPr>
              </w:sdtEndPr>
              <w:sdtContent>
                <w:bookmarkStart w:id="49" w:name="bkReivew3011103"/>
                <w:r>
                  <w:rPr>
                    <w:rFonts w:hint="default" w:ascii="Times New Roman" w:hAnsi="Times New Roman" w:eastAsia="宋体" w:cs="Times New Roman"/>
                    <w:color w:val="auto"/>
                    <w:sz w:val="21"/>
                    <w:szCs w:val="21"/>
                    <w:highlight w:val="none"/>
                    <w:lang w:val="en-US" w:eastAsia="zh-CN"/>
                  </w:rPr>
                  <w:t>元</w:t>
                </w:r>
                <w:bookmarkEnd w:id="49"/>
              </w:sdtContent>
            </w:sdt>
            <w:r>
              <w:rPr>
                <w:rFonts w:hint="default" w:ascii="Times New Roman" w:hAnsi="Times New Roman" w:eastAsia="宋体" w:cs="Times New Roman"/>
                <w:color w:val="auto"/>
                <w:sz w:val="21"/>
                <w:szCs w:val="21"/>
                <w:highlight w:val="none"/>
                <w:lang w:val="en-US" w:eastAsia="zh-CN"/>
              </w:rPr>
              <w:t>、2轴连心、3楔2廊、分片统筹”</w:t>
            </w:r>
            <w:bookmarkEnd w:id="48"/>
          </w:p>
          <w:p w14:paraId="7D706C54">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1核-东山副城，江宁中心城市，为开发区发展核心，并作为南京中心城一部分，打造国际化中心城区；</w:t>
            </w:r>
            <w:bookmarkStart w:id="50" w:name="sys2074631"/>
            <w:r>
              <w:rPr>
                <w:rFonts w:hint="default" w:ascii="Times New Roman" w:hAnsi="Times New Roman" w:eastAsia="宋体" w:cs="Times New Roman"/>
                <w:color w:val="auto"/>
                <w:sz w:val="21"/>
                <w:szCs w:val="21"/>
                <w:highlight w:val="none"/>
                <w:lang w:val="en-US" w:eastAsia="zh-CN"/>
              </w:rPr>
              <w:t>2元-禄口和湖熟，是开发区片区中心、各具特色的产业和宜居新城。</w:t>
            </w:r>
            <w:bookmarkEnd w:id="50"/>
          </w:p>
          <w:p w14:paraId="68992F94">
            <w:pPr>
              <w:widowControl w:val="0"/>
              <w:bidi w:val="0"/>
              <w:jc w:val="center"/>
              <w:rPr>
                <w:rFonts w:hint="default" w:ascii="Times New Roman" w:hAnsi="Times New Roman" w:eastAsia="宋体" w:cs="Times New Roman"/>
                <w:color w:val="auto"/>
                <w:sz w:val="21"/>
                <w:szCs w:val="21"/>
                <w:highlight w:val="none"/>
                <w:lang w:val="en-US" w:eastAsia="zh-CN"/>
              </w:rPr>
            </w:pPr>
            <w:bookmarkStart w:id="51" w:name="sys208061"/>
            <w:r>
              <w:rPr>
                <w:rFonts w:hint="default" w:ascii="Times New Roman" w:hAnsi="Times New Roman" w:eastAsia="宋体" w:cs="Times New Roman"/>
                <w:color w:val="auto"/>
                <w:sz w:val="21"/>
                <w:szCs w:val="21"/>
                <w:highlight w:val="none"/>
                <w:lang w:val="en-US" w:eastAsia="zh-CN"/>
              </w:rPr>
              <w:t>2轴是指以主城为核心的2条放射性城镇发展轴，分别为主城-东山副城-禄口的主要发展轴线和主城-淳化-湖熟新城的次要发展轴线。</w:t>
            </w:r>
            <w:bookmarkEnd w:id="51"/>
          </w:p>
        </w:tc>
        <w:tc>
          <w:tcPr>
            <w:tcW w:w="5700" w:type="dxa"/>
            <w:tcBorders>
              <w:tl2br w:val="nil"/>
              <w:tr2bl w:val="nil"/>
            </w:tcBorders>
            <w:shd w:val="clear" w:color="auto" w:fill="auto"/>
            <w:vAlign w:val="center"/>
          </w:tcPr>
          <w:p w14:paraId="536ACCF5">
            <w:pPr>
              <w:widowControl w:val="0"/>
              <w:bidi w:val="0"/>
              <w:jc w:val="center"/>
              <w:rPr>
                <w:rFonts w:hint="default" w:ascii="Times New Roman" w:hAnsi="Times New Roman" w:eastAsia="宋体" w:cs="Times New Roman"/>
                <w:color w:val="auto"/>
                <w:sz w:val="21"/>
                <w:szCs w:val="21"/>
                <w:highlight w:val="none"/>
                <w:lang w:val="en-US" w:eastAsia="zh-CN"/>
              </w:rPr>
            </w:pPr>
            <w:bookmarkStart w:id="52" w:name="sys209048"/>
            <w:r>
              <w:rPr>
                <w:rFonts w:hint="default" w:ascii="Times New Roman" w:hAnsi="Times New Roman" w:eastAsia="宋体" w:cs="Times New Roman"/>
                <w:color w:val="auto"/>
                <w:sz w:val="21"/>
                <w:szCs w:val="21"/>
                <w:highlight w:val="none"/>
                <w:lang w:val="en-US" w:eastAsia="zh-CN"/>
              </w:rPr>
              <w:t>规划至2035年江宁经济技术开发区的总体空间结构为：“1核2</w:t>
            </w:r>
            <w:sdt>
              <w:sdtPr>
                <w:rPr>
                  <w:color w:val="auto"/>
                  <w:highlight w:val="none"/>
                </w:rPr>
                <w:alias w:val="易错词检查"/>
                <w:tag w:val="auto"/>
                <w:id w:val="2040640"/>
              </w:sdtPr>
              <w:sdtEndPr>
                <w:rPr>
                  <w:color w:val="auto"/>
                  <w:highlight w:val="none"/>
                </w:rPr>
              </w:sdtEndPr>
              <w:sdtContent>
                <w:bookmarkStart w:id="53" w:name="bkReivew2040640"/>
                <w:r>
                  <w:rPr>
                    <w:rFonts w:hint="default" w:ascii="Times New Roman" w:hAnsi="Times New Roman" w:eastAsia="宋体" w:cs="Times New Roman"/>
                    <w:color w:val="auto"/>
                    <w:sz w:val="21"/>
                    <w:szCs w:val="21"/>
                    <w:highlight w:val="none"/>
                    <w:lang w:val="en-US" w:eastAsia="zh-CN"/>
                  </w:rPr>
                  <w:t>元</w:t>
                </w:r>
                <w:bookmarkEnd w:id="53"/>
              </w:sdtContent>
            </w:sdt>
            <w:r>
              <w:rPr>
                <w:rFonts w:hint="default" w:ascii="Times New Roman" w:hAnsi="Times New Roman" w:eastAsia="宋体" w:cs="Times New Roman"/>
                <w:color w:val="auto"/>
                <w:sz w:val="21"/>
                <w:szCs w:val="21"/>
                <w:highlight w:val="none"/>
                <w:lang w:val="en-US" w:eastAsia="zh-CN"/>
              </w:rPr>
              <w:t>、2轴连心、3楔2廊、分片统筹”。</w:t>
            </w:r>
            <w:bookmarkEnd w:id="52"/>
          </w:p>
          <w:p w14:paraId="57B3108C">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1核-江南主城东山片区，江宁中心城市，为开发区发展核心，并作为江南主城一部分，打造国际化中心城区；</w:t>
            </w:r>
            <w:bookmarkStart w:id="54" w:name="sys2104931"/>
            <w:r>
              <w:rPr>
                <w:rFonts w:hint="default" w:ascii="Times New Roman" w:hAnsi="Times New Roman" w:eastAsia="宋体" w:cs="Times New Roman"/>
                <w:color w:val="auto"/>
                <w:sz w:val="21"/>
                <w:szCs w:val="21"/>
                <w:highlight w:val="none"/>
                <w:lang w:val="en-US" w:eastAsia="zh-CN"/>
              </w:rPr>
              <w:t>2元-禄口和淳化，是开发区片区中心、各具特色的产业和宜居新城。</w:t>
            </w:r>
            <w:bookmarkEnd w:id="54"/>
          </w:p>
          <w:p w14:paraId="0B47CF40">
            <w:pPr>
              <w:widowControl w:val="0"/>
              <w:bidi w:val="0"/>
              <w:jc w:val="center"/>
              <w:rPr>
                <w:rFonts w:hint="default" w:ascii="Times New Roman" w:hAnsi="Times New Roman" w:eastAsia="宋体" w:cs="Times New Roman"/>
                <w:color w:val="auto"/>
                <w:sz w:val="21"/>
                <w:szCs w:val="21"/>
                <w:highlight w:val="none"/>
                <w:lang w:val="en-US" w:eastAsia="zh-CN"/>
              </w:rPr>
            </w:pPr>
            <w:bookmarkStart w:id="55" w:name="sys211061"/>
            <w:r>
              <w:rPr>
                <w:rFonts w:hint="default" w:ascii="Times New Roman" w:hAnsi="Times New Roman" w:eastAsia="宋体" w:cs="Times New Roman"/>
                <w:color w:val="auto"/>
                <w:sz w:val="21"/>
                <w:szCs w:val="21"/>
                <w:highlight w:val="none"/>
                <w:lang w:val="en-US" w:eastAsia="zh-CN"/>
              </w:rPr>
              <w:t>2轴是指以主城为核心的2条放射性城镇发展轴，分别为南京南站-东山-禄口的主要发展轴线和主城-淳化-湖熟新城的次要发展轴线。</w:t>
            </w:r>
            <w:bookmarkEnd w:id="55"/>
          </w:p>
        </w:tc>
        <w:tc>
          <w:tcPr>
            <w:tcW w:w="2656" w:type="dxa"/>
            <w:tcBorders>
              <w:tl2br w:val="nil"/>
              <w:tr2bl w:val="nil"/>
            </w:tcBorders>
            <w:shd w:val="clear" w:color="auto" w:fill="auto"/>
            <w:vAlign w:val="center"/>
          </w:tcPr>
          <w:p w14:paraId="12AC9E53">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规划区一部分位于江南主城，一部分位于禄口新城和淳化新城，充分衔接区域战略布局。</w:t>
            </w:r>
          </w:p>
        </w:tc>
      </w:tr>
      <w:tr w14:paraId="4AF426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tcBorders>
              <w:tl2br w:val="nil"/>
              <w:tr2bl w:val="nil"/>
            </w:tcBorders>
            <w:vAlign w:val="center"/>
          </w:tcPr>
          <w:p w14:paraId="2B0E7C3F">
            <w:pPr>
              <w:widowControl w:val="0"/>
              <w:bidi w:val="0"/>
              <w:jc w:val="center"/>
              <w:rPr>
                <w:rFonts w:hint="default" w:ascii="Times New Roman" w:hAnsi="Times New Roman" w:eastAsia="宋体" w:cs="Times New Roman"/>
                <w:color w:val="auto"/>
                <w:sz w:val="21"/>
                <w:szCs w:val="21"/>
                <w:highlight w:val="none"/>
                <w:lang w:val="en-US" w:eastAsia="zh-CN"/>
              </w:rPr>
            </w:pPr>
            <w:bookmarkStart w:id="56" w:name="_Toc26690"/>
            <w:bookmarkStart w:id="57" w:name="_Toc11023"/>
            <w:r>
              <w:rPr>
                <w:rFonts w:hint="default" w:ascii="Times New Roman" w:hAnsi="Times New Roman" w:eastAsia="宋体" w:cs="Times New Roman"/>
                <w:color w:val="auto"/>
                <w:sz w:val="21"/>
                <w:szCs w:val="21"/>
                <w:highlight w:val="none"/>
                <w:lang w:val="en-US" w:eastAsia="zh-CN"/>
              </w:rPr>
              <w:t>用地规模</w:t>
            </w:r>
            <w:bookmarkEnd w:id="56"/>
            <w:bookmarkEnd w:id="57"/>
          </w:p>
        </w:tc>
        <w:tc>
          <w:tcPr>
            <w:tcW w:w="5644" w:type="dxa"/>
            <w:tcBorders>
              <w:tl2br w:val="nil"/>
              <w:tr2bl w:val="nil"/>
            </w:tcBorders>
            <w:shd w:val="clear" w:color="auto" w:fill="auto"/>
            <w:vAlign w:val="center"/>
          </w:tcPr>
          <w:p w14:paraId="533FC454">
            <w:pPr>
              <w:widowControl w:val="0"/>
              <w:bidi w:val="0"/>
              <w:jc w:val="center"/>
              <w:rPr>
                <w:rFonts w:hint="default" w:ascii="Times New Roman" w:hAnsi="Times New Roman" w:eastAsia="宋体" w:cs="Times New Roman"/>
                <w:color w:val="auto"/>
                <w:sz w:val="21"/>
                <w:szCs w:val="21"/>
                <w:highlight w:val="none"/>
                <w:lang w:val="en-US" w:eastAsia="zh-CN"/>
              </w:rPr>
            </w:pPr>
            <w:bookmarkStart w:id="58" w:name="sys214060"/>
            <w:r>
              <w:rPr>
                <w:rFonts w:hint="default" w:ascii="Times New Roman" w:hAnsi="Times New Roman" w:eastAsia="宋体" w:cs="Times New Roman"/>
                <w:color w:val="auto"/>
                <w:sz w:val="21"/>
                <w:szCs w:val="21"/>
                <w:highlight w:val="none"/>
                <w:lang w:val="en-US" w:eastAsia="zh-CN"/>
              </w:rPr>
              <w:t>至2020年，开发区辖区总城乡建设用地面积152.6km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（其中，居住用地31.86km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，工业用地33.48km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bookmarkEnd w:id="58"/>
            <w:bookmarkStart w:id="59" w:name="sys2146059"/>
            <w:r>
              <w:rPr>
                <w:rFonts w:hint="default" w:ascii="Times New Roman" w:hAnsi="Times New Roman" w:eastAsia="宋体" w:cs="Times New Roman"/>
                <w:color w:val="auto"/>
                <w:sz w:val="21"/>
                <w:szCs w:val="21"/>
                <w:highlight w:val="none"/>
                <w:lang w:val="en-US" w:eastAsia="zh-CN"/>
              </w:rPr>
              <w:t>至2030年，开发区辖区总城乡建设用地面积191.16km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（其中，居住用地41.3km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，工业用地42.83km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bookmarkEnd w:id="59"/>
          </w:p>
        </w:tc>
        <w:tc>
          <w:tcPr>
            <w:tcW w:w="5700" w:type="dxa"/>
            <w:tcBorders>
              <w:tl2br w:val="nil"/>
              <w:tr2bl w:val="nil"/>
            </w:tcBorders>
            <w:shd w:val="clear" w:color="auto" w:fill="auto"/>
            <w:vAlign w:val="center"/>
          </w:tcPr>
          <w:p w14:paraId="7E83D4DE">
            <w:pPr>
              <w:widowControl w:val="0"/>
              <w:bidi w:val="0"/>
              <w:jc w:val="center"/>
              <w:rPr>
                <w:rFonts w:hint="default" w:ascii="Times New Roman" w:hAnsi="Times New Roman" w:eastAsia="宋体" w:cs="Times New Roman"/>
                <w:color w:val="auto"/>
                <w:sz w:val="21"/>
                <w:szCs w:val="21"/>
                <w:highlight w:val="none"/>
                <w:lang w:val="en-US" w:eastAsia="zh-CN"/>
              </w:rPr>
            </w:pPr>
            <w:bookmarkStart w:id="60" w:name="sys215059"/>
            <w:r>
              <w:rPr>
                <w:rFonts w:hint="default" w:ascii="Times New Roman" w:hAnsi="Times New Roman" w:eastAsia="宋体" w:cs="Times New Roman"/>
                <w:color w:val="auto"/>
                <w:sz w:val="21"/>
                <w:szCs w:val="21"/>
                <w:highlight w:val="none"/>
                <w:lang w:val="en-US" w:eastAsia="zh-CN"/>
              </w:rPr>
              <w:t>至2025年，开发区辖区总城乡建设用地面积178.5km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（其中，居住用地35.3km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，工业用地42.41km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bookmarkEnd w:id="60"/>
            <w:bookmarkStart w:id="61" w:name="sys2155954"/>
            <w:r>
              <w:rPr>
                <w:rFonts w:hint="default" w:ascii="Times New Roman" w:hAnsi="Times New Roman" w:eastAsia="宋体" w:cs="Times New Roman"/>
                <w:color w:val="auto"/>
                <w:sz w:val="21"/>
                <w:szCs w:val="21"/>
                <w:highlight w:val="none"/>
                <w:lang w:val="en-US" w:eastAsia="zh-CN"/>
              </w:rPr>
              <w:t>至2035年，城乡建设用地规模193.93km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（其中，居住用地40.03km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，工业用地43.67km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bookmarkEnd w:id="61"/>
          </w:p>
        </w:tc>
        <w:tc>
          <w:tcPr>
            <w:tcW w:w="2656" w:type="dxa"/>
            <w:tcBorders>
              <w:tl2br w:val="nil"/>
              <w:tr2bl w:val="nil"/>
            </w:tcBorders>
            <w:shd w:val="clear" w:color="auto" w:fill="auto"/>
            <w:vAlign w:val="center"/>
          </w:tcPr>
          <w:p w14:paraId="30880B67">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现状工业用地（37.1km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）已突破上一轮规划中2020年规划工业用地（33.48km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）规模，突破面积约3.62km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。经分析，突破的面积主要为上一轮规划至2030年的备用地或规划至2030年的工业用地。</w:t>
            </w:r>
          </w:p>
          <w:p w14:paraId="617D3C57">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本轮规划至2035年相比上一轮规划至2030年的工业用地新增0.84km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。主要为淳化-湖熟片区东部及江南主城东山片区中吉山基地新增了工业用地。</w:t>
            </w:r>
          </w:p>
        </w:tc>
      </w:tr>
      <w:tr w14:paraId="50BF32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tcBorders>
              <w:tl2br w:val="nil"/>
              <w:tr2bl w:val="nil"/>
            </w:tcBorders>
            <w:vAlign w:val="center"/>
          </w:tcPr>
          <w:p w14:paraId="72E5F196">
            <w:pPr>
              <w:widowControl w:val="0"/>
              <w:bidi w:val="0"/>
              <w:jc w:val="center"/>
              <w:rPr>
                <w:rFonts w:hint="default" w:ascii="Times New Roman" w:hAnsi="Times New Roman" w:eastAsia="宋体" w:cs="Times New Roman"/>
                <w:color w:val="auto"/>
                <w:sz w:val="21"/>
                <w:szCs w:val="21"/>
                <w:highlight w:val="none"/>
                <w:lang w:val="en-US" w:eastAsia="zh-CN"/>
              </w:rPr>
            </w:pPr>
            <w:bookmarkStart w:id="62" w:name="_Toc3106"/>
            <w:bookmarkStart w:id="63" w:name="_Toc10315"/>
            <w:r>
              <w:rPr>
                <w:rFonts w:hint="default" w:ascii="Times New Roman" w:hAnsi="Times New Roman" w:eastAsia="宋体" w:cs="Times New Roman"/>
                <w:color w:val="auto"/>
                <w:sz w:val="21"/>
                <w:szCs w:val="21"/>
                <w:highlight w:val="none"/>
                <w:lang w:val="en-US" w:eastAsia="zh-CN"/>
              </w:rPr>
              <w:t>产业规划</w:t>
            </w:r>
            <w:bookmarkEnd w:id="62"/>
            <w:bookmarkEnd w:id="63"/>
          </w:p>
        </w:tc>
        <w:tc>
          <w:tcPr>
            <w:tcW w:w="5644" w:type="dxa"/>
            <w:tcBorders>
              <w:tl2br w:val="nil"/>
              <w:tr2bl w:val="nil"/>
            </w:tcBorders>
            <w:shd w:val="clear" w:color="auto" w:fill="auto"/>
            <w:vAlign w:val="center"/>
          </w:tcPr>
          <w:p w14:paraId="64262C77">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二产业定位：信息通信产业和汽车产业作为开发区的主导产业，新能源产业、电力自动化与智能电网产业、航空产业、生命科技产业作为开发区的战略性新兴产业。另外在湖熟产业片区、空港产业东片区酌情发展文体用品制造、机械加工、家用电器、环保节能等其他制造业。</w:t>
            </w:r>
          </w:p>
          <w:p w14:paraId="5D8DCC69">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第三产业重点发展：软件及服务外包、高端商务商贸、现代物流、文化创意产业等四个产业。</w:t>
            </w:r>
          </w:p>
          <w:p w14:paraId="3EEC2A65">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另外还将发展技术研发、总部经济、会议会展、一般商贸商务、旅游等第三产业。</w:t>
            </w:r>
          </w:p>
        </w:tc>
        <w:tc>
          <w:tcPr>
            <w:tcW w:w="5700" w:type="dxa"/>
            <w:tcBorders>
              <w:tl2br w:val="nil"/>
              <w:tr2bl w:val="nil"/>
            </w:tcBorders>
            <w:shd w:val="clear" w:color="auto" w:fill="auto"/>
            <w:vAlign w:val="center"/>
          </w:tcPr>
          <w:p w14:paraId="75A6BEB7">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坚持以实体经济为基石、以科技创新为引领，形成绿色智能汽车产业，智能电网产业和新一代信息技术产业等三大支柱产业、高端智能装备产业，生物医药产业，节能环保和新材料产业等三大战略性新兴产业、现代物流和高端商务商贸业，软件信息、科技和金融服务业，文化休旅产业等三大现代服务业，以及人工智能和未来网络等一批科技未来产业的“3+3+3+1”高端现代产业体系</w:t>
            </w:r>
          </w:p>
        </w:tc>
        <w:tc>
          <w:tcPr>
            <w:tcW w:w="2656" w:type="dxa"/>
            <w:tcBorders>
              <w:tl2br w:val="nil"/>
              <w:tr2bl w:val="nil"/>
            </w:tcBorders>
            <w:shd w:val="clear" w:color="auto" w:fill="auto"/>
            <w:vAlign w:val="center"/>
          </w:tcPr>
          <w:p w14:paraId="4A3AA017">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细化产业定位，打造地标产业、壮大新兴产业、提升现代服务业，前瞻布局未来产业，构建“3+3+3+1”高端现代产业体系，推动产业迈向中高端。</w:t>
            </w:r>
          </w:p>
        </w:tc>
      </w:tr>
      <w:tr w14:paraId="1444E3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tcBorders>
              <w:tl2br w:val="nil"/>
              <w:tr2bl w:val="nil"/>
            </w:tcBorders>
            <w:vAlign w:val="center"/>
          </w:tcPr>
          <w:p w14:paraId="68F7279C">
            <w:pPr>
              <w:widowControl w:val="0"/>
              <w:bidi w:val="0"/>
              <w:jc w:val="center"/>
              <w:rPr>
                <w:rFonts w:hint="default" w:ascii="Times New Roman" w:hAnsi="Times New Roman" w:eastAsia="宋体" w:cs="Times New Roman"/>
                <w:color w:val="auto"/>
                <w:sz w:val="21"/>
                <w:szCs w:val="21"/>
                <w:highlight w:val="none"/>
                <w:lang w:val="en-US" w:eastAsia="zh-CN"/>
              </w:rPr>
            </w:pPr>
            <w:bookmarkStart w:id="64" w:name="_Toc12457"/>
            <w:bookmarkStart w:id="65" w:name="_Toc17309"/>
            <w:r>
              <w:rPr>
                <w:rFonts w:hint="default" w:ascii="Times New Roman" w:hAnsi="Times New Roman" w:eastAsia="宋体" w:cs="Times New Roman"/>
                <w:color w:val="auto"/>
                <w:sz w:val="21"/>
                <w:szCs w:val="21"/>
                <w:highlight w:val="none"/>
                <w:lang w:val="en-US" w:eastAsia="zh-CN"/>
              </w:rPr>
              <w:t>产业布局</w:t>
            </w:r>
            <w:bookmarkEnd w:id="64"/>
            <w:bookmarkEnd w:id="65"/>
          </w:p>
        </w:tc>
        <w:tc>
          <w:tcPr>
            <w:tcW w:w="5644" w:type="dxa"/>
            <w:tcBorders>
              <w:tl2br w:val="nil"/>
              <w:tr2bl w:val="nil"/>
            </w:tcBorders>
            <w:shd w:val="clear" w:color="auto" w:fill="auto"/>
            <w:vAlign w:val="center"/>
          </w:tcPr>
          <w:p w14:paraId="7563C897">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开发区第二产业布局分为10个片区，大众汽车产业片区、九龙湖西部产业片区、九龙湖东部产业片区、秣陵产业片区、空港产业东片区、空港产业西片区、高新技术（一期）产业片区、高新技术（二期）产业片区、生命科技产业片区、湖熟产业片区。</w:t>
            </w:r>
          </w:p>
          <w:p w14:paraId="3EB68270">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第三产业主要分布在四大板块，包括东山副城、淳化高教板块、东善桥板块和禄口板块。其中现代服务业在东山副城及周边高度集聚，形成全区重点现代服务业与商务园区。</w:t>
            </w:r>
          </w:p>
        </w:tc>
        <w:tc>
          <w:tcPr>
            <w:tcW w:w="5700" w:type="dxa"/>
            <w:tcBorders>
              <w:tl2br w:val="nil"/>
              <w:tr2bl w:val="nil"/>
            </w:tcBorders>
            <w:shd w:val="clear" w:color="auto" w:fill="auto"/>
            <w:vAlign w:val="center"/>
          </w:tcPr>
          <w:p w14:paraId="403842EF">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开发区本轮规划围绕主导产业集聚发展，成链发展、关联发展，进一步整合产业布局，推动产业错位集聚发展。制造业分布主要集中在三大片区。其中江南主城东山片区主导产业方向：智能电网、绿色智能汽车产业、新一代信息技术、智能制造装备产业、轨道交通产业等；淳化-湖熟片区的主导产业方向：生物医药、新能源、高端装备制造、节能环保和新材料等；禄口空港片区主导产业方向：航空及其配套产业、航空制造业、临空高科技产业等。</w:t>
            </w:r>
          </w:p>
          <w:p w14:paraId="3D30549C">
            <w:pPr>
              <w:widowControl w:val="0"/>
              <w:bidi w:val="0"/>
              <w:jc w:val="center"/>
              <w:rPr>
                <w:rFonts w:hint="default" w:ascii="Times New Roman" w:hAnsi="Times New Roman" w:eastAsia="宋体" w:cs="Times New Roman"/>
                <w:color w:val="auto"/>
                <w:sz w:val="21"/>
                <w:szCs w:val="21"/>
                <w:highlight w:val="none"/>
                <w:lang w:val="en-US" w:eastAsia="zh-CN"/>
              </w:rPr>
            </w:pPr>
            <w:bookmarkStart w:id="66" w:name="sys228055"/>
            <w:r>
              <w:rPr>
                <w:rFonts w:hint="default" w:ascii="Times New Roman" w:hAnsi="Times New Roman" w:eastAsia="宋体" w:cs="Times New Roman"/>
                <w:color w:val="auto"/>
                <w:sz w:val="21"/>
                <w:szCs w:val="21"/>
                <w:highlight w:val="none"/>
                <w:lang w:val="en-US" w:eastAsia="zh-CN"/>
              </w:rPr>
              <w:t>服务业主要分布在五个片区，包括北部服务业片区、中部服务业片区、西部服务业片区、南部服务业片区和东部服务业片区。</w:t>
            </w:r>
            <w:bookmarkEnd w:id="66"/>
          </w:p>
        </w:tc>
        <w:tc>
          <w:tcPr>
            <w:tcW w:w="2656" w:type="dxa"/>
            <w:tcBorders>
              <w:tl2br w:val="nil"/>
              <w:tr2bl w:val="nil"/>
            </w:tcBorders>
            <w:shd w:val="clear" w:color="auto" w:fill="auto"/>
            <w:vAlign w:val="center"/>
          </w:tcPr>
          <w:p w14:paraId="20713207">
            <w:pPr>
              <w:widowControl w:val="0"/>
              <w:bidi w:val="0"/>
              <w:jc w:val="center"/>
              <w:rPr>
                <w:rFonts w:hint="default" w:ascii="Times New Roman" w:hAnsi="Times New Roman" w:eastAsia="宋体" w:cs="Times New Roman"/>
                <w:color w:val="auto"/>
                <w:sz w:val="21"/>
                <w:szCs w:val="21"/>
                <w:highlight w:val="none"/>
                <w:lang w:val="en-US" w:eastAsia="zh-CN"/>
              </w:rPr>
            </w:pPr>
            <w:bookmarkStart w:id="67" w:name="sys2290164"/>
            <w:r>
              <w:rPr>
                <w:rFonts w:hint="default" w:ascii="Times New Roman" w:hAnsi="Times New Roman" w:eastAsia="宋体" w:cs="Times New Roman"/>
                <w:color w:val="auto"/>
                <w:sz w:val="21"/>
                <w:szCs w:val="21"/>
                <w:highlight w:val="none"/>
                <w:lang w:val="en-US" w:eastAsia="zh-CN"/>
              </w:rPr>
              <w:t>本轮规划进一步优化产业布局，制造业分布主要集中在三大片区、服务业主要分布在五个片区，与上一轮规划中的“第二产业布局分为10个片区、第三产业主要分布在四大板块”相比，本轮规划加强龙头企业带动高端制造业的进一步集聚，加快形成以现代制造业和现代服务业为主体，建立技术领先、结构优化、特色鲜明的现代产业体系，进一步推动产业错位集聚发展。</w:t>
            </w:r>
            <w:bookmarkEnd w:id="67"/>
          </w:p>
        </w:tc>
      </w:tr>
      <w:tr w14:paraId="25F9B8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tcBorders>
              <w:tl2br w:val="nil"/>
              <w:tr2bl w:val="nil"/>
            </w:tcBorders>
            <w:vAlign w:val="center"/>
          </w:tcPr>
          <w:p w14:paraId="0EDEC13A">
            <w:pPr>
              <w:widowControl w:val="0"/>
              <w:bidi w:val="0"/>
              <w:jc w:val="center"/>
              <w:rPr>
                <w:rFonts w:hint="default" w:ascii="Times New Roman" w:hAnsi="Times New Roman" w:eastAsia="宋体" w:cs="Times New Roman"/>
                <w:color w:val="auto"/>
                <w:sz w:val="21"/>
                <w:szCs w:val="21"/>
                <w:highlight w:val="none"/>
                <w:lang w:val="en-US" w:eastAsia="zh-CN"/>
              </w:rPr>
            </w:pPr>
            <w:bookmarkStart w:id="68" w:name="_Toc9677"/>
            <w:bookmarkStart w:id="69" w:name="_Toc32585"/>
            <w:r>
              <w:rPr>
                <w:rFonts w:hint="default" w:ascii="Times New Roman" w:hAnsi="Times New Roman" w:eastAsia="宋体" w:cs="Times New Roman"/>
                <w:color w:val="auto"/>
                <w:sz w:val="21"/>
                <w:szCs w:val="21"/>
                <w:highlight w:val="none"/>
                <w:lang w:val="en-US" w:eastAsia="zh-CN"/>
              </w:rPr>
              <w:t>给水规划</w:t>
            </w:r>
            <w:bookmarkEnd w:id="68"/>
            <w:bookmarkEnd w:id="69"/>
          </w:p>
        </w:tc>
        <w:tc>
          <w:tcPr>
            <w:tcW w:w="5644" w:type="dxa"/>
            <w:tcBorders>
              <w:tl2br w:val="nil"/>
              <w:tr2bl w:val="nil"/>
            </w:tcBorders>
            <w:shd w:val="clear" w:color="auto" w:fill="auto"/>
            <w:vAlign w:val="center"/>
          </w:tcPr>
          <w:p w14:paraId="29DD7931">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水厂：江宁开发区水厂、江宁科学园水厂、淳化水厂、谷里水厂规模共达到49万m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/d，滨江水厂规划至2030年，其供水规模为100万m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/d，且主要向规划区范围内供水，可满足规划区内用水需求</w:t>
            </w:r>
          </w:p>
        </w:tc>
        <w:tc>
          <w:tcPr>
            <w:tcW w:w="5700" w:type="dxa"/>
            <w:tcBorders>
              <w:tl2br w:val="nil"/>
              <w:tr2bl w:val="nil"/>
            </w:tcBorders>
            <w:shd w:val="clear" w:color="auto" w:fill="auto"/>
            <w:vAlign w:val="center"/>
          </w:tcPr>
          <w:p w14:paraId="575BA04C">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水厂：江宁开发区水厂和江宁科学园水厂规模共达到45万m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/d，不能满足内部需求。</w:t>
            </w:r>
            <w:bookmarkStart w:id="70" w:name="sys2324067"/>
            <w:r>
              <w:rPr>
                <w:rFonts w:hint="default" w:ascii="Times New Roman" w:hAnsi="Times New Roman" w:eastAsia="宋体" w:cs="Times New Roman"/>
                <w:color w:val="auto"/>
                <w:sz w:val="21"/>
                <w:szCs w:val="21"/>
                <w:highlight w:val="none"/>
                <w:lang w:val="en-US" w:eastAsia="zh-CN"/>
              </w:rPr>
              <w:t>滨江水厂现状供水规模45万m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/d，规划至2035年，其供水规模为100万m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/d，且主要向规划区范围内供水，可满足规划区内用水需求</w:t>
            </w:r>
            <w:r>
              <w:rPr>
                <w:rFonts w:hint="default" w:ascii="Times New Roman" w:hAnsi="Times New Roman" w:eastAsia="宋体" w:cs="Times New Roman"/>
                <w:color w:val="auto"/>
                <w:sz w:val="21"/>
                <w:szCs w:val="21"/>
                <w:highlight w:val="none"/>
                <w:lang w:eastAsia="zh-CN"/>
              </w:rPr>
              <w:t>。</w:t>
            </w:r>
            <w:bookmarkEnd w:id="70"/>
          </w:p>
        </w:tc>
        <w:tc>
          <w:tcPr>
            <w:tcW w:w="2656" w:type="dxa"/>
            <w:tcBorders>
              <w:tl2br w:val="nil"/>
              <w:tr2bl w:val="nil"/>
            </w:tcBorders>
            <w:shd w:val="clear" w:color="auto" w:fill="auto"/>
            <w:vAlign w:val="center"/>
          </w:tcPr>
          <w:p w14:paraId="5B07FB10">
            <w:pPr>
              <w:widowControl w:val="0"/>
              <w:bidi w:val="0"/>
              <w:jc w:val="center"/>
              <w:rPr>
                <w:rFonts w:hint="default" w:ascii="Times New Roman" w:hAnsi="Times New Roman" w:eastAsia="宋体" w:cs="Times New Roman"/>
                <w:color w:val="auto"/>
                <w:sz w:val="21"/>
                <w:szCs w:val="21"/>
                <w:highlight w:val="none"/>
                <w:lang w:val="en-US" w:eastAsia="zh-CN"/>
              </w:rPr>
            </w:pPr>
            <w:sdt>
              <w:sdtPr>
                <w:rPr>
                  <w:color w:val="auto"/>
                  <w:highlight w:val="none"/>
                </w:rPr>
                <w:alias w:val="标点符号检查"/>
                <w:id w:val="1101442"/>
              </w:sdtPr>
              <w:sdtEndPr>
                <w:rPr>
                  <w:color w:val="auto"/>
                  <w:highlight w:val="none"/>
                </w:rPr>
              </w:sdtEndPr>
              <w:sdtContent>
                <w:bookmarkStart w:id="71" w:name="bkReivew1101442"/>
                <w:r>
                  <w:rPr>
                    <w:rFonts w:hint="default" w:ascii="Times New Roman" w:hAnsi="Times New Roman" w:eastAsia="宋体" w:cs="Times New Roman"/>
                    <w:color w:val="auto"/>
                    <w:sz w:val="21"/>
                    <w:szCs w:val="21"/>
                    <w:highlight w:val="none"/>
                    <w:lang w:val="en-US" w:eastAsia="zh-CN"/>
                  </w:rPr>
                  <w:t>/</w:t>
                </w:r>
                <w:bookmarkEnd w:id="71"/>
              </w:sdtContent>
            </w:sdt>
          </w:p>
        </w:tc>
      </w:tr>
      <w:tr w14:paraId="1C1FE1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tcBorders>
              <w:tl2br w:val="nil"/>
              <w:tr2bl w:val="nil"/>
            </w:tcBorders>
            <w:vAlign w:val="center"/>
          </w:tcPr>
          <w:p w14:paraId="36160B6C">
            <w:pPr>
              <w:widowControl w:val="0"/>
              <w:bidi w:val="0"/>
              <w:jc w:val="center"/>
              <w:rPr>
                <w:rFonts w:hint="default" w:ascii="Times New Roman" w:hAnsi="Times New Roman" w:eastAsia="宋体" w:cs="Times New Roman"/>
                <w:color w:val="auto"/>
                <w:sz w:val="21"/>
                <w:szCs w:val="21"/>
                <w:highlight w:val="none"/>
                <w:lang w:val="en-US" w:eastAsia="zh-CN"/>
              </w:rPr>
            </w:pPr>
            <w:bookmarkStart w:id="72" w:name="_Toc930"/>
            <w:bookmarkStart w:id="73" w:name="_Toc12376"/>
            <w:r>
              <w:rPr>
                <w:rFonts w:hint="default" w:ascii="Times New Roman" w:hAnsi="Times New Roman" w:eastAsia="宋体" w:cs="Times New Roman"/>
                <w:color w:val="auto"/>
                <w:sz w:val="21"/>
                <w:szCs w:val="21"/>
                <w:highlight w:val="none"/>
                <w:lang w:val="en-US" w:eastAsia="zh-CN"/>
              </w:rPr>
              <w:t>排水规划</w:t>
            </w:r>
            <w:bookmarkEnd w:id="72"/>
            <w:bookmarkEnd w:id="73"/>
          </w:p>
        </w:tc>
        <w:tc>
          <w:tcPr>
            <w:tcW w:w="5644" w:type="dxa"/>
            <w:tcBorders>
              <w:tl2br w:val="nil"/>
              <w:tr2bl w:val="nil"/>
            </w:tcBorders>
            <w:shd w:val="clear" w:color="auto" w:fill="auto"/>
            <w:vAlign w:val="center"/>
          </w:tcPr>
          <w:p w14:paraId="57FE1C4C">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规划区内开发区污水处理厂、科学园污水处理厂、空港污水处理厂、南区污水处理厂至2030年处理总规模为52万m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/d，另外规划区内的污水还将依托规划区外的江宁城北污水处理厂、禄口污水处理厂、谷里污水处理厂、杨柳湖西岸污水处理厂等进行处理</w:t>
            </w:r>
          </w:p>
        </w:tc>
        <w:tc>
          <w:tcPr>
            <w:tcW w:w="5700" w:type="dxa"/>
            <w:tcBorders>
              <w:tl2br w:val="nil"/>
              <w:tr2bl w:val="nil"/>
            </w:tcBorders>
            <w:shd w:val="clear" w:color="auto" w:fill="auto"/>
            <w:vAlign w:val="center"/>
          </w:tcPr>
          <w:p w14:paraId="13D2DBA7">
            <w:pPr>
              <w:widowControl w:val="0"/>
              <w:bidi w:val="0"/>
              <w:jc w:val="center"/>
              <w:rPr>
                <w:rFonts w:hint="default" w:ascii="Times New Roman" w:hAnsi="Times New Roman" w:eastAsia="宋体" w:cs="Times New Roman"/>
                <w:color w:val="auto"/>
                <w:sz w:val="21"/>
                <w:szCs w:val="21"/>
                <w:highlight w:val="none"/>
                <w:lang w:val="en-US" w:eastAsia="zh-CN"/>
              </w:rPr>
            </w:pPr>
            <w:bookmarkStart w:id="74" w:name="sys236058"/>
            <w:r>
              <w:rPr>
                <w:rFonts w:hint="default" w:ascii="Times New Roman" w:hAnsi="Times New Roman" w:eastAsia="宋体" w:cs="Times New Roman"/>
                <w:color w:val="auto"/>
                <w:sz w:val="21"/>
                <w:szCs w:val="21"/>
                <w:highlight w:val="none"/>
                <w:lang w:val="en-US" w:eastAsia="zh-CN"/>
              </w:rPr>
              <w:t>区内污水处理厂开发区污水处理厂、科学园污水处理厂、空港污水处理厂、南区污水处理厂，2025年规划规模56万m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bookmarkEnd w:id="74"/>
            <w:r>
              <w:rPr>
                <w:rFonts w:hint="default" w:ascii="Times New Roman" w:hAnsi="Times New Roman" w:eastAsia="宋体" w:cs="Times New Roman"/>
                <w:color w:val="auto"/>
                <w:sz w:val="21"/>
                <w:szCs w:val="21"/>
                <w:highlight w:val="none"/>
                <w:lang w:val="en-US" w:eastAsia="zh-CN"/>
              </w:rPr>
              <w:t>2035年规划规模77万m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p w14:paraId="16F7B2F8">
            <w:pPr>
              <w:widowControl w:val="0"/>
              <w:bidi w:val="0"/>
              <w:jc w:val="center"/>
              <w:rPr>
                <w:rFonts w:hint="default" w:ascii="Times New Roman" w:hAnsi="Times New Roman" w:eastAsia="宋体" w:cs="Times New Roman"/>
                <w:color w:val="auto"/>
                <w:sz w:val="21"/>
                <w:szCs w:val="21"/>
                <w:highlight w:val="none"/>
                <w:lang w:val="en-US" w:eastAsia="zh-CN"/>
              </w:rPr>
            </w:pPr>
            <w:bookmarkStart w:id="75" w:name="sys237058"/>
            <w:r>
              <w:rPr>
                <w:rFonts w:hint="default" w:ascii="Times New Roman" w:hAnsi="Times New Roman" w:eastAsia="宋体" w:cs="Times New Roman"/>
                <w:color w:val="auto"/>
                <w:sz w:val="21"/>
                <w:szCs w:val="21"/>
                <w:highlight w:val="none"/>
                <w:lang w:val="en-US" w:eastAsia="zh-CN"/>
              </w:rPr>
              <w:t>依托区外污水处理厂谷里污水处理厂、禄口污水处理厂、湖熟污水处理厂、城北污水处理厂，2025年规划规模28万m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bookmarkEnd w:id="75"/>
            <w:r>
              <w:rPr>
                <w:rFonts w:hint="default" w:ascii="Times New Roman" w:hAnsi="Times New Roman" w:eastAsia="宋体" w:cs="Times New Roman"/>
                <w:color w:val="auto"/>
                <w:sz w:val="21"/>
                <w:szCs w:val="21"/>
                <w:highlight w:val="none"/>
                <w:lang w:val="en-US" w:eastAsia="zh-CN"/>
              </w:rPr>
              <w:t>2035年规划规模42.5万m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c>
          <w:tcPr>
            <w:tcW w:w="2656" w:type="dxa"/>
            <w:tcBorders>
              <w:tl2br w:val="nil"/>
              <w:tr2bl w:val="nil"/>
            </w:tcBorders>
            <w:shd w:val="clear" w:color="auto" w:fill="auto"/>
            <w:vAlign w:val="center"/>
          </w:tcPr>
          <w:p w14:paraId="6881E3A0">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衔接《南京市城乡生活污水处理专项规划（2018~2035）》，对污水处理厂规划规模进行调整。</w:t>
            </w:r>
          </w:p>
        </w:tc>
      </w:tr>
      <w:tr w14:paraId="2EAAD8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tcBorders>
              <w:tl2br w:val="nil"/>
              <w:tr2bl w:val="nil"/>
            </w:tcBorders>
            <w:vAlign w:val="center"/>
          </w:tcPr>
          <w:p w14:paraId="67387019">
            <w:pPr>
              <w:widowControl w:val="0"/>
              <w:bidi w:val="0"/>
              <w:jc w:val="center"/>
              <w:rPr>
                <w:rFonts w:hint="default" w:ascii="Times New Roman" w:hAnsi="Times New Roman" w:eastAsia="宋体" w:cs="Times New Roman"/>
                <w:color w:val="auto"/>
                <w:sz w:val="21"/>
                <w:szCs w:val="21"/>
                <w:highlight w:val="none"/>
                <w:lang w:val="en-US" w:eastAsia="zh-CN"/>
              </w:rPr>
            </w:pPr>
            <w:bookmarkStart w:id="76" w:name="_Toc21696"/>
            <w:bookmarkStart w:id="77" w:name="_Toc30575"/>
            <w:r>
              <w:rPr>
                <w:rFonts w:hint="default" w:ascii="Times New Roman" w:hAnsi="Times New Roman" w:eastAsia="宋体" w:cs="Times New Roman"/>
                <w:color w:val="auto"/>
                <w:sz w:val="21"/>
                <w:szCs w:val="21"/>
                <w:highlight w:val="none"/>
                <w:lang w:val="en-US" w:eastAsia="zh-CN"/>
              </w:rPr>
              <w:t>供电规划</w:t>
            </w:r>
            <w:bookmarkEnd w:id="76"/>
            <w:bookmarkEnd w:id="77"/>
          </w:p>
        </w:tc>
        <w:tc>
          <w:tcPr>
            <w:tcW w:w="5644" w:type="dxa"/>
            <w:tcBorders>
              <w:tl2br w:val="nil"/>
              <w:tr2bl w:val="nil"/>
            </w:tcBorders>
            <w:shd w:val="clear" w:color="auto" w:fill="auto"/>
            <w:vAlign w:val="center"/>
          </w:tcPr>
          <w:p w14:paraId="0BC62732">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保留现状500kV东善桥变电站。在江宁区东部增设1座500kV青龙山变电站，远期规划达到3</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750MVA；</w:t>
            </w:r>
            <w:bookmarkStart w:id="78" w:name="sys2405331"/>
            <w:r>
              <w:rPr>
                <w:rFonts w:hint="default" w:ascii="Times New Roman" w:hAnsi="Times New Roman" w:eastAsia="宋体" w:cs="Times New Roman"/>
                <w:color w:val="auto"/>
                <w:sz w:val="21"/>
                <w:szCs w:val="21"/>
                <w:highlight w:val="none"/>
                <w:lang w:val="en-US" w:eastAsia="zh-CN"/>
              </w:rPr>
              <w:t>规划区内现拥有3座220千伏变电站，即殷巷变、苏庄变和华科变；</w:t>
            </w:r>
            <w:bookmarkEnd w:id="78"/>
            <w:r>
              <w:rPr>
                <w:rFonts w:hint="default" w:ascii="Times New Roman" w:hAnsi="Times New Roman" w:eastAsia="宋体" w:cs="Times New Roman"/>
                <w:color w:val="auto"/>
                <w:sz w:val="21"/>
                <w:szCs w:val="21"/>
                <w:highlight w:val="none"/>
                <w:lang w:val="en-US" w:eastAsia="zh-CN"/>
              </w:rPr>
              <w:t>近期增设10座220KV变电站</w:t>
            </w:r>
          </w:p>
        </w:tc>
        <w:tc>
          <w:tcPr>
            <w:tcW w:w="5700" w:type="dxa"/>
            <w:tcBorders>
              <w:tl2br w:val="nil"/>
              <w:tr2bl w:val="nil"/>
            </w:tcBorders>
            <w:shd w:val="clear" w:color="auto" w:fill="auto"/>
            <w:vAlign w:val="center"/>
          </w:tcPr>
          <w:p w14:paraId="3EF7D422">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保留现状500kV东善桥变电站。新建2合1000MVA主变，远景规模6台1000MVA。</w:t>
            </w:r>
          </w:p>
          <w:p w14:paraId="7083CAC2">
            <w:pPr>
              <w:widowControl w:val="0"/>
              <w:bidi w:val="0"/>
              <w:jc w:val="center"/>
              <w:rPr>
                <w:rFonts w:hint="default" w:ascii="Times New Roman" w:hAnsi="Times New Roman" w:eastAsia="宋体" w:cs="Times New Roman"/>
                <w:color w:val="auto"/>
                <w:sz w:val="21"/>
                <w:szCs w:val="21"/>
                <w:highlight w:val="none"/>
                <w:lang w:val="en-US" w:eastAsia="zh-CN"/>
              </w:rPr>
            </w:pPr>
            <w:bookmarkStart w:id="79" w:name="sys242031"/>
            <w:r>
              <w:rPr>
                <w:rFonts w:hint="default" w:ascii="Times New Roman" w:hAnsi="Times New Roman" w:eastAsia="宋体" w:cs="Times New Roman"/>
                <w:color w:val="auto"/>
                <w:sz w:val="21"/>
                <w:szCs w:val="21"/>
                <w:highlight w:val="none"/>
                <w:lang w:val="en-US" w:eastAsia="zh-CN"/>
              </w:rPr>
              <w:t>开发区现状拥有3座220千伏变电站，即殷巷变、苏庄变和华科变；</w:t>
            </w:r>
            <w:bookmarkEnd w:id="79"/>
            <w:r>
              <w:rPr>
                <w:rFonts w:hint="default" w:ascii="Times New Roman" w:hAnsi="Times New Roman" w:eastAsia="宋体" w:cs="Times New Roman"/>
                <w:color w:val="auto"/>
                <w:sz w:val="21"/>
                <w:szCs w:val="21"/>
                <w:highlight w:val="none"/>
                <w:lang w:val="en-US" w:eastAsia="zh-CN"/>
              </w:rPr>
              <w:t>近期增设10座220KV变电站</w:t>
            </w:r>
          </w:p>
        </w:tc>
        <w:tc>
          <w:tcPr>
            <w:tcW w:w="2656" w:type="dxa"/>
            <w:tcBorders>
              <w:tl2br w:val="nil"/>
              <w:tr2bl w:val="nil"/>
            </w:tcBorders>
            <w:shd w:val="clear" w:color="auto" w:fill="auto"/>
            <w:vAlign w:val="center"/>
          </w:tcPr>
          <w:p w14:paraId="55C53CAF">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5A3481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tcBorders>
              <w:tl2br w:val="nil"/>
              <w:tr2bl w:val="nil"/>
            </w:tcBorders>
            <w:vAlign w:val="center"/>
          </w:tcPr>
          <w:p w14:paraId="5F349B8C">
            <w:pPr>
              <w:widowControl w:val="0"/>
              <w:bidi w:val="0"/>
              <w:jc w:val="center"/>
              <w:rPr>
                <w:rFonts w:hint="default" w:ascii="Times New Roman" w:hAnsi="Times New Roman" w:eastAsia="宋体" w:cs="Times New Roman"/>
                <w:color w:val="auto"/>
                <w:sz w:val="21"/>
                <w:szCs w:val="21"/>
                <w:highlight w:val="none"/>
                <w:lang w:val="en-US" w:eastAsia="zh-CN"/>
              </w:rPr>
            </w:pPr>
            <w:bookmarkStart w:id="80" w:name="_Toc21918"/>
            <w:bookmarkStart w:id="81" w:name="_Toc25773"/>
            <w:r>
              <w:rPr>
                <w:rFonts w:hint="default" w:ascii="Times New Roman" w:hAnsi="Times New Roman" w:eastAsia="宋体" w:cs="Times New Roman"/>
                <w:color w:val="auto"/>
                <w:sz w:val="21"/>
                <w:szCs w:val="21"/>
                <w:highlight w:val="none"/>
                <w:lang w:val="en-US" w:eastAsia="zh-CN"/>
              </w:rPr>
              <w:t>燃气规划</w:t>
            </w:r>
            <w:bookmarkEnd w:id="80"/>
            <w:bookmarkEnd w:id="81"/>
          </w:p>
        </w:tc>
        <w:tc>
          <w:tcPr>
            <w:tcW w:w="5644" w:type="dxa"/>
            <w:tcBorders>
              <w:tl2br w:val="nil"/>
              <w:tr2bl w:val="nil"/>
            </w:tcBorders>
            <w:shd w:val="clear" w:color="auto" w:fill="auto"/>
            <w:vAlign w:val="center"/>
          </w:tcPr>
          <w:p w14:paraId="042F66E8">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①高压A级天然气干管规划</w:t>
            </w:r>
          </w:p>
          <w:p w14:paraId="2A9208C8">
            <w:pPr>
              <w:widowControl w:val="0"/>
              <w:bidi w:val="0"/>
              <w:jc w:val="center"/>
              <w:rPr>
                <w:rFonts w:hint="default" w:ascii="Times New Roman" w:hAnsi="Times New Roman" w:eastAsia="宋体" w:cs="Times New Roman"/>
                <w:color w:val="auto"/>
                <w:sz w:val="21"/>
                <w:szCs w:val="21"/>
                <w:highlight w:val="none"/>
                <w:lang w:val="en-US" w:eastAsia="zh-CN"/>
              </w:rPr>
            </w:pPr>
            <w:bookmarkStart w:id="82" w:name="sys246054"/>
            <w:r>
              <w:rPr>
                <w:rFonts w:hint="default" w:ascii="Times New Roman" w:hAnsi="Times New Roman" w:eastAsia="宋体" w:cs="Times New Roman"/>
                <w:color w:val="auto"/>
                <w:sz w:val="21"/>
                <w:szCs w:val="21"/>
                <w:highlight w:val="none"/>
                <w:lang w:val="en-US" w:eastAsia="zh-CN"/>
              </w:rPr>
              <w:t>落实“川气东输”高压A级天然气干管，江宁经济技术开发区境内主线走向：淳化-湖熟-东山组团南部-谷里组团北部。</w:t>
            </w:r>
            <w:bookmarkEnd w:id="82"/>
          </w:p>
          <w:p w14:paraId="0B22FA7C">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②天然气设施规划</w:t>
            </w:r>
          </w:p>
          <w:p w14:paraId="5A3A0FDA">
            <w:pPr>
              <w:widowControl w:val="0"/>
              <w:bidi w:val="0"/>
              <w:jc w:val="center"/>
              <w:rPr>
                <w:rFonts w:hint="default" w:ascii="Times New Roman" w:hAnsi="Times New Roman" w:eastAsia="宋体" w:cs="Times New Roman"/>
                <w:color w:val="auto"/>
                <w:sz w:val="21"/>
                <w:szCs w:val="21"/>
                <w:highlight w:val="none"/>
                <w:lang w:val="en-US" w:eastAsia="zh-CN"/>
              </w:rPr>
            </w:pPr>
            <w:bookmarkStart w:id="83" w:name="sys248052"/>
            <w:r>
              <w:rPr>
                <w:rFonts w:hint="default" w:ascii="Times New Roman" w:hAnsi="Times New Roman" w:eastAsia="宋体" w:cs="Times New Roman"/>
                <w:color w:val="auto"/>
                <w:sz w:val="21"/>
                <w:szCs w:val="21"/>
                <w:highlight w:val="none"/>
                <w:lang w:val="en-US" w:eastAsia="zh-CN"/>
              </w:rPr>
              <w:t>在江宁区东山组团东南部、溧水河西岸，设1座天然气门站，以“川气东输”天然气为气源，向东山组团供应天然气。</w:t>
            </w:r>
            <w:bookmarkEnd w:id="83"/>
            <w:r>
              <w:rPr>
                <w:rFonts w:hint="default" w:ascii="Times New Roman" w:hAnsi="Times New Roman" w:eastAsia="宋体" w:cs="Times New Roman"/>
                <w:color w:val="auto"/>
                <w:sz w:val="21"/>
                <w:szCs w:val="21"/>
                <w:highlight w:val="none"/>
                <w:lang w:val="en-US" w:eastAsia="zh-CN"/>
              </w:rPr>
              <w:t>该门站占地约12公顷。</w:t>
            </w:r>
          </w:p>
        </w:tc>
        <w:tc>
          <w:tcPr>
            <w:tcW w:w="5700" w:type="dxa"/>
            <w:tcBorders>
              <w:tl2br w:val="nil"/>
              <w:tr2bl w:val="nil"/>
            </w:tcBorders>
            <w:shd w:val="clear" w:color="auto" w:fill="auto"/>
            <w:vAlign w:val="center"/>
          </w:tcPr>
          <w:p w14:paraId="6818D4C7">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开发区使用“川气东送”天然气，“西气东输”作为备用气源。</w:t>
            </w:r>
          </w:p>
          <w:p w14:paraId="6538CE45">
            <w:pPr>
              <w:widowControl w:val="0"/>
              <w:bidi w:val="0"/>
              <w:jc w:val="center"/>
              <w:rPr>
                <w:rFonts w:hint="default" w:ascii="Times New Roman" w:hAnsi="Times New Roman" w:eastAsia="宋体" w:cs="Times New Roman"/>
                <w:color w:val="auto"/>
                <w:sz w:val="21"/>
                <w:szCs w:val="21"/>
                <w:highlight w:val="none"/>
                <w:lang w:val="en-US" w:eastAsia="zh-CN"/>
              </w:rPr>
            </w:pPr>
            <w:bookmarkStart w:id="84" w:name="sys250067"/>
            <w:r>
              <w:rPr>
                <w:rFonts w:hint="default" w:ascii="Times New Roman" w:hAnsi="Times New Roman" w:eastAsia="宋体" w:cs="Times New Roman"/>
                <w:color w:val="auto"/>
                <w:sz w:val="21"/>
                <w:szCs w:val="21"/>
                <w:highlight w:val="none"/>
                <w:lang w:val="en-US" w:eastAsia="zh-CN"/>
              </w:rPr>
              <w:t>①高压A级天然气干管规划：落实“川气东输”高压A级天然气干管，江宁经济技术开发区境内主线走向：淳化-湖熟-东山组团南部-谷里组团北部。</w:t>
            </w:r>
            <w:bookmarkEnd w:id="84"/>
          </w:p>
          <w:p w14:paraId="57B6238C">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天然气设施规划：在江宁区东山组团东南部、溧水河西岸，设1座天然气门站，以“川气东输”天然气为气源，向东山组团供应天然气，该门站占地约12公顷，在禄口组团北部、东善桥和淳化，各设天然气调压站1座。</w:t>
            </w:r>
          </w:p>
        </w:tc>
        <w:tc>
          <w:tcPr>
            <w:tcW w:w="2656" w:type="dxa"/>
            <w:tcBorders>
              <w:tl2br w:val="nil"/>
              <w:tr2bl w:val="nil"/>
            </w:tcBorders>
            <w:shd w:val="clear" w:color="auto" w:fill="auto"/>
            <w:vAlign w:val="center"/>
          </w:tcPr>
          <w:p w14:paraId="04BAD519">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10380F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tcBorders>
              <w:tl2br w:val="nil"/>
              <w:tr2bl w:val="nil"/>
            </w:tcBorders>
            <w:vAlign w:val="center"/>
          </w:tcPr>
          <w:p w14:paraId="500D590A">
            <w:pPr>
              <w:widowControl w:val="0"/>
              <w:bidi w:val="0"/>
              <w:jc w:val="center"/>
              <w:rPr>
                <w:rFonts w:hint="default" w:ascii="Times New Roman" w:hAnsi="Times New Roman" w:eastAsia="宋体" w:cs="Times New Roman"/>
                <w:color w:val="auto"/>
                <w:sz w:val="21"/>
                <w:szCs w:val="21"/>
                <w:highlight w:val="none"/>
                <w:lang w:val="en-US" w:eastAsia="zh-CN"/>
              </w:rPr>
            </w:pPr>
            <w:bookmarkStart w:id="85" w:name="_Toc6708"/>
            <w:bookmarkStart w:id="86" w:name="_Toc8563"/>
            <w:r>
              <w:rPr>
                <w:rFonts w:hint="default" w:ascii="Times New Roman" w:hAnsi="Times New Roman" w:eastAsia="宋体" w:cs="Times New Roman"/>
                <w:color w:val="auto"/>
                <w:sz w:val="21"/>
                <w:szCs w:val="21"/>
                <w:highlight w:val="none"/>
                <w:lang w:val="en-US" w:eastAsia="zh-CN"/>
              </w:rPr>
              <w:t>供热规划</w:t>
            </w:r>
            <w:bookmarkEnd w:id="85"/>
            <w:bookmarkEnd w:id="86"/>
          </w:p>
        </w:tc>
        <w:tc>
          <w:tcPr>
            <w:tcW w:w="5644" w:type="dxa"/>
            <w:tcBorders>
              <w:tl2br w:val="nil"/>
              <w:tr2bl w:val="nil"/>
            </w:tcBorders>
            <w:shd w:val="clear" w:color="auto" w:fill="auto"/>
            <w:vAlign w:val="center"/>
          </w:tcPr>
          <w:p w14:paraId="7BE9594F">
            <w:pPr>
              <w:widowControl w:val="0"/>
              <w:bidi w:val="0"/>
              <w:jc w:val="center"/>
              <w:rPr>
                <w:rFonts w:hint="default" w:ascii="Times New Roman" w:hAnsi="Times New Roman" w:eastAsia="宋体" w:cs="Times New Roman"/>
                <w:color w:val="auto"/>
                <w:sz w:val="21"/>
                <w:szCs w:val="21"/>
                <w:highlight w:val="none"/>
                <w:lang w:val="en-US" w:eastAsia="zh-CN"/>
              </w:rPr>
            </w:pPr>
            <w:bookmarkStart w:id="87" w:name="sys254077"/>
            <w:r>
              <w:rPr>
                <w:rFonts w:hint="default" w:ascii="Times New Roman" w:hAnsi="Times New Roman" w:eastAsia="宋体" w:cs="Times New Roman"/>
                <w:color w:val="auto"/>
                <w:sz w:val="21"/>
                <w:szCs w:val="21"/>
                <w:highlight w:val="none"/>
                <w:lang w:val="en-US" w:eastAsia="zh-CN"/>
              </w:rPr>
              <w:t>规划范围内实行集中供热，目前已经关停南京新苏热电有限公司燃煤机组，近期依托南京协鑫生活污泥发电有限公司现有燃煤机组，并对规划区内企业自备锅炉完成禁煤改造。</w:t>
            </w:r>
            <w:bookmarkEnd w:id="87"/>
            <w:r>
              <w:rPr>
                <w:rFonts w:hint="default" w:ascii="Times New Roman" w:hAnsi="Times New Roman" w:eastAsia="宋体" w:cs="Times New Roman"/>
                <w:color w:val="auto"/>
                <w:sz w:val="21"/>
                <w:szCs w:val="21"/>
                <w:highlight w:val="none"/>
                <w:lang w:val="en-US" w:eastAsia="zh-CN"/>
              </w:rPr>
              <w:t>远期考虑将南京协鑫生活污泥发电有限公司燃煤机组关闭，供热以南京蓝天燃机热电联产项目作为热源，其最终规模为4</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200MW级燃气-蒸汽联合循环热电联产机组，总供热负荷为314t/h。供热范围内逐步淘汰企业自备锅炉</w:t>
            </w:r>
          </w:p>
        </w:tc>
        <w:tc>
          <w:tcPr>
            <w:tcW w:w="5700" w:type="dxa"/>
            <w:tcBorders>
              <w:tl2br w:val="nil"/>
              <w:tr2bl w:val="nil"/>
            </w:tcBorders>
            <w:shd w:val="clear" w:color="auto" w:fill="auto"/>
            <w:vAlign w:val="center"/>
          </w:tcPr>
          <w:p w14:paraId="2C1A738A">
            <w:pPr>
              <w:widowControl w:val="0"/>
              <w:bidi w:val="0"/>
              <w:jc w:val="center"/>
              <w:rPr>
                <w:rFonts w:hint="default" w:ascii="Times New Roman" w:hAnsi="Times New Roman" w:eastAsia="宋体" w:cs="Times New Roman"/>
                <w:color w:val="auto"/>
                <w:sz w:val="21"/>
                <w:szCs w:val="21"/>
                <w:highlight w:val="none"/>
                <w:lang w:val="en-US" w:eastAsia="zh-CN"/>
              </w:rPr>
            </w:pPr>
            <w:bookmarkStart w:id="88" w:name="sys255094"/>
            <w:r>
              <w:rPr>
                <w:rFonts w:hint="default" w:ascii="Times New Roman" w:hAnsi="Times New Roman" w:eastAsia="宋体" w:cs="Times New Roman"/>
                <w:color w:val="auto"/>
                <w:sz w:val="21"/>
                <w:szCs w:val="21"/>
                <w:highlight w:val="none"/>
                <w:lang w:val="en-US" w:eastAsia="zh-CN"/>
              </w:rPr>
              <w:t>规划范围内施行集中供热，供热以南京协鑫燃机热电有限公司南京蓝天燃机热电联产项目作为热源，保留现状2</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80MW级燃气-蒸汽联合循环热电联产机组，规划建设一台60t/h的小锅炉作为备用热源。</w:t>
            </w:r>
            <w:bookmarkEnd w:id="88"/>
            <w:r>
              <w:rPr>
                <w:rFonts w:hint="default" w:ascii="Times New Roman" w:hAnsi="Times New Roman" w:eastAsia="宋体" w:cs="Times New Roman"/>
                <w:color w:val="auto"/>
                <w:sz w:val="21"/>
                <w:szCs w:val="21"/>
                <w:highlight w:val="none"/>
                <w:lang w:val="en-US" w:eastAsia="zh-CN"/>
              </w:rPr>
              <w:t>协鑫燃机热电主要供应东山、淳化以及秣陵片区。</w:t>
            </w:r>
          </w:p>
          <w:p w14:paraId="01EB747D">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由于空港片区处于现状协鑫燃机热电集中供热管网的末端，不能满足供热需求。因此为确保空港片区未来产业的发展，规划建设1处集中供热锅炉房，位于空港片区越秀路与乾清路交叉口西南侧，用地面积为3.3公顷，规模为3台50t/h天然气蒸汽锅炉（2用1备），主要供热空港片区。</w:t>
            </w:r>
          </w:p>
          <w:p w14:paraId="47DA7B31">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供热范围内逐步淘汰企业自备锅炉。</w:t>
            </w:r>
            <w:bookmarkStart w:id="89" w:name="sys2571633"/>
            <w:r>
              <w:rPr>
                <w:rFonts w:hint="default" w:ascii="Times New Roman" w:hAnsi="Times New Roman" w:eastAsia="宋体" w:cs="Times New Roman"/>
                <w:color w:val="auto"/>
                <w:sz w:val="21"/>
                <w:szCs w:val="21"/>
                <w:highlight w:val="none"/>
                <w:lang w:val="en-US" w:eastAsia="zh-CN"/>
              </w:rPr>
              <w:t>供热范围外，企业根据供热需求可自备供热锅炉，需使用天然气等清洁能源</w:t>
            </w:r>
            <w:bookmarkEnd w:id="89"/>
          </w:p>
        </w:tc>
        <w:tc>
          <w:tcPr>
            <w:tcW w:w="2656" w:type="dxa"/>
            <w:tcBorders>
              <w:tl2br w:val="nil"/>
              <w:tr2bl w:val="nil"/>
            </w:tcBorders>
            <w:shd w:val="clear" w:color="auto" w:fill="auto"/>
            <w:vAlign w:val="center"/>
          </w:tcPr>
          <w:p w14:paraId="707C1E3D">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根据开发区后续供热需求，对协鑫燃机热电规划供热规模重新调整。</w:t>
            </w:r>
          </w:p>
          <w:p w14:paraId="62C0504B">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另外，由于空港片区处于现状协鑫燃机热电集中供热管网的末端，不能满足供热需求，本轮规划在空港片区规划建设1处集中供热锅炉房，规模为3台50t/h天然气蒸汽锅炉（2用1备）</w:t>
            </w:r>
          </w:p>
        </w:tc>
      </w:tr>
    </w:tbl>
    <w:p w14:paraId="34C3A24B">
      <w:pPr>
        <w:keepNext w:val="0"/>
        <w:keepLines w:val="0"/>
        <w:pageBreakBefore w:val="0"/>
        <w:widowControl/>
        <w:kinsoku w:val="0"/>
        <w:wordWrap/>
        <w:overflowPunct/>
        <w:topLinePunct w:val="0"/>
        <w:autoSpaceDE w:val="0"/>
        <w:autoSpaceDN w:val="0"/>
        <w:bidi w:val="0"/>
        <w:adjustRightInd w:val="0"/>
        <w:snapToGrid w:val="0"/>
        <w:spacing w:before="36" w:line="240" w:lineRule="auto"/>
        <w:ind w:left="45"/>
        <w:jc w:val="center"/>
        <w:textAlignment w:val="baseline"/>
        <w:outlineLvl w:val="9"/>
        <w:rPr>
          <w:rFonts w:hint="eastAsia" w:ascii="Times New Roman" w:hAnsi="Times New Roman" w:eastAsia="宋体" w:cs="Times New Roman"/>
          <w:b/>
          <w:bCs/>
          <w:color w:val="auto"/>
          <w:spacing w:val="-3"/>
          <w:sz w:val="24"/>
          <w:szCs w:val="24"/>
          <w:highlight w:val="none"/>
          <w:lang w:val="en-US" w:eastAsia="zh-CN"/>
        </w:rPr>
      </w:pPr>
      <w:r>
        <w:rPr>
          <w:rFonts w:hint="eastAsia" w:ascii="Times New Roman" w:hAnsi="Times New Roman" w:eastAsia="宋体" w:cs="Times New Roman"/>
          <w:b/>
          <w:bCs/>
          <w:color w:val="auto"/>
          <w:spacing w:val="-3"/>
          <w:sz w:val="24"/>
          <w:szCs w:val="24"/>
          <w:highlight w:val="none"/>
          <w:lang w:val="en-US" w:eastAsia="zh-CN"/>
        </w:rPr>
        <w:t>表1-1-2  江宁经济技术开发区区域评估变化情况</w:t>
      </w:r>
      <w:bookmarkStart w:id="90" w:name="pindex260"/>
      <w:bookmarkEnd w:id="90"/>
    </w:p>
    <w:tbl>
      <w:tblPr>
        <w:tblStyle w:val="2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8"/>
        <w:gridCol w:w="5817"/>
        <w:gridCol w:w="5635"/>
        <w:gridCol w:w="2113"/>
      </w:tblGrid>
      <w:tr w14:paraId="4837A3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tcBorders>
              <w:tl2br w:val="nil"/>
              <w:tr2bl w:val="nil"/>
            </w:tcBorders>
            <w:vAlign w:val="center"/>
          </w:tcPr>
          <w:p w14:paraId="5ADB5359">
            <w:pPr>
              <w:widowControl w:val="0"/>
              <w:bidi w:val="0"/>
              <w:jc w:val="center"/>
              <w:rPr>
                <w:rFonts w:hint="default" w:ascii="Times New Roman" w:hAnsi="Times New Roman" w:eastAsia="宋体" w:cs="Times New Roman"/>
                <w:b/>
                <w:bCs/>
                <w:color w:val="auto"/>
                <w:highlight w:val="none"/>
                <w:lang w:val="en-US" w:eastAsia="zh-CN"/>
              </w:rPr>
            </w:pPr>
            <w:bookmarkStart w:id="91" w:name="_Toc661"/>
            <w:bookmarkStart w:id="92" w:name="_Toc589"/>
            <w:r>
              <w:rPr>
                <w:rFonts w:hint="default" w:ascii="Times New Roman" w:hAnsi="Times New Roman" w:eastAsia="宋体" w:cs="Times New Roman"/>
                <w:b/>
                <w:bCs/>
                <w:color w:val="auto"/>
                <w:highlight w:val="none"/>
                <w:lang w:val="en-US" w:eastAsia="zh-CN"/>
              </w:rPr>
              <w:t>所属报告</w:t>
            </w:r>
            <w:bookmarkEnd w:id="91"/>
            <w:bookmarkEnd w:id="92"/>
          </w:p>
        </w:tc>
        <w:tc>
          <w:tcPr>
            <w:tcW w:w="5817" w:type="dxa"/>
            <w:tcBorders>
              <w:tl2br w:val="nil"/>
              <w:tr2bl w:val="nil"/>
            </w:tcBorders>
            <w:shd w:val="clear" w:color="auto" w:fill="auto"/>
            <w:vAlign w:val="center"/>
          </w:tcPr>
          <w:p w14:paraId="0099ABFB">
            <w:pPr>
              <w:widowControl w:val="0"/>
              <w:bidi w:val="0"/>
              <w:jc w:val="center"/>
              <w:rPr>
                <w:rFonts w:hint="default" w:ascii="Times New Roman" w:hAnsi="Times New Roman" w:eastAsia="宋体" w:cs="Times New Roman"/>
                <w:b/>
                <w:bCs/>
                <w:color w:val="auto"/>
                <w:highlight w:val="none"/>
                <w:lang w:val="en-US" w:eastAsia="zh-CN"/>
              </w:rPr>
            </w:pPr>
            <w:bookmarkStart w:id="93" w:name="_Toc27693"/>
            <w:bookmarkStart w:id="94" w:name="_Toc17402"/>
            <w:r>
              <w:rPr>
                <w:rFonts w:hint="default" w:ascii="Times New Roman" w:hAnsi="Times New Roman" w:eastAsia="宋体" w:cs="Times New Roman"/>
                <w:b/>
                <w:bCs/>
                <w:color w:val="auto"/>
                <w:highlight w:val="none"/>
                <w:lang w:val="en-US" w:eastAsia="zh-CN"/>
              </w:rPr>
              <w:t>上一轮区域评估情况</w:t>
            </w:r>
            <w:bookmarkEnd w:id="93"/>
            <w:bookmarkEnd w:id="94"/>
          </w:p>
        </w:tc>
        <w:tc>
          <w:tcPr>
            <w:tcW w:w="5635" w:type="dxa"/>
            <w:tcBorders>
              <w:tl2br w:val="nil"/>
              <w:tr2bl w:val="nil"/>
            </w:tcBorders>
            <w:shd w:val="clear" w:color="auto" w:fill="auto"/>
            <w:vAlign w:val="center"/>
          </w:tcPr>
          <w:p w14:paraId="4466313D">
            <w:pPr>
              <w:widowControl w:val="0"/>
              <w:bidi w:val="0"/>
              <w:jc w:val="center"/>
              <w:rPr>
                <w:rFonts w:hint="default" w:ascii="Times New Roman" w:hAnsi="Times New Roman" w:eastAsia="宋体" w:cs="Times New Roman"/>
                <w:b/>
                <w:bCs/>
                <w:color w:val="auto"/>
                <w:highlight w:val="none"/>
                <w:lang w:val="en-US" w:eastAsia="zh-CN"/>
              </w:rPr>
            </w:pPr>
            <w:bookmarkStart w:id="95" w:name="_Toc21367"/>
            <w:bookmarkStart w:id="96" w:name="_Toc31072"/>
            <w:r>
              <w:rPr>
                <w:rFonts w:hint="default" w:ascii="Times New Roman" w:hAnsi="Times New Roman" w:eastAsia="宋体" w:cs="Times New Roman"/>
                <w:b/>
                <w:bCs/>
                <w:color w:val="auto"/>
                <w:highlight w:val="none"/>
                <w:lang w:val="en-US" w:eastAsia="zh-CN"/>
              </w:rPr>
              <w:t>最新一轮区域评估情况</w:t>
            </w:r>
            <w:bookmarkEnd w:id="95"/>
            <w:bookmarkEnd w:id="96"/>
          </w:p>
        </w:tc>
        <w:tc>
          <w:tcPr>
            <w:tcW w:w="2113" w:type="dxa"/>
            <w:tcBorders>
              <w:tl2br w:val="nil"/>
              <w:tr2bl w:val="nil"/>
            </w:tcBorders>
            <w:shd w:val="clear" w:color="auto" w:fill="auto"/>
            <w:vAlign w:val="center"/>
          </w:tcPr>
          <w:p w14:paraId="45D858E6">
            <w:pPr>
              <w:widowControl w:val="0"/>
              <w:bidi w:val="0"/>
              <w:jc w:val="center"/>
              <w:rPr>
                <w:rFonts w:hint="default" w:ascii="Times New Roman" w:hAnsi="Times New Roman" w:eastAsia="宋体" w:cs="Times New Roman"/>
                <w:b/>
                <w:bCs/>
                <w:color w:val="auto"/>
                <w:highlight w:val="none"/>
                <w:lang w:val="en-US" w:eastAsia="zh-CN"/>
              </w:rPr>
            </w:pPr>
            <w:bookmarkStart w:id="97" w:name="_Toc4170"/>
            <w:bookmarkStart w:id="98" w:name="_Toc28890"/>
            <w:r>
              <w:rPr>
                <w:rFonts w:hint="default" w:ascii="Times New Roman" w:hAnsi="Times New Roman" w:eastAsia="宋体" w:cs="Times New Roman"/>
                <w:b/>
                <w:bCs/>
                <w:color w:val="auto"/>
                <w:highlight w:val="none"/>
                <w:lang w:val="en-US" w:eastAsia="zh-CN"/>
              </w:rPr>
              <w:t>对比分析</w:t>
            </w:r>
            <w:bookmarkEnd w:id="97"/>
            <w:bookmarkEnd w:id="98"/>
          </w:p>
        </w:tc>
      </w:tr>
      <w:tr w14:paraId="0B9652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tcBorders>
              <w:tl2br w:val="nil"/>
              <w:tr2bl w:val="nil"/>
            </w:tcBorders>
            <w:vAlign w:val="center"/>
          </w:tcPr>
          <w:p w14:paraId="79F839CD">
            <w:pPr>
              <w:widowControl w:val="0"/>
              <w:bidi w:val="0"/>
              <w:jc w:val="center"/>
              <w:rPr>
                <w:rFonts w:hint="default" w:ascii="Times New Roman" w:hAnsi="Times New Roman" w:eastAsia="宋体" w:cs="Times New Roman"/>
                <w:color w:val="auto"/>
                <w:highlight w:val="none"/>
                <w:lang w:val="en-US" w:eastAsia="zh-CN"/>
              </w:rPr>
            </w:pPr>
            <w:bookmarkStart w:id="99" w:name="_Toc30230"/>
            <w:bookmarkStart w:id="100" w:name="_Toc7529"/>
            <w:r>
              <w:rPr>
                <w:rFonts w:hint="default" w:ascii="Times New Roman" w:hAnsi="Times New Roman" w:eastAsia="宋体" w:cs="Times New Roman"/>
                <w:color w:val="auto"/>
                <w:highlight w:val="none"/>
                <w:lang w:val="en-US" w:eastAsia="zh-CN"/>
              </w:rPr>
              <w:t>报告名称</w:t>
            </w:r>
            <w:bookmarkEnd w:id="99"/>
            <w:bookmarkEnd w:id="100"/>
          </w:p>
        </w:tc>
        <w:tc>
          <w:tcPr>
            <w:tcW w:w="5817" w:type="dxa"/>
            <w:tcBorders>
              <w:tl2br w:val="nil"/>
              <w:tr2bl w:val="nil"/>
            </w:tcBorders>
            <w:shd w:val="clear" w:color="auto" w:fill="auto"/>
            <w:vAlign w:val="center"/>
          </w:tcPr>
          <w:p w14:paraId="7599E0B7">
            <w:pPr>
              <w:widowControl w:val="0"/>
              <w:bidi w:val="0"/>
              <w:rPr>
                <w:rFonts w:hint="default" w:ascii="Times New Roman" w:hAnsi="Times New Roman" w:eastAsia="宋体" w:cs="Times New Roman"/>
                <w:color w:val="auto"/>
                <w:highlight w:val="none"/>
                <w:lang w:val="en-US" w:eastAsia="zh-CN"/>
              </w:rPr>
            </w:pPr>
            <w:bookmarkStart w:id="101" w:name="_Toc19288"/>
            <w:bookmarkStart w:id="102" w:name="_Toc6201"/>
            <w:r>
              <w:rPr>
                <w:rFonts w:hint="default" w:ascii="Times New Roman" w:hAnsi="Times New Roman" w:eastAsia="宋体" w:cs="Times New Roman"/>
                <w:color w:val="auto"/>
                <w:highlight w:val="none"/>
                <w:lang w:val="en-US" w:eastAsia="zh-CN"/>
              </w:rPr>
              <w:t>《南京江宁经济技术开发区环境影响评价区域评估报告》</w:t>
            </w:r>
            <w:bookmarkEnd w:id="101"/>
            <w:bookmarkEnd w:id="102"/>
          </w:p>
        </w:tc>
        <w:tc>
          <w:tcPr>
            <w:tcW w:w="5635" w:type="dxa"/>
            <w:tcBorders>
              <w:tl2br w:val="nil"/>
              <w:tr2bl w:val="nil"/>
            </w:tcBorders>
            <w:shd w:val="clear" w:color="auto" w:fill="auto"/>
            <w:vAlign w:val="center"/>
          </w:tcPr>
          <w:p w14:paraId="703D06D1">
            <w:pPr>
              <w:widowControl w:val="0"/>
              <w:bidi w:val="0"/>
              <w:rPr>
                <w:rFonts w:hint="default" w:ascii="Times New Roman" w:hAnsi="Times New Roman" w:eastAsia="宋体" w:cs="Times New Roman"/>
                <w:color w:val="auto"/>
                <w:highlight w:val="none"/>
                <w:lang w:val="en-US" w:eastAsia="zh-CN"/>
              </w:rPr>
            </w:pPr>
            <w:bookmarkStart w:id="103" w:name="_Toc25827"/>
            <w:bookmarkStart w:id="104" w:name="_Toc14962"/>
            <w:r>
              <w:rPr>
                <w:rFonts w:hint="default" w:ascii="Times New Roman" w:hAnsi="Times New Roman" w:eastAsia="宋体" w:cs="Times New Roman"/>
                <w:color w:val="auto"/>
                <w:highlight w:val="none"/>
                <w:lang w:val="en-US" w:eastAsia="zh-CN"/>
              </w:rPr>
              <w:t>《南京江宁经济技术开发区环境影响评价区域评估报告（2024年）》</w:t>
            </w:r>
            <w:bookmarkEnd w:id="103"/>
            <w:bookmarkEnd w:id="104"/>
          </w:p>
        </w:tc>
        <w:tc>
          <w:tcPr>
            <w:tcW w:w="2113" w:type="dxa"/>
            <w:tcBorders>
              <w:tl2br w:val="nil"/>
              <w:tr2bl w:val="nil"/>
            </w:tcBorders>
            <w:shd w:val="clear" w:color="auto" w:fill="auto"/>
            <w:vAlign w:val="center"/>
          </w:tcPr>
          <w:p w14:paraId="07513A5B">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387643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88" w:type="dxa"/>
            <w:tcBorders>
              <w:tl2br w:val="nil"/>
              <w:tr2bl w:val="nil"/>
            </w:tcBorders>
            <w:vAlign w:val="center"/>
          </w:tcPr>
          <w:p w14:paraId="32CBCA9D">
            <w:pPr>
              <w:widowControl w:val="0"/>
              <w:bidi w:val="0"/>
              <w:jc w:val="center"/>
              <w:rPr>
                <w:rFonts w:hint="default" w:ascii="Times New Roman" w:hAnsi="Times New Roman" w:eastAsia="宋体" w:cs="Times New Roman"/>
                <w:color w:val="auto"/>
                <w:highlight w:val="none"/>
                <w:lang w:val="en-US" w:eastAsia="zh-CN"/>
              </w:rPr>
            </w:pPr>
            <w:bookmarkStart w:id="105" w:name="_Toc28729"/>
            <w:bookmarkStart w:id="106" w:name="_Toc13240"/>
            <w:r>
              <w:rPr>
                <w:rFonts w:hint="default" w:ascii="Times New Roman" w:hAnsi="Times New Roman" w:eastAsia="宋体" w:cs="Times New Roman"/>
                <w:color w:val="auto"/>
                <w:highlight w:val="none"/>
                <w:lang w:val="en-US" w:eastAsia="zh-CN"/>
              </w:rPr>
              <w:t>规划范围</w:t>
            </w:r>
            <w:bookmarkEnd w:id="105"/>
            <w:bookmarkEnd w:id="106"/>
          </w:p>
        </w:tc>
        <w:tc>
          <w:tcPr>
            <w:tcW w:w="5817" w:type="dxa"/>
            <w:tcBorders>
              <w:tl2br w:val="nil"/>
              <w:tr2bl w:val="nil"/>
            </w:tcBorders>
            <w:shd w:val="clear" w:color="auto" w:fill="auto"/>
            <w:vAlign w:val="center"/>
          </w:tcPr>
          <w:p w14:paraId="60D7F4F1">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规划范围：129.94km</w:t>
            </w:r>
            <w:r>
              <w:rPr>
                <w:rFonts w:hint="default" w:ascii="Times New Roman" w:hAnsi="Times New Roman" w:eastAsia="宋体" w:cs="Times New Roman"/>
                <w:color w:val="auto"/>
                <w:highlight w:val="none"/>
                <w:vertAlign w:val="superscript"/>
                <w:lang w:val="en-US" w:eastAsia="zh-CN"/>
              </w:rPr>
              <w:t>2</w:t>
            </w:r>
          </w:p>
          <w:p w14:paraId="68627C84">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重点开发范围：2.6km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（绕城高速以南、正方中路以北、将军大道以东、金鑫路以西区域）</w:t>
            </w:r>
          </w:p>
        </w:tc>
        <w:tc>
          <w:tcPr>
            <w:tcW w:w="5635" w:type="dxa"/>
            <w:tcBorders>
              <w:tl2br w:val="nil"/>
              <w:tr2bl w:val="nil"/>
            </w:tcBorders>
            <w:shd w:val="clear" w:color="auto" w:fill="auto"/>
            <w:vAlign w:val="center"/>
          </w:tcPr>
          <w:p w14:paraId="029119E3">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规划范围：137.3km</w:t>
            </w:r>
            <w:r>
              <w:rPr>
                <w:rFonts w:hint="default" w:ascii="Times New Roman" w:hAnsi="Times New Roman" w:eastAsia="宋体" w:cs="Times New Roman"/>
                <w:color w:val="auto"/>
                <w:highlight w:val="none"/>
                <w:vertAlign w:val="superscript"/>
                <w:lang w:val="en-US" w:eastAsia="zh-CN"/>
              </w:rPr>
              <w:t>2</w:t>
            </w:r>
          </w:p>
        </w:tc>
        <w:tc>
          <w:tcPr>
            <w:tcW w:w="2113" w:type="dxa"/>
            <w:tcBorders>
              <w:tl2br w:val="nil"/>
              <w:tr2bl w:val="nil"/>
            </w:tcBorders>
            <w:shd w:val="clear" w:color="auto" w:fill="auto"/>
            <w:vAlign w:val="center"/>
          </w:tcPr>
          <w:p w14:paraId="626F580D">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规划范围面积发生变化，无重点开发范围</w:t>
            </w:r>
          </w:p>
        </w:tc>
      </w:tr>
      <w:tr w14:paraId="000385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tcBorders>
              <w:tl2br w:val="nil"/>
              <w:tr2bl w:val="nil"/>
            </w:tcBorders>
            <w:vAlign w:val="center"/>
          </w:tcPr>
          <w:p w14:paraId="21F7663D">
            <w:pPr>
              <w:widowControl w:val="0"/>
              <w:bidi w:val="0"/>
              <w:jc w:val="center"/>
              <w:rPr>
                <w:rFonts w:hint="default" w:ascii="Times New Roman" w:hAnsi="Times New Roman" w:eastAsia="宋体" w:cs="Times New Roman"/>
                <w:color w:val="auto"/>
                <w:highlight w:val="none"/>
                <w:lang w:val="en-US" w:eastAsia="zh-CN"/>
              </w:rPr>
            </w:pPr>
            <w:bookmarkStart w:id="107" w:name="_Toc15425"/>
            <w:bookmarkStart w:id="108" w:name="_Toc32389"/>
            <w:r>
              <w:rPr>
                <w:rFonts w:hint="default" w:ascii="Times New Roman" w:hAnsi="Times New Roman" w:eastAsia="宋体" w:cs="Times New Roman"/>
                <w:color w:val="auto"/>
                <w:highlight w:val="none"/>
                <w:lang w:val="en-US" w:eastAsia="zh-CN"/>
              </w:rPr>
              <w:t>功能定位</w:t>
            </w:r>
            <w:bookmarkEnd w:id="107"/>
            <w:bookmarkEnd w:id="108"/>
          </w:p>
        </w:tc>
        <w:tc>
          <w:tcPr>
            <w:tcW w:w="5817" w:type="dxa"/>
            <w:tcBorders>
              <w:tl2br w:val="nil"/>
              <w:tr2bl w:val="nil"/>
            </w:tcBorders>
            <w:shd w:val="clear" w:color="auto" w:fill="auto"/>
            <w:vAlign w:val="center"/>
          </w:tcPr>
          <w:p w14:paraId="0D7E2166">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定位为：生态化科技产业新城，国际化品质宜居新城，现代化科教创新园区。</w:t>
            </w:r>
          </w:p>
          <w:p w14:paraId="20613B62">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目标为“将江宁经济技术开发区建设成为南京改革创新发展的示范区、先行区、标志区”</w:t>
            </w:r>
          </w:p>
        </w:tc>
        <w:tc>
          <w:tcPr>
            <w:tcW w:w="5635" w:type="dxa"/>
            <w:tcBorders>
              <w:tl2br w:val="nil"/>
              <w:tr2bl w:val="nil"/>
            </w:tcBorders>
            <w:shd w:val="clear" w:color="auto" w:fill="auto"/>
            <w:vAlign w:val="center"/>
          </w:tcPr>
          <w:p w14:paraId="50838E3A">
            <w:pPr>
              <w:widowControl w:val="0"/>
              <w:bidi w:val="0"/>
              <w:rPr>
                <w:rFonts w:hint="default" w:ascii="Times New Roman" w:hAnsi="Times New Roman" w:eastAsia="宋体" w:cs="Times New Roman"/>
                <w:color w:val="auto"/>
                <w:highlight w:val="none"/>
                <w:lang w:val="en-US" w:eastAsia="zh-CN"/>
              </w:rPr>
            </w:pPr>
            <w:bookmarkStart w:id="109" w:name="sys277058"/>
            <w:r>
              <w:rPr>
                <w:rFonts w:hint="default" w:ascii="Times New Roman" w:hAnsi="Times New Roman" w:eastAsia="宋体" w:cs="Times New Roman"/>
                <w:color w:val="auto"/>
                <w:highlight w:val="none"/>
                <w:lang w:val="en-US" w:eastAsia="zh-CN"/>
              </w:rPr>
              <w:t>国际性科技创新先行区、制造业高质量发展示范区、江苏国际航空枢纽核心区、南京主城南部中心标志区、江宁生态人文融合活力区</w:t>
            </w:r>
            <w:bookmarkEnd w:id="109"/>
          </w:p>
        </w:tc>
        <w:tc>
          <w:tcPr>
            <w:tcW w:w="2113" w:type="dxa"/>
            <w:tcBorders>
              <w:tl2br w:val="nil"/>
              <w:tr2bl w:val="nil"/>
            </w:tcBorders>
            <w:shd w:val="clear" w:color="auto" w:fill="auto"/>
            <w:vAlign w:val="center"/>
          </w:tcPr>
          <w:p w14:paraId="7D265759">
            <w:pPr>
              <w:widowControl w:val="0"/>
              <w:bidi w:val="0"/>
              <w:rPr>
                <w:rFonts w:hint="default" w:ascii="Times New Roman" w:hAnsi="Times New Roman" w:eastAsia="宋体" w:cs="Times New Roman"/>
                <w:color w:val="auto"/>
                <w:highlight w:val="none"/>
                <w:lang w:val="en-US" w:eastAsia="zh-CN"/>
              </w:rPr>
            </w:pPr>
            <w:bookmarkStart w:id="110" w:name="sys278035"/>
            <w:r>
              <w:rPr>
                <w:rFonts w:hint="default" w:ascii="Times New Roman" w:hAnsi="Times New Roman" w:eastAsia="宋体" w:cs="Times New Roman"/>
                <w:color w:val="auto"/>
                <w:highlight w:val="none"/>
                <w:lang w:val="en-US" w:eastAsia="zh-CN"/>
              </w:rPr>
              <w:t>根据南京市“创新名城、美丽古都”新南京的发展愿景，进一步完善功能定位。</w:t>
            </w:r>
            <w:bookmarkEnd w:id="110"/>
          </w:p>
        </w:tc>
      </w:tr>
      <w:tr w14:paraId="401887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tcBorders>
              <w:tl2br w:val="nil"/>
              <w:tr2bl w:val="nil"/>
            </w:tcBorders>
            <w:vAlign w:val="center"/>
          </w:tcPr>
          <w:p w14:paraId="7A931B72">
            <w:pPr>
              <w:widowControl w:val="0"/>
              <w:bidi w:val="0"/>
              <w:jc w:val="center"/>
              <w:rPr>
                <w:rFonts w:hint="default" w:ascii="Times New Roman" w:hAnsi="Times New Roman" w:eastAsia="宋体" w:cs="Times New Roman"/>
                <w:color w:val="auto"/>
                <w:highlight w:val="none"/>
                <w:lang w:val="en-US" w:eastAsia="zh-CN"/>
              </w:rPr>
            </w:pPr>
            <w:bookmarkStart w:id="111" w:name="_Toc6955"/>
            <w:bookmarkStart w:id="112" w:name="_Toc2048"/>
            <w:r>
              <w:rPr>
                <w:rFonts w:hint="default" w:ascii="Times New Roman" w:hAnsi="Times New Roman" w:eastAsia="宋体" w:cs="Times New Roman"/>
                <w:color w:val="auto"/>
                <w:highlight w:val="none"/>
                <w:lang w:val="en-US" w:eastAsia="zh-CN"/>
              </w:rPr>
              <w:t>产业政策</w:t>
            </w:r>
            <w:bookmarkEnd w:id="111"/>
            <w:bookmarkEnd w:id="112"/>
          </w:p>
        </w:tc>
        <w:tc>
          <w:tcPr>
            <w:tcW w:w="5817" w:type="dxa"/>
            <w:tcBorders>
              <w:tl2br w:val="nil"/>
              <w:tr2bl w:val="nil"/>
            </w:tcBorders>
            <w:shd w:val="clear" w:color="auto" w:fill="auto"/>
            <w:vAlign w:val="center"/>
          </w:tcPr>
          <w:p w14:paraId="59DCF5B0">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后续可入区建设项目均符合开发区规划产业定位，以及《产业结构调整指导目录（2019年本）》、《江苏省工业和信息产业结构调整指导目录（2012年本）》（2013年修正）、《江苏省工业和信息产业结构调整限制淘汰目录和能耗限额（2015年本）》、《外商投资准入特别管理措施（负面清单）（2019年版）》、《鼓励外商投资产业目录（2019年版）》等相关产业政策</w:t>
            </w:r>
          </w:p>
        </w:tc>
        <w:tc>
          <w:tcPr>
            <w:tcW w:w="5635" w:type="dxa"/>
            <w:tcBorders>
              <w:tl2br w:val="nil"/>
              <w:tr2bl w:val="nil"/>
            </w:tcBorders>
            <w:shd w:val="clear" w:color="auto" w:fill="auto"/>
            <w:vAlign w:val="center"/>
          </w:tcPr>
          <w:p w14:paraId="235D56E9">
            <w:pPr>
              <w:widowControl w:val="0"/>
              <w:bidi w:val="0"/>
              <w:rPr>
                <w:rFonts w:hint="default" w:ascii="Times New Roman" w:hAnsi="Times New Roman" w:eastAsia="宋体" w:cs="Times New Roman"/>
                <w:color w:val="auto"/>
                <w:highlight w:val="none"/>
                <w:lang w:val="en-US" w:eastAsia="zh-CN"/>
              </w:rPr>
            </w:pPr>
            <w:bookmarkStart w:id="113" w:name="sys2810101"/>
            <w:r>
              <w:rPr>
                <w:rFonts w:hint="default" w:ascii="Times New Roman" w:hAnsi="Times New Roman" w:eastAsia="宋体" w:cs="Times New Roman"/>
                <w:color w:val="auto"/>
                <w:highlight w:val="none"/>
                <w:lang w:val="en-US" w:eastAsia="zh-CN"/>
              </w:rPr>
              <w:t>后续可入区建设项目均符合开发区规划产业定位，以及《产业结构调整指导目录》（2024年</w:t>
            </w:r>
            <w:sdt>
              <w:sdtPr>
                <w:rPr>
                  <w:color w:val="auto"/>
                  <w:highlight w:val="none"/>
                </w:rPr>
                <w:alias w:val="易错词检查"/>
                <w:tag w:val="auto"/>
                <w:id w:val="2011626"/>
              </w:sdtPr>
              <w:sdtEndPr>
                <w:rPr>
                  <w:color w:val="auto"/>
                  <w:highlight w:val="none"/>
                </w:rPr>
              </w:sdtEndPr>
              <w:sdtContent>
                <w:bookmarkStart w:id="114" w:name="bkReivew2011626"/>
                <w:r>
                  <w:rPr>
                    <w:rFonts w:hint="default" w:ascii="Times New Roman" w:hAnsi="Times New Roman" w:eastAsia="宋体" w:cs="Times New Roman"/>
                    <w:color w:val="auto"/>
                    <w:highlight w:val="none"/>
                    <w:lang w:val="en-US" w:eastAsia="zh-CN"/>
                  </w:rPr>
                  <w:t>本</w:t>
                </w:r>
                <w:bookmarkEnd w:id="114"/>
              </w:sdtContent>
            </w:sdt>
            <w:r>
              <w:rPr>
                <w:rFonts w:hint="default" w:ascii="Times New Roman" w:hAnsi="Times New Roman" w:eastAsia="宋体" w:cs="Times New Roman"/>
                <w:color w:val="auto"/>
                <w:highlight w:val="none"/>
                <w:lang w:val="en-US" w:eastAsia="zh-CN"/>
              </w:rPr>
              <w:t>）、《外商投资准入特别管理措施（负面清单）》（2021年版）《鼓励外商投资产业目录》（2022年版）等相关产业政策。</w:t>
            </w:r>
            <w:bookmarkEnd w:id="113"/>
          </w:p>
        </w:tc>
        <w:tc>
          <w:tcPr>
            <w:tcW w:w="2113" w:type="dxa"/>
            <w:tcBorders>
              <w:tl2br w:val="nil"/>
              <w:tr2bl w:val="nil"/>
            </w:tcBorders>
            <w:shd w:val="clear" w:color="auto" w:fill="auto"/>
            <w:vAlign w:val="center"/>
          </w:tcPr>
          <w:p w14:paraId="662FAC67">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相关产业政策更新</w:t>
            </w:r>
          </w:p>
        </w:tc>
      </w:tr>
      <w:tr w14:paraId="380CD9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tcBorders>
              <w:tl2br w:val="nil"/>
              <w:tr2bl w:val="nil"/>
            </w:tcBorders>
            <w:vAlign w:val="center"/>
          </w:tcPr>
          <w:p w14:paraId="31421790">
            <w:pPr>
              <w:widowControl w:val="0"/>
              <w:bidi w:val="0"/>
              <w:jc w:val="center"/>
              <w:rPr>
                <w:rFonts w:hint="default" w:ascii="Times New Roman" w:hAnsi="Times New Roman" w:eastAsia="宋体" w:cs="Times New Roman"/>
                <w:color w:val="auto"/>
                <w:highlight w:val="none"/>
                <w:lang w:val="en-US" w:eastAsia="zh-CN"/>
              </w:rPr>
            </w:pPr>
            <w:bookmarkStart w:id="115" w:name="_Toc9542"/>
            <w:bookmarkStart w:id="116" w:name="_Toc28012"/>
            <w:r>
              <w:rPr>
                <w:rFonts w:hint="default" w:ascii="Times New Roman" w:hAnsi="Times New Roman" w:eastAsia="宋体" w:cs="Times New Roman"/>
                <w:color w:val="auto"/>
                <w:highlight w:val="none"/>
                <w:lang w:val="en-US" w:eastAsia="zh-CN"/>
              </w:rPr>
              <w:t>产业体系</w:t>
            </w:r>
            <w:bookmarkEnd w:id="115"/>
            <w:bookmarkEnd w:id="116"/>
          </w:p>
        </w:tc>
        <w:tc>
          <w:tcPr>
            <w:tcW w:w="5817" w:type="dxa"/>
            <w:tcBorders>
              <w:tl2br w:val="nil"/>
              <w:tr2bl w:val="nil"/>
            </w:tcBorders>
            <w:shd w:val="clear" w:color="auto" w:fill="auto"/>
            <w:vAlign w:val="center"/>
          </w:tcPr>
          <w:p w14:paraId="2EE835E9">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构筑“3+3+3+1”现代产业体系：形成绿色智能汽车、智能电网、新一代信息技术产业三大支柱产业，高端装备制造、节能环保、生命科学三大新兴产业，现代物流、软件开发、文化休旅三大现代服务业</w:t>
            </w:r>
          </w:p>
        </w:tc>
        <w:tc>
          <w:tcPr>
            <w:tcW w:w="5635" w:type="dxa"/>
            <w:tcBorders>
              <w:tl2br w:val="nil"/>
              <w:tr2bl w:val="nil"/>
            </w:tcBorders>
            <w:shd w:val="clear" w:color="auto" w:fill="auto"/>
            <w:vAlign w:val="center"/>
          </w:tcPr>
          <w:p w14:paraId="1D55669F">
            <w:pPr>
              <w:widowControl w:val="0"/>
              <w:bidi w:val="0"/>
              <w:rPr>
                <w:rFonts w:hint="default" w:ascii="Times New Roman" w:hAnsi="Times New Roman" w:eastAsia="宋体" w:cs="Times New Roman"/>
                <w:color w:val="auto"/>
                <w:highlight w:val="none"/>
                <w:lang w:val="en-US" w:eastAsia="zh-CN"/>
              </w:rPr>
            </w:pPr>
            <w:bookmarkStart w:id="117" w:name="sys285068"/>
            <w:r>
              <w:rPr>
                <w:rFonts w:hint="default" w:ascii="Times New Roman" w:hAnsi="Times New Roman" w:eastAsia="宋体" w:cs="Times New Roman"/>
                <w:color w:val="auto"/>
                <w:highlight w:val="none"/>
                <w:lang w:val="en-US" w:eastAsia="zh-CN"/>
              </w:rPr>
              <w:t>打造地标产业、壮大新兴产业、提升现代服务业，前瞻布局未来产业，构建形成包含绿色智能汽车、新一代信息技术、智能制造、智能电网四大主导产业；</w:t>
            </w:r>
            <w:bookmarkEnd w:id="117"/>
            <w:bookmarkStart w:id="118" w:name="sys2856840"/>
            <w:r>
              <w:rPr>
                <w:rFonts w:hint="default" w:ascii="Times New Roman" w:hAnsi="Times New Roman" w:eastAsia="宋体" w:cs="Times New Roman"/>
                <w:color w:val="auto"/>
                <w:highlight w:val="none"/>
                <w:lang w:val="en-US" w:eastAsia="zh-CN"/>
              </w:rPr>
              <w:t>临空产业、集成电路产业、医药大健康产业、轨道交通产业及节能环保产业五大新兴产业；</w:t>
            </w:r>
            <w:bookmarkEnd w:id="118"/>
            <w:bookmarkStart w:id="119" w:name="sys28510878"/>
            <w:r>
              <w:rPr>
                <w:rFonts w:hint="default" w:ascii="Times New Roman" w:hAnsi="Times New Roman" w:eastAsia="宋体" w:cs="Times New Roman"/>
                <w:color w:val="auto"/>
                <w:highlight w:val="none"/>
                <w:lang w:val="en-US" w:eastAsia="zh-CN"/>
              </w:rPr>
              <w:t>高端商务商贸产业，新金融产业、文化休旅产业三大现代服务业，以未来网络、人工智能、未来材料、未来探测为代表的一批未来产业的“4+5+3+1”高端现代化产业体系</w:t>
            </w:r>
            <w:bookmarkEnd w:id="119"/>
          </w:p>
        </w:tc>
        <w:tc>
          <w:tcPr>
            <w:tcW w:w="2113" w:type="dxa"/>
            <w:tcBorders>
              <w:tl2br w:val="nil"/>
              <w:tr2bl w:val="nil"/>
            </w:tcBorders>
            <w:shd w:val="clear" w:color="auto" w:fill="auto"/>
            <w:vAlign w:val="center"/>
          </w:tcPr>
          <w:p w14:paraId="62129091">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推动产业迈向中高端，提出“4+5+3+1”高端现代化产业体系</w:t>
            </w:r>
          </w:p>
        </w:tc>
      </w:tr>
      <w:tr w14:paraId="15C633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tcBorders>
              <w:tl2br w:val="nil"/>
              <w:tr2bl w:val="nil"/>
            </w:tcBorders>
            <w:vAlign w:val="center"/>
          </w:tcPr>
          <w:p w14:paraId="1227FE61">
            <w:pPr>
              <w:widowControl w:val="0"/>
              <w:bidi w:val="0"/>
              <w:jc w:val="center"/>
              <w:rPr>
                <w:rFonts w:hint="default" w:ascii="Times New Roman" w:hAnsi="Times New Roman" w:eastAsia="宋体" w:cs="Times New Roman"/>
                <w:color w:val="auto"/>
                <w:highlight w:val="none"/>
                <w:lang w:val="en-US" w:eastAsia="zh-CN"/>
              </w:rPr>
            </w:pPr>
            <w:bookmarkStart w:id="120" w:name="_Toc6819"/>
            <w:bookmarkStart w:id="121" w:name="_Toc8512"/>
            <w:r>
              <w:rPr>
                <w:rFonts w:hint="default" w:ascii="Times New Roman" w:hAnsi="Times New Roman" w:eastAsia="宋体" w:cs="Times New Roman"/>
                <w:color w:val="auto"/>
                <w:highlight w:val="none"/>
                <w:lang w:val="en-US" w:eastAsia="zh-CN"/>
              </w:rPr>
              <w:t>产业布局</w:t>
            </w:r>
            <w:bookmarkEnd w:id="120"/>
            <w:bookmarkEnd w:id="121"/>
          </w:p>
        </w:tc>
        <w:tc>
          <w:tcPr>
            <w:tcW w:w="5817" w:type="dxa"/>
            <w:tcBorders>
              <w:tl2br w:val="nil"/>
              <w:tr2bl w:val="nil"/>
            </w:tcBorders>
            <w:shd w:val="clear" w:color="auto" w:fill="auto"/>
            <w:vAlign w:val="center"/>
          </w:tcPr>
          <w:p w14:paraId="7A04C34D">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以江宁经济技术开发区为主体，连同秣陵工业片区、吉山软件产业片区形成江宁工业板块，重点发展软件研发、车辆制造、装备制造、新型能源、电子信息、智能电网等产业。</w:t>
            </w:r>
          </w:p>
        </w:tc>
        <w:tc>
          <w:tcPr>
            <w:tcW w:w="5635" w:type="dxa"/>
            <w:tcBorders>
              <w:tl2br w:val="nil"/>
              <w:tr2bl w:val="nil"/>
            </w:tcBorders>
            <w:shd w:val="clear" w:color="auto" w:fill="auto"/>
            <w:vAlign w:val="center"/>
          </w:tcPr>
          <w:p w14:paraId="10B91D4F">
            <w:pPr>
              <w:widowControl w:val="0"/>
              <w:bidi w:val="0"/>
              <w:rPr>
                <w:rFonts w:hint="default" w:ascii="Times New Roman" w:hAnsi="Times New Roman" w:eastAsia="宋体" w:cs="Times New Roman"/>
                <w:color w:val="auto"/>
                <w:highlight w:val="none"/>
                <w:lang w:val="en-US" w:eastAsia="zh-CN"/>
              </w:rPr>
            </w:pPr>
            <w:bookmarkStart w:id="122" w:name="sys289091"/>
            <w:r>
              <w:rPr>
                <w:rFonts w:hint="default" w:ascii="Times New Roman" w:hAnsi="Times New Roman" w:eastAsia="宋体" w:cs="Times New Roman"/>
                <w:color w:val="auto"/>
                <w:highlight w:val="none"/>
                <w:lang w:val="en-US" w:eastAsia="zh-CN"/>
              </w:rPr>
              <w:t>制造业分布主要集中在三大片区、服务业主要分布在五个片区，加强龙头企业带动高端制造业的进一步集聚，加快形成以现代制造业和现代服务业为主体，建立技术领先、结构优化、特色鲜明的现代产业体系</w:t>
            </w:r>
            <w:bookmarkEnd w:id="122"/>
          </w:p>
        </w:tc>
        <w:tc>
          <w:tcPr>
            <w:tcW w:w="2113" w:type="dxa"/>
            <w:tcBorders>
              <w:tl2br w:val="nil"/>
              <w:tr2bl w:val="nil"/>
            </w:tcBorders>
            <w:shd w:val="clear" w:color="auto" w:fill="auto"/>
            <w:vAlign w:val="center"/>
          </w:tcPr>
          <w:p w14:paraId="74EA3B81">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进一步优化产业布局</w:t>
            </w:r>
          </w:p>
        </w:tc>
      </w:tr>
      <w:tr w14:paraId="35BE46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tcBorders>
              <w:tl2br w:val="nil"/>
              <w:tr2bl w:val="nil"/>
            </w:tcBorders>
            <w:vAlign w:val="center"/>
          </w:tcPr>
          <w:p w14:paraId="126086BE">
            <w:pPr>
              <w:widowControl w:val="0"/>
              <w:bidi w:val="0"/>
              <w:jc w:val="center"/>
              <w:rPr>
                <w:rFonts w:hint="default" w:ascii="Times New Roman" w:hAnsi="Times New Roman" w:eastAsia="宋体" w:cs="Times New Roman"/>
                <w:color w:val="auto"/>
                <w:highlight w:val="none"/>
                <w:lang w:val="en-US" w:eastAsia="zh-CN"/>
              </w:rPr>
            </w:pPr>
            <w:bookmarkStart w:id="123" w:name="_Toc28445"/>
            <w:bookmarkStart w:id="124" w:name="_Toc5182"/>
            <w:r>
              <w:rPr>
                <w:rFonts w:hint="default" w:ascii="Times New Roman" w:hAnsi="Times New Roman" w:eastAsia="宋体" w:cs="Times New Roman"/>
                <w:color w:val="auto"/>
                <w:highlight w:val="none"/>
                <w:lang w:val="en-US" w:eastAsia="zh-CN"/>
              </w:rPr>
              <w:t>排水情况</w:t>
            </w:r>
            <w:bookmarkEnd w:id="123"/>
            <w:bookmarkEnd w:id="124"/>
          </w:p>
        </w:tc>
        <w:tc>
          <w:tcPr>
            <w:tcW w:w="5817" w:type="dxa"/>
            <w:tcBorders>
              <w:tl2br w:val="nil"/>
              <w:tr2bl w:val="nil"/>
            </w:tcBorders>
            <w:shd w:val="clear" w:color="auto" w:fill="auto"/>
            <w:vAlign w:val="center"/>
          </w:tcPr>
          <w:p w14:paraId="30ABB2B9">
            <w:pPr>
              <w:widowControl w:val="0"/>
              <w:bidi w:val="0"/>
              <w:rPr>
                <w:rFonts w:hint="default" w:ascii="Times New Roman" w:hAnsi="Times New Roman" w:eastAsia="宋体" w:cs="Times New Roman"/>
                <w:color w:val="auto"/>
                <w:highlight w:val="none"/>
                <w:lang w:val="en-US" w:eastAsia="zh-CN"/>
              </w:rPr>
            </w:pPr>
            <w:bookmarkStart w:id="125" w:name="sys292053"/>
            <w:r>
              <w:rPr>
                <w:rFonts w:hint="default" w:ascii="Times New Roman" w:hAnsi="Times New Roman" w:eastAsia="宋体" w:cs="Times New Roman"/>
                <w:color w:val="auto"/>
                <w:highlight w:val="none"/>
                <w:lang w:val="en-US" w:eastAsia="zh-CN"/>
              </w:rPr>
              <w:t>开发区评估范围接管污水处理厂有开发区污水处理厂和南区污水处理厂，开发区污水处理厂现状处理规模8万m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/d；</w:t>
            </w:r>
            <w:bookmarkEnd w:id="125"/>
            <w:r>
              <w:rPr>
                <w:rFonts w:hint="default" w:ascii="Times New Roman" w:hAnsi="Times New Roman" w:eastAsia="宋体" w:cs="Times New Roman"/>
                <w:color w:val="auto"/>
                <w:highlight w:val="none"/>
                <w:lang w:val="en-US" w:eastAsia="zh-CN"/>
              </w:rPr>
              <w:t>南区污水处理厂现状处理规模6万m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/d</w:t>
            </w:r>
          </w:p>
        </w:tc>
        <w:tc>
          <w:tcPr>
            <w:tcW w:w="5635" w:type="dxa"/>
            <w:tcBorders>
              <w:tl2br w:val="nil"/>
              <w:tr2bl w:val="nil"/>
            </w:tcBorders>
            <w:shd w:val="clear" w:color="auto" w:fill="auto"/>
            <w:vAlign w:val="center"/>
          </w:tcPr>
          <w:p w14:paraId="25D4B273">
            <w:pPr>
              <w:widowControl w:val="0"/>
              <w:bidi w:val="0"/>
              <w:rPr>
                <w:rFonts w:hint="default" w:ascii="Times New Roman" w:hAnsi="Times New Roman" w:eastAsia="宋体" w:cs="Times New Roman"/>
                <w:color w:val="auto"/>
                <w:highlight w:val="none"/>
                <w:lang w:val="en-US" w:eastAsia="zh-CN"/>
              </w:rPr>
            </w:pPr>
            <w:bookmarkStart w:id="126" w:name="sys293053"/>
            <w:r>
              <w:rPr>
                <w:rFonts w:hint="default" w:ascii="Times New Roman" w:hAnsi="Times New Roman" w:eastAsia="宋体" w:cs="Times New Roman"/>
                <w:color w:val="auto"/>
                <w:highlight w:val="none"/>
                <w:lang w:val="en-US" w:eastAsia="zh-CN"/>
              </w:rPr>
              <w:t>开发区评估范围接管污水处理厂有开发区污水处理厂和南区污水处理厂，开发区污水处理厂现状处理规模8万m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/d；</w:t>
            </w:r>
            <w:bookmarkEnd w:id="126"/>
            <w:r>
              <w:rPr>
                <w:rFonts w:hint="default" w:ascii="Times New Roman" w:hAnsi="Times New Roman" w:eastAsia="宋体" w:cs="Times New Roman"/>
                <w:color w:val="auto"/>
                <w:highlight w:val="none"/>
                <w:lang w:val="en-US" w:eastAsia="zh-CN"/>
              </w:rPr>
              <w:t>南区污水处理厂现状处理规模15万m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/d</w:t>
            </w:r>
          </w:p>
        </w:tc>
        <w:tc>
          <w:tcPr>
            <w:tcW w:w="2113" w:type="dxa"/>
            <w:tcBorders>
              <w:tl2br w:val="nil"/>
              <w:tr2bl w:val="nil"/>
            </w:tcBorders>
            <w:shd w:val="clear" w:color="auto" w:fill="auto"/>
            <w:vAlign w:val="center"/>
          </w:tcPr>
          <w:p w14:paraId="75E81A58">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7D1687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tcBorders>
              <w:tl2br w:val="nil"/>
              <w:tr2bl w:val="nil"/>
            </w:tcBorders>
            <w:vAlign w:val="center"/>
          </w:tcPr>
          <w:p w14:paraId="3EA37D91">
            <w:pPr>
              <w:widowControl w:val="0"/>
              <w:bidi w:val="0"/>
              <w:jc w:val="center"/>
              <w:rPr>
                <w:rFonts w:hint="default" w:ascii="Times New Roman" w:hAnsi="Times New Roman" w:eastAsia="宋体" w:cs="Times New Roman"/>
                <w:color w:val="auto"/>
                <w:highlight w:val="none"/>
                <w:lang w:val="en-US" w:eastAsia="zh-CN"/>
              </w:rPr>
            </w:pPr>
            <w:bookmarkStart w:id="127" w:name="_Toc5789"/>
            <w:bookmarkStart w:id="128" w:name="_Toc19991"/>
            <w:r>
              <w:rPr>
                <w:rFonts w:hint="default" w:ascii="Times New Roman" w:hAnsi="Times New Roman" w:eastAsia="宋体" w:cs="Times New Roman"/>
                <w:color w:val="auto"/>
                <w:highlight w:val="none"/>
                <w:lang w:val="en-US" w:eastAsia="zh-CN"/>
              </w:rPr>
              <w:t>供热情况</w:t>
            </w:r>
            <w:bookmarkEnd w:id="127"/>
            <w:bookmarkEnd w:id="128"/>
          </w:p>
        </w:tc>
        <w:tc>
          <w:tcPr>
            <w:tcW w:w="5817" w:type="dxa"/>
            <w:tcBorders>
              <w:tl2br w:val="nil"/>
              <w:tr2bl w:val="nil"/>
            </w:tcBorders>
            <w:shd w:val="clear" w:color="auto" w:fill="auto"/>
            <w:vAlign w:val="center"/>
          </w:tcPr>
          <w:p w14:paraId="1F2A14B1">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依托南京协鑫燃机热电有限公司现有燃气机组，并对规划区内企业自备锅炉完成了禁煤改造，规划区内目前燃煤锅炉已全部关停或进行了煤改气改造。远期开发区供热范围内逐步淘汰企业自备锅炉</w:t>
            </w:r>
          </w:p>
        </w:tc>
        <w:tc>
          <w:tcPr>
            <w:tcW w:w="5635" w:type="dxa"/>
            <w:tcBorders>
              <w:tl2br w:val="nil"/>
              <w:tr2bl w:val="nil"/>
            </w:tcBorders>
            <w:shd w:val="clear" w:color="auto" w:fill="auto"/>
            <w:vAlign w:val="center"/>
          </w:tcPr>
          <w:p w14:paraId="34572990">
            <w:pPr>
              <w:widowControl w:val="0"/>
              <w:bidi w:val="0"/>
              <w:rPr>
                <w:rFonts w:hint="default" w:ascii="Times New Roman" w:hAnsi="Times New Roman" w:eastAsia="宋体" w:cs="Times New Roman"/>
                <w:color w:val="auto"/>
                <w:highlight w:val="none"/>
                <w:lang w:val="en-US" w:eastAsia="zh-CN"/>
              </w:rPr>
            </w:pPr>
            <w:bookmarkStart w:id="129" w:name="sys297089"/>
            <w:r>
              <w:rPr>
                <w:rFonts w:hint="default" w:ascii="Times New Roman" w:hAnsi="Times New Roman" w:eastAsia="宋体" w:cs="Times New Roman"/>
                <w:color w:val="auto"/>
                <w:highlight w:val="none"/>
                <w:lang w:eastAsia="zh-CN"/>
              </w:rPr>
              <w:t>实</w:t>
            </w:r>
            <w:r>
              <w:rPr>
                <w:rFonts w:hint="default" w:ascii="Times New Roman" w:hAnsi="Times New Roman" w:eastAsia="宋体" w:cs="Times New Roman"/>
                <w:color w:val="auto"/>
                <w:highlight w:val="none"/>
                <w:lang w:val="en-US" w:eastAsia="zh-CN"/>
              </w:rPr>
              <w:t>行集中供热，供热以南京协鑫燃机热电有限公司南京蓝天燃机热电联产项目作为热源，保留现状2</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highlight w:val="none"/>
                <w:lang w:val="en-US" w:eastAsia="zh-CN"/>
              </w:rPr>
              <w:t>180MW级燃气-蒸汽联合循环热电联产机组，规划建设一台60t/h的小锅炉作为备用热源。</w:t>
            </w:r>
            <w:bookmarkEnd w:id="129"/>
            <w:r>
              <w:rPr>
                <w:rFonts w:hint="default" w:ascii="Times New Roman" w:hAnsi="Times New Roman" w:eastAsia="宋体" w:cs="Times New Roman"/>
                <w:color w:val="auto"/>
                <w:highlight w:val="none"/>
                <w:lang w:val="en-US" w:eastAsia="zh-CN"/>
              </w:rPr>
              <w:t>协鑫燃机热电主要供应东山、淳化以及秣陵片区。</w:t>
            </w:r>
          </w:p>
          <w:p w14:paraId="1EC3A653">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供热范围内逐步淘汰企业自备锅炉。</w:t>
            </w:r>
            <w:bookmarkStart w:id="130" w:name="sys2981635"/>
            <w:r>
              <w:rPr>
                <w:rFonts w:hint="default" w:ascii="Times New Roman" w:hAnsi="Times New Roman" w:eastAsia="宋体" w:cs="Times New Roman"/>
                <w:color w:val="auto"/>
                <w:highlight w:val="none"/>
                <w:lang w:val="en-US" w:eastAsia="zh-CN"/>
              </w:rPr>
              <w:t>供热范围外，企业根据供热需求，可自备供热锅炉，需使用天然气等清洁能源。</w:t>
            </w:r>
            <w:bookmarkEnd w:id="130"/>
          </w:p>
        </w:tc>
        <w:tc>
          <w:tcPr>
            <w:tcW w:w="2113" w:type="dxa"/>
            <w:tcBorders>
              <w:tl2br w:val="nil"/>
              <w:tr2bl w:val="nil"/>
            </w:tcBorders>
            <w:shd w:val="clear" w:color="auto" w:fill="auto"/>
            <w:vAlign w:val="center"/>
          </w:tcPr>
          <w:p w14:paraId="61B8E4E7">
            <w:pPr>
              <w:widowControl w:val="0"/>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bl>
    <w:p w14:paraId="512BE3F7">
      <w:pPr>
        <w:outlineLvl w:val="9"/>
        <w:rPr>
          <w:rFonts w:hint="default"/>
          <w:color w:val="auto"/>
          <w:lang w:val="en-US" w:eastAsia="zh-CN"/>
        </w:rPr>
        <w:sectPr>
          <w:pgSz w:w="16839" w:h="11907" w:orient="landscape"/>
          <w:pgMar w:top="1769" w:right="1134" w:bottom="1769" w:left="1168" w:header="863" w:footer="992" w:gutter="0"/>
          <w:pgBorders>
            <w:top w:val="none" w:sz="0" w:space="0"/>
            <w:left w:val="none" w:sz="0" w:space="0"/>
            <w:bottom w:val="none" w:sz="0" w:space="0"/>
            <w:right w:val="none" w:sz="0" w:space="0"/>
          </w:pgBorders>
          <w:pgNumType w:fmt="decimal"/>
          <w:cols w:space="0" w:num="1"/>
          <w:rtlGutter w:val="0"/>
          <w:docGrid w:linePitch="0" w:charSpace="0"/>
        </w:sectPr>
      </w:pPr>
    </w:p>
    <w:p w14:paraId="583EEF5E">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ascii="宋体" w:hAnsi="宋体" w:eastAsia="宋体" w:cs="宋体"/>
          <w:color w:val="auto"/>
          <w:sz w:val="24"/>
          <w:szCs w:val="24"/>
          <w:highlight w:val="yellow"/>
        </w:rPr>
      </w:pPr>
      <w:bookmarkStart w:id="131" w:name="_Toc8416"/>
      <w:r>
        <w:rPr>
          <w:rFonts w:ascii="Times New Roman" w:hAnsi="Times New Roman" w:eastAsia="Times New Roman" w:cs="Times New Roman"/>
          <w:b/>
          <w:bCs/>
          <w:color w:val="auto"/>
          <w:spacing w:val="-3"/>
          <w:sz w:val="24"/>
          <w:szCs w:val="24"/>
        </w:rPr>
        <w:t>1.2</w:t>
      </w:r>
      <w:r>
        <w:rPr>
          <w:rFonts w:ascii="宋体" w:hAnsi="宋体" w:eastAsia="宋体" w:cs="宋体"/>
          <w:b/>
          <w:bCs/>
          <w:color w:val="auto"/>
          <w:spacing w:val="-3"/>
          <w:sz w:val="24"/>
          <w:szCs w:val="24"/>
          <w:highlight w:val="none"/>
        </w:rPr>
        <w:t>评估范围</w:t>
      </w:r>
      <w:bookmarkEnd w:id="131"/>
      <w:bookmarkStart w:id="132" w:name="pindex301"/>
      <w:bookmarkEnd w:id="132"/>
    </w:p>
    <w:p w14:paraId="2FCA7851">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ascii="Times New Roman" w:hAnsi="Times New Roman" w:eastAsia="宋体" w:cs="Times New Roman"/>
          <w:color w:val="auto"/>
          <w:sz w:val="24"/>
          <w:szCs w:val="24"/>
          <w:highlight w:val="none"/>
        </w:rPr>
      </w:pPr>
      <w:r>
        <w:rPr>
          <w:rFonts w:ascii="宋体" w:hAnsi="宋体" w:eastAsia="宋体" w:cs="宋体"/>
          <w:color w:val="auto"/>
          <w:sz w:val="24"/>
          <w:szCs w:val="24"/>
          <w:highlight w:val="none"/>
        </w:rPr>
        <w:t>本次环境影响评价区域评估范围面积合计</w:t>
      </w:r>
      <w:r>
        <w:rPr>
          <w:rFonts w:hint="eastAsia" w:ascii="Times New Roman" w:hAnsi="Times New Roman" w:eastAsia="宋体" w:cs="Times New Roman"/>
          <w:color w:val="auto"/>
          <w:sz w:val="24"/>
          <w:szCs w:val="24"/>
          <w:highlight w:val="none"/>
          <w:lang w:eastAsia="zh-CN"/>
        </w:rPr>
        <w:t>137.3</w:t>
      </w:r>
      <w:r>
        <w:rPr>
          <w:rFonts w:hint="default" w:ascii="Times New Roman" w:hAnsi="Times New Roman" w:eastAsia="宋体" w:cs="Times New Roman"/>
          <w:color w:val="auto"/>
          <w:sz w:val="24"/>
          <w:szCs w:val="24"/>
          <w:highlight w:val="none"/>
        </w:rPr>
        <w:t>km</w:t>
      </w:r>
      <w:r>
        <w:rPr>
          <w:rFonts w:hint="default" w:ascii="Times New Roman" w:hAnsi="Times New Roman" w:eastAsia="宋体" w:cs="Times New Roman"/>
          <w:color w:val="auto"/>
          <w:sz w:val="24"/>
          <w:szCs w:val="24"/>
          <w:highlight w:val="none"/>
          <w:vertAlign w:val="superscript"/>
        </w:rPr>
        <w:t>2</w:t>
      </w:r>
      <w:r>
        <w:rPr>
          <w:rFonts w:hint="eastAsia" w:eastAsia="宋体"/>
          <w:color w:val="auto"/>
          <w:highlight w:val="none"/>
          <w:lang w:eastAsia="zh-CN"/>
        </w:rPr>
        <w:t>，</w:t>
      </w:r>
      <w:r>
        <w:rPr>
          <w:rFonts w:hint="eastAsia" w:ascii="Times New Roman" w:hAnsi="Times New Roman" w:eastAsia="宋体" w:cs="Times New Roman"/>
          <w:color w:val="auto"/>
          <w:sz w:val="24"/>
          <w:szCs w:val="24"/>
          <w:highlight w:val="none"/>
          <w:lang w:eastAsia="zh-CN"/>
        </w:rPr>
        <w:t>评估范围</w:t>
      </w:r>
      <w:r>
        <w:rPr>
          <w:rFonts w:ascii="Times New Roman" w:hAnsi="Times New Roman" w:eastAsia="宋体" w:cs="Times New Roman"/>
          <w:color w:val="auto"/>
          <w:sz w:val="24"/>
          <w:szCs w:val="24"/>
          <w:highlight w:val="none"/>
        </w:rPr>
        <w:t>见</w:t>
      </w:r>
      <w:r>
        <w:rPr>
          <w:rFonts w:hint="eastAsia" w:ascii="Times New Roman" w:hAnsi="Times New Roman" w:eastAsia="宋体" w:cs="Times New Roman"/>
          <w:color w:val="auto"/>
          <w:sz w:val="24"/>
          <w:szCs w:val="24"/>
          <w:highlight w:val="none"/>
          <w:lang w:val="en-US" w:eastAsia="zh-CN"/>
        </w:rPr>
        <w:t>附图1</w:t>
      </w:r>
      <w:r>
        <w:rPr>
          <w:rFonts w:ascii="Times New Roman" w:hAnsi="Times New Roman" w:eastAsia="宋体" w:cs="Times New Roman"/>
          <w:color w:val="auto"/>
          <w:sz w:val="24"/>
          <w:szCs w:val="24"/>
          <w:highlight w:val="none"/>
        </w:rPr>
        <w:t>。</w:t>
      </w:r>
    </w:p>
    <w:p w14:paraId="143B4AC3">
      <w:pPr>
        <w:keepNext w:val="0"/>
        <w:keepLines w:val="0"/>
        <w:pageBreakBefore w:val="0"/>
        <w:widowControl/>
        <w:kinsoku w:val="0"/>
        <w:wordWrap/>
        <w:overflowPunct/>
        <w:topLinePunct w:val="0"/>
        <w:autoSpaceDE w:val="0"/>
        <w:autoSpaceDN w:val="0"/>
        <w:bidi w:val="0"/>
        <w:adjustRightInd w:val="0"/>
        <w:snapToGrid w:val="0"/>
        <w:spacing w:beforeAutospacing="0" w:afterAutospacing="0" w:line="240" w:lineRule="auto"/>
        <w:ind w:firstLine="480" w:firstLineChars="200"/>
        <w:textAlignment w:val="baseline"/>
        <w:rPr>
          <w:rFonts w:ascii="宋体" w:hAnsi="宋体" w:eastAsia="宋体" w:cs="宋体"/>
          <w:color w:val="auto"/>
          <w:sz w:val="24"/>
          <w:szCs w:val="24"/>
          <w:highlight w:val="none"/>
        </w:rPr>
      </w:pPr>
      <w:bookmarkStart w:id="133" w:name="sys303044"/>
      <w:r>
        <w:rPr>
          <w:rFonts w:ascii="宋体" w:hAnsi="宋体" w:eastAsia="宋体" w:cs="宋体"/>
          <w:color w:val="auto"/>
          <w:sz w:val="24"/>
          <w:szCs w:val="24"/>
          <w:highlight w:val="none"/>
        </w:rPr>
        <w:t>四至范围：</w:t>
      </w:r>
      <w:bookmarkStart w:id="134" w:name="OLE_LINK28"/>
      <w:r>
        <w:rPr>
          <w:rFonts w:ascii="宋体" w:hAnsi="宋体" w:eastAsia="宋体" w:cs="宋体"/>
          <w:color w:val="auto"/>
          <w:sz w:val="24"/>
          <w:szCs w:val="24"/>
          <w:highlight w:val="none"/>
        </w:rPr>
        <w:t>东至秦淮河，南至银杏湖大道，北至秦淮新河，西至韩府山、翠屏山、将军山、牛首山</w:t>
      </w:r>
      <w:bookmarkEnd w:id="134"/>
      <w:r>
        <w:rPr>
          <w:rFonts w:ascii="宋体" w:hAnsi="宋体" w:eastAsia="宋体" w:cs="宋体"/>
          <w:color w:val="auto"/>
          <w:sz w:val="24"/>
          <w:szCs w:val="24"/>
          <w:highlight w:val="none"/>
        </w:rPr>
        <w:t>。</w:t>
      </w:r>
      <w:bookmarkEnd w:id="133"/>
    </w:p>
    <w:p w14:paraId="590DAC89">
      <w:pPr>
        <w:bidi w:val="0"/>
        <w:jc w:val="center"/>
        <w:rPr>
          <w:rFonts w:ascii="宋体" w:hAnsi="宋体" w:eastAsia="宋体" w:cs="宋体"/>
          <w:color w:val="auto"/>
          <w:sz w:val="24"/>
          <w:szCs w:val="24"/>
          <w:highlight w:val="none"/>
        </w:rPr>
      </w:pPr>
      <w:r>
        <w:rPr>
          <w:rFonts w:hint="default" w:ascii="Times New Roman" w:hAnsi="Times New Roman" w:cs="Times New Roman"/>
          <w:color w:val="auto"/>
        </w:rPr>
        <w:object>
          <v:shape id="_x0000_i1025" o:spt="75" type="#_x0000_t75" style="height:331.75pt;width:529.75pt;" o:ole="t" filled="f" o:preferrelative="t" stroked="f" coordsize="21600,21600">
            <v:path/>
            <v:fill on="f" focussize="0,0"/>
            <v:stroke on="f"/>
            <v:imagedata r:id="rId42" cropleft="2830f" croptop="2146f" cropright="10018f" cropbottom="2439f" o:title=""/>
            <o:lock v:ext="edit" aspectratio="t"/>
            <w10:wrap type="none"/>
            <w10:anchorlock/>
          </v:shape>
          <o:OLEObject Type="Embed" ProgID="Visio.Drawing.15" ShapeID="_x0000_i1025" DrawAspect="Content" ObjectID="_1468075725" r:id="rId41">
            <o:LockedField>false</o:LockedField>
          </o:OLEObject>
        </w:object>
      </w:r>
    </w:p>
    <w:p w14:paraId="5059F350">
      <w:pPr>
        <w:keepNext w:val="0"/>
        <w:keepLines w:val="0"/>
        <w:pageBreakBefore w:val="0"/>
        <w:widowControl/>
        <w:kinsoku w:val="0"/>
        <w:wordWrap/>
        <w:overflowPunct/>
        <w:topLinePunct w:val="0"/>
        <w:autoSpaceDE w:val="0"/>
        <w:autoSpaceDN w:val="0"/>
        <w:bidi w:val="0"/>
        <w:adjustRightInd w:val="0"/>
        <w:snapToGrid w:val="0"/>
        <w:spacing w:before="78" w:line="240" w:lineRule="auto"/>
        <w:jc w:val="center"/>
        <w:textAlignment w:val="baseline"/>
        <w:rPr>
          <w:rFonts w:hint="default" w:ascii="宋体" w:hAnsi="宋体" w:eastAsia="宋体" w:cs="宋体"/>
          <w:color w:val="auto"/>
          <w:sz w:val="24"/>
          <w:szCs w:val="24"/>
          <w:lang w:val="en-US" w:eastAsia="zh-CN"/>
        </w:rPr>
      </w:pPr>
      <w:bookmarkStart w:id="135" w:name="OLE_LINK935"/>
      <w:r>
        <w:rPr>
          <w:rFonts w:ascii="宋体" w:hAnsi="宋体" w:eastAsia="宋体" w:cs="宋体"/>
          <w:b/>
          <w:bCs/>
          <w:color w:val="auto"/>
          <w:spacing w:val="-7"/>
          <w:sz w:val="24"/>
          <w:szCs w:val="24"/>
        </w:rPr>
        <w:t>图</w:t>
      </w:r>
      <w:r>
        <w:rPr>
          <w:rFonts w:ascii="Times New Roman" w:hAnsi="Times New Roman" w:eastAsia="Times New Roman" w:cs="Times New Roman"/>
          <w:b/>
          <w:bCs/>
          <w:color w:val="auto"/>
          <w:spacing w:val="-7"/>
          <w:sz w:val="24"/>
          <w:szCs w:val="24"/>
        </w:rPr>
        <w:t>1.</w:t>
      </w:r>
      <w:r>
        <w:rPr>
          <w:rFonts w:hint="eastAsia" w:ascii="Times New Roman" w:hAnsi="Times New Roman" w:eastAsia="宋体" w:cs="Times New Roman"/>
          <w:b/>
          <w:bCs/>
          <w:color w:val="auto"/>
          <w:spacing w:val="-7"/>
          <w:sz w:val="24"/>
          <w:szCs w:val="24"/>
          <w:lang w:val="en-US" w:eastAsia="zh-CN"/>
        </w:rPr>
        <w:t>2</w:t>
      </w:r>
      <w:r>
        <w:rPr>
          <w:rFonts w:ascii="Times New Roman" w:hAnsi="Times New Roman" w:eastAsia="Times New Roman" w:cs="Times New Roman"/>
          <w:b/>
          <w:bCs/>
          <w:color w:val="auto"/>
          <w:spacing w:val="-7"/>
          <w:sz w:val="24"/>
          <w:szCs w:val="24"/>
        </w:rPr>
        <w:t>-1</w:t>
      </w:r>
      <w:r>
        <w:rPr>
          <w:rFonts w:hint="eastAsia" w:ascii="Times New Roman" w:hAnsi="Times New Roman" w:eastAsia="宋体" w:cs="Times New Roman"/>
          <w:b/>
          <w:bCs/>
          <w:color w:val="auto"/>
          <w:spacing w:val="-7"/>
          <w:sz w:val="24"/>
          <w:szCs w:val="24"/>
          <w:lang w:val="en-US" w:eastAsia="zh-CN"/>
        </w:rPr>
        <w:t xml:space="preserve">  </w:t>
      </w:r>
      <w:bookmarkStart w:id="136" w:name="OLE_LINK54"/>
      <w:r>
        <w:rPr>
          <w:rFonts w:hint="eastAsia" w:ascii="宋体" w:hAnsi="宋体" w:eastAsia="宋体" w:cs="宋体"/>
          <w:b/>
          <w:bCs/>
          <w:color w:val="auto"/>
          <w:spacing w:val="-7"/>
          <w:sz w:val="24"/>
          <w:szCs w:val="24"/>
          <w:lang w:val="en-US" w:eastAsia="zh-CN"/>
        </w:rPr>
        <w:t>区域评估范围图</w:t>
      </w:r>
      <w:bookmarkEnd w:id="136"/>
      <w:bookmarkStart w:id="137" w:name="pindex305"/>
      <w:bookmarkEnd w:id="137"/>
    </w:p>
    <w:bookmarkEnd w:id="135"/>
    <w:p w14:paraId="7FCDB6C7">
      <w:pPr>
        <w:rPr>
          <w:rFonts w:ascii="宋体" w:hAnsi="宋体" w:eastAsia="宋体" w:cs="宋体"/>
          <w:color w:val="auto"/>
          <w:sz w:val="24"/>
          <w:szCs w:val="24"/>
          <w:highlight w:val="none"/>
        </w:rPr>
        <w:sectPr>
          <w:pgSz w:w="16839" w:h="11907" w:orient="landscape"/>
          <w:pgMar w:top="1769" w:right="1134" w:bottom="1769" w:left="1168" w:header="863" w:footer="992" w:gutter="0"/>
          <w:pgBorders>
            <w:top w:val="none" w:sz="0" w:space="0"/>
            <w:left w:val="none" w:sz="0" w:space="0"/>
            <w:bottom w:val="none" w:sz="0" w:space="0"/>
            <w:right w:val="none" w:sz="0" w:space="0"/>
          </w:pgBorders>
          <w:pgNumType w:fmt="decimal"/>
          <w:cols w:space="0" w:num="1"/>
          <w:rtlGutter w:val="0"/>
          <w:docGrid w:linePitch="0" w:charSpace="0"/>
        </w:sectPr>
      </w:pPr>
    </w:p>
    <w:p w14:paraId="112AB2FB">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ascii="Times New Roman" w:hAnsi="Times New Roman" w:eastAsia="Times New Roman" w:cs="Times New Roman"/>
          <w:b/>
          <w:bCs/>
          <w:color w:val="auto"/>
          <w:spacing w:val="-3"/>
          <w:sz w:val="24"/>
          <w:szCs w:val="24"/>
        </w:rPr>
      </w:pPr>
      <w:bookmarkStart w:id="138" w:name="bookmark7"/>
      <w:bookmarkEnd w:id="138"/>
      <w:bookmarkStart w:id="139" w:name="_Toc234"/>
      <w:r>
        <w:rPr>
          <w:rFonts w:ascii="Times New Roman" w:hAnsi="Times New Roman" w:eastAsia="Times New Roman" w:cs="Times New Roman"/>
          <w:b/>
          <w:bCs/>
          <w:color w:val="auto"/>
          <w:spacing w:val="-3"/>
          <w:sz w:val="24"/>
          <w:szCs w:val="24"/>
        </w:rPr>
        <w:t>1.3评估原则和工作程序</w:t>
      </w:r>
      <w:bookmarkEnd w:id="139"/>
      <w:bookmarkStart w:id="140" w:name="pindex307"/>
      <w:bookmarkEnd w:id="140"/>
    </w:p>
    <w:p w14:paraId="0FE76F0A">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ascii="Times New Roman" w:hAnsi="Times New Roman" w:eastAsia="宋体" w:cs="Times New Roman"/>
          <w:color w:val="auto"/>
          <w:sz w:val="24"/>
          <w:szCs w:val="24"/>
        </w:rPr>
      </w:pPr>
      <w:bookmarkStart w:id="141" w:name="_Toc8622"/>
      <w:r>
        <w:rPr>
          <w:rFonts w:ascii="Times New Roman" w:hAnsi="Times New Roman" w:eastAsia="宋体" w:cs="Times New Roman"/>
          <w:color w:val="auto"/>
          <w:sz w:val="24"/>
          <w:szCs w:val="24"/>
        </w:rPr>
        <w:t>1、评估原则</w:t>
      </w:r>
      <w:bookmarkEnd w:id="141"/>
      <w:bookmarkStart w:id="142" w:name="pindex308"/>
      <w:bookmarkEnd w:id="142"/>
    </w:p>
    <w:p w14:paraId="15C96F10">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本次评估原则主要为：</w:t>
      </w:r>
    </w:p>
    <w:p w14:paraId="1D5B481B">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rPr>
          <w:rFonts w:ascii="宋体" w:hAnsi="宋体" w:eastAsia="宋体" w:cs="宋体"/>
          <w:color w:val="auto"/>
          <w:sz w:val="24"/>
          <w:szCs w:val="24"/>
        </w:rPr>
      </w:pPr>
      <w:r>
        <w:rPr>
          <w:rFonts w:ascii="Times New Roman" w:hAnsi="Times New Roman" w:eastAsia="宋体" w:cs="Times New Roman"/>
          <w:color w:val="auto"/>
          <w:sz w:val="24"/>
          <w:szCs w:val="24"/>
        </w:rPr>
        <w:t>（1）资料真实可靠：环境影响</w:t>
      </w:r>
      <w:r>
        <w:rPr>
          <w:rFonts w:ascii="宋体" w:hAnsi="宋体" w:eastAsia="宋体" w:cs="宋体"/>
          <w:color w:val="auto"/>
          <w:sz w:val="24"/>
          <w:szCs w:val="24"/>
        </w:rPr>
        <w:t>评价区域评估成果中所列环境质量现状、污染源调查、自然环境概况、基础设施建设等资料应真实可靠，以提高建设项目环境影响报告结论正确性和可靠性。</w:t>
      </w:r>
      <w:bookmarkStart w:id="143" w:name="pindex310"/>
      <w:bookmarkEnd w:id="143"/>
    </w:p>
    <w:p w14:paraId="78734C28">
      <w:pPr>
        <w:keepNext w:val="0"/>
        <w:keepLines w:val="0"/>
        <w:pageBreakBefore w:val="0"/>
        <w:widowControl/>
        <w:kinsoku/>
        <w:wordWrap/>
        <w:overflowPunct/>
        <w:topLinePunct w:val="0"/>
        <w:autoSpaceDE w:val="0"/>
        <w:autoSpaceDN w:val="0"/>
        <w:bidi w:val="0"/>
        <w:adjustRightInd w:val="0"/>
        <w:snapToGrid w:val="0"/>
        <w:spacing w:before="31" w:line="360" w:lineRule="auto"/>
        <w:ind w:left="40" w:firstLine="488"/>
        <w:jc w:val="both"/>
        <w:textAlignment w:val="baseline"/>
        <w:rPr>
          <w:rFonts w:ascii="宋体" w:hAnsi="宋体" w:eastAsia="宋体" w:cs="宋体"/>
          <w:color w:val="auto"/>
          <w:sz w:val="24"/>
          <w:szCs w:val="24"/>
        </w:rPr>
      </w:pPr>
      <w:r>
        <w:rPr>
          <w:rFonts w:ascii="宋体" w:hAnsi="宋体" w:eastAsia="宋体" w:cs="宋体"/>
          <w:color w:val="auto"/>
          <w:sz w:val="24"/>
          <w:szCs w:val="24"/>
        </w:rPr>
        <w:t>（</w:t>
      </w:r>
      <w:r>
        <w:rPr>
          <w:rFonts w:ascii="Times New Roman" w:hAnsi="Times New Roman" w:eastAsia="Times New Roman" w:cs="Times New Roman"/>
          <w:color w:val="auto"/>
          <w:sz w:val="24"/>
          <w:szCs w:val="24"/>
        </w:rPr>
        <w:t>2</w:t>
      </w:r>
      <w:r>
        <w:rPr>
          <w:rFonts w:ascii="宋体" w:hAnsi="宋体" w:eastAsia="宋体" w:cs="宋体"/>
          <w:color w:val="auto"/>
          <w:sz w:val="24"/>
          <w:szCs w:val="24"/>
        </w:rPr>
        <w:t>）管理清单设置科学合理：环境影响评价区域评估成果中设置的环境准</w:t>
      </w:r>
      <w:r>
        <w:rPr>
          <w:rFonts w:ascii="宋体" w:hAnsi="宋体" w:eastAsia="宋体" w:cs="宋体"/>
          <w:color w:val="auto"/>
          <w:spacing w:val="-1"/>
          <w:sz w:val="24"/>
          <w:szCs w:val="24"/>
        </w:rPr>
        <w:t>入清单（生态保护红线、环境质量底线、资源利用上线、环境准入条件清单）、</w:t>
      </w:r>
      <w:r>
        <w:rPr>
          <w:rFonts w:ascii="宋体" w:hAnsi="宋体" w:eastAsia="宋体" w:cs="宋体"/>
          <w:color w:val="auto"/>
          <w:spacing w:val="-3"/>
          <w:sz w:val="24"/>
          <w:szCs w:val="24"/>
        </w:rPr>
        <w:t>初筛管理清单（政策法规及管理要求相符性）设置科学合理，为后续园区对入区</w:t>
      </w:r>
      <w:r>
        <w:rPr>
          <w:rFonts w:ascii="宋体" w:hAnsi="宋体" w:eastAsia="宋体" w:cs="宋体"/>
          <w:color w:val="auto"/>
          <w:spacing w:val="-4"/>
          <w:sz w:val="24"/>
          <w:szCs w:val="24"/>
        </w:rPr>
        <w:t>项目的管理提供依据。</w:t>
      </w:r>
      <w:bookmarkStart w:id="144" w:name="pindex311"/>
      <w:bookmarkEnd w:id="144"/>
    </w:p>
    <w:p w14:paraId="03723A47">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ascii="Times New Roman" w:hAnsi="Times New Roman" w:eastAsia="宋体" w:cs="Times New Roman"/>
          <w:color w:val="auto"/>
          <w:sz w:val="24"/>
          <w:szCs w:val="24"/>
        </w:rPr>
      </w:pPr>
      <w:bookmarkStart w:id="145" w:name="_Toc24473"/>
      <w:r>
        <w:rPr>
          <w:rFonts w:ascii="Times New Roman" w:hAnsi="Times New Roman" w:eastAsia="宋体" w:cs="Times New Roman"/>
          <w:color w:val="auto"/>
          <w:sz w:val="24"/>
          <w:szCs w:val="24"/>
        </w:rPr>
        <w:t>2、工作程序</w:t>
      </w:r>
      <w:bookmarkEnd w:id="145"/>
      <w:bookmarkStart w:id="146" w:name="pindex312"/>
      <w:bookmarkEnd w:id="146"/>
    </w:p>
    <w:p w14:paraId="68D699E7">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ascii="宋体" w:hAnsi="宋体" w:eastAsia="宋体" w:cs="宋体"/>
          <w:color w:val="auto"/>
          <w:sz w:val="24"/>
          <w:szCs w:val="24"/>
        </w:rPr>
      </w:pPr>
      <w:r>
        <w:rPr>
          <w:rFonts w:ascii="Times New Roman" w:hAnsi="Times New Roman" w:eastAsia="宋体" w:cs="Times New Roman"/>
          <w:color w:val="auto"/>
          <w:sz w:val="24"/>
          <w:szCs w:val="24"/>
        </w:rPr>
        <w:t>环境影响评价区域评估工作程序</w:t>
      </w:r>
      <w:r>
        <w:rPr>
          <w:rFonts w:ascii="Times New Roman" w:hAnsi="Times New Roman" w:eastAsia="宋体" w:cs="Times New Roman"/>
          <w:color w:val="auto"/>
          <w:sz w:val="24"/>
          <w:szCs w:val="24"/>
          <w:highlight w:val="none"/>
        </w:rPr>
        <w:t>如图1.3-1</w:t>
      </w:r>
      <w:r>
        <w:rPr>
          <w:rFonts w:ascii="Times New Roman" w:hAnsi="Times New Roman" w:eastAsia="宋体" w:cs="Times New Roman"/>
          <w:color w:val="auto"/>
          <w:sz w:val="24"/>
          <w:szCs w:val="24"/>
        </w:rPr>
        <w:t>所示，主要分为四个阶段：</w:t>
      </w:r>
    </w:p>
    <w:p w14:paraId="17F19CB5">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ascii="Times New Roman" w:hAnsi="Times New Roman" w:eastAsia="宋体" w:cs="Times New Roman"/>
          <w:color w:val="auto"/>
          <w:sz w:val="24"/>
          <w:szCs w:val="24"/>
        </w:rPr>
      </w:pPr>
      <w:bookmarkStart w:id="147" w:name="_Toc11508"/>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rPr>
        <w:t>报告编制</w:t>
      </w:r>
      <w:bookmarkEnd w:id="147"/>
      <w:bookmarkStart w:id="148" w:name="pindex314"/>
      <w:bookmarkEnd w:id="148"/>
    </w:p>
    <w:p w14:paraId="0E5903C8">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hint="eastAsia"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rPr>
        <w:t>开发区管委会组织实施，承担区域评估的技术单位，依据生态环境部已发布的各类环境影响评价导则开展评估工作，编制评估报告，包含法律法规及政策文件、环境保护目标、规划分析、产业政策相符性分析、环境准入及总量控制要求、环境现状调查、环境要素预测所需基本资料、环境风险防范措施、环</w:t>
      </w:r>
      <w:r>
        <w:rPr>
          <w:rFonts w:hint="eastAsia" w:ascii="Times New Roman" w:hAnsi="Times New Roman" w:eastAsia="宋体" w:cs="Times New Roman"/>
          <w:color w:val="auto"/>
          <w:sz w:val="24"/>
          <w:szCs w:val="24"/>
          <w:lang w:eastAsia="zh-CN"/>
        </w:rPr>
        <w:t>境监测计划等内容，并对评估内容和结果负责。</w:t>
      </w:r>
    </w:p>
    <w:p w14:paraId="5E2F0DC4">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hint="eastAsia" w:ascii="Times New Roman" w:hAnsi="Times New Roman" w:eastAsia="宋体" w:cs="Times New Roman"/>
          <w:color w:val="auto"/>
          <w:sz w:val="24"/>
          <w:szCs w:val="24"/>
          <w:lang w:eastAsia="zh-CN"/>
        </w:rPr>
      </w:pPr>
      <w:bookmarkStart w:id="149" w:name="_Toc12093"/>
      <w:r>
        <w:rPr>
          <w:rFonts w:hint="eastAsia" w:ascii="Times New Roman" w:hAnsi="Times New Roman" w:eastAsia="宋体" w:cs="Times New Roman"/>
          <w:color w:val="auto"/>
          <w:sz w:val="24"/>
          <w:szCs w:val="24"/>
          <w:lang w:eastAsia="zh-CN"/>
        </w:rPr>
        <w:t>（2）报告评审报批</w:t>
      </w:r>
      <w:bookmarkEnd w:id="149"/>
      <w:bookmarkStart w:id="150" w:name="pindex316"/>
      <w:bookmarkEnd w:id="150"/>
    </w:p>
    <w:p w14:paraId="79B1B0FF">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由区域评估责任主体组织专家（环保相关专业专家与拟建项目产业定位相关的行业专家）对评估报告进行评审。报告编制单位按照专家审查意见对区域评估报告进行修改完善，由专家组长签字确认后形成可应用成果。</w:t>
      </w:r>
    </w:p>
    <w:p w14:paraId="7FB39511">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hint="eastAsia" w:ascii="Times New Roman" w:hAnsi="Times New Roman" w:eastAsia="宋体" w:cs="Times New Roman"/>
          <w:color w:val="auto"/>
          <w:sz w:val="24"/>
          <w:szCs w:val="24"/>
          <w:lang w:eastAsia="zh-CN"/>
        </w:rPr>
      </w:pPr>
      <w:bookmarkStart w:id="151" w:name="_Toc10816"/>
      <w:r>
        <w:rPr>
          <w:rFonts w:hint="eastAsia" w:ascii="Times New Roman" w:hAnsi="Times New Roman" w:eastAsia="宋体" w:cs="Times New Roman"/>
          <w:color w:val="auto"/>
          <w:sz w:val="24"/>
          <w:szCs w:val="24"/>
          <w:lang w:eastAsia="zh-CN"/>
        </w:rPr>
        <w:t>（3）成果入库</w:t>
      </w:r>
      <w:bookmarkEnd w:id="151"/>
      <w:bookmarkStart w:id="152" w:name="pindex318"/>
      <w:bookmarkEnd w:id="152"/>
    </w:p>
    <w:p w14:paraId="2FA7511D">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区域评估责任主体将最终成果数据通过市“多规合一”业务协同平台发送至南京市生态环境局进行备案，并经数据核查通过后纳入“南京市区域评估成果数据库”。</w:t>
      </w:r>
    </w:p>
    <w:p w14:paraId="181AE71E">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hint="eastAsia" w:ascii="Times New Roman" w:hAnsi="Times New Roman" w:eastAsia="宋体" w:cs="Times New Roman"/>
          <w:color w:val="auto"/>
          <w:sz w:val="24"/>
          <w:szCs w:val="24"/>
          <w:lang w:eastAsia="zh-CN"/>
        </w:rPr>
      </w:pPr>
      <w:bookmarkStart w:id="153" w:name="_Toc12495"/>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）成果应用</w:t>
      </w:r>
      <w:bookmarkEnd w:id="153"/>
      <w:bookmarkStart w:id="154" w:name="pindex320"/>
      <w:bookmarkEnd w:id="154"/>
    </w:p>
    <w:p w14:paraId="471699D5">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ascii="宋体" w:hAnsi="宋体" w:eastAsia="宋体" w:cs="宋体"/>
          <w:color w:val="auto"/>
          <w:sz w:val="24"/>
          <w:szCs w:val="24"/>
        </w:rPr>
      </w:pPr>
      <w:r>
        <w:rPr>
          <w:rFonts w:ascii="Times New Roman" w:hAnsi="Times New Roman" w:eastAsia="宋体" w:cs="Times New Roman"/>
          <w:color w:val="auto"/>
          <w:sz w:val="24"/>
          <w:szCs w:val="24"/>
        </w:rPr>
        <w:t>开发区管委会应将备案后的评估报告在园区或区政府网站公开，相关成果供入园区的建设单位使用。</w:t>
      </w:r>
    </w:p>
    <w:p w14:paraId="67BB9F70">
      <w:pPr>
        <w:keepNext w:val="0"/>
        <w:keepLines w:val="0"/>
        <w:pageBreakBefore w:val="0"/>
        <w:widowControl/>
        <w:kinsoku w:val="0"/>
        <w:wordWrap/>
        <w:overflowPunct/>
        <w:topLinePunct w:val="0"/>
        <w:autoSpaceDE w:val="0"/>
        <w:autoSpaceDN w:val="0"/>
        <w:bidi w:val="0"/>
        <w:adjustRightInd w:val="0"/>
        <w:snapToGrid w:val="0"/>
        <w:spacing w:line="360" w:lineRule="auto"/>
        <w:ind w:firstLine="1071"/>
        <w:textAlignment w:val="baseline"/>
        <w:rPr>
          <w:color w:val="auto"/>
        </w:rPr>
      </w:pPr>
      <w:r>
        <w:rPr>
          <w:color w:val="auto"/>
          <w:position w:val="-184"/>
        </w:rPr>
        <w:drawing>
          <wp:inline distT="0" distB="0" distL="0" distR="0">
            <wp:extent cx="4301490" cy="5859145"/>
            <wp:effectExtent l="0" t="0" r="3810" b="8255"/>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43"/>
                    <a:stretch>
                      <a:fillRect/>
                    </a:stretch>
                  </pic:blipFill>
                  <pic:spPr>
                    <a:xfrm>
                      <a:off x="0" y="0"/>
                      <a:ext cx="4301490" cy="5859779"/>
                    </a:xfrm>
                    <a:prstGeom prst="rect">
                      <a:avLst/>
                    </a:prstGeom>
                  </pic:spPr>
                </pic:pic>
              </a:graphicData>
            </a:graphic>
          </wp:inline>
        </w:drawing>
      </w:r>
    </w:p>
    <w:p w14:paraId="47D3383C">
      <w:pPr>
        <w:keepNext w:val="0"/>
        <w:keepLines w:val="0"/>
        <w:pageBreakBefore w:val="0"/>
        <w:widowControl/>
        <w:kinsoku w:val="0"/>
        <w:wordWrap/>
        <w:overflowPunct/>
        <w:topLinePunct w:val="0"/>
        <w:autoSpaceDE w:val="0"/>
        <w:autoSpaceDN w:val="0"/>
        <w:bidi w:val="0"/>
        <w:adjustRightInd w:val="0"/>
        <w:snapToGrid w:val="0"/>
        <w:spacing w:before="78" w:line="360" w:lineRule="auto"/>
        <w:jc w:val="center"/>
        <w:textAlignment w:val="baseline"/>
        <w:rPr>
          <w:rFonts w:ascii="宋体" w:hAnsi="宋体" w:eastAsia="宋体" w:cs="宋体"/>
          <w:color w:val="auto"/>
          <w:sz w:val="24"/>
          <w:szCs w:val="24"/>
        </w:rPr>
      </w:pPr>
      <w:r>
        <w:rPr>
          <w:rFonts w:ascii="宋体" w:hAnsi="宋体" w:eastAsia="宋体" w:cs="宋体"/>
          <w:b/>
          <w:bCs/>
          <w:color w:val="auto"/>
          <w:spacing w:val="-7"/>
          <w:sz w:val="24"/>
          <w:szCs w:val="24"/>
        </w:rPr>
        <w:t>图</w:t>
      </w:r>
      <w:r>
        <w:rPr>
          <w:rFonts w:ascii="Times New Roman" w:hAnsi="Times New Roman" w:eastAsia="Times New Roman" w:cs="Times New Roman"/>
          <w:b/>
          <w:bCs/>
          <w:color w:val="auto"/>
          <w:spacing w:val="-7"/>
          <w:sz w:val="24"/>
          <w:szCs w:val="24"/>
        </w:rPr>
        <w:t>1.3-1</w:t>
      </w:r>
      <w:r>
        <w:rPr>
          <w:rFonts w:hint="eastAsia" w:ascii="Times New Roman" w:hAnsi="Times New Roman" w:eastAsia="宋体" w:cs="Times New Roman"/>
          <w:b/>
          <w:bCs/>
          <w:color w:val="auto"/>
          <w:spacing w:val="-7"/>
          <w:sz w:val="24"/>
          <w:szCs w:val="24"/>
          <w:lang w:val="en-US" w:eastAsia="zh-CN"/>
        </w:rPr>
        <w:t xml:space="preserve">  </w:t>
      </w:r>
      <w:r>
        <w:rPr>
          <w:rFonts w:ascii="宋体" w:hAnsi="宋体" w:eastAsia="宋体" w:cs="宋体"/>
          <w:b/>
          <w:bCs/>
          <w:color w:val="auto"/>
          <w:spacing w:val="-7"/>
          <w:sz w:val="24"/>
          <w:szCs w:val="24"/>
        </w:rPr>
        <w:t>工作程序</w:t>
      </w:r>
      <w:bookmarkStart w:id="155" w:name="pindex323"/>
      <w:bookmarkEnd w:id="155"/>
    </w:p>
    <w:p w14:paraId="7B43D719">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ascii="宋体" w:hAnsi="宋体" w:eastAsia="宋体" w:cs="宋体"/>
          <w:color w:val="auto"/>
          <w:sz w:val="24"/>
          <w:szCs w:val="24"/>
        </w:rPr>
        <w:sectPr>
          <w:pgSz w:w="11907" w:h="16839"/>
          <w:pgMar w:top="1134" w:right="1769" w:bottom="1168" w:left="1771" w:header="863" w:footer="991" w:gutter="0"/>
          <w:pgBorders>
            <w:top w:val="none" w:sz="0" w:space="0"/>
            <w:left w:val="none" w:sz="0" w:space="0"/>
            <w:bottom w:val="none" w:sz="0" w:space="0"/>
            <w:right w:val="none" w:sz="0" w:space="0"/>
          </w:pgBorders>
          <w:pgNumType w:fmt="decimal"/>
          <w:cols w:space="720" w:num="1"/>
        </w:sectPr>
      </w:pPr>
    </w:p>
    <w:p w14:paraId="073408D7">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ascii="Times New Roman" w:hAnsi="Times New Roman" w:eastAsia="Times New Roman" w:cs="Times New Roman"/>
          <w:b/>
          <w:bCs/>
          <w:color w:val="auto"/>
          <w:spacing w:val="-3"/>
          <w:sz w:val="24"/>
          <w:szCs w:val="24"/>
        </w:rPr>
      </w:pPr>
      <w:bookmarkStart w:id="156" w:name="bookmark9"/>
      <w:bookmarkEnd w:id="156"/>
      <w:bookmarkStart w:id="157" w:name="_Toc24523"/>
      <w:bookmarkStart w:id="158" w:name="_Toc32461"/>
      <w:r>
        <w:rPr>
          <w:rFonts w:ascii="Times New Roman" w:hAnsi="Times New Roman" w:eastAsia="Times New Roman" w:cs="Times New Roman"/>
          <w:b/>
          <w:bCs/>
          <w:color w:val="auto"/>
          <w:spacing w:val="-3"/>
          <w:sz w:val="24"/>
          <w:szCs w:val="24"/>
        </w:rPr>
        <w:t>1.4评估目的</w:t>
      </w:r>
      <w:bookmarkEnd w:id="157"/>
      <w:bookmarkEnd w:id="158"/>
      <w:bookmarkStart w:id="159" w:name="pindex325"/>
      <w:bookmarkEnd w:id="159"/>
    </w:p>
    <w:p w14:paraId="0333E9CF">
      <w:pPr>
        <w:keepNext w:val="0"/>
        <w:keepLines w:val="0"/>
        <w:pageBreakBefore w:val="0"/>
        <w:widowControl/>
        <w:kinsoku/>
        <w:wordWrap/>
        <w:overflowPunct/>
        <w:topLinePunct w:val="0"/>
        <w:autoSpaceDE w:val="0"/>
        <w:autoSpaceDN w:val="0"/>
        <w:bidi w:val="0"/>
        <w:adjustRightInd w:val="0"/>
        <w:snapToGrid w:val="0"/>
        <w:spacing w:before="33" w:line="360" w:lineRule="auto"/>
        <w:ind w:left="40" w:right="136" w:firstLine="510"/>
        <w:jc w:val="both"/>
        <w:textAlignment w:val="baseline"/>
        <w:rPr>
          <w:rFonts w:ascii="宋体" w:hAnsi="宋体" w:eastAsia="宋体" w:cs="宋体"/>
          <w:color w:val="auto"/>
          <w:sz w:val="24"/>
          <w:szCs w:val="24"/>
          <w:highlight w:val="none"/>
        </w:rPr>
      </w:pPr>
      <w:r>
        <w:rPr>
          <w:rFonts w:ascii="Times New Roman" w:hAnsi="Times New Roman" w:eastAsia="宋体" w:cs="Times New Roman"/>
          <w:color w:val="auto"/>
          <w:sz w:val="24"/>
          <w:szCs w:val="24"/>
        </w:rPr>
        <w:t>通过对环境影响评价区域评估报</w:t>
      </w:r>
      <w:r>
        <w:rPr>
          <w:rFonts w:ascii="Times New Roman" w:hAnsi="Times New Roman" w:eastAsia="宋体" w:cs="Times New Roman"/>
          <w:color w:val="auto"/>
          <w:sz w:val="24"/>
          <w:szCs w:val="24"/>
          <w:highlight w:val="none"/>
        </w:rPr>
        <w:t>告进行更新，重新整理开发区初筛管理清单包含法律法规及政策文件汇总、政策法规及管理要求相符性、规划环评概要、产业定位、环境准入及总量控制要求、区域环境现状调查或现有成果汇总、环境要素预测所需基本资料、主要环境保护目标及控制要求、区域环境基础设施情况、环境风险防范措施、环境监测计划等内容，形成《</w:t>
      </w:r>
      <w:r>
        <w:rPr>
          <w:rFonts w:hint="eastAsia" w:ascii="Times New Roman" w:hAnsi="Times New Roman" w:eastAsia="宋体" w:cs="Times New Roman"/>
          <w:color w:val="auto"/>
          <w:sz w:val="24"/>
          <w:szCs w:val="24"/>
          <w:highlight w:val="none"/>
          <w:lang w:val="en-US" w:eastAsia="zh-CN"/>
        </w:rPr>
        <w:t>南京江宁经济技术开发区</w:t>
      </w:r>
      <w:r>
        <w:rPr>
          <w:rFonts w:ascii="Times New Roman" w:hAnsi="Times New Roman" w:eastAsia="宋体" w:cs="Times New Roman"/>
          <w:color w:val="auto"/>
          <w:sz w:val="24"/>
          <w:szCs w:val="24"/>
          <w:highlight w:val="none"/>
        </w:rPr>
        <w:t>环境影响评价区域评估报告》，以便于后续建设项目可直接引用部分结论、编制依据和现状评价，达到简化环评编制内容的目的；同时对于符合规划审查意见的项目可适当简化</w:t>
      </w:r>
      <w:sdt>
        <w:sdtPr>
          <w:rPr>
            <w:color w:val="auto"/>
            <w:highlight w:val="none"/>
          </w:rPr>
          <w:alias w:val="易错词检查"/>
          <w:tag w:val="auto"/>
          <w:id w:val="3151103"/>
        </w:sdtPr>
        <w:sdtEndPr>
          <w:rPr>
            <w:color w:val="auto"/>
            <w:highlight w:val="none"/>
          </w:rPr>
        </w:sdtEndPr>
        <w:sdtContent>
          <w:bookmarkStart w:id="160" w:name="bkReivew3151103"/>
          <w:r>
            <w:rPr>
              <w:rFonts w:ascii="Times New Roman" w:hAnsi="Times New Roman" w:eastAsia="宋体" w:cs="Times New Roman"/>
              <w:color w:val="auto"/>
              <w:sz w:val="24"/>
              <w:szCs w:val="24"/>
              <w:highlight w:val="none"/>
            </w:rPr>
            <w:t>公参</w:t>
          </w:r>
          <w:bookmarkEnd w:id="160"/>
        </w:sdtContent>
      </w:sdt>
      <w:r>
        <w:rPr>
          <w:rFonts w:ascii="Times New Roman" w:hAnsi="Times New Roman" w:eastAsia="宋体" w:cs="Times New Roman"/>
          <w:color w:val="auto"/>
          <w:sz w:val="24"/>
          <w:szCs w:val="24"/>
          <w:highlight w:val="none"/>
        </w:rPr>
        <w:t>方式、加快评估流程、压缩审批时限，达到优化环评审批流程目的。</w:t>
      </w:r>
    </w:p>
    <w:p w14:paraId="381FA62F">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2"/>
        <w:rPr>
          <w:rFonts w:hint="default" w:ascii="Times New Roman" w:hAnsi="Times New Roman" w:eastAsia="宋体" w:cs="Times New Roman"/>
          <w:b/>
          <w:bCs/>
          <w:color w:val="auto"/>
          <w:sz w:val="24"/>
          <w:szCs w:val="24"/>
          <w:highlight w:val="none"/>
        </w:rPr>
      </w:pPr>
      <w:bookmarkStart w:id="161" w:name="_Toc30678"/>
      <w:r>
        <w:rPr>
          <w:rFonts w:hint="default" w:ascii="Times New Roman" w:hAnsi="Times New Roman" w:eastAsia="宋体" w:cs="Times New Roman"/>
          <w:b/>
          <w:bCs/>
          <w:color w:val="auto"/>
          <w:sz w:val="24"/>
          <w:szCs w:val="24"/>
          <w:highlight w:val="none"/>
        </w:rPr>
        <w:t>1.4.1资料共享</w:t>
      </w:r>
      <w:bookmarkEnd w:id="161"/>
      <w:bookmarkStart w:id="162" w:name="pindex327"/>
      <w:bookmarkEnd w:id="162"/>
    </w:p>
    <w:p w14:paraId="2D4A9CFC">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rPr>
          <w:rFonts w:hint="default" w:ascii="Times New Roman" w:hAnsi="Times New Roman" w:eastAsia="宋体" w:cs="Times New Roman"/>
          <w:color w:val="auto"/>
          <w:sz w:val="24"/>
          <w:szCs w:val="24"/>
          <w:highlight w:val="none"/>
        </w:rPr>
      </w:pPr>
      <w:bookmarkStart w:id="163" w:name="sys328069"/>
      <w:r>
        <w:rPr>
          <w:rFonts w:hint="default" w:ascii="Times New Roman" w:hAnsi="Times New Roman" w:eastAsia="宋体" w:cs="Times New Roman"/>
          <w:color w:val="auto"/>
          <w:sz w:val="24"/>
          <w:szCs w:val="24"/>
          <w:highlight w:val="none"/>
        </w:rPr>
        <w:t>对于入区的建设项目，区域评估报告中编制依据、环境质量现状、自然环境概况、基础设施建设等可供建设项目环评共享，以减轻企业负担，节约社会资源。</w:t>
      </w:r>
      <w:bookmarkEnd w:id="163"/>
    </w:p>
    <w:p w14:paraId="1894FBA9">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2"/>
        <w:rPr>
          <w:rFonts w:hint="default" w:ascii="Times New Roman" w:hAnsi="Times New Roman" w:eastAsia="宋体" w:cs="Times New Roman"/>
          <w:b/>
          <w:bCs/>
          <w:color w:val="auto"/>
          <w:sz w:val="24"/>
          <w:szCs w:val="24"/>
          <w:highlight w:val="none"/>
        </w:rPr>
      </w:pPr>
      <w:bookmarkStart w:id="164" w:name="_Toc15515"/>
      <w:r>
        <w:rPr>
          <w:rFonts w:hint="default" w:ascii="Times New Roman" w:hAnsi="Times New Roman" w:eastAsia="宋体" w:cs="Times New Roman"/>
          <w:b/>
          <w:bCs/>
          <w:color w:val="auto"/>
          <w:sz w:val="24"/>
          <w:szCs w:val="24"/>
          <w:highlight w:val="none"/>
        </w:rPr>
        <w:t>1.4.2简化环评编制内容</w:t>
      </w:r>
      <w:bookmarkEnd w:id="164"/>
      <w:bookmarkStart w:id="165" w:name="pindex329"/>
      <w:bookmarkEnd w:id="165"/>
    </w:p>
    <w:p w14:paraId="2D9B96B9">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rPr>
          <w:rFonts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对</w:t>
      </w:r>
      <w:r>
        <w:rPr>
          <w:rFonts w:ascii="宋体" w:hAnsi="宋体" w:eastAsia="宋体" w:cs="宋体"/>
          <w:color w:val="auto"/>
          <w:sz w:val="24"/>
          <w:szCs w:val="24"/>
          <w:highlight w:val="none"/>
        </w:rPr>
        <w:t>落实所在区域规划环评审查意见并符合区域经济发展规划、国土空间规划、生态环境保护规划等要求的建设项目，可利用区域评估成果在单个建设项目环境影响报告编制时进行如下简化。</w:t>
      </w:r>
    </w:p>
    <w:p w14:paraId="669451DC">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hint="default" w:ascii="Times New Roman" w:hAnsi="Times New Roman" w:eastAsia="宋体" w:cs="Times New Roman"/>
          <w:color w:val="auto"/>
          <w:sz w:val="24"/>
          <w:szCs w:val="24"/>
          <w:highlight w:val="none"/>
        </w:rPr>
      </w:pPr>
      <w:bookmarkStart w:id="166" w:name="_Toc22149"/>
      <w:r>
        <w:rPr>
          <w:rFonts w:hint="default" w:ascii="Times New Roman" w:hAnsi="Times New Roman" w:eastAsia="宋体" w:cs="Times New Roman"/>
          <w:color w:val="auto"/>
          <w:sz w:val="24"/>
          <w:szCs w:val="24"/>
          <w:highlight w:val="none"/>
        </w:rPr>
        <w:t>1．直接引用区域评估内容</w:t>
      </w:r>
      <w:bookmarkEnd w:id="166"/>
      <w:bookmarkStart w:id="167" w:name="pindex331"/>
      <w:bookmarkEnd w:id="167"/>
    </w:p>
    <w:p w14:paraId="664F5D6D">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（1）部分结论直接引用。</w:t>
      </w:r>
      <w:bookmarkStart w:id="168" w:name="sys33212187"/>
      <w:r>
        <w:rPr>
          <w:rFonts w:hint="default" w:ascii="Times New Roman" w:hAnsi="Times New Roman" w:eastAsia="宋体" w:cs="Times New Roman"/>
          <w:color w:val="auto"/>
          <w:sz w:val="24"/>
          <w:szCs w:val="24"/>
          <w:highlight w:val="none"/>
        </w:rPr>
        <w:t>区域评估范围内项目环评报告直接引用区域评估成果结论，相关内容不再逐一展开比对分析：建设项目选址选线、规模、性质和工艺路线等与国家和地方有关环境保护法律法规、标准、政策、规范、相关规划、规划环境影响评价结论及审查意见的比对分析；与生态保护红线、环境质量底线、资源利用上线和环境准入清单的比对分析；项目建设与省市各项管理工作要求、环境基础设施依托、环境承载力及影响等的比对分析。</w:t>
      </w:r>
      <w:bookmarkEnd w:id="168"/>
      <w:bookmarkStart w:id="169" w:name="pindex332"/>
      <w:bookmarkEnd w:id="169"/>
    </w:p>
    <w:p w14:paraId="09CEA3E3">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（2）编制依据直接引用。</w:t>
      </w:r>
      <w:bookmarkStart w:id="170" w:name="sys3331272"/>
      <w:r>
        <w:rPr>
          <w:rFonts w:hint="default" w:ascii="Times New Roman" w:hAnsi="Times New Roman" w:eastAsia="宋体" w:cs="Times New Roman"/>
          <w:color w:val="auto"/>
          <w:sz w:val="24"/>
          <w:szCs w:val="24"/>
          <w:highlight w:val="none"/>
        </w:rPr>
        <w:t>项目环评报告编制涉及的国家和地方有关环境保护法律法规、标准、政策、规范、政府管理文件、技术导则、技术指南、排放标准直接引用区域评估成果相关内容。</w:t>
      </w:r>
      <w:bookmarkEnd w:id="170"/>
      <w:bookmarkStart w:id="171" w:name="pindex333"/>
      <w:bookmarkEnd w:id="171"/>
    </w:p>
    <w:p w14:paraId="32FFB417">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rPr>
          <w:rFonts w:ascii="宋体" w:hAnsi="宋体" w:eastAsia="宋体" w:cs="宋体"/>
          <w:color w:val="auto"/>
          <w:sz w:val="24"/>
          <w:szCs w:val="24"/>
          <w:highlight w:val="none"/>
        </w:rPr>
      </w:pPr>
      <w:r>
        <w:rPr>
          <w:rFonts w:hint="default" w:ascii="Times New Roman" w:hAnsi="Times New Roman" w:eastAsia="宋体" w:cs="Times New Roman"/>
          <w:color w:val="auto"/>
          <w:sz w:val="24"/>
          <w:szCs w:val="24"/>
          <w:highlight w:val="none"/>
        </w:rPr>
        <w:t>（3）</w:t>
      </w:r>
      <w:r>
        <w:rPr>
          <w:rFonts w:ascii="宋体" w:hAnsi="宋体" w:eastAsia="宋体" w:cs="宋体"/>
          <w:color w:val="auto"/>
          <w:sz w:val="24"/>
          <w:szCs w:val="24"/>
          <w:highlight w:val="none"/>
        </w:rPr>
        <w:t>现状评价直接引用。</w:t>
      </w:r>
      <w:bookmarkStart w:id="172" w:name="sys33412100"/>
      <w:r>
        <w:rPr>
          <w:rFonts w:ascii="宋体" w:hAnsi="宋体" w:eastAsia="宋体" w:cs="宋体"/>
          <w:color w:val="auto"/>
          <w:sz w:val="24"/>
          <w:szCs w:val="24"/>
          <w:highlight w:val="none"/>
        </w:rPr>
        <w:t>项目环评报告中现状调查与评价相关内容直接引用区域评估成果，具体包括：自然环境现状调查与评价（包括地形地貌、气候与气象、地质、水文、大气、地表水、地下水、声、生态、土壤、海洋、放射性及辐射等调查内容）；</w:t>
      </w:r>
      <w:bookmarkEnd w:id="172"/>
      <w:r>
        <w:rPr>
          <w:rFonts w:ascii="宋体" w:hAnsi="宋体" w:eastAsia="宋体" w:cs="宋体"/>
          <w:color w:val="auto"/>
          <w:sz w:val="24"/>
          <w:szCs w:val="24"/>
          <w:highlight w:val="none"/>
        </w:rPr>
        <w:t>环境质量现状调查与评价；区域污染源调查等。</w:t>
      </w:r>
      <w:bookmarkStart w:id="173" w:name="pindex334"/>
      <w:bookmarkEnd w:id="173"/>
    </w:p>
    <w:p w14:paraId="7DA6898A">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hint="default" w:ascii="Times New Roman" w:hAnsi="Times New Roman" w:eastAsia="宋体" w:cs="Times New Roman"/>
          <w:color w:val="auto"/>
          <w:sz w:val="24"/>
          <w:szCs w:val="24"/>
          <w:highlight w:val="none"/>
        </w:rPr>
      </w:pPr>
      <w:bookmarkStart w:id="174" w:name="_Toc5685"/>
      <w:r>
        <w:rPr>
          <w:rFonts w:hint="default" w:ascii="Times New Roman" w:hAnsi="Times New Roman" w:eastAsia="宋体" w:cs="Times New Roman"/>
          <w:color w:val="auto"/>
          <w:sz w:val="24"/>
          <w:szCs w:val="24"/>
          <w:highlight w:val="none"/>
        </w:rPr>
        <w:t>2．充分利用其他评估成果</w:t>
      </w:r>
      <w:bookmarkEnd w:id="174"/>
      <w:bookmarkStart w:id="175" w:name="pindex335"/>
      <w:bookmarkEnd w:id="175"/>
    </w:p>
    <w:p w14:paraId="574AC606">
      <w:pPr>
        <w:keepNext w:val="0"/>
        <w:keepLines w:val="0"/>
        <w:pageBreakBefore w:val="0"/>
        <w:widowControl/>
        <w:kinsoku/>
        <w:wordWrap/>
        <w:overflowPunct/>
        <w:topLinePunct w:val="0"/>
        <w:autoSpaceDE w:val="0"/>
        <w:autoSpaceDN w:val="0"/>
        <w:bidi w:val="0"/>
        <w:adjustRightInd w:val="0"/>
        <w:snapToGrid w:val="0"/>
        <w:spacing w:before="33" w:line="360" w:lineRule="auto"/>
        <w:ind w:left="40" w:right="136" w:firstLine="510"/>
        <w:jc w:val="both"/>
        <w:textAlignment w:val="baseline"/>
        <w:outlineLvl w:val="9"/>
        <w:rPr>
          <w:rFonts w:ascii="宋体" w:hAnsi="宋体" w:eastAsia="宋体" w:cs="宋体"/>
          <w:color w:val="auto"/>
          <w:sz w:val="24"/>
          <w:szCs w:val="24"/>
          <w:highlight w:val="none"/>
        </w:rPr>
      </w:pPr>
      <w:bookmarkStart w:id="176" w:name="sys3360101"/>
      <w:r>
        <w:rPr>
          <w:rFonts w:ascii="宋体" w:hAnsi="宋体" w:eastAsia="宋体" w:cs="宋体"/>
          <w:color w:val="auto"/>
          <w:sz w:val="24"/>
          <w:szCs w:val="24"/>
          <w:highlight w:val="none"/>
        </w:rPr>
        <w:t>项目环评报告中现状调查及环境影响预测涉及的，与地形地貌、气候与气象、地质、水文、大气、地表水、地下水、声、生态、土壤等相关内容，可充分利用该区域同步开展的其他评估事项的区域评估成果，直接引用相关的内容。</w:t>
      </w:r>
      <w:bookmarkEnd w:id="176"/>
    </w:p>
    <w:p w14:paraId="756DECF3">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outlineLvl w:val="9"/>
        <w:rPr>
          <w:rFonts w:hint="default" w:ascii="Times New Roman" w:hAnsi="Times New Roman" w:eastAsia="宋体" w:cs="Times New Roman"/>
          <w:color w:val="auto"/>
          <w:sz w:val="24"/>
          <w:szCs w:val="24"/>
          <w:highlight w:val="none"/>
        </w:rPr>
      </w:pPr>
      <w:bookmarkStart w:id="177" w:name="_Toc7881"/>
      <w:r>
        <w:rPr>
          <w:rFonts w:hint="default" w:ascii="Times New Roman" w:hAnsi="Times New Roman" w:eastAsia="宋体" w:cs="Times New Roman"/>
          <w:color w:val="auto"/>
          <w:sz w:val="24"/>
          <w:szCs w:val="24"/>
          <w:highlight w:val="none"/>
        </w:rPr>
        <w:t>3．参考各项经验成果</w:t>
      </w:r>
      <w:bookmarkEnd w:id="177"/>
      <w:bookmarkStart w:id="178" w:name="pindex337"/>
      <w:bookmarkEnd w:id="178"/>
    </w:p>
    <w:p w14:paraId="341E1909">
      <w:pPr>
        <w:keepNext w:val="0"/>
        <w:keepLines w:val="0"/>
        <w:pageBreakBefore w:val="0"/>
        <w:widowControl/>
        <w:kinsoku/>
        <w:wordWrap/>
        <w:overflowPunct/>
        <w:topLinePunct w:val="0"/>
        <w:autoSpaceDE w:val="0"/>
        <w:autoSpaceDN w:val="0"/>
        <w:bidi w:val="0"/>
        <w:adjustRightInd w:val="0"/>
        <w:snapToGrid w:val="0"/>
        <w:spacing w:before="33" w:line="360" w:lineRule="auto"/>
        <w:ind w:right="136"/>
        <w:jc w:val="both"/>
        <w:textAlignment w:val="baseline"/>
        <w:outlineLvl w:val="9"/>
        <w:rPr>
          <w:rFonts w:hint="default" w:ascii="Times New Roman" w:hAnsi="Times New Roman" w:eastAsia="宋体" w:cs="Times New Roman"/>
          <w:b w:val="0"/>
          <w:bCs w:val="0"/>
          <w:color w:val="auto"/>
          <w:sz w:val="24"/>
          <w:szCs w:val="24"/>
          <w:highlight w:val="none"/>
        </w:rPr>
      </w:pPr>
      <w:bookmarkStart w:id="179" w:name="sys3380143"/>
      <w:r>
        <w:rPr>
          <w:rFonts w:ascii="宋体" w:hAnsi="宋体" w:eastAsia="宋体" w:cs="宋体"/>
          <w:color w:val="auto"/>
          <w:sz w:val="24"/>
          <w:szCs w:val="24"/>
          <w:highlight w:val="none"/>
        </w:rPr>
        <w:t>在项目环评报告编制阶段，在符合保密要求前提下，可充分参考项目所在周边区域现有同类企业污染治理技术、污染防治措施、环境风险防控经验，作为论证本项目拟采取措施的技术可行性、经济合理性、长期稳定运行和达标排放的可靠性、满足环境质量改善和排污许可要求的可行性、生态保护和恢复效果的可达性的依据。</w:t>
      </w:r>
      <w:bookmarkEnd w:id="179"/>
    </w:p>
    <w:p w14:paraId="272FDFCB">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2"/>
        <w:rPr>
          <w:rFonts w:hint="default" w:ascii="Times New Roman" w:hAnsi="Times New Roman" w:eastAsia="宋体" w:cs="Times New Roman"/>
          <w:b/>
          <w:bCs/>
          <w:color w:val="auto"/>
          <w:sz w:val="24"/>
          <w:szCs w:val="24"/>
          <w:highlight w:val="none"/>
        </w:rPr>
      </w:pPr>
      <w:bookmarkStart w:id="180" w:name="_Toc6545"/>
      <w:bookmarkStart w:id="181" w:name="_Toc1738"/>
      <w:r>
        <w:rPr>
          <w:rFonts w:hint="default" w:ascii="Times New Roman" w:hAnsi="Times New Roman" w:eastAsia="宋体" w:cs="Times New Roman"/>
          <w:b/>
          <w:bCs/>
          <w:color w:val="auto"/>
          <w:sz w:val="24"/>
          <w:szCs w:val="24"/>
          <w:highlight w:val="none"/>
        </w:rPr>
        <w:t>1.4.3简化环评审批流程</w:t>
      </w:r>
      <w:bookmarkEnd w:id="180"/>
      <w:bookmarkEnd w:id="181"/>
      <w:bookmarkStart w:id="182" w:name="pindex339"/>
      <w:bookmarkEnd w:id="182"/>
    </w:p>
    <w:p w14:paraId="13FF9566">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80" w:firstLineChars="200"/>
        <w:jc w:val="both"/>
        <w:textAlignment w:val="baseline"/>
        <w:outlineLvl w:val="9"/>
        <w:rPr>
          <w:rFonts w:hint="default" w:ascii="Times New Roman" w:hAnsi="Times New Roman" w:eastAsia="宋体" w:cs="Times New Roman"/>
          <w:b w:val="0"/>
          <w:bCs w:val="0"/>
          <w:color w:val="auto"/>
          <w:sz w:val="24"/>
          <w:szCs w:val="24"/>
          <w:highlight w:val="none"/>
        </w:rPr>
      </w:pPr>
      <w:bookmarkStart w:id="183" w:name="_Toc26975"/>
      <w:r>
        <w:rPr>
          <w:rFonts w:hint="default" w:ascii="Times New Roman" w:hAnsi="Times New Roman" w:eastAsia="宋体" w:cs="Times New Roman"/>
          <w:b w:val="0"/>
          <w:bCs w:val="0"/>
          <w:color w:val="auto"/>
          <w:sz w:val="24"/>
          <w:szCs w:val="24"/>
          <w:highlight w:val="none"/>
        </w:rPr>
        <w:t>1．简化公众参与方式</w:t>
      </w:r>
      <w:bookmarkEnd w:id="183"/>
      <w:bookmarkStart w:id="184" w:name="pindex340"/>
      <w:bookmarkEnd w:id="184"/>
    </w:p>
    <w:p w14:paraId="28E63396">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80" w:firstLineChars="200"/>
        <w:jc w:val="both"/>
        <w:textAlignment w:val="baseline"/>
        <w:outlineLvl w:val="9"/>
        <w:rPr>
          <w:rFonts w:hint="default" w:ascii="Times New Roman" w:hAnsi="Times New Roman" w:eastAsia="宋体" w:cs="Times New Roman"/>
          <w:b w:val="0"/>
          <w:bCs w:val="0"/>
          <w:color w:val="auto"/>
          <w:sz w:val="24"/>
          <w:szCs w:val="24"/>
          <w:highlight w:val="none"/>
        </w:rPr>
      </w:pPr>
      <w:bookmarkStart w:id="185" w:name="sys3410223"/>
      <w:r>
        <w:rPr>
          <w:rFonts w:hint="default" w:ascii="Times New Roman" w:hAnsi="Times New Roman" w:eastAsia="宋体" w:cs="Times New Roman"/>
          <w:b w:val="0"/>
          <w:bCs w:val="0"/>
          <w:color w:val="auto"/>
          <w:sz w:val="24"/>
          <w:szCs w:val="24"/>
          <w:highlight w:val="none"/>
        </w:rPr>
        <w:t>与规划环评及审查意见（如有）相符的建设项目，建设单位在开展公众参与时，可根据《环境影响评价公众参与办法》规定的方式予以简化。具体方式：免予开展《环境影响评价公众参与办法》第九条规定的公开程序，相关应当公开的内容纳入《环境影响评价公众参与办法》第十条规定的公开内容一并公开；《环境影响评价公众参与办法》第十条第二款和第十一条第一款规定的10个工作日的期限减为5个工作日；免予采用《环境影响评价公众参与办法》第十一条第一款第三项规定的张贴公告的方式。</w:t>
      </w:r>
      <w:bookmarkEnd w:id="185"/>
    </w:p>
    <w:p w14:paraId="1A1DE97A">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80" w:firstLineChars="200"/>
        <w:jc w:val="both"/>
        <w:textAlignment w:val="baseline"/>
        <w:outlineLvl w:val="9"/>
        <w:rPr>
          <w:rFonts w:hint="default" w:ascii="Times New Roman" w:hAnsi="Times New Roman" w:eastAsia="宋体" w:cs="Times New Roman"/>
          <w:b w:val="0"/>
          <w:bCs w:val="0"/>
          <w:color w:val="auto"/>
          <w:sz w:val="24"/>
          <w:szCs w:val="24"/>
          <w:highlight w:val="none"/>
        </w:rPr>
      </w:pPr>
      <w:bookmarkStart w:id="186" w:name="_Toc116"/>
      <w:r>
        <w:rPr>
          <w:rFonts w:hint="default" w:ascii="Times New Roman" w:hAnsi="Times New Roman" w:eastAsia="宋体" w:cs="Times New Roman"/>
          <w:b w:val="0"/>
          <w:bCs w:val="0"/>
          <w:color w:val="auto"/>
          <w:sz w:val="24"/>
          <w:szCs w:val="24"/>
          <w:highlight w:val="none"/>
        </w:rPr>
        <w:t>2．加快评估流程</w:t>
      </w:r>
      <w:bookmarkEnd w:id="186"/>
      <w:bookmarkStart w:id="187" w:name="pindex342"/>
      <w:bookmarkEnd w:id="187"/>
    </w:p>
    <w:p w14:paraId="7C9E6451">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80" w:firstLineChars="200"/>
        <w:jc w:val="both"/>
        <w:textAlignment w:val="baseline"/>
        <w:outlineLvl w:val="9"/>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编制环评的项目，建设项目环评审批需编制环评报告表的项目不再进行技术评估；</w:t>
      </w:r>
      <w:bookmarkStart w:id="188" w:name="sys3433679"/>
      <w:r>
        <w:rPr>
          <w:rFonts w:hint="default" w:ascii="Times New Roman" w:hAnsi="Times New Roman" w:eastAsia="宋体" w:cs="Times New Roman"/>
          <w:b w:val="0"/>
          <w:bCs w:val="0"/>
          <w:color w:val="auto"/>
          <w:sz w:val="24"/>
          <w:szCs w:val="24"/>
          <w:highlight w:val="none"/>
        </w:rPr>
        <w:t>需编制环评报告书的项目评估机构即到即受理，对需要进行现场踏勘的，充分运用视频、互联网等信息化手段开展工作，专家咨询可以通过函审方式进行，最大限度缩短评估时限。</w:t>
      </w:r>
      <w:bookmarkEnd w:id="188"/>
    </w:p>
    <w:p w14:paraId="0940FC16">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80" w:firstLineChars="200"/>
        <w:jc w:val="both"/>
        <w:textAlignment w:val="baseline"/>
        <w:outlineLvl w:val="9"/>
        <w:rPr>
          <w:rFonts w:hint="default" w:ascii="Times New Roman" w:hAnsi="Times New Roman" w:eastAsia="宋体" w:cs="Times New Roman"/>
          <w:b w:val="0"/>
          <w:bCs w:val="0"/>
          <w:color w:val="auto"/>
          <w:sz w:val="24"/>
          <w:szCs w:val="24"/>
          <w:highlight w:val="none"/>
        </w:rPr>
      </w:pPr>
      <w:bookmarkStart w:id="189" w:name="_Toc4834"/>
      <w:r>
        <w:rPr>
          <w:rFonts w:hint="default" w:ascii="Times New Roman" w:hAnsi="Times New Roman" w:eastAsia="宋体" w:cs="Times New Roman"/>
          <w:b w:val="0"/>
          <w:bCs w:val="0"/>
          <w:color w:val="auto"/>
          <w:sz w:val="24"/>
          <w:szCs w:val="24"/>
          <w:highlight w:val="none"/>
        </w:rPr>
        <w:t>3．压缩审批时限</w:t>
      </w:r>
      <w:bookmarkEnd w:id="189"/>
      <w:bookmarkStart w:id="190" w:name="pindex344"/>
      <w:bookmarkEnd w:id="190"/>
    </w:p>
    <w:p w14:paraId="6B97B73F">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80" w:firstLineChars="200"/>
        <w:jc w:val="both"/>
        <w:textAlignment w:val="baseline"/>
        <w:outlineLvl w:val="9"/>
        <w:rPr>
          <w:rFonts w:ascii="宋体" w:hAnsi="宋体" w:eastAsia="宋体" w:cs="宋体"/>
          <w:color w:val="auto"/>
          <w:sz w:val="24"/>
          <w:szCs w:val="24"/>
          <w:highlight w:val="none"/>
        </w:rPr>
      </w:pPr>
      <w:bookmarkStart w:id="191" w:name="sys345035"/>
      <w:r>
        <w:rPr>
          <w:rFonts w:hint="default" w:ascii="Times New Roman" w:hAnsi="Times New Roman" w:eastAsia="宋体" w:cs="Times New Roman"/>
          <w:b w:val="0"/>
          <w:bCs w:val="0"/>
          <w:color w:val="auto"/>
          <w:sz w:val="24"/>
          <w:szCs w:val="24"/>
          <w:highlight w:val="none"/>
        </w:rPr>
        <w:t>区域评估范围内建设项目纳入环评审批“绿色通道”，最大限度提高审批效率。</w:t>
      </w:r>
      <w:bookmarkEnd w:id="191"/>
    </w:p>
    <w:p w14:paraId="4D7DE922">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ascii="宋体" w:hAnsi="宋体" w:eastAsia="宋体" w:cs="宋体"/>
          <w:color w:val="auto"/>
          <w:sz w:val="24"/>
          <w:szCs w:val="24"/>
          <w:highlight w:val="none"/>
        </w:rPr>
        <w:sectPr>
          <w:footerReference r:id="rId8" w:type="default"/>
          <w:pgSz w:w="11907" w:h="16839"/>
          <w:pgMar w:top="1134" w:right="1593" w:bottom="1168" w:left="1771" w:header="863" w:footer="991" w:gutter="0"/>
          <w:pgBorders>
            <w:top w:val="none" w:sz="0" w:space="0"/>
            <w:left w:val="none" w:sz="0" w:space="0"/>
            <w:bottom w:val="none" w:sz="0" w:space="0"/>
            <w:right w:val="none" w:sz="0" w:space="0"/>
          </w:pgBorders>
          <w:pgNumType w:fmt="decimal"/>
          <w:cols w:space="720" w:num="1"/>
        </w:sectPr>
      </w:pPr>
    </w:p>
    <w:p w14:paraId="5C9321CD">
      <w:pPr>
        <w:keepNext w:val="0"/>
        <w:keepLines w:val="0"/>
        <w:pageBreakBefore w:val="0"/>
        <w:widowControl/>
        <w:kinsoku w:val="0"/>
        <w:wordWrap/>
        <w:overflowPunct/>
        <w:topLinePunct w:val="0"/>
        <w:autoSpaceDE w:val="0"/>
        <w:autoSpaceDN w:val="0"/>
        <w:bidi w:val="0"/>
        <w:adjustRightInd w:val="0"/>
        <w:snapToGrid w:val="0"/>
        <w:spacing w:before="91" w:line="360" w:lineRule="auto"/>
        <w:ind w:left="34"/>
        <w:textAlignment w:val="baseline"/>
        <w:outlineLvl w:val="0"/>
        <w:rPr>
          <w:rFonts w:hint="eastAsia" w:ascii="Times New Roman" w:hAnsi="Times New Roman" w:eastAsia="Times New Roman" w:cs="Times New Roman"/>
          <w:b/>
          <w:bCs/>
          <w:color w:val="auto"/>
          <w:spacing w:val="-2"/>
          <w:sz w:val="28"/>
          <w:szCs w:val="28"/>
          <w:highlight w:val="none"/>
          <w:lang w:val="en-US" w:eastAsia="zh-CN"/>
        </w:rPr>
      </w:pPr>
      <w:bookmarkStart w:id="192" w:name="bookmark11"/>
      <w:bookmarkEnd w:id="192"/>
      <w:bookmarkStart w:id="193" w:name="_Toc24884"/>
      <w:r>
        <w:rPr>
          <w:rFonts w:hint="eastAsia" w:ascii="Times New Roman" w:hAnsi="Times New Roman" w:eastAsia="Times New Roman" w:cs="Times New Roman"/>
          <w:b/>
          <w:bCs/>
          <w:color w:val="auto"/>
          <w:spacing w:val="-2"/>
          <w:sz w:val="28"/>
          <w:szCs w:val="28"/>
          <w:highlight w:val="none"/>
          <w:lang w:val="en-US" w:eastAsia="zh-CN"/>
        </w:rPr>
        <w:t>2相关法律、法规、政府管理文件</w:t>
      </w:r>
      <w:bookmarkEnd w:id="193"/>
      <w:bookmarkStart w:id="194" w:name="pindex347"/>
      <w:bookmarkEnd w:id="194"/>
    </w:p>
    <w:p w14:paraId="0F5555CA">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hint="eastAsia" w:ascii="Times New Roman" w:hAnsi="Times New Roman" w:eastAsia="Times New Roman" w:cs="Times New Roman"/>
          <w:b/>
          <w:bCs/>
          <w:color w:val="auto"/>
          <w:spacing w:val="-3"/>
          <w:sz w:val="24"/>
          <w:szCs w:val="24"/>
          <w:highlight w:val="none"/>
          <w:lang w:val="en-US" w:eastAsia="zh-CN"/>
        </w:rPr>
      </w:pPr>
      <w:bookmarkStart w:id="195" w:name="bookmark13"/>
      <w:bookmarkEnd w:id="195"/>
      <w:bookmarkStart w:id="196" w:name="_Toc24517"/>
      <w:r>
        <w:rPr>
          <w:rFonts w:hint="eastAsia" w:ascii="Times New Roman" w:hAnsi="Times New Roman" w:eastAsia="Times New Roman" w:cs="Times New Roman"/>
          <w:b/>
          <w:bCs/>
          <w:color w:val="auto"/>
          <w:spacing w:val="-3"/>
          <w:sz w:val="24"/>
          <w:szCs w:val="24"/>
          <w:highlight w:val="none"/>
          <w:lang w:val="en-US" w:eastAsia="zh-CN"/>
        </w:rPr>
        <w:t>2.1国家法律、法规、部门规章及政策文件</w:t>
      </w:r>
      <w:bookmarkEnd w:id="196"/>
      <w:bookmarkStart w:id="197" w:name="pindex348"/>
      <w:bookmarkEnd w:id="197"/>
    </w:p>
    <w:p w14:paraId="6C469D2C">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(1)</w:t>
      </w:r>
      <w:bookmarkStart w:id="198" w:name="OLE_LINK936"/>
      <w:r>
        <w:rPr>
          <w:rFonts w:hint="default" w:ascii="Times New Roman" w:hAnsi="Times New Roman" w:cs="Times New Roman"/>
          <w:b w:val="0"/>
          <w:bCs w:val="0"/>
          <w:color w:val="auto"/>
          <w:sz w:val="24"/>
          <w:szCs w:val="24"/>
          <w:highlight w:val="none"/>
        </w:rPr>
        <w:t>《中华人民共和国环境保护法》</w:t>
      </w:r>
      <w:bookmarkEnd w:id="198"/>
      <w:r>
        <w:rPr>
          <w:rFonts w:hint="default" w:ascii="Times New Roman" w:hAnsi="Times New Roman" w:cs="Times New Roman"/>
          <w:b w:val="0"/>
          <w:bCs w:val="0"/>
          <w:color w:val="auto"/>
          <w:sz w:val="24"/>
          <w:szCs w:val="24"/>
          <w:highlight w:val="none"/>
        </w:rPr>
        <w:t>（2014年修订），2015年1月1日起实施；</w:t>
      </w:r>
      <w:bookmarkStart w:id="199" w:name="pindex349"/>
      <w:bookmarkEnd w:id="199"/>
    </w:p>
    <w:p w14:paraId="09BFB87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(2)</w:t>
      </w:r>
      <w:bookmarkStart w:id="200" w:name="OLE_LINK937"/>
      <w:r>
        <w:rPr>
          <w:rFonts w:hint="default" w:ascii="Times New Roman" w:hAnsi="Times New Roman" w:cs="Times New Roman"/>
          <w:b w:val="0"/>
          <w:bCs w:val="0"/>
          <w:color w:val="auto"/>
          <w:sz w:val="24"/>
          <w:szCs w:val="24"/>
          <w:highlight w:val="none"/>
        </w:rPr>
        <w:t>《中华人民共和国环境影响评价法》</w:t>
      </w:r>
      <w:bookmarkEnd w:id="200"/>
      <w:r>
        <w:rPr>
          <w:rFonts w:hint="default" w:ascii="Times New Roman" w:hAnsi="Times New Roman" w:cs="Times New Roman"/>
          <w:b w:val="0"/>
          <w:bCs w:val="0"/>
          <w:color w:val="auto"/>
          <w:sz w:val="24"/>
          <w:szCs w:val="24"/>
          <w:highlight w:val="none"/>
        </w:rPr>
        <w:t>（2018年修正），2018年12月29日起实施；</w:t>
      </w:r>
      <w:bookmarkStart w:id="201" w:name="pindex350"/>
      <w:bookmarkEnd w:id="201"/>
    </w:p>
    <w:p w14:paraId="652CB64D">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(3)</w:t>
      </w:r>
      <w:bookmarkStart w:id="202" w:name="OLE_LINK938"/>
      <w:r>
        <w:rPr>
          <w:rFonts w:hint="default" w:ascii="Times New Roman" w:hAnsi="Times New Roman" w:cs="Times New Roman"/>
          <w:b w:val="0"/>
          <w:bCs w:val="0"/>
          <w:color w:val="auto"/>
          <w:sz w:val="24"/>
          <w:szCs w:val="24"/>
          <w:highlight w:val="none"/>
        </w:rPr>
        <w:t>《中华人民共和国城乡规划法》</w:t>
      </w:r>
      <w:bookmarkEnd w:id="202"/>
      <w:r>
        <w:rPr>
          <w:rFonts w:hint="default" w:ascii="Times New Roman" w:hAnsi="Times New Roman" w:cs="Times New Roman"/>
          <w:b w:val="0"/>
          <w:bCs w:val="0"/>
          <w:color w:val="auto"/>
          <w:sz w:val="24"/>
          <w:szCs w:val="24"/>
          <w:highlight w:val="none"/>
        </w:rPr>
        <w:t>（2019年修正），2019年4月24日起实施；</w:t>
      </w:r>
      <w:bookmarkStart w:id="203" w:name="pindex351"/>
      <w:bookmarkEnd w:id="203"/>
    </w:p>
    <w:p w14:paraId="58F5329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(4)</w:t>
      </w:r>
      <w:bookmarkStart w:id="204" w:name="OLE_LINK939"/>
      <w:r>
        <w:rPr>
          <w:rFonts w:hint="default" w:ascii="Times New Roman" w:hAnsi="Times New Roman" w:cs="Times New Roman"/>
          <w:b w:val="0"/>
          <w:bCs w:val="0"/>
          <w:color w:val="auto"/>
          <w:sz w:val="24"/>
          <w:szCs w:val="24"/>
          <w:highlight w:val="none"/>
        </w:rPr>
        <w:t>《中华人民共和国水污染防治法》</w:t>
      </w:r>
      <w:bookmarkEnd w:id="204"/>
      <w:r>
        <w:rPr>
          <w:rFonts w:hint="default" w:ascii="Times New Roman" w:hAnsi="Times New Roman" w:cs="Times New Roman"/>
          <w:b w:val="0"/>
          <w:bCs w:val="0"/>
          <w:color w:val="auto"/>
          <w:sz w:val="24"/>
          <w:szCs w:val="24"/>
          <w:highlight w:val="none"/>
        </w:rPr>
        <w:t>（2017年修订），2018年1月1日起实施；</w:t>
      </w:r>
      <w:bookmarkStart w:id="205" w:name="pindex352"/>
      <w:bookmarkEnd w:id="205"/>
    </w:p>
    <w:p w14:paraId="2104511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bookmarkStart w:id="206" w:name="sys353044"/>
      <w:r>
        <w:rPr>
          <w:rFonts w:hint="default" w:ascii="Times New Roman" w:hAnsi="Times New Roman" w:cs="Times New Roman"/>
          <w:b w:val="0"/>
          <w:bCs w:val="0"/>
          <w:color w:val="auto"/>
          <w:sz w:val="24"/>
          <w:szCs w:val="24"/>
          <w:highlight w:val="none"/>
        </w:rPr>
        <w:t>(5)</w:t>
      </w:r>
      <w:bookmarkStart w:id="207" w:name="OLE_LINK940"/>
      <w:r>
        <w:rPr>
          <w:rFonts w:hint="default" w:ascii="Times New Roman" w:hAnsi="Times New Roman" w:cs="Times New Roman"/>
          <w:b w:val="0"/>
          <w:bCs w:val="0"/>
          <w:color w:val="auto"/>
          <w:sz w:val="24"/>
          <w:szCs w:val="24"/>
          <w:highlight w:val="none"/>
        </w:rPr>
        <w:t>《中华人民共和国大气污染防治法》</w:t>
      </w:r>
      <w:bookmarkEnd w:id="207"/>
      <w:r>
        <w:rPr>
          <w:rFonts w:hint="default" w:ascii="Times New Roman" w:hAnsi="Times New Roman" w:cs="Times New Roman"/>
          <w:b w:val="0"/>
          <w:bCs w:val="0"/>
          <w:color w:val="auto"/>
          <w:sz w:val="24"/>
          <w:szCs w:val="24"/>
          <w:highlight w:val="none"/>
        </w:rPr>
        <w:t>（2018年修正），2018年10月26日起实施；</w:t>
      </w:r>
      <w:bookmarkEnd w:id="206"/>
      <w:bookmarkStart w:id="208" w:name="pindex353"/>
      <w:bookmarkEnd w:id="208"/>
    </w:p>
    <w:p w14:paraId="645EC71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(6)</w:t>
      </w:r>
      <w:bookmarkStart w:id="209" w:name="OLE_LINK941"/>
      <w:r>
        <w:rPr>
          <w:rFonts w:hint="default" w:ascii="Times New Roman" w:hAnsi="Times New Roman" w:cs="Times New Roman"/>
          <w:b w:val="0"/>
          <w:bCs w:val="0"/>
          <w:color w:val="auto"/>
          <w:sz w:val="24"/>
          <w:szCs w:val="24"/>
          <w:highlight w:val="none"/>
        </w:rPr>
        <w:t>《中华人民共和国环境噪声污染防治法》</w:t>
      </w:r>
      <w:bookmarkEnd w:id="209"/>
      <w:r>
        <w:rPr>
          <w:rFonts w:hint="default" w:ascii="Times New Roman" w:hAnsi="Times New Roman" w:cs="Times New Roman"/>
          <w:b w:val="0"/>
          <w:bCs w:val="0"/>
          <w:color w:val="auto"/>
          <w:sz w:val="24"/>
          <w:szCs w:val="24"/>
          <w:highlight w:val="none"/>
        </w:rPr>
        <w:t>（2021年修正），2022年6月5日起实施；</w:t>
      </w:r>
      <w:bookmarkStart w:id="210" w:name="pindex354"/>
      <w:bookmarkEnd w:id="210"/>
      <w:bookmarkStart w:id="211" w:name="OLE_LINK942"/>
    </w:p>
    <w:p w14:paraId="5663FA8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(7)</w:t>
      </w:r>
      <w:bookmarkStart w:id="212" w:name="OLE_LINK943"/>
      <w:r>
        <w:rPr>
          <w:rFonts w:hint="default" w:ascii="Times New Roman" w:hAnsi="Times New Roman" w:cs="Times New Roman"/>
          <w:b w:val="0"/>
          <w:bCs w:val="0"/>
          <w:color w:val="auto"/>
          <w:sz w:val="24"/>
          <w:szCs w:val="24"/>
          <w:highlight w:val="none"/>
        </w:rPr>
        <w:t>《中华人民共</w:t>
      </w:r>
      <w:bookmarkEnd w:id="211"/>
      <w:r>
        <w:rPr>
          <w:rFonts w:hint="default" w:ascii="Times New Roman" w:hAnsi="Times New Roman" w:cs="Times New Roman"/>
          <w:b w:val="0"/>
          <w:bCs w:val="0"/>
          <w:color w:val="auto"/>
          <w:sz w:val="24"/>
          <w:szCs w:val="24"/>
          <w:highlight w:val="none"/>
        </w:rPr>
        <w:t>和国土壤污染防治法》</w:t>
      </w:r>
      <w:bookmarkEnd w:id="212"/>
      <w:r>
        <w:rPr>
          <w:rFonts w:hint="default" w:ascii="Times New Roman" w:hAnsi="Times New Roman" w:cs="Times New Roman"/>
          <w:b w:val="0"/>
          <w:bCs w:val="0"/>
          <w:color w:val="auto"/>
          <w:sz w:val="24"/>
          <w:szCs w:val="24"/>
          <w:highlight w:val="none"/>
        </w:rPr>
        <w:t>，2019年1月1日起实施；</w:t>
      </w:r>
      <w:bookmarkStart w:id="213" w:name="pindex355"/>
      <w:bookmarkEnd w:id="213"/>
    </w:p>
    <w:p w14:paraId="45FBB4A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(8)</w:t>
      </w:r>
      <w:bookmarkStart w:id="214" w:name="OLE_LINK944"/>
      <w:r>
        <w:rPr>
          <w:rFonts w:hint="default" w:ascii="Times New Roman" w:hAnsi="Times New Roman" w:cs="Times New Roman"/>
          <w:b w:val="0"/>
          <w:bCs w:val="0"/>
          <w:color w:val="auto"/>
          <w:sz w:val="24"/>
          <w:szCs w:val="24"/>
          <w:highlight w:val="none"/>
        </w:rPr>
        <w:t>《中华人民共和国固体废物污染环境防治法》</w:t>
      </w:r>
      <w:bookmarkEnd w:id="214"/>
      <w:r>
        <w:rPr>
          <w:rFonts w:hint="default" w:ascii="Times New Roman" w:hAnsi="Times New Roman" w:cs="Times New Roman"/>
          <w:b w:val="0"/>
          <w:bCs w:val="0"/>
          <w:color w:val="auto"/>
          <w:sz w:val="24"/>
          <w:szCs w:val="24"/>
          <w:highlight w:val="none"/>
        </w:rPr>
        <w:t>（2020年修订），2020年9月1日起实施；</w:t>
      </w:r>
      <w:bookmarkStart w:id="215" w:name="pindex356"/>
      <w:bookmarkEnd w:id="215"/>
    </w:p>
    <w:p w14:paraId="0DCB5DA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(9)</w:t>
      </w:r>
      <w:bookmarkStart w:id="216" w:name="OLE_LINK947"/>
      <w:r>
        <w:rPr>
          <w:rFonts w:hint="default" w:ascii="Times New Roman" w:hAnsi="Times New Roman" w:cs="Times New Roman"/>
          <w:b w:val="0"/>
          <w:bCs w:val="0"/>
          <w:color w:val="auto"/>
          <w:sz w:val="24"/>
          <w:szCs w:val="24"/>
          <w:highlight w:val="none"/>
        </w:rPr>
        <w:t>《中华人民共和国清洁生产促进法》</w:t>
      </w:r>
      <w:bookmarkEnd w:id="216"/>
      <w:r>
        <w:rPr>
          <w:rFonts w:hint="default" w:ascii="Times New Roman" w:hAnsi="Times New Roman" w:cs="Times New Roman"/>
          <w:b w:val="0"/>
          <w:bCs w:val="0"/>
          <w:color w:val="auto"/>
          <w:sz w:val="24"/>
          <w:szCs w:val="24"/>
          <w:highlight w:val="none"/>
        </w:rPr>
        <w:t>（201</w:t>
      </w:r>
      <w:r>
        <w:rPr>
          <w:rFonts w:hint="eastAsia" w:ascii="Times New Roman" w:hAnsi="Times New Roman" w:eastAsia="宋体" w:cs="Times New Roman"/>
          <w:b w:val="0"/>
          <w:bCs w:val="0"/>
          <w:color w:val="auto"/>
          <w:sz w:val="24"/>
          <w:szCs w:val="24"/>
          <w:highlight w:val="none"/>
          <w:lang w:val="en-US" w:eastAsia="zh-CN"/>
        </w:rPr>
        <w:t>2</w:t>
      </w:r>
      <w:r>
        <w:rPr>
          <w:rFonts w:hint="default" w:ascii="Times New Roman" w:hAnsi="Times New Roman" w:cs="Times New Roman"/>
          <w:b w:val="0"/>
          <w:bCs w:val="0"/>
          <w:color w:val="auto"/>
          <w:sz w:val="24"/>
          <w:szCs w:val="24"/>
          <w:highlight w:val="none"/>
        </w:rPr>
        <w:t>年修订），20</w:t>
      </w:r>
      <w:r>
        <w:rPr>
          <w:rFonts w:hint="eastAsia" w:ascii="Times New Roman" w:hAnsi="Times New Roman" w:eastAsia="宋体" w:cs="Times New Roman"/>
          <w:b w:val="0"/>
          <w:bCs w:val="0"/>
          <w:color w:val="auto"/>
          <w:sz w:val="24"/>
          <w:szCs w:val="24"/>
          <w:highlight w:val="none"/>
          <w:lang w:val="en-US" w:eastAsia="zh-CN"/>
        </w:rPr>
        <w:t>03</w:t>
      </w:r>
      <w:r>
        <w:rPr>
          <w:rFonts w:hint="default" w:ascii="Times New Roman" w:hAnsi="Times New Roman" w:cs="Times New Roman"/>
          <w:b w:val="0"/>
          <w:bCs w:val="0"/>
          <w:color w:val="auto"/>
          <w:sz w:val="24"/>
          <w:szCs w:val="24"/>
          <w:highlight w:val="none"/>
        </w:rPr>
        <w:t>年</w:t>
      </w:r>
      <w:r>
        <w:rPr>
          <w:rFonts w:hint="eastAsia" w:ascii="Times New Roman" w:hAnsi="Times New Roman" w:eastAsia="宋体" w:cs="Times New Roman"/>
          <w:b w:val="0"/>
          <w:bCs w:val="0"/>
          <w:color w:val="auto"/>
          <w:sz w:val="24"/>
          <w:szCs w:val="24"/>
          <w:highlight w:val="none"/>
          <w:lang w:val="en-US" w:eastAsia="zh-CN"/>
        </w:rPr>
        <w:t>1</w:t>
      </w:r>
      <w:r>
        <w:rPr>
          <w:rFonts w:hint="default" w:ascii="Times New Roman" w:hAnsi="Times New Roman" w:cs="Times New Roman"/>
          <w:b w:val="0"/>
          <w:bCs w:val="0"/>
          <w:color w:val="auto"/>
          <w:sz w:val="24"/>
          <w:szCs w:val="24"/>
          <w:highlight w:val="none"/>
        </w:rPr>
        <w:t>月1日起实施；</w:t>
      </w:r>
      <w:bookmarkStart w:id="217" w:name="pindex357"/>
      <w:bookmarkEnd w:id="217"/>
    </w:p>
    <w:p w14:paraId="25D234E3">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b w:val="0"/>
          <w:bCs w:val="0"/>
          <w:color w:val="auto"/>
          <w:sz w:val="24"/>
          <w:szCs w:val="24"/>
          <w:highlight w:val="none"/>
          <w:lang w:eastAsia="zh-CN"/>
        </w:rPr>
      </w:pPr>
      <w:bookmarkStart w:id="218" w:name="sys358045"/>
      <w:r>
        <w:rPr>
          <w:rFonts w:hint="default" w:ascii="Times New Roman" w:hAnsi="Times New Roman" w:cs="Times New Roman"/>
          <w:b w:val="0"/>
          <w:bCs w:val="0"/>
          <w:color w:val="auto"/>
          <w:sz w:val="24"/>
          <w:szCs w:val="24"/>
          <w:highlight w:val="none"/>
        </w:rPr>
        <w:t>(10)</w:t>
      </w:r>
      <w:bookmarkStart w:id="219" w:name="OLE_LINK949"/>
      <w:r>
        <w:rPr>
          <w:rFonts w:hint="default" w:ascii="Times New Roman" w:hAnsi="Times New Roman" w:cs="Times New Roman"/>
          <w:b w:val="0"/>
          <w:bCs w:val="0"/>
          <w:color w:val="auto"/>
          <w:sz w:val="24"/>
          <w:szCs w:val="24"/>
          <w:highlight w:val="none"/>
        </w:rPr>
        <w:t>《中华人民共和国循环经济促进法》</w:t>
      </w:r>
      <w:bookmarkEnd w:id="219"/>
      <w:r>
        <w:rPr>
          <w:rFonts w:hint="default" w:ascii="Times New Roman" w:hAnsi="Times New Roman" w:cs="Times New Roman"/>
          <w:b w:val="0"/>
          <w:bCs w:val="0"/>
          <w:color w:val="auto"/>
          <w:sz w:val="24"/>
          <w:szCs w:val="24"/>
          <w:highlight w:val="none"/>
        </w:rPr>
        <w:t>（2018年修正），2018年10月26日起实施</w:t>
      </w:r>
      <w:r>
        <w:rPr>
          <w:rFonts w:hint="eastAsia" w:ascii="Times New Roman" w:hAnsi="Times New Roman" w:eastAsia="宋体" w:cs="Times New Roman"/>
          <w:b w:val="0"/>
          <w:bCs w:val="0"/>
          <w:color w:val="auto"/>
          <w:sz w:val="24"/>
          <w:szCs w:val="24"/>
          <w:highlight w:val="none"/>
          <w:lang w:eastAsia="zh-CN"/>
        </w:rPr>
        <w:t>；</w:t>
      </w:r>
      <w:bookmarkEnd w:id="218"/>
      <w:bookmarkStart w:id="220" w:name="pindex358"/>
      <w:bookmarkEnd w:id="220"/>
    </w:p>
    <w:p w14:paraId="486E11F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bookmarkStart w:id="221" w:name="sys359043"/>
      <w:r>
        <w:rPr>
          <w:rFonts w:hint="default" w:ascii="Times New Roman" w:hAnsi="Times New Roman" w:cs="Times New Roman"/>
          <w:b w:val="0"/>
          <w:bCs w:val="0"/>
          <w:color w:val="auto"/>
          <w:sz w:val="24"/>
          <w:szCs w:val="24"/>
          <w:highlight w:val="none"/>
        </w:rPr>
        <w:t>(11)</w:t>
      </w:r>
      <w:bookmarkStart w:id="222" w:name="OLE_LINK950"/>
      <w:r>
        <w:rPr>
          <w:rFonts w:hint="default" w:ascii="Times New Roman" w:hAnsi="Times New Roman" w:cs="Times New Roman"/>
          <w:b w:val="0"/>
          <w:bCs w:val="0"/>
          <w:color w:val="auto"/>
          <w:sz w:val="24"/>
          <w:szCs w:val="24"/>
          <w:highlight w:val="none"/>
        </w:rPr>
        <w:t>《中华人民共和国节约能源法》</w:t>
      </w:r>
      <w:bookmarkEnd w:id="222"/>
      <w:r>
        <w:rPr>
          <w:rFonts w:hint="default" w:ascii="Times New Roman" w:hAnsi="Times New Roman" w:cs="Times New Roman"/>
          <w:b w:val="0"/>
          <w:bCs w:val="0"/>
          <w:color w:val="auto"/>
          <w:sz w:val="24"/>
          <w:szCs w:val="24"/>
          <w:highlight w:val="none"/>
        </w:rPr>
        <w:t>（2018年修正），2018年10月26日起实施；</w:t>
      </w:r>
      <w:bookmarkEnd w:id="221"/>
      <w:bookmarkStart w:id="223" w:name="pindex359"/>
      <w:bookmarkEnd w:id="223"/>
    </w:p>
    <w:p w14:paraId="38A2131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(12</w:t>
      </w:r>
      <w:bookmarkStart w:id="224" w:name="OLE_LINK948"/>
      <w:r>
        <w:rPr>
          <w:rFonts w:hint="default" w:ascii="Times New Roman" w:hAnsi="Times New Roman" w:cs="Times New Roman"/>
          <w:b w:val="0"/>
          <w:bCs w:val="0"/>
          <w:color w:val="auto"/>
          <w:sz w:val="24"/>
          <w:szCs w:val="24"/>
          <w:highlight w:val="none"/>
        </w:rPr>
        <w:t>)</w:t>
      </w:r>
      <w:bookmarkEnd w:id="224"/>
      <w:bookmarkStart w:id="225" w:name="OLE_LINK960"/>
      <w:r>
        <w:rPr>
          <w:rFonts w:hint="default" w:ascii="Times New Roman" w:hAnsi="Times New Roman" w:cs="Times New Roman"/>
          <w:b w:val="0"/>
          <w:bCs w:val="0"/>
          <w:color w:val="auto"/>
          <w:sz w:val="24"/>
          <w:szCs w:val="24"/>
          <w:highlight w:val="none"/>
        </w:rPr>
        <w:t>《危险化学品安全管理条例》</w:t>
      </w:r>
      <w:bookmarkEnd w:id="225"/>
      <w:r>
        <w:rPr>
          <w:rFonts w:hint="default" w:ascii="Times New Roman" w:hAnsi="Times New Roman" w:cs="Times New Roman"/>
          <w:b w:val="0"/>
          <w:bCs w:val="0"/>
          <w:color w:val="auto"/>
          <w:sz w:val="24"/>
          <w:szCs w:val="24"/>
          <w:highlight w:val="none"/>
        </w:rPr>
        <w:t>（2013年修订），2013年12月7日起实施；</w:t>
      </w:r>
      <w:bookmarkStart w:id="226" w:name="pindex360"/>
      <w:bookmarkEnd w:id="226"/>
    </w:p>
    <w:p w14:paraId="6242B0F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(13)</w:t>
      </w:r>
      <w:bookmarkStart w:id="227" w:name="OLE_LINK962"/>
      <w:r>
        <w:rPr>
          <w:rFonts w:hint="default" w:ascii="Times New Roman" w:hAnsi="Times New Roman" w:cs="Times New Roman"/>
          <w:b w:val="0"/>
          <w:bCs w:val="0"/>
          <w:color w:val="auto"/>
          <w:sz w:val="24"/>
          <w:szCs w:val="24"/>
          <w:highlight w:val="none"/>
        </w:rPr>
        <w:t>《建设项目环境保护管理条例》</w:t>
      </w:r>
      <w:bookmarkEnd w:id="227"/>
      <w:r>
        <w:rPr>
          <w:rFonts w:hint="default" w:ascii="Times New Roman" w:hAnsi="Times New Roman" w:cs="Times New Roman"/>
          <w:b w:val="0"/>
          <w:bCs w:val="0"/>
          <w:color w:val="auto"/>
          <w:sz w:val="24"/>
          <w:szCs w:val="24"/>
          <w:highlight w:val="none"/>
        </w:rPr>
        <w:t>（2017年修订），2017年</w:t>
      </w:r>
      <w:r>
        <w:rPr>
          <w:rFonts w:hint="eastAsia" w:ascii="Times New Roman" w:hAnsi="Times New Roman" w:eastAsia="宋体" w:cs="Times New Roman"/>
          <w:b w:val="0"/>
          <w:bCs w:val="0"/>
          <w:color w:val="auto"/>
          <w:sz w:val="24"/>
          <w:szCs w:val="24"/>
          <w:highlight w:val="none"/>
          <w:lang w:val="en-US" w:eastAsia="zh-CN"/>
        </w:rPr>
        <w:t>10</w:t>
      </w:r>
      <w:r>
        <w:rPr>
          <w:rFonts w:hint="default" w:ascii="Times New Roman" w:hAnsi="Times New Roman" w:cs="Times New Roman"/>
          <w:b w:val="0"/>
          <w:bCs w:val="0"/>
          <w:color w:val="auto"/>
          <w:sz w:val="24"/>
          <w:szCs w:val="24"/>
          <w:highlight w:val="none"/>
        </w:rPr>
        <w:t>月1日起实施；</w:t>
      </w:r>
      <w:bookmarkStart w:id="228" w:name="pindex361"/>
      <w:bookmarkEnd w:id="228"/>
    </w:p>
    <w:p w14:paraId="77F26795">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rPr>
        <w:t>(14)</w:t>
      </w:r>
      <w:bookmarkStart w:id="229" w:name="OLE_LINK963"/>
      <w:r>
        <w:rPr>
          <w:rFonts w:hint="default" w:ascii="Times New Roman" w:hAnsi="Times New Roman" w:cs="Times New Roman"/>
          <w:b w:val="0"/>
          <w:bCs w:val="0"/>
          <w:color w:val="auto"/>
          <w:sz w:val="24"/>
          <w:szCs w:val="24"/>
          <w:highlight w:val="none"/>
        </w:rPr>
        <w:t>《排污许可管理条例》</w:t>
      </w:r>
      <w:bookmarkEnd w:id="229"/>
      <w:r>
        <w:rPr>
          <w:rFonts w:hint="default" w:ascii="Times New Roman" w:hAnsi="Times New Roman" w:cs="Times New Roman"/>
          <w:b w:val="0"/>
          <w:bCs w:val="0"/>
          <w:color w:val="auto"/>
          <w:sz w:val="24"/>
          <w:szCs w:val="24"/>
          <w:highlight w:val="none"/>
        </w:rPr>
        <w:t>，2021年3月1日起施行</w:t>
      </w:r>
      <w:r>
        <w:rPr>
          <w:rFonts w:hint="eastAsia" w:ascii="Times New Roman" w:hAnsi="Times New Roman" w:eastAsia="宋体" w:cs="Times New Roman"/>
          <w:b w:val="0"/>
          <w:bCs w:val="0"/>
          <w:color w:val="auto"/>
          <w:sz w:val="24"/>
          <w:szCs w:val="24"/>
          <w:highlight w:val="none"/>
          <w:lang w:eastAsia="zh-CN"/>
        </w:rPr>
        <w:t>；</w:t>
      </w:r>
      <w:bookmarkStart w:id="230" w:name="pindex362"/>
      <w:bookmarkEnd w:id="230"/>
    </w:p>
    <w:p w14:paraId="72821847">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rPr>
        <w:t>(15)</w:t>
      </w:r>
      <w:bookmarkStart w:id="231" w:name="OLE_LINK964"/>
      <w:r>
        <w:rPr>
          <w:rFonts w:hint="default" w:ascii="Times New Roman" w:hAnsi="Times New Roman" w:cs="Times New Roman"/>
          <w:b w:val="0"/>
          <w:bCs w:val="0"/>
          <w:color w:val="auto"/>
          <w:sz w:val="24"/>
          <w:szCs w:val="24"/>
          <w:highlight w:val="none"/>
        </w:rPr>
        <w:t>《生产安全事故应急条例》</w:t>
      </w:r>
      <w:bookmarkEnd w:id="231"/>
      <w:r>
        <w:rPr>
          <w:rFonts w:hint="default" w:ascii="Times New Roman" w:hAnsi="Times New Roman" w:cs="Times New Roman"/>
          <w:b w:val="0"/>
          <w:bCs w:val="0"/>
          <w:color w:val="auto"/>
          <w:sz w:val="24"/>
          <w:szCs w:val="24"/>
          <w:highlight w:val="none"/>
        </w:rPr>
        <w:t>，2019年4月1日起实施</w:t>
      </w:r>
      <w:r>
        <w:rPr>
          <w:rFonts w:hint="eastAsia" w:ascii="Times New Roman" w:hAnsi="Times New Roman" w:eastAsia="宋体" w:cs="Times New Roman"/>
          <w:b w:val="0"/>
          <w:bCs w:val="0"/>
          <w:color w:val="auto"/>
          <w:sz w:val="24"/>
          <w:szCs w:val="24"/>
          <w:highlight w:val="none"/>
          <w:lang w:eastAsia="zh-CN"/>
        </w:rPr>
        <w:t>；</w:t>
      </w:r>
      <w:bookmarkStart w:id="232" w:name="pindex363"/>
      <w:bookmarkEnd w:id="232"/>
    </w:p>
    <w:p w14:paraId="50846BB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rPr>
        <w:t>(16)</w:t>
      </w:r>
      <w:bookmarkStart w:id="233" w:name="OLE_LINK965"/>
      <w:r>
        <w:rPr>
          <w:rFonts w:hint="default" w:ascii="Times New Roman" w:hAnsi="Times New Roman" w:cs="Times New Roman"/>
          <w:b w:val="0"/>
          <w:bCs w:val="0"/>
          <w:color w:val="auto"/>
          <w:sz w:val="24"/>
          <w:szCs w:val="24"/>
          <w:highlight w:val="none"/>
        </w:rPr>
        <w:t>《中共中央办公厅、国务院办公厅关于划定并严守生态保护红线的若干意见》</w:t>
      </w:r>
      <w:bookmarkEnd w:id="233"/>
      <w:r>
        <w:rPr>
          <w:rFonts w:hint="eastAsia" w:ascii="Times New Roman" w:hAnsi="Times New Roman" w:eastAsia="宋体" w:cs="Times New Roman"/>
          <w:b w:val="0"/>
          <w:bCs w:val="0"/>
          <w:color w:val="auto"/>
          <w:sz w:val="24"/>
          <w:szCs w:val="24"/>
          <w:highlight w:val="none"/>
          <w:lang w:eastAsia="zh-CN"/>
        </w:rPr>
        <w:t>；</w:t>
      </w:r>
      <w:bookmarkStart w:id="234" w:name="pindex364"/>
      <w:bookmarkEnd w:id="234"/>
    </w:p>
    <w:p w14:paraId="5C9C2ED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(17)</w:t>
      </w:r>
      <w:bookmarkStart w:id="235" w:name="OLE_LINK967"/>
      <w:r>
        <w:rPr>
          <w:rFonts w:hint="default" w:ascii="Times New Roman" w:hAnsi="Times New Roman" w:cs="Times New Roman"/>
          <w:b w:val="0"/>
          <w:bCs w:val="0"/>
          <w:color w:val="auto"/>
          <w:sz w:val="24"/>
          <w:szCs w:val="24"/>
          <w:highlight w:val="none"/>
        </w:rPr>
        <w:t>《关于进一步加强生态保护红线监督管理的通知》</w:t>
      </w:r>
      <w:bookmarkEnd w:id="235"/>
      <w:r>
        <w:rPr>
          <w:rFonts w:hint="default" w:ascii="Times New Roman" w:hAnsi="Times New Roman" w:cs="Times New Roman"/>
          <w:b w:val="0"/>
          <w:bCs w:val="0"/>
          <w:color w:val="auto"/>
          <w:sz w:val="24"/>
          <w:szCs w:val="24"/>
          <w:highlight w:val="none"/>
        </w:rPr>
        <w:t>（苏自然资函〔2023〕880号）；</w:t>
      </w:r>
      <w:bookmarkStart w:id="236" w:name="pindex365"/>
      <w:bookmarkEnd w:id="236"/>
    </w:p>
    <w:p w14:paraId="4EA77D98">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(18)</w:t>
      </w:r>
      <w:bookmarkStart w:id="237" w:name="OLE_LINK966"/>
      <w:r>
        <w:rPr>
          <w:rFonts w:hint="default" w:ascii="Times New Roman" w:hAnsi="Times New Roman" w:cs="Times New Roman"/>
          <w:b w:val="0"/>
          <w:bCs w:val="0"/>
          <w:color w:val="auto"/>
          <w:sz w:val="24"/>
          <w:szCs w:val="24"/>
          <w:highlight w:val="none"/>
        </w:rPr>
        <w:t>《关于实施“三线一单”生态环境分区管控的指导意见（试行）》</w:t>
      </w:r>
      <w:bookmarkEnd w:id="237"/>
      <w:r>
        <w:rPr>
          <w:rFonts w:hint="default" w:ascii="Times New Roman" w:hAnsi="Times New Roman" w:cs="Times New Roman"/>
          <w:b w:val="0"/>
          <w:bCs w:val="0"/>
          <w:color w:val="auto"/>
          <w:sz w:val="24"/>
          <w:szCs w:val="24"/>
          <w:highlight w:val="none"/>
        </w:rPr>
        <w:t>（环环评〔2021〕108号）；</w:t>
      </w:r>
      <w:bookmarkStart w:id="238" w:name="pindex366"/>
      <w:bookmarkEnd w:id="238"/>
    </w:p>
    <w:p w14:paraId="0099C9F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(19)</w:t>
      </w:r>
      <w:bookmarkStart w:id="239" w:name="OLE_LINK978"/>
      <w:r>
        <w:rPr>
          <w:rFonts w:hint="default" w:ascii="Times New Roman" w:hAnsi="Times New Roman" w:cs="Times New Roman"/>
          <w:b w:val="0"/>
          <w:bCs w:val="0"/>
          <w:color w:val="auto"/>
          <w:sz w:val="24"/>
          <w:szCs w:val="24"/>
          <w:highlight w:val="none"/>
        </w:rPr>
        <w:t>《关于进一步加强环境影响评价管理防范环境风险的通知》</w:t>
      </w:r>
      <w:bookmarkEnd w:id="239"/>
      <w:r>
        <w:rPr>
          <w:rFonts w:hint="default" w:ascii="Times New Roman" w:hAnsi="Times New Roman" w:cs="Times New Roman"/>
          <w:b w:val="0"/>
          <w:bCs w:val="0"/>
          <w:color w:val="auto"/>
          <w:sz w:val="24"/>
          <w:szCs w:val="24"/>
          <w:highlight w:val="none"/>
        </w:rPr>
        <w:t>（环发〔2012〕77号）；</w:t>
      </w:r>
      <w:bookmarkStart w:id="240" w:name="pindex367"/>
      <w:bookmarkEnd w:id="240"/>
    </w:p>
    <w:p w14:paraId="4094AC1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(20)</w:t>
      </w:r>
      <w:bookmarkStart w:id="241" w:name="OLE_LINK979"/>
      <w:r>
        <w:rPr>
          <w:rFonts w:hint="default" w:ascii="Times New Roman" w:hAnsi="Times New Roman" w:cs="Times New Roman"/>
          <w:b w:val="0"/>
          <w:bCs w:val="0"/>
          <w:color w:val="auto"/>
          <w:sz w:val="24"/>
          <w:szCs w:val="24"/>
          <w:highlight w:val="none"/>
        </w:rPr>
        <w:t>《关于切实加强风险防范严格环境影响评价管理的通知》</w:t>
      </w:r>
      <w:bookmarkEnd w:id="241"/>
      <w:r>
        <w:rPr>
          <w:rFonts w:hint="default" w:ascii="Times New Roman" w:hAnsi="Times New Roman" w:cs="Times New Roman"/>
          <w:b w:val="0"/>
          <w:bCs w:val="0"/>
          <w:color w:val="auto"/>
          <w:sz w:val="24"/>
          <w:szCs w:val="24"/>
          <w:highlight w:val="none"/>
        </w:rPr>
        <w:t>（环发〔2012〕98号）；</w:t>
      </w:r>
      <w:bookmarkStart w:id="242" w:name="pindex368"/>
      <w:bookmarkEnd w:id="242"/>
    </w:p>
    <w:p w14:paraId="6F03AF8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(21)</w:t>
      </w:r>
      <w:bookmarkStart w:id="243" w:name="OLE_LINK982"/>
      <w:r>
        <w:rPr>
          <w:rFonts w:hint="default" w:ascii="Times New Roman" w:hAnsi="Times New Roman" w:cs="Times New Roman"/>
          <w:b w:val="0"/>
          <w:bCs w:val="0"/>
          <w:color w:val="auto"/>
          <w:sz w:val="24"/>
          <w:szCs w:val="24"/>
          <w:highlight w:val="none"/>
        </w:rPr>
        <w:t>《关于印发建设项目环境影响评价信息公开机制方案的通知》</w:t>
      </w:r>
      <w:bookmarkEnd w:id="243"/>
      <w:r>
        <w:rPr>
          <w:rFonts w:hint="default" w:ascii="Times New Roman" w:hAnsi="Times New Roman" w:cs="Times New Roman"/>
          <w:b w:val="0"/>
          <w:bCs w:val="0"/>
          <w:color w:val="auto"/>
          <w:sz w:val="24"/>
          <w:szCs w:val="24"/>
          <w:highlight w:val="none"/>
        </w:rPr>
        <w:t>（环发〔2015〕162号）；</w:t>
      </w:r>
      <w:bookmarkStart w:id="244" w:name="pindex369"/>
      <w:bookmarkEnd w:id="244"/>
    </w:p>
    <w:p w14:paraId="2039705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(22)</w:t>
      </w:r>
      <w:bookmarkStart w:id="245" w:name="OLE_LINK983"/>
      <w:r>
        <w:rPr>
          <w:rFonts w:hint="default" w:ascii="Times New Roman" w:hAnsi="Times New Roman" w:cs="Times New Roman"/>
          <w:b w:val="0"/>
          <w:bCs w:val="0"/>
          <w:color w:val="auto"/>
          <w:sz w:val="24"/>
          <w:szCs w:val="24"/>
          <w:highlight w:val="none"/>
        </w:rPr>
        <w:t>《关于加强规划环境影响评价与建设项目环境影响评价联动工作的意见》</w:t>
      </w:r>
      <w:bookmarkEnd w:id="245"/>
      <w:r>
        <w:rPr>
          <w:rFonts w:hint="default" w:ascii="Times New Roman" w:hAnsi="Times New Roman" w:cs="Times New Roman"/>
          <w:b w:val="0"/>
          <w:bCs w:val="0"/>
          <w:color w:val="auto"/>
          <w:sz w:val="24"/>
          <w:szCs w:val="24"/>
          <w:highlight w:val="none"/>
        </w:rPr>
        <w:t>（环发〔2015〕178号）；</w:t>
      </w:r>
      <w:bookmarkStart w:id="246" w:name="pindex370"/>
      <w:bookmarkEnd w:id="246"/>
    </w:p>
    <w:p w14:paraId="31723E52">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(23)</w:t>
      </w:r>
      <w:bookmarkStart w:id="247" w:name="OLE_LINK985"/>
      <w:r>
        <w:rPr>
          <w:rFonts w:hint="default" w:ascii="Times New Roman" w:hAnsi="Times New Roman" w:cs="Times New Roman"/>
          <w:b w:val="0"/>
          <w:bCs w:val="0"/>
          <w:color w:val="auto"/>
          <w:sz w:val="24"/>
          <w:szCs w:val="24"/>
          <w:highlight w:val="none"/>
        </w:rPr>
        <w:t>《关于规划环境影响评价加强空间管制、总量管控和环境准入的指导意见（试行）》</w:t>
      </w:r>
      <w:bookmarkEnd w:id="247"/>
      <w:r>
        <w:rPr>
          <w:rFonts w:hint="default" w:ascii="Times New Roman" w:hAnsi="Times New Roman" w:cs="Times New Roman"/>
          <w:b w:val="0"/>
          <w:bCs w:val="0"/>
          <w:color w:val="auto"/>
          <w:sz w:val="24"/>
          <w:szCs w:val="24"/>
          <w:highlight w:val="none"/>
        </w:rPr>
        <w:t>（环办环评〔2016〕14号）；</w:t>
      </w:r>
      <w:bookmarkStart w:id="248" w:name="pindex371"/>
      <w:bookmarkEnd w:id="248"/>
      <w:bookmarkStart w:id="249" w:name="OLE_LINK961"/>
    </w:p>
    <w:p w14:paraId="08D7FC6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(24)</w:t>
      </w:r>
      <w:bookmarkEnd w:id="249"/>
      <w:bookmarkStart w:id="250" w:name="OLE_LINK992"/>
      <w:r>
        <w:rPr>
          <w:rFonts w:hint="default" w:ascii="Times New Roman" w:hAnsi="Times New Roman" w:cs="Times New Roman"/>
          <w:b w:val="0"/>
          <w:bCs w:val="0"/>
          <w:color w:val="auto"/>
          <w:sz w:val="24"/>
          <w:szCs w:val="24"/>
          <w:highlight w:val="none"/>
        </w:rPr>
        <w:t>《关于印发</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重点行业挥发性有机物综合治理方案</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的通知》</w:t>
      </w:r>
      <w:bookmarkEnd w:id="250"/>
      <w:r>
        <w:rPr>
          <w:rFonts w:hint="default" w:ascii="Times New Roman" w:hAnsi="Times New Roman" w:cs="Times New Roman"/>
          <w:b w:val="0"/>
          <w:bCs w:val="0"/>
          <w:color w:val="auto"/>
          <w:sz w:val="24"/>
          <w:szCs w:val="24"/>
          <w:highlight w:val="none"/>
        </w:rPr>
        <w:t>（环大气〔2019〕53号）；</w:t>
      </w:r>
      <w:bookmarkStart w:id="251" w:name="pindex372"/>
      <w:bookmarkEnd w:id="251"/>
    </w:p>
    <w:p w14:paraId="231881C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(25)</w:t>
      </w:r>
      <w:bookmarkStart w:id="252" w:name="OLE_LINK993"/>
      <w:r>
        <w:rPr>
          <w:rFonts w:hint="default" w:ascii="Times New Roman" w:hAnsi="Times New Roman" w:cs="Times New Roman"/>
          <w:b w:val="0"/>
          <w:bCs w:val="0"/>
          <w:color w:val="auto"/>
          <w:sz w:val="24"/>
          <w:szCs w:val="24"/>
          <w:highlight w:val="none"/>
        </w:rPr>
        <w:t>《关于印发</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工业炉窑大气污染综合治理方案</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的通知》</w:t>
      </w:r>
      <w:bookmarkEnd w:id="252"/>
      <w:r>
        <w:rPr>
          <w:rFonts w:hint="default" w:ascii="Times New Roman" w:hAnsi="Times New Roman" w:cs="Times New Roman"/>
          <w:b w:val="0"/>
          <w:bCs w:val="0"/>
          <w:color w:val="auto"/>
          <w:sz w:val="24"/>
          <w:szCs w:val="24"/>
          <w:highlight w:val="none"/>
        </w:rPr>
        <w:t>（环大气〔2019〕56号）；</w:t>
      </w:r>
      <w:bookmarkStart w:id="253" w:name="pindex373"/>
      <w:bookmarkEnd w:id="253"/>
    </w:p>
    <w:p w14:paraId="6048BBD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(26)</w:t>
      </w:r>
      <w:bookmarkStart w:id="254" w:name="OLE_LINK994"/>
      <w:r>
        <w:rPr>
          <w:rFonts w:hint="default" w:ascii="Times New Roman" w:hAnsi="Times New Roman" w:cs="Times New Roman"/>
          <w:b w:val="0"/>
          <w:bCs w:val="0"/>
          <w:color w:val="auto"/>
          <w:sz w:val="24"/>
          <w:szCs w:val="24"/>
          <w:highlight w:val="none"/>
        </w:rPr>
        <w:t>《关于印发地下水污染防治实施方案的通知》</w:t>
      </w:r>
      <w:bookmarkEnd w:id="254"/>
      <w:r>
        <w:rPr>
          <w:rFonts w:hint="default" w:ascii="Times New Roman" w:hAnsi="Times New Roman" w:cs="Times New Roman"/>
          <w:b w:val="0"/>
          <w:bCs w:val="0"/>
          <w:color w:val="auto"/>
          <w:sz w:val="24"/>
          <w:szCs w:val="24"/>
          <w:highlight w:val="none"/>
        </w:rPr>
        <w:t>（环土壤〔2019〕25号）；</w:t>
      </w:r>
      <w:bookmarkStart w:id="255" w:name="pindex374"/>
      <w:bookmarkEnd w:id="255"/>
    </w:p>
    <w:p w14:paraId="29940BF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(27)</w:t>
      </w:r>
      <w:bookmarkStart w:id="256" w:name="OLE_LINK995"/>
      <w:r>
        <w:rPr>
          <w:rFonts w:hint="default" w:ascii="Times New Roman" w:hAnsi="Times New Roman" w:cs="Times New Roman"/>
          <w:b w:val="0"/>
          <w:bCs w:val="0"/>
          <w:color w:val="auto"/>
          <w:sz w:val="24"/>
          <w:szCs w:val="24"/>
          <w:highlight w:val="none"/>
        </w:rPr>
        <w:t>《关于提升危险废物环境监管能力、利用处置能力和环境风险防范能力的指导意见》</w:t>
      </w:r>
      <w:bookmarkEnd w:id="256"/>
      <w:r>
        <w:rPr>
          <w:rFonts w:hint="default" w:ascii="Times New Roman" w:hAnsi="Times New Roman" w:cs="Times New Roman"/>
          <w:b w:val="0"/>
          <w:bCs w:val="0"/>
          <w:color w:val="auto"/>
          <w:sz w:val="24"/>
          <w:szCs w:val="24"/>
          <w:highlight w:val="none"/>
        </w:rPr>
        <w:t>（环固体〔2019〕92号）；</w:t>
      </w:r>
      <w:bookmarkStart w:id="257" w:name="pindex375"/>
      <w:bookmarkEnd w:id="257"/>
    </w:p>
    <w:p w14:paraId="3BF8640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(28)</w:t>
      </w:r>
      <w:bookmarkStart w:id="258" w:name="OLE_LINK997"/>
      <w:r>
        <w:rPr>
          <w:rFonts w:hint="default" w:ascii="Times New Roman" w:hAnsi="Times New Roman" w:cs="Times New Roman"/>
          <w:b w:val="0"/>
          <w:bCs w:val="0"/>
          <w:color w:val="auto"/>
          <w:sz w:val="24"/>
          <w:szCs w:val="24"/>
          <w:highlight w:val="none"/>
        </w:rPr>
        <w:t>《关于强化建设项目环境影响评价事中事后监管的实施意见》</w:t>
      </w:r>
      <w:bookmarkEnd w:id="258"/>
      <w:r>
        <w:rPr>
          <w:rFonts w:hint="default" w:ascii="Times New Roman" w:hAnsi="Times New Roman" w:cs="Times New Roman"/>
          <w:b w:val="0"/>
          <w:bCs w:val="0"/>
          <w:color w:val="auto"/>
          <w:sz w:val="24"/>
          <w:szCs w:val="24"/>
          <w:highlight w:val="none"/>
        </w:rPr>
        <w:t>（环评〔2018〕11号）；</w:t>
      </w:r>
      <w:bookmarkStart w:id="259" w:name="pindex376"/>
      <w:bookmarkEnd w:id="259"/>
    </w:p>
    <w:p w14:paraId="235E793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(29)</w:t>
      </w:r>
      <w:bookmarkStart w:id="260" w:name="OLE_LINK998"/>
      <w:r>
        <w:rPr>
          <w:rFonts w:hint="default" w:ascii="Times New Roman" w:hAnsi="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eastAsia="zh-CN"/>
        </w:rPr>
        <w:t>生态环境部</w:t>
      </w:r>
      <w:r>
        <w:rPr>
          <w:rFonts w:hint="default" w:ascii="Times New Roman" w:hAnsi="Times New Roman" w:cs="Times New Roman"/>
          <w:b w:val="0"/>
          <w:bCs w:val="0"/>
          <w:color w:val="auto"/>
          <w:sz w:val="24"/>
          <w:szCs w:val="24"/>
          <w:highlight w:val="none"/>
        </w:rPr>
        <w:t>关于做好环境影响评价制度与排污许可制衔接相关工作的通知》</w:t>
      </w:r>
      <w:bookmarkEnd w:id="260"/>
      <w:r>
        <w:rPr>
          <w:rFonts w:hint="default" w:ascii="Times New Roman" w:hAnsi="Times New Roman" w:cs="Times New Roman"/>
          <w:b w:val="0"/>
          <w:bCs w:val="0"/>
          <w:color w:val="auto"/>
          <w:sz w:val="24"/>
          <w:szCs w:val="24"/>
          <w:highlight w:val="none"/>
        </w:rPr>
        <w:t>（环办环评〔2017〕84号）；</w:t>
      </w:r>
      <w:bookmarkStart w:id="261" w:name="pindex377"/>
      <w:bookmarkEnd w:id="261"/>
    </w:p>
    <w:p w14:paraId="5A058AE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(30)</w:t>
      </w:r>
      <w:bookmarkStart w:id="262" w:name="OLE_LINK999"/>
      <w:r>
        <w:rPr>
          <w:rFonts w:hint="default" w:ascii="Times New Roman" w:hAnsi="Times New Roman" w:cs="Times New Roman"/>
          <w:b w:val="0"/>
          <w:bCs w:val="0"/>
          <w:color w:val="auto"/>
          <w:sz w:val="24"/>
          <w:szCs w:val="24"/>
          <w:highlight w:val="none"/>
        </w:rPr>
        <w:t>《环境影响评价公众参与办法》</w:t>
      </w:r>
      <w:bookmarkEnd w:id="262"/>
      <w:r>
        <w:rPr>
          <w:rFonts w:hint="default" w:ascii="Times New Roman" w:hAnsi="Times New Roman" w:cs="Times New Roman"/>
          <w:b w:val="0"/>
          <w:bCs w:val="0"/>
          <w:color w:val="auto"/>
          <w:sz w:val="24"/>
          <w:szCs w:val="24"/>
          <w:highlight w:val="none"/>
        </w:rPr>
        <w:t>（部令第4号）；</w:t>
      </w:r>
      <w:bookmarkStart w:id="263" w:name="pindex378"/>
      <w:bookmarkEnd w:id="263"/>
    </w:p>
    <w:p w14:paraId="103CB16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(31)</w:t>
      </w:r>
      <w:bookmarkStart w:id="264" w:name="OLE_LINK1000"/>
      <w:r>
        <w:rPr>
          <w:rFonts w:hint="default" w:ascii="Times New Roman" w:hAnsi="Times New Roman" w:cs="Times New Roman"/>
          <w:b w:val="0"/>
          <w:bCs w:val="0"/>
          <w:color w:val="auto"/>
          <w:sz w:val="24"/>
          <w:szCs w:val="24"/>
          <w:highlight w:val="none"/>
        </w:rPr>
        <w:t>《国家发展改革委等9部委印发</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关于加强资源环境生态红线管控的指导意见</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的通知》</w:t>
      </w:r>
      <w:bookmarkEnd w:id="264"/>
      <w:r>
        <w:rPr>
          <w:rFonts w:hint="default" w:ascii="Times New Roman" w:hAnsi="Times New Roman" w:cs="Times New Roman"/>
          <w:b w:val="0"/>
          <w:bCs w:val="0"/>
          <w:color w:val="auto"/>
          <w:sz w:val="24"/>
          <w:szCs w:val="24"/>
          <w:highlight w:val="none"/>
        </w:rPr>
        <w:t>（发改环资〔2016〕1162号）；</w:t>
      </w:r>
      <w:bookmarkStart w:id="265" w:name="pindex379"/>
      <w:bookmarkEnd w:id="265"/>
    </w:p>
    <w:p w14:paraId="1CC94A2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(32)</w:t>
      </w:r>
      <w:bookmarkStart w:id="266" w:name="OLE_LINK1001"/>
      <w:r>
        <w:rPr>
          <w:rFonts w:hint="default" w:ascii="Times New Roman" w:hAnsi="Times New Roman" w:cs="Times New Roman"/>
          <w:b w:val="0"/>
          <w:bCs w:val="0"/>
          <w:color w:val="auto"/>
          <w:sz w:val="24"/>
          <w:szCs w:val="24"/>
          <w:highlight w:val="none"/>
        </w:rPr>
        <w:t>《关于加强长江经济带工业绿色发展的指导意见》</w:t>
      </w:r>
      <w:bookmarkEnd w:id="266"/>
      <w:r>
        <w:rPr>
          <w:rFonts w:hint="default" w:ascii="Times New Roman" w:hAnsi="Times New Roman" w:cs="Times New Roman"/>
          <w:b w:val="0"/>
          <w:bCs w:val="0"/>
          <w:color w:val="auto"/>
          <w:sz w:val="24"/>
          <w:szCs w:val="24"/>
          <w:highlight w:val="none"/>
        </w:rPr>
        <w:t>（工信部联节〔2017〕178号）；</w:t>
      </w:r>
      <w:bookmarkStart w:id="267" w:name="pindex380"/>
      <w:bookmarkEnd w:id="267"/>
    </w:p>
    <w:p w14:paraId="76E90C5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(33)</w:t>
      </w:r>
      <w:bookmarkStart w:id="268" w:name="OLE_LINK1002"/>
      <w:r>
        <w:rPr>
          <w:rFonts w:hint="default" w:ascii="Times New Roman" w:hAnsi="Times New Roman" w:cs="Times New Roman"/>
          <w:b w:val="0"/>
          <w:bCs w:val="0"/>
          <w:color w:val="auto"/>
          <w:sz w:val="24"/>
          <w:szCs w:val="24"/>
          <w:highlight w:val="none"/>
        </w:rPr>
        <w:t>《中国开发区审核公告目录》</w:t>
      </w:r>
      <w:bookmarkEnd w:id="268"/>
      <w:r>
        <w:rPr>
          <w:rFonts w:hint="default" w:ascii="Times New Roman" w:hAnsi="Times New Roman" w:cs="Times New Roman"/>
          <w:b w:val="0"/>
          <w:bCs w:val="0"/>
          <w:color w:val="auto"/>
          <w:sz w:val="24"/>
          <w:szCs w:val="24"/>
          <w:highlight w:val="none"/>
        </w:rPr>
        <w:t>（2018年版），国家发展改革委、科技部、</w:t>
      </w:r>
      <w:r>
        <w:rPr>
          <w:rFonts w:hint="eastAsia" w:ascii="Times New Roman" w:hAnsi="Times New Roman" w:eastAsia="宋体" w:cs="Times New Roman"/>
          <w:b w:val="0"/>
          <w:bCs w:val="0"/>
          <w:color w:val="auto"/>
          <w:sz w:val="24"/>
          <w:szCs w:val="24"/>
          <w:highlight w:val="none"/>
          <w:lang w:eastAsia="zh-CN"/>
        </w:rPr>
        <w:t>自然资源部</w:t>
      </w:r>
      <w:r>
        <w:rPr>
          <w:rFonts w:hint="default" w:ascii="Times New Roman" w:hAnsi="Times New Roman" w:cs="Times New Roman"/>
          <w:b w:val="0"/>
          <w:bCs w:val="0"/>
          <w:color w:val="auto"/>
          <w:sz w:val="24"/>
          <w:szCs w:val="24"/>
          <w:highlight w:val="none"/>
        </w:rPr>
        <w:t>、住房城乡建设部、商务部、海关总署，2018</w:t>
      </w:r>
      <w:bookmarkStart w:id="269" w:name="OLE_LINK1004"/>
      <w:r>
        <w:rPr>
          <w:rFonts w:hint="default" w:ascii="Times New Roman" w:hAnsi="Times New Roman" w:cs="Times New Roman"/>
          <w:b w:val="0"/>
          <w:bCs w:val="0"/>
          <w:color w:val="auto"/>
          <w:sz w:val="24"/>
          <w:szCs w:val="24"/>
          <w:highlight w:val="none"/>
        </w:rPr>
        <w:t>年</w:t>
      </w:r>
      <w:bookmarkStart w:id="270" w:name="OLE_LINK1003"/>
      <w:bookmarkStart w:id="271" w:name="OLE_LINK1005"/>
      <w:r>
        <w:rPr>
          <w:rFonts w:hint="default" w:ascii="Times New Roman" w:hAnsi="Times New Roman" w:cs="Times New Roman"/>
          <w:b w:val="0"/>
          <w:bCs w:val="0"/>
          <w:color w:val="auto"/>
          <w:sz w:val="24"/>
          <w:szCs w:val="24"/>
          <w:highlight w:val="none"/>
        </w:rPr>
        <w:t>公告</w:t>
      </w:r>
      <w:bookmarkEnd w:id="270"/>
      <w:r>
        <w:rPr>
          <w:rFonts w:hint="default" w:ascii="Times New Roman" w:hAnsi="Times New Roman" w:cs="Times New Roman"/>
          <w:b w:val="0"/>
          <w:bCs w:val="0"/>
          <w:color w:val="auto"/>
          <w:sz w:val="24"/>
          <w:szCs w:val="24"/>
          <w:highlight w:val="none"/>
        </w:rPr>
        <w:t>第4号</w:t>
      </w:r>
      <w:bookmarkEnd w:id="269"/>
      <w:bookmarkEnd w:id="271"/>
      <w:r>
        <w:rPr>
          <w:rFonts w:hint="default" w:ascii="Times New Roman" w:hAnsi="Times New Roman" w:cs="Times New Roman"/>
          <w:b w:val="0"/>
          <w:bCs w:val="0"/>
          <w:color w:val="auto"/>
          <w:sz w:val="24"/>
          <w:szCs w:val="24"/>
          <w:highlight w:val="none"/>
        </w:rPr>
        <w:t>；</w:t>
      </w:r>
      <w:bookmarkStart w:id="272" w:name="pindex381"/>
      <w:bookmarkEnd w:id="272"/>
    </w:p>
    <w:p w14:paraId="10EEC60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(34)</w:t>
      </w:r>
      <w:bookmarkStart w:id="273" w:name="OLE_LINK1006"/>
      <w:r>
        <w:rPr>
          <w:rFonts w:hint="default" w:ascii="Times New Roman" w:hAnsi="Times New Roman" w:cs="Times New Roman"/>
          <w:b w:val="0"/>
          <w:bCs w:val="0"/>
          <w:color w:val="auto"/>
          <w:sz w:val="24"/>
          <w:szCs w:val="24"/>
          <w:highlight w:val="none"/>
        </w:rPr>
        <w:t>《关于推进污水资源化利用的指导意见》</w:t>
      </w:r>
      <w:bookmarkEnd w:id="273"/>
      <w:r>
        <w:rPr>
          <w:rFonts w:hint="default" w:ascii="Times New Roman" w:hAnsi="Times New Roman" w:cs="Times New Roman"/>
          <w:b w:val="0"/>
          <w:bCs w:val="0"/>
          <w:color w:val="auto"/>
          <w:sz w:val="24"/>
          <w:szCs w:val="24"/>
          <w:highlight w:val="none"/>
        </w:rPr>
        <w:t>（发改环资〔2021〕13号）；</w:t>
      </w:r>
      <w:bookmarkStart w:id="274" w:name="pindex382"/>
      <w:bookmarkEnd w:id="274"/>
    </w:p>
    <w:p w14:paraId="5F811B7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(35)《</w:t>
      </w:r>
      <w:bookmarkStart w:id="275" w:name="OLE_LINK1007"/>
      <w:r>
        <w:rPr>
          <w:rFonts w:hint="default" w:ascii="Times New Roman" w:hAnsi="Times New Roman" w:cs="Times New Roman"/>
          <w:b w:val="0"/>
          <w:bCs w:val="0"/>
          <w:color w:val="auto"/>
          <w:sz w:val="24"/>
          <w:szCs w:val="24"/>
          <w:highlight w:val="none"/>
        </w:rPr>
        <w:t>关于印发</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减污降碳协同增效实施方案</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的通知》</w:t>
      </w:r>
      <w:bookmarkEnd w:id="275"/>
      <w:r>
        <w:rPr>
          <w:rFonts w:hint="default" w:ascii="Times New Roman" w:hAnsi="Times New Roman" w:cs="Times New Roman"/>
          <w:b w:val="0"/>
          <w:bCs w:val="0"/>
          <w:color w:val="auto"/>
          <w:sz w:val="24"/>
          <w:szCs w:val="24"/>
          <w:highlight w:val="none"/>
        </w:rPr>
        <w:t>（环综合〔2022〕42号）；</w:t>
      </w:r>
      <w:bookmarkStart w:id="276" w:name="pindex383"/>
      <w:bookmarkEnd w:id="276"/>
    </w:p>
    <w:p w14:paraId="792D99F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(36)</w:t>
      </w:r>
      <w:bookmarkStart w:id="277" w:name="OLE_LINK1012"/>
      <w:r>
        <w:rPr>
          <w:rFonts w:hint="default" w:ascii="Times New Roman" w:hAnsi="Times New Roman" w:cs="Times New Roman"/>
          <w:b w:val="0"/>
          <w:bCs w:val="0"/>
          <w:color w:val="auto"/>
          <w:sz w:val="24"/>
          <w:szCs w:val="24"/>
          <w:highlight w:val="none"/>
        </w:rPr>
        <w:t>《关于印发</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深入打好长江保护修复攻坚战行动方案</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的通知》</w:t>
      </w:r>
      <w:bookmarkEnd w:id="277"/>
      <w:r>
        <w:rPr>
          <w:rFonts w:hint="default" w:ascii="Times New Roman" w:hAnsi="Times New Roman" w:cs="Times New Roman"/>
          <w:b w:val="0"/>
          <w:bCs w:val="0"/>
          <w:color w:val="auto"/>
          <w:sz w:val="24"/>
          <w:szCs w:val="24"/>
          <w:highlight w:val="none"/>
        </w:rPr>
        <w:t>（环水体〔2022〕55号）；</w:t>
      </w:r>
      <w:bookmarkStart w:id="278" w:name="pindex384"/>
      <w:bookmarkEnd w:id="278"/>
    </w:p>
    <w:p w14:paraId="4EF8AA0D">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(37)</w:t>
      </w:r>
      <w:bookmarkStart w:id="279" w:name="OLE_LINK1013"/>
      <w:r>
        <w:rPr>
          <w:rFonts w:hint="default" w:ascii="Times New Roman" w:hAnsi="Times New Roman" w:cs="Times New Roman"/>
          <w:b w:val="0"/>
          <w:bCs w:val="0"/>
          <w:color w:val="auto"/>
          <w:sz w:val="24"/>
          <w:szCs w:val="24"/>
          <w:highlight w:val="none"/>
        </w:rPr>
        <w:t>《关于印发</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“十四五”噪声污染防治行动计划</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的通知》</w:t>
      </w:r>
      <w:bookmarkEnd w:id="279"/>
      <w:r>
        <w:rPr>
          <w:rFonts w:hint="default" w:ascii="Times New Roman" w:hAnsi="Times New Roman" w:cs="Times New Roman"/>
          <w:b w:val="0"/>
          <w:bCs w:val="0"/>
          <w:color w:val="auto"/>
          <w:sz w:val="24"/>
          <w:szCs w:val="24"/>
          <w:highlight w:val="none"/>
        </w:rPr>
        <w:t>（环大气〔2023〕1号）；</w:t>
      </w:r>
      <w:bookmarkStart w:id="280" w:name="pindex385"/>
      <w:bookmarkEnd w:id="280"/>
    </w:p>
    <w:p w14:paraId="3E04108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(38)《</w:t>
      </w:r>
      <w:bookmarkStart w:id="281" w:name="OLE_LINK1014"/>
      <w:r>
        <w:rPr>
          <w:rFonts w:hint="default" w:ascii="Times New Roman" w:hAnsi="Times New Roman" w:cs="Times New Roman"/>
          <w:b w:val="0"/>
          <w:bCs w:val="0"/>
          <w:color w:val="auto"/>
          <w:sz w:val="24"/>
          <w:szCs w:val="24"/>
          <w:highlight w:val="none"/>
        </w:rPr>
        <w:t>关于印发工业领域碳达峰实施方案的通知》</w:t>
      </w:r>
      <w:bookmarkEnd w:id="281"/>
      <w:r>
        <w:rPr>
          <w:rFonts w:hint="default" w:ascii="Times New Roman" w:hAnsi="Times New Roman" w:cs="Times New Roman"/>
          <w:b w:val="0"/>
          <w:bCs w:val="0"/>
          <w:color w:val="auto"/>
          <w:sz w:val="24"/>
          <w:szCs w:val="24"/>
          <w:highlight w:val="none"/>
        </w:rPr>
        <w:t>（工信部联节〔2022〕88号）；</w:t>
      </w:r>
      <w:bookmarkStart w:id="282" w:name="pindex386"/>
      <w:bookmarkEnd w:id="282"/>
    </w:p>
    <w:p w14:paraId="0DF6318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(39)</w:t>
      </w:r>
      <w:bookmarkStart w:id="283" w:name="OLE_LINK1015"/>
      <w:r>
        <w:rPr>
          <w:rFonts w:hint="default" w:ascii="Times New Roman" w:hAnsi="Times New Roman" w:cs="Times New Roman"/>
          <w:b w:val="0"/>
          <w:bCs w:val="0"/>
          <w:color w:val="auto"/>
          <w:sz w:val="24"/>
          <w:szCs w:val="24"/>
          <w:highlight w:val="none"/>
        </w:rPr>
        <w:t>《关于加快解决当前挥发性有机物治理突出问题的通知》</w:t>
      </w:r>
      <w:bookmarkEnd w:id="283"/>
      <w:r>
        <w:rPr>
          <w:rFonts w:hint="default" w:ascii="Times New Roman" w:hAnsi="Times New Roman" w:cs="Times New Roman"/>
          <w:b w:val="0"/>
          <w:bCs w:val="0"/>
          <w:color w:val="auto"/>
          <w:sz w:val="24"/>
          <w:szCs w:val="24"/>
          <w:highlight w:val="none"/>
        </w:rPr>
        <w:t>（环大气〔2021〕65号）；</w:t>
      </w:r>
      <w:bookmarkStart w:id="284" w:name="pindex387"/>
      <w:bookmarkEnd w:id="284"/>
    </w:p>
    <w:p w14:paraId="57D4720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rPr>
        <w:t>(40)《</w:t>
      </w:r>
      <w:bookmarkStart w:id="285" w:name="OLE_LINK1016"/>
      <w:r>
        <w:rPr>
          <w:rFonts w:hint="default" w:ascii="Times New Roman" w:hAnsi="Times New Roman" w:cs="Times New Roman"/>
          <w:b w:val="0"/>
          <w:bCs w:val="0"/>
          <w:color w:val="auto"/>
          <w:sz w:val="24"/>
          <w:szCs w:val="24"/>
          <w:highlight w:val="none"/>
        </w:rPr>
        <w:t>关于进一步加强重金属污染防控的意见</w:t>
      </w:r>
      <w:bookmarkEnd w:id="285"/>
      <w:r>
        <w:rPr>
          <w:rFonts w:hint="default" w:ascii="Times New Roman" w:hAnsi="Times New Roman" w:cs="Times New Roman"/>
          <w:b w:val="0"/>
          <w:bCs w:val="0"/>
          <w:color w:val="auto"/>
          <w:sz w:val="24"/>
          <w:szCs w:val="24"/>
          <w:highlight w:val="none"/>
        </w:rPr>
        <w:t>》（环固体〔2022〕17号）</w:t>
      </w:r>
      <w:r>
        <w:rPr>
          <w:rFonts w:hint="eastAsia" w:ascii="Times New Roman" w:hAnsi="Times New Roman" w:eastAsia="宋体" w:cs="Times New Roman"/>
          <w:b w:val="0"/>
          <w:bCs w:val="0"/>
          <w:color w:val="auto"/>
          <w:sz w:val="24"/>
          <w:szCs w:val="24"/>
          <w:highlight w:val="none"/>
          <w:lang w:eastAsia="zh-CN"/>
        </w:rPr>
        <w:t>；</w:t>
      </w:r>
      <w:bookmarkStart w:id="286" w:name="pindex388"/>
      <w:bookmarkEnd w:id="286"/>
    </w:p>
    <w:p w14:paraId="6F174D2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rPr>
        <w:t>(4</w:t>
      </w:r>
      <w:r>
        <w:rPr>
          <w:rFonts w:hint="eastAsia" w:ascii="Times New Roman" w:hAnsi="Times New Roman" w:eastAsia="宋体" w:cs="Times New Roman"/>
          <w:b w:val="0"/>
          <w:bCs w:val="0"/>
          <w:color w:val="auto"/>
          <w:sz w:val="24"/>
          <w:szCs w:val="24"/>
          <w:highlight w:val="none"/>
          <w:lang w:val="en-US" w:eastAsia="zh-CN"/>
        </w:rPr>
        <w:t>1</w:t>
      </w:r>
      <w:r>
        <w:rPr>
          <w:rFonts w:hint="default" w:ascii="Times New Roman" w:hAnsi="Times New Roman" w:cs="Times New Roman"/>
          <w:b w:val="0"/>
          <w:bCs w:val="0"/>
          <w:color w:val="auto"/>
          <w:sz w:val="24"/>
          <w:szCs w:val="24"/>
          <w:highlight w:val="none"/>
        </w:rPr>
        <w:t>)《优先控制化学品名录》</w:t>
      </w: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第一批、第二批</w:t>
      </w:r>
      <w:r>
        <w:rPr>
          <w:rFonts w:hint="eastAsia" w:ascii="Times New Roman" w:hAnsi="Times New Roman" w:eastAsia="宋体" w:cs="Times New Roman"/>
          <w:b w:val="0"/>
          <w:bCs w:val="0"/>
          <w:color w:val="auto"/>
          <w:sz w:val="24"/>
          <w:szCs w:val="24"/>
          <w:highlight w:val="none"/>
          <w:lang w:eastAsia="zh-CN"/>
        </w:rPr>
        <w:t>）；</w:t>
      </w:r>
      <w:bookmarkStart w:id="287" w:name="pindex389"/>
      <w:bookmarkEnd w:id="287"/>
    </w:p>
    <w:p w14:paraId="2FC94D5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rPr>
        <w:t>(4</w:t>
      </w:r>
      <w:r>
        <w:rPr>
          <w:rFonts w:hint="eastAsia" w:ascii="Times New Roman" w:hAnsi="Times New Roman" w:eastAsia="宋体" w:cs="Times New Roman"/>
          <w:b w:val="0"/>
          <w:bCs w:val="0"/>
          <w:color w:val="auto"/>
          <w:sz w:val="24"/>
          <w:szCs w:val="24"/>
          <w:highlight w:val="none"/>
          <w:lang w:val="en-US" w:eastAsia="zh-CN"/>
        </w:rPr>
        <w:t>2</w:t>
      </w:r>
      <w:r>
        <w:rPr>
          <w:rFonts w:hint="default" w:ascii="Times New Roman" w:hAnsi="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关于印发〈2020年挥发性有机物治理攻坚方案〉的通知</w:t>
      </w:r>
      <w:r>
        <w:rPr>
          <w:rFonts w:hint="default" w:ascii="Times New Roman" w:hAnsi="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环大气〔202</w:t>
      </w:r>
      <w:r>
        <w:rPr>
          <w:rFonts w:hint="eastAsia" w:ascii="Times New Roman" w:hAnsi="Times New Roman" w:eastAsia="宋体" w:cs="Times New Roman"/>
          <w:b w:val="0"/>
          <w:bCs w:val="0"/>
          <w:color w:val="auto"/>
          <w:sz w:val="24"/>
          <w:szCs w:val="24"/>
          <w:highlight w:val="none"/>
          <w:lang w:val="en-US" w:eastAsia="zh-CN"/>
        </w:rPr>
        <w:t>0</w:t>
      </w:r>
      <w:r>
        <w:rPr>
          <w:rFonts w:hint="default" w:ascii="Times New Roman" w:hAnsi="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33</w:t>
      </w:r>
      <w:r>
        <w:rPr>
          <w:rFonts w:hint="default" w:ascii="Times New Roman" w:hAnsi="Times New Roman" w:cs="Times New Roman"/>
          <w:b w:val="0"/>
          <w:bCs w:val="0"/>
          <w:color w:val="auto"/>
          <w:sz w:val="24"/>
          <w:szCs w:val="24"/>
          <w:highlight w:val="none"/>
        </w:rPr>
        <w:t>号</w:t>
      </w:r>
      <w:r>
        <w:rPr>
          <w:rFonts w:hint="eastAsia" w:ascii="Times New Roman" w:hAnsi="Times New Roman" w:eastAsia="宋体" w:cs="Times New Roman"/>
          <w:b w:val="0"/>
          <w:bCs w:val="0"/>
          <w:color w:val="auto"/>
          <w:sz w:val="24"/>
          <w:szCs w:val="24"/>
          <w:highlight w:val="none"/>
          <w:lang w:eastAsia="zh-CN"/>
        </w:rPr>
        <w:t>）；</w:t>
      </w:r>
      <w:bookmarkStart w:id="288" w:name="pindex390"/>
      <w:bookmarkEnd w:id="288"/>
    </w:p>
    <w:p w14:paraId="79052CA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rPr>
        <w:t>(4</w:t>
      </w:r>
      <w:r>
        <w:rPr>
          <w:rFonts w:hint="eastAsia" w:ascii="Times New Roman" w:hAnsi="Times New Roman" w:eastAsia="宋体" w:cs="Times New Roman"/>
          <w:b w:val="0"/>
          <w:bCs w:val="0"/>
          <w:color w:val="auto"/>
          <w:sz w:val="24"/>
          <w:szCs w:val="24"/>
          <w:highlight w:val="none"/>
          <w:lang w:val="en-US" w:eastAsia="zh-CN"/>
        </w:rPr>
        <w:t>3</w:t>
      </w:r>
      <w:r>
        <w:rPr>
          <w:rFonts w:hint="default" w:ascii="Times New Roman" w:hAnsi="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重点管控新污染物清单（2023年版）</w:t>
      </w:r>
      <w:r>
        <w:rPr>
          <w:rFonts w:hint="default" w:ascii="Times New Roman" w:hAnsi="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部令 第28</w:t>
      </w:r>
      <w:r>
        <w:rPr>
          <w:rFonts w:hint="default" w:ascii="Times New Roman" w:hAnsi="Times New Roman" w:cs="Times New Roman"/>
          <w:b w:val="0"/>
          <w:bCs w:val="0"/>
          <w:color w:val="auto"/>
          <w:sz w:val="24"/>
          <w:szCs w:val="24"/>
          <w:highlight w:val="none"/>
        </w:rPr>
        <w:t>号</w:t>
      </w:r>
      <w:r>
        <w:rPr>
          <w:rFonts w:hint="eastAsia" w:ascii="Times New Roman" w:hAnsi="Times New Roman" w:eastAsia="宋体" w:cs="Times New Roman"/>
          <w:b w:val="0"/>
          <w:bCs w:val="0"/>
          <w:color w:val="auto"/>
          <w:sz w:val="24"/>
          <w:szCs w:val="24"/>
          <w:highlight w:val="none"/>
          <w:lang w:eastAsia="zh-CN"/>
        </w:rPr>
        <w:t>）；</w:t>
      </w:r>
      <w:bookmarkStart w:id="289" w:name="pindex391"/>
      <w:bookmarkEnd w:id="289"/>
    </w:p>
    <w:p w14:paraId="1BA60BA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(4</w:t>
      </w:r>
      <w:r>
        <w:rPr>
          <w:rFonts w:hint="eastAsia" w:ascii="Times New Roman" w:hAnsi="Times New Roman" w:eastAsia="宋体" w:cs="Times New Roman"/>
          <w:b w:val="0"/>
          <w:bCs w:val="0"/>
          <w:color w:val="auto"/>
          <w:sz w:val="24"/>
          <w:szCs w:val="24"/>
          <w:highlight w:val="none"/>
          <w:lang w:val="en-US" w:eastAsia="zh-CN"/>
        </w:rPr>
        <w:t>4</w:t>
      </w:r>
      <w:r>
        <w:rPr>
          <w:rFonts w:hint="default" w:ascii="Times New Roman" w:hAnsi="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市政府办公厅关于印发南京市新污染物治理工作方案的通知》（宁政办发〔2023〕23号）</w:t>
      </w:r>
      <w:r>
        <w:rPr>
          <w:rFonts w:hint="eastAsia" w:ascii="Times New Roman" w:hAnsi="Times New Roman" w:eastAsia="宋体" w:cs="Times New Roman"/>
          <w:b w:val="0"/>
          <w:bCs w:val="0"/>
          <w:color w:val="auto"/>
          <w:sz w:val="24"/>
          <w:szCs w:val="24"/>
          <w:highlight w:val="none"/>
          <w:lang w:eastAsia="zh-CN"/>
        </w:rPr>
        <w:t>。</w:t>
      </w:r>
      <w:bookmarkStart w:id="290" w:name="pindex392"/>
      <w:bookmarkEnd w:id="290"/>
    </w:p>
    <w:p w14:paraId="70D80E39">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hint="default" w:ascii="Times New Roman" w:hAnsi="Times New Roman" w:eastAsia="Times New Roman" w:cs="Times New Roman"/>
          <w:b/>
          <w:bCs/>
          <w:color w:val="auto"/>
          <w:spacing w:val="-3"/>
          <w:sz w:val="24"/>
          <w:szCs w:val="24"/>
          <w:highlight w:val="none"/>
        </w:rPr>
      </w:pPr>
      <w:bookmarkStart w:id="291" w:name="bookmark15"/>
      <w:bookmarkEnd w:id="291"/>
      <w:bookmarkStart w:id="292" w:name="_Toc20635"/>
      <w:r>
        <w:rPr>
          <w:rFonts w:ascii="Times New Roman" w:hAnsi="Times New Roman" w:eastAsia="Times New Roman" w:cs="Times New Roman"/>
          <w:b/>
          <w:bCs/>
          <w:color w:val="auto"/>
          <w:spacing w:val="-3"/>
          <w:sz w:val="24"/>
          <w:szCs w:val="24"/>
          <w:highlight w:val="none"/>
        </w:rPr>
        <w:t>2.2江苏省法规、政府规章及政策文件</w:t>
      </w:r>
      <w:bookmarkEnd w:id="292"/>
      <w:bookmarkStart w:id="293" w:name="pindex393"/>
      <w:bookmarkEnd w:id="293"/>
    </w:p>
    <w:p w14:paraId="218C19E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bookmarkStart w:id="294" w:name="OLE_LINK1017"/>
      <w:r>
        <w:rPr>
          <w:rFonts w:hint="default" w:ascii="Times New Roman" w:hAnsi="Times New Roman" w:eastAsia="宋体" w:cs="Times New Roman"/>
          <w:color w:val="auto"/>
          <w:sz w:val="24"/>
          <w:szCs w:val="24"/>
          <w:highlight w:val="none"/>
        </w:rPr>
        <w:t>《江苏省大气污染防治条例》</w:t>
      </w:r>
      <w:bookmarkEnd w:id="294"/>
      <w:r>
        <w:rPr>
          <w:rFonts w:hint="default" w:ascii="Times New Roman" w:hAnsi="Times New Roman" w:eastAsia="宋体" w:cs="Times New Roman"/>
          <w:color w:val="auto"/>
          <w:sz w:val="24"/>
          <w:szCs w:val="24"/>
          <w:highlight w:val="none"/>
        </w:rPr>
        <w:t>，2018年11月23日修正；</w:t>
      </w:r>
      <w:bookmarkStart w:id="295" w:name="pindex394"/>
      <w:bookmarkEnd w:id="295"/>
    </w:p>
    <w:p w14:paraId="416E3DF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bookmarkStart w:id="296" w:name="OLE_LINK1018"/>
      <w:r>
        <w:rPr>
          <w:rFonts w:hint="default" w:ascii="Times New Roman" w:hAnsi="Times New Roman" w:eastAsia="宋体" w:cs="Times New Roman"/>
          <w:color w:val="auto"/>
          <w:sz w:val="24"/>
          <w:szCs w:val="24"/>
          <w:highlight w:val="none"/>
        </w:rPr>
        <w:t>《江苏省水污染防治条例》</w:t>
      </w:r>
      <w:bookmarkEnd w:id="296"/>
      <w:r>
        <w:rPr>
          <w:rFonts w:hint="default" w:ascii="Times New Roman" w:hAnsi="Times New Roman" w:eastAsia="宋体" w:cs="Times New Roman"/>
          <w:color w:val="auto"/>
          <w:sz w:val="24"/>
          <w:szCs w:val="24"/>
          <w:highlight w:val="none"/>
        </w:rPr>
        <w:t>，2021年</w:t>
      </w:r>
      <w:r>
        <w:rPr>
          <w:rFonts w:hint="eastAsia"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29</w:t>
      </w:r>
      <w:r>
        <w:rPr>
          <w:rFonts w:hint="default" w:ascii="Times New Roman" w:hAnsi="Times New Roman" w:eastAsia="宋体" w:cs="Times New Roman"/>
          <w:color w:val="auto"/>
          <w:sz w:val="24"/>
          <w:szCs w:val="24"/>
          <w:highlight w:val="none"/>
        </w:rPr>
        <w:t>日起施行；</w:t>
      </w:r>
      <w:bookmarkStart w:id="297" w:name="pindex395"/>
      <w:bookmarkEnd w:id="297"/>
    </w:p>
    <w:p w14:paraId="120D3D4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w:t>
      </w:r>
      <w:bookmarkStart w:id="298" w:name="OLE_LINK1019"/>
      <w:r>
        <w:rPr>
          <w:rFonts w:hint="default" w:ascii="Times New Roman" w:hAnsi="Times New Roman" w:eastAsia="宋体" w:cs="Times New Roman"/>
          <w:color w:val="auto"/>
          <w:sz w:val="24"/>
          <w:szCs w:val="24"/>
          <w:highlight w:val="none"/>
        </w:rPr>
        <w:t>《江苏省长江水污染防治条例》</w:t>
      </w:r>
      <w:bookmarkEnd w:id="298"/>
      <w:r>
        <w:rPr>
          <w:rFonts w:hint="default" w:ascii="Times New Roman" w:hAnsi="Times New Roman" w:eastAsia="宋体" w:cs="Times New Roman"/>
          <w:color w:val="auto"/>
          <w:sz w:val="24"/>
          <w:szCs w:val="24"/>
          <w:highlight w:val="none"/>
        </w:rPr>
        <w:t>，2018年</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28</w:t>
      </w:r>
      <w:r>
        <w:rPr>
          <w:rFonts w:hint="default" w:ascii="Times New Roman" w:hAnsi="Times New Roman" w:eastAsia="宋体" w:cs="Times New Roman"/>
          <w:color w:val="auto"/>
          <w:sz w:val="24"/>
          <w:szCs w:val="24"/>
          <w:highlight w:val="none"/>
        </w:rPr>
        <w:t>日起施行；</w:t>
      </w:r>
      <w:bookmarkStart w:id="299" w:name="pindex396"/>
      <w:bookmarkEnd w:id="299"/>
    </w:p>
    <w:p w14:paraId="5367865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w:t>
      </w:r>
      <w:bookmarkStart w:id="300" w:name="OLE_LINK1020"/>
      <w:r>
        <w:rPr>
          <w:rFonts w:hint="default" w:ascii="Times New Roman" w:hAnsi="Times New Roman" w:eastAsia="宋体" w:cs="Times New Roman"/>
          <w:color w:val="auto"/>
          <w:sz w:val="24"/>
          <w:szCs w:val="24"/>
          <w:highlight w:val="none"/>
        </w:rPr>
        <w:t>《江苏省环境噪声污染防治条例》</w:t>
      </w:r>
      <w:bookmarkEnd w:id="300"/>
      <w:r>
        <w:rPr>
          <w:rFonts w:hint="default" w:ascii="Times New Roman" w:hAnsi="Times New Roman" w:eastAsia="宋体" w:cs="Times New Roman"/>
          <w:color w:val="auto"/>
          <w:sz w:val="24"/>
          <w:szCs w:val="24"/>
          <w:highlight w:val="none"/>
        </w:rPr>
        <w:t>，2018年</w:t>
      </w:r>
      <w:bookmarkStart w:id="301" w:name="OLE_LINK1022"/>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28</w:t>
      </w:r>
      <w:r>
        <w:rPr>
          <w:rFonts w:hint="default" w:ascii="Times New Roman" w:hAnsi="Times New Roman" w:eastAsia="宋体" w:cs="Times New Roman"/>
          <w:color w:val="auto"/>
          <w:sz w:val="24"/>
          <w:szCs w:val="24"/>
          <w:highlight w:val="none"/>
        </w:rPr>
        <w:t>日</w:t>
      </w:r>
      <w:bookmarkEnd w:id="301"/>
      <w:r>
        <w:rPr>
          <w:rFonts w:hint="default" w:ascii="Times New Roman" w:hAnsi="Times New Roman" w:eastAsia="宋体" w:cs="Times New Roman"/>
          <w:color w:val="auto"/>
          <w:sz w:val="24"/>
          <w:szCs w:val="24"/>
          <w:highlight w:val="none"/>
        </w:rPr>
        <w:t>起施行；</w:t>
      </w:r>
      <w:bookmarkStart w:id="302" w:name="pindex397"/>
      <w:bookmarkEnd w:id="302"/>
    </w:p>
    <w:p w14:paraId="756BFBF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w:t>
      </w:r>
      <w:bookmarkStart w:id="303" w:name="OLE_LINK1021"/>
      <w:r>
        <w:rPr>
          <w:rFonts w:hint="default" w:ascii="Times New Roman" w:hAnsi="Times New Roman" w:eastAsia="宋体" w:cs="Times New Roman"/>
          <w:color w:val="auto"/>
          <w:sz w:val="24"/>
          <w:szCs w:val="24"/>
          <w:highlight w:val="none"/>
        </w:rPr>
        <w:t>《江苏省固体废物污染环境防治条例》</w:t>
      </w:r>
      <w:bookmarkEnd w:id="303"/>
      <w:r>
        <w:rPr>
          <w:rFonts w:hint="default" w:ascii="Times New Roman" w:hAnsi="Times New Roman" w:eastAsia="宋体" w:cs="Times New Roman"/>
          <w:color w:val="auto"/>
          <w:sz w:val="24"/>
          <w:szCs w:val="24"/>
          <w:highlight w:val="none"/>
        </w:rPr>
        <w:t>，2018年</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28</w:t>
      </w:r>
      <w:r>
        <w:rPr>
          <w:rFonts w:hint="default" w:ascii="Times New Roman" w:hAnsi="Times New Roman" w:eastAsia="宋体" w:cs="Times New Roman"/>
          <w:color w:val="auto"/>
          <w:sz w:val="24"/>
          <w:szCs w:val="24"/>
          <w:highlight w:val="none"/>
        </w:rPr>
        <w:t>日起施行；</w:t>
      </w:r>
      <w:bookmarkStart w:id="304" w:name="pindex398"/>
      <w:bookmarkEnd w:id="304"/>
    </w:p>
    <w:p w14:paraId="025A70E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w:t>
      </w:r>
      <w:bookmarkStart w:id="305" w:name="OLE_LINK1023"/>
      <w:r>
        <w:rPr>
          <w:rFonts w:hint="default" w:ascii="Times New Roman" w:hAnsi="Times New Roman" w:eastAsia="宋体" w:cs="Times New Roman"/>
          <w:color w:val="auto"/>
          <w:sz w:val="24"/>
          <w:szCs w:val="24"/>
          <w:highlight w:val="none"/>
        </w:rPr>
        <w:t>《江苏省土壤污染防治条例》</w:t>
      </w:r>
      <w:bookmarkEnd w:id="305"/>
      <w:r>
        <w:rPr>
          <w:rFonts w:hint="default" w:ascii="Times New Roman" w:hAnsi="Times New Roman" w:eastAsia="宋体" w:cs="Times New Roman"/>
          <w:color w:val="auto"/>
          <w:sz w:val="24"/>
          <w:szCs w:val="24"/>
          <w:highlight w:val="none"/>
        </w:rPr>
        <w:t>，2022年9月1日起施行；</w:t>
      </w:r>
      <w:bookmarkStart w:id="306" w:name="pindex399"/>
      <w:bookmarkEnd w:id="306"/>
    </w:p>
    <w:p w14:paraId="710BFF0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w:t>
      </w:r>
      <w:bookmarkStart w:id="307" w:name="OLE_LINK1026"/>
      <w:r>
        <w:rPr>
          <w:rFonts w:hint="default" w:ascii="Times New Roman" w:hAnsi="Times New Roman" w:eastAsia="宋体" w:cs="Times New Roman"/>
          <w:color w:val="auto"/>
          <w:sz w:val="24"/>
          <w:szCs w:val="24"/>
          <w:highlight w:val="none"/>
        </w:rPr>
        <w:t>《江苏省循环经济促进条例》</w:t>
      </w:r>
      <w:bookmarkEnd w:id="307"/>
      <w:r>
        <w:rPr>
          <w:rFonts w:hint="default" w:ascii="Times New Roman" w:hAnsi="Times New Roman" w:eastAsia="宋体" w:cs="Times New Roman"/>
          <w:color w:val="auto"/>
          <w:sz w:val="24"/>
          <w:szCs w:val="24"/>
          <w:highlight w:val="none"/>
        </w:rPr>
        <w:t>，2021年9月29日修正；</w:t>
      </w:r>
      <w:bookmarkStart w:id="308" w:name="pindex400"/>
      <w:bookmarkEnd w:id="308"/>
    </w:p>
    <w:p w14:paraId="14EF775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(8)</w:t>
      </w:r>
      <w:bookmarkStart w:id="309" w:name="OLE_LINK1029"/>
      <w:r>
        <w:rPr>
          <w:rFonts w:hint="default" w:ascii="Times New Roman" w:hAnsi="Times New Roman" w:eastAsia="宋体" w:cs="Times New Roman"/>
          <w:color w:val="auto"/>
          <w:sz w:val="24"/>
          <w:szCs w:val="24"/>
          <w:highlight w:val="none"/>
        </w:rPr>
        <w:t>《江苏省水资源管理条例》</w:t>
      </w:r>
      <w:bookmarkEnd w:id="309"/>
      <w:r>
        <w:rPr>
          <w:rFonts w:hint="default" w:ascii="Times New Roman" w:hAnsi="Times New Roman" w:eastAsia="宋体" w:cs="Times New Roman"/>
          <w:color w:val="auto"/>
          <w:sz w:val="24"/>
          <w:szCs w:val="24"/>
          <w:highlight w:val="none"/>
        </w:rPr>
        <w:t>，2021年9月29日修正；</w:t>
      </w:r>
      <w:bookmarkStart w:id="310" w:name="pindex401"/>
      <w:bookmarkEnd w:id="310"/>
    </w:p>
    <w:p w14:paraId="2E86375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(9)《省政府关于实行最严格水资源管理制度的实施意见》，苏政发〔2012〕27号</w:t>
      </w:r>
      <w:r>
        <w:rPr>
          <w:rFonts w:hint="eastAsia" w:ascii="Times New Roman" w:hAnsi="Times New Roman" w:eastAsia="宋体" w:cs="Times New Roman"/>
          <w:color w:val="auto"/>
          <w:sz w:val="24"/>
          <w:szCs w:val="24"/>
          <w:highlight w:val="none"/>
          <w:lang w:eastAsia="zh-CN"/>
        </w:rPr>
        <w:t>；</w:t>
      </w:r>
      <w:bookmarkStart w:id="311" w:name="pindex402"/>
      <w:bookmarkEnd w:id="311"/>
    </w:p>
    <w:p w14:paraId="2BC5D86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(10)《省政府关于实行最严格水资源管理制度的实施意见》，苏政发〔2012〕27号；</w:t>
      </w:r>
      <w:bookmarkStart w:id="312" w:name="pindex403"/>
      <w:bookmarkEnd w:id="312"/>
    </w:p>
    <w:p w14:paraId="05E420B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(11)</w:t>
      </w:r>
      <w:bookmarkStart w:id="313" w:name="OLE_LINK1033"/>
      <w:r>
        <w:rPr>
          <w:rFonts w:hint="default" w:ascii="Times New Roman" w:hAnsi="Times New Roman" w:eastAsia="宋体" w:cs="Times New Roman"/>
          <w:color w:val="auto"/>
          <w:sz w:val="24"/>
          <w:szCs w:val="24"/>
          <w:highlight w:val="none"/>
        </w:rPr>
        <w:t>《省政府关于实行最严格水资源管理制度的实施意见》</w:t>
      </w:r>
      <w:bookmarkEnd w:id="313"/>
      <w:r>
        <w:rPr>
          <w:rFonts w:hint="default" w:ascii="Times New Roman" w:hAnsi="Times New Roman" w:eastAsia="宋体" w:cs="Times New Roman"/>
          <w:color w:val="auto"/>
          <w:sz w:val="24"/>
          <w:szCs w:val="24"/>
          <w:highlight w:val="none"/>
        </w:rPr>
        <w:t>，苏政发〔2012〕27号；</w:t>
      </w:r>
      <w:bookmarkStart w:id="314" w:name="pindex404"/>
      <w:bookmarkEnd w:id="314"/>
    </w:p>
    <w:p w14:paraId="0D4CF0D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(12)</w:t>
      </w:r>
      <w:bookmarkStart w:id="315" w:name="OLE_LINK1035"/>
      <w:r>
        <w:rPr>
          <w:rFonts w:hint="default" w:ascii="Times New Roman" w:hAnsi="Times New Roman" w:eastAsia="宋体" w:cs="Times New Roman"/>
          <w:color w:val="auto"/>
          <w:sz w:val="24"/>
          <w:szCs w:val="24"/>
          <w:highlight w:val="none"/>
        </w:rPr>
        <w:t>《关于印发</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深入打好长江保护修复攻坚战行动方案</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的通知》</w:t>
      </w:r>
      <w:bookmarkEnd w:id="315"/>
      <w:r>
        <w:rPr>
          <w:rFonts w:hint="default" w:ascii="Times New Roman" w:hAnsi="Times New Roman" w:eastAsia="宋体" w:cs="Times New Roman"/>
          <w:color w:val="auto"/>
          <w:sz w:val="24"/>
          <w:szCs w:val="24"/>
          <w:highlight w:val="none"/>
        </w:rPr>
        <w:t>，环水体〔2022〕55号</w:t>
      </w:r>
      <w:r>
        <w:rPr>
          <w:rFonts w:hint="eastAsia" w:ascii="Times New Roman" w:hAnsi="Times New Roman" w:eastAsia="宋体" w:cs="Times New Roman"/>
          <w:color w:val="auto"/>
          <w:sz w:val="24"/>
          <w:szCs w:val="24"/>
          <w:highlight w:val="none"/>
          <w:lang w:eastAsia="zh-CN"/>
        </w:rPr>
        <w:t>；</w:t>
      </w:r>
      <w:bookmarkStart w:id="316" w:name="pindex405"/>
      <w:bookmarkEnd w:id="316"/>
    </w:p>
    <w:p w14:paraId="470F1F6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(13)</w:t>
      </w:r>
      <w:bookmarkStart w:id="317" w:name="OLE_LINK1036"/>
      <w:r>
        <w:rPr>
          <w:rFonts w:hint="default" w:ascii="Times New Roman" w:hAnsi="Times New Roman" w:eastAsia="宋体" w:cs="Times New Roman"/>
          <w:color w:val="auto"/>
          <w:sz w:val="24"/>
          <w:szCs w:val="24"/>
          <w:highlight w:val="none"/>
        </w:rPr>
        <w:t>《江苏省关于深入打好污染防治攻坚战的实施意见》（</w:t>
      </w:r>
      <w:bookmarkEnd w:id="317"/>
      <w:r>
        <w:rPr>
          <w:rFonts w:hint="default" w:ascii="Times New Roman" w:hAnsi="Times New Roman" w:eastAsia="宋体" w:cs="Times New Roman"/>
          <w:color w:val="auto"/>
          <w:sz w:val="24"/>
          <w:szCs w:val="24"/>
          <w:highlight w:val="none"/>
        </w:rPr>
        <w:t>2022年1月24日）；</w:t>
      </w:r>
      <w:bookmarkStart w:id="318" w:name="pindex406"/>
      <w:bookmarkEnd w:id="318"/>
    </w:p>
    <w:p w14:paraId="456AAB2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(14)</w:t>
      </w:r>
      <w:bookmarkStart w:id="319" w:name="OLE_LINK1039"/>
      <w:r>
        <w:rPr>
          <w:rFonts w:hint="default" w:ascii="Times New Roman" w:hAnsi="Times New Roman" w:eastAsia="宋体" w:cs="Times New Roman"/>
          <w:color w:val="auto"/>
          <w:sz w:val="24"/>
          <w:szCs w:val="24"/>
          <w:highlight w:val="none"/>
        </w:rPr>
        <w:t>《关于</w:t>
      </w:r>
      <w:r>
        <w:rPr>
          <w:rFonts w:hint="eastAsia" w:ascii="Times New Roman" w:hAnsi="Times New Roman" w:eastAsia="宋体" w:cs="Times New Roman"/>
          <w:color w:val="auto"/>
          <w:sz w:val="24"/>
          <w:szCs w:val="24"/>
          <w:highlight w:val="none"/>
          <w:lang w:val="en-US" w:eastAsia="zh-CN"/>
        </w:rPr>
        <w:t>进一步</w:t>
      </w:r>
      <w:r>
        <w:rPr>
          <w:rFonts w:hint="default" w:ascii="Times New Roman" w:hAnsi="Times New Roman" w:eastAsia="宋体" w:cs="Times New Roman"/>
          <w:color w:val="auto"/>
          <w:sz w:val="24"/>
          <w:szCs w:val="24"/>
          <w:highlight w:val="none"/>
        </w:rPr>
        <w:t>加强产业园区规划环境影响评价工作的</w:t>
      </w:r>
      <w:r>
        <w:rPr>
          <w:rFonts w:hint="eastAsia" w:ascii="Times New Roman" w:hAnsi="Times New Roman" w:eastAsia="宋体" w:cs="Times New Roman"/>
          <w:color w:val="auto"/>
          <w:sz w:val="24"/>
          <w:szCs w:val="24"/>
          <w:highlight w:val="none"/>
          <w:lang w:val="en-US" w:eastAsia="zh-CN"/>
        </w:rPr>
        <w:t>通知</w:t>
      </w:r>
      <w:r>
        <w:rPr>
          <w:rFonts w:hint="default" w:ascii="Times New Roman" w:hAnsi="Times New Roman" w:eastAsia="宋体" w:cs="Times New Roman"/>
          <w:color w:val="auto"/>
          <w:sz w:val="24"/>
          <w:szCs w:val="24"/>
          <w:highlight w:val="none"/>
        </w:rPr>
        <w:t>》</w:t>
      </w:r>
      <w:bookmarkEnd w:id="319"/>
      <w:r>
        <w:rPr>
          <w:rFonts w:hint="default" w:ascii="Times New Roman" w:hAnsi="Times New Roman" w:eastAsia="宋体" w:cs="Times New Roman"/>
          <w:color w:val="auto"/>
          <w:sz w:val="24"/>
          <w:szCs w:val="24"/>
          <w:highlight w:val="none"/>
        </w:rPr>
        <w:t>，苏环办〔20</w:t>
      </w:r>
      <w:r>
        <w:rPr>
          <w:rFonts w:hint="eastAsia" w:ascii="Times New Roman" w:hAnsi="Times New Roman" w:eastAsia="宋体"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224</w:t>
      </w:r>
      <w:r>
        <w:rPr>
          <w:rFonts w:hint="default" w:ascii="Times New Roman" w:hAnsi="Times New Roman" w:eastAsia="宋体" w:cs="Times New Roman"/>
          <w:color w:val="auto"/>
          <w:sz w:val="24"/>
          <w:szCs w:val="24"/>
          <w:highlight w:val="none"/>
        </w:rPr>
        <w:t>号；</w:t>
      </w:r>
      <w:bookmarkStart w:id="320" w:name="pindex407"/>
      <w:bookmarkEnd w:id="320"/>
    </w:p>
    <w:p w14:paraId="6268F86D">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(15)</w:t>
      </w:r>
      <w:bookmarkStart w:id="321" w:name="OLE_LINK1040"/>
      <w:r>
        <w:rPr>
          <w:rFonts w:hint="default" w:ascii="Times New Roman" w:hAnsi="Times New Roman" w:eastAsia="宋体" w:cs="Times New Roman"/>
          <w:color w:val="auto"/>
          <w:sz w:val="24"/>
          <w:szCs w:val="24"/>
          <w:highlight w:val="none"/>
        </w:rPr>
        <w:t>《省生态环境厅关于进一步加强产业园区规划环境影响评价的通知》</w:t>
      </w:r>
      <w:bookmarkEnd w:id="321"/>
      <w:r>
        <w:rPr>
          <w:rFonts w:hint="default" w:ascii="Times New Roman" w:hAnsi="Times New Roman" w:eastAsia="宋体" w:cs="Times New Roman"/>
          <w:color w:val="auto"/>
          <w:sz w:val="24"/>
          <w:szCs w:val="24"/>
          <w:highlight w:val="none"/>
        </w:rPr>
        <w:t>，苏环办〔2020〕224号；</w:t>
      </w:r>
      <w:bookmarkStart w:id="322" w:name="pindex408"/>
      <w:bookmarkEnd w:id="322"/>
    </w:p>
    <w:p w14:paraId="7D5A98B2">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(16)</w:t>
      </w:r>
      <w:bookmarkStart w:id="323" w:name="OLE_LINK1043"/>
      <w:r>
        <w:rPr>
          <w:rFonts w:hint="default" w:ascii="Times New Roman" w:hAnsi="Times New Roman" w:eastAsia="宋体" w:cs="Times New Roman"/>
          <w:color w:val="auto"/>
          <w:sz w:val="24"/>
          <w:szCs w:val="24"/>
          <w:highlight w:val="none"/>
        </w:rPr>
        <w:t>《省生态环境厅关于</w:t>
      </w:r>
      <w:r>
        <w:rPr>
          <w:rFonts w:hint="default" w:ascii="Times New Roman" w:hAnsi="Times New Roman" w:eastAsia="宋体" w:cs="Times New Roman"/>
          <w:color w:val="auto"/>
          <w:sz w:val="24"/>
          <w:szCs w:val="24"/>
          <w:highlight w:val="none"/>
          <w:lang w:val="en-US" w:eastAsia="zh-CN"/>
        </w:rPr>
        <w:t>印发</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江苏省固体废物全过程环境监管工作意见</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的通知》</w:t>
      </w:r>
      <w:bookmarkEnd w:id="323"/>
      <w:r>
        <w:rPr>
          <w:rFonts w:hint="default" w:ascii="Times New Roman" w:hAnsi="Times New Roman" w:eastAsia="宋体" w:cs="Times New Roman"/>
          <w:color w:val="auto"/>
          <w:sz w:val="24"/>
          <w:szCs w:val="24"/>
          <w:highlight w:val="none"/>
        </w:rPr>
        <w:t>，苏环办〔20</w:t>
      </w:r>
      <w:r>
        <w:rPr>
          <w:rFonts w:hint="default"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16</w:t>
      </w:r>
      <w:r>
        <w:rPr>
          <w:rFonts w:hint="default" w:ascii="Times New Roman" w:hAnsi="Times New Roman" w:eastAsia="宋体" w:cs="Times New Roman"/>
          <w:color w:val="auto"/>
          <w:sz w:val="24"/>
          <w:szCs w:val="24"/>
          <w:highlight w:val="none"/>
        </w:rPr>
        <w:t>号；</w:t>
      </w:r>
      <w:bookmarkStart w:id="324" w:name="pindex409"/>
      <w:bookmarkEnd w:id="324"/>
    </w:p>
    <w:p w14:paraId="70DAE7F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(17)</w:t>
      </w:r>
      <w:bookmarkStart w:id="325" w:name="OLE_LINK1044"/>
      <w:r>
        <w:rPr>
          <w:rFonts w:hint="default" w:ascii="Times New Roman" w:hAnsi="Times New Roman" w:eastAsia="宋体" w:cs="Times New Roman"/>
          <w:color w:val="auto"/>
          <w:sz w:val="24"/>
          <w:szCs w:val="24"/>
          <w:highlight w:val="none"/>
        </w:rPr>
        <w:t>《省生态环境厅关于进一步加强危险废物环境管理工作的通知》</w:t>
      </w:r>
      <w:bookmarkEnd w:id="325"/>
      <w:r>
        <w:rPr>
          <w:rFonts w:hint="default" w:ascii="Times New Roman" w:hAnsi="Times New Roman" w:eastAsia="宋体" w:cs="Times New Roman"/>
          <w:color w:val="auto"/>
          <w:sz w:val="24"/>
          <w:szCs w:val="24"/>
          <w:highlight w:val="none"/>
        </w:rPr>
        <w:t>，苏环办〔2021〕207号；</w:t>
      </w:r>
      <w:bookmarkStart w:id="326" w:name="pindex410"/>
      <w:bookmarkEnd w:id="326"/>
    </w:p>
    <w:p w14:paraId="27C7B9E4">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(18)</w:t>
      </w:r>
      <w:bookmarkStart w:id="327" w:name="OLE_LINK1045"/>
      <w:r>
        <w:rPr>
          <w:rFonts w:hint="default" w:ascii="Times New Roman" w:hAnsi="Times New Roman" w:eastAsia="宋体" w:cs="Times New Roman"/>
          <w:color w:val="auto"/>
          <w:sz w:val="24"/>
          <w:szCs w:val="24"/>
          <w:highlight w:val="none"/>
        </w:rPr>
        <w:t>《省政府办公厅关于印发江苏省强化危险废物监管和利用处置能力改革实施方案的通知》</w:t>
      </w:r>
      <w:bookmarkEnd w:id="327"/>
      <w:r>
        <w:rPr>
          <w:rFonts w:hint="default" w:ascii="Times New Roman" w:hAnsi="Times New Roman" w:eastAsia="宋体" w:cs="Times New Roman"/>
          <w:color w:val="auto"/>
          <w:sz w:val="24"/>
          <w:szCs w:val="24"/>
          <w:highlight w:val="none"/>
        </w:rPr>
        <w:t>，苏政办发〔2022〕11号；</w:t>
      </w:r>
      <w:bookmarkStart w:id="328" w:name="pindex411"/>
      <w:bookmarkEnd w:id="328"/>
    </w:p>
    <w:p w14:paraId="35D7A5F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(19)</w:t>
      </w:r>
      <w:bookmarkStart w:id="329" w:name="OLE_LINK1046"/>
      <w:r>
        <w:rPr>
          <w:rFonts w:hint="default" w:ascii="Times New Roman" w:hAnsi="Times New Roman" w:eastAsia="宋体" w:cs="Times New Roman"/>
          <w:color w:val="auto"/>
          <w:sz w:val="24"/>
          <w:szCs w:val="24"/>
          <w:highlight w:val="none"/>
        </w:rPr>
        <w:t>《省政府关于印发江苏省土壤污染防治工作方案的通知》</w:t>
      </w:r>
      <w:bookmarkEnd w:id="329"/>
      <w:r>
        <w:rPr>
          <w:rFonts w:hint="default" w:ascii="Times New Roman" w:hAnsi="Times New Roman" w:eastAsia="宋体" w:cs="Times New Roman"/>
          <w:color w:val="auto"/>
          <w:sz w:val="24"/>
          <w:szCs w:val="24"/>
          <w:highlight w:val="none"/>
        </w:rPr>
        <w:t>，苏政发〔2016〕169号；</w:t>
      </w:r>
      <w:bookmarkStart w:id="330" w:name="pindex412"/>
      <w:bookmarkEnd w:id="330"/>
    </w:p>
    <w:p w14:paraId="4EA1642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(20)</w:t>
      </w:r>
      <w:bookmarkStart w:id="331" w:name="OLE_LINK1047"/>
      <w:r>
        <w:rPr>
          <w:rFonts w:hint="default" w:ascii="Times New Roman" w:hAnsi="Times New Roman" w:eastAsia="宋体" w:cs="Times New Roman"/>
          <w:color w:val="auto"/>
          <w:sz w:val="24"/>
          <w:szCs w:val="24"/>
          <w:highlight w:val="none"/>
        </w:rPr>
        <w:t>《关于印发</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江苏省重点行业挥发性有机物污染控制指南</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的通知》</w:t>
      </w:r>
      <w:bookmarkEnd w:id="331"/>
      <w:r>
        <w:rPr>
          <w:rFonts w:hint="default" w:ascii="Times New Roman" w:hAnsi="Times New Roman" w:eastAsia="宋体" w:cs="Times New Roman"/>
          <w:color w:val="auto"/>
          <w:sz w:val="24"/>
          <w:szCs w:val="24"/>
          <w:highlight w:val="none"/>
        </w:rPr>
        <w:t>，苏环办〔2014〕128号；</w:t>
      </w:r>
      <w:bookmarkStart w:id="332" w:name="pindex413"/>
      <w:bookmarkEnd w:id="332"/>
    </w:p>
    <w:p w14:paraId="5EDE71E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(21)</w:t>
      </w:r>
      <w:bookmarkStart w:id="333" w:name="OLE_LINK1049"/>
      <w:r>
        <w:rPr>
          <w:rFonts w:hint="default" w:ascii="Times New Roman" w:hAnsi="Times New Roman" w:eastAsia="宋体" w:cs="Times New Roman"/>
          <w:color w:val="auto"/>
          <w:sz w:val="24"/>
          <w:szCs w:val="24"/>
          <w:highlight w:val="none"/>
        </w:rPr>
        <w:t>《江苏省挥发性有机物污染防治管理办法》</w:t>
      </w:r>
      <w:bookmarkEnd w:id="333"/>
      <w:r>
        <w:rPr>
          <w:rFonts w:hint="default" w:ascii="Times New Roman" w:hAnsi="Times New Roman" w:eastAsia="宋体" w:cs="Times New Roman"/>
          <w:color w:val="auto"/>
          <w:sz w:val="24"/>
          <w:szCs w:val="24"/>
          <w:highlight w:val="none"/>
        </w:rPr>
        <w:t>，江苏省人民政府令第119号，2018年5月1日起施行；</w:t>
      </w:r>
      <w:bookmarkStart w:id="334" w:name="pindex414"/>
      <w:bookmarkEnd w:id="334"/>
    </w:p>
    <w:p w14:paraId="0F7B298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(22)《</w:t>
      </w:r>
      <w:bookmarkStart w:id="335" w:name="OLE_LINK1050"/>
      <w:r>
        <w:rPr>
          <w:rFonts w:hint="default" w:ascii="Times New Roman" w:hAnsi="Times New Roman" w:eastAsia="宋体" w:cs="Times New Roman"/>
          <w:color w:val="auto"/>
          <w:sz w:val="24"/>
          <w:szCs w:val="24"/>
          <w:highlight w:val="none"/>
        </w:rPr>
        <w:t>江苏省挥发性有机物清洁原料替代工作方案</w:t>
      </w:r>
      <w:bookmarkEnd w:id="335"/>
      <w:r>
        <w:rPr>
          <w:rFonts w:hint="default" w:ascii="Times New Roman" w:hAnsi="Times New Roman" w:eastAsia="宋体" w:cs="Times New Roman"/>
          <w:color w:val="auto"/>
          <w:sz w:val="24"/>
          <w:szCs w:val="24"/>
          <w:highlight w:val="none"/>
        </w:rPr>
        <w:t>》，苏大气办〔2021〕2号；</w:t>
      </w:r>
      <w:bookmarkStart w:id="336" w:name="pindex415"/>
      <w:bookmarkEnd w:id="336"/>
    </w:p>
    <w:p w14:paraId="3C2A8E1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(23)</w:t>
      </w:r>
      <w:bookmarkStart w:id="337" w:name="OLE_LINK1055"/>
      <w:r>
        <w:rPr>
          <w:rFonts w:hint="default" w:ascii="Times New Roman" w:hAnsi="Times New Roman" w:eastAsia="宋体" w:cs="Times New Roman"/>
          <w:color w:val="auto"/>
          <w:sz w:val="24"/>
          <w:szCs w:val="24"/>
          <w:highlight w:val="none"/>
        </w:rPr>
        <w:t>《省政府办公厅关于加快推进城市污水处理能力建设全面提升污水集中收集处理率的实施意见》</w:t>
      </w:r>
      <w:bookmarkEnd w:id="337"/>
      <w:r>
        <w:rPr>
          <w:rFonts w:hint="default" w:ascii="Times New Roman" w:hAnsi="Times New Roman" w:eastAsia="宋体" w:cs="Times New Roman"/>
          <w:color w:val="auto"/>
          <w:sz w:val="24"/>
          <w:szCs w:val="24"/>
          <w:highlight w:val="none"/>
        </w:rPr>
        <w:t>，苏政办发〔2022〕42号；</w:t>
      </w:r>
      <w:bookmarkStart w:id="338" w:name="pindex416"/>
      <w:bookmarkEnd w:id="338"/>
    </w:p>
    <w:p w14:paraId="61A9519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(24)</w:t>
      </w:r>
      <w:bookmarkStart w:id="339" w:name="OLE_LINK1056"/>
      <w:r>
        <w:rPr>
          <w:rFonts w:hint="default" w:ascii="Times New Roman" w:hAnsi="Times New Roman" w:eastAsia="宋体" w:cs="Times New Roman"/>
          <w:color w:val="auto"/>
          <w:sz w:val="24"/>
          <w:szCs w:val="24"/>
          <w:highlight w:val="none"/>
        </w:rPr>
        <w:t>《省生态环境厅</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省住房城乡建设厅关于印发</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江苏省工业废水与生活污水分质处理工作推进方案</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的通知》</w:t>
      </w:r>
      <w:bookmarkEnd w:id="339"/>
      <w:r>
        <w:rPr>
          <w:rFonts w:hint="default" w:ascii="Times New Roman" w:hAnsi="Times New Roman" w:eastAsia="宋体" w:cs="Times New Roman"/>
          <w:color w:val="auto"/>
          <w:sz w:val="24"/>
          <w:szCs w:val="24"/>
          <w:highlight w:val="none"/>
        </w:rPr>
        <w:t>，苏环办〔2023〕144号；</w:t>
      </w:r>
      <w:bookmarkStart w:id="340" w:name="pindex417"/>
      <w:bookmarkEnd w:id="340"/>
    </w:p>
    <w:p w14:paraId="68345DC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(25)《</w:t>
      </w:r>
      <w:bookmarkStart w:id="341" w:name="OLE_LINK1057"/>
      <w:r>
        <w:rPr>
          <w:rFonts w:hint="default" w:ascii="Times New Roman" w:hAnsi="Times New Roman" w:eastAsia="宋体" w:cs="Times New Roman"/>
          <w:color w:val="auto"/>
          <w:sz w:val="24"/>
          <w:szCs w:val="24"/>
          <w:highlight w:val="none"/>
        </w:rPr>
        <w:t>关于做好生态环境和应急管理部门联动工作的意见</w:t>
      </w:r>
      <w:bookmarkEnd w:id="341"/>
      <w:r>
        <w:rPr>
          <w:rFonts w:hint="default" w:ascii="Times New Roman" w:hAnsi="Times New Roman" w:eastAsia="宋体" w:cs="Times New Roman"/>
          <w:color w:val="auto"/>
          <w:sz w:val="24"/>
          <w:szCs w:val="24"/>
          <w:highlight w:val="none"/>
        </w:rPr>
        <w:t>》，苏环办〔2020〕101号；</w:t>
      </w:r>
      <w:bookmarkStart w:id="342" w:name="pindex418"/>
      <w:bookmarkEnd w:id="342"/>
    </w:p>
    <w:p w14:paraId="2C143D2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(26)</w:t>
      </w:r>
      <w:bookmarkStart w:id="343" w:name="OLE_LINK1063"/>
      <w:r>
        <w:rPr>
          <w:rFonts w:hint="default" w:ascii="Times New Roman" w:hAnsi="Times New Roman" w:eastAsia="宋体" w:cs="Times New Roman"/>
          <w:color w:val="auto"/>
          <w:sz w:val="24"/>
          <w:szCs w:val="24"/>
          <w:highlight w:val="none"/>
        </w:rPr>
        <w:t>《省生态环境厅印发</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关于优化排污总量指标管理服务高质量发展的意见</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的通知》</w:t>
      </w:r>
      <w:bookmarkEnd w:id="343"/>
      <w:r>
        <w:rPr>
          <w:rFonts w:hint="default" w:ascii="Times New Roman" w:hAnsi="Times New Roman" w:eastAsia="宋体" w:cs="Times New Roman"/>
          <w:color w:val="auto"/>
          <w:sz w:val="24"/>
          <w:szCs w:val="24"/>
          <w:highlight w:val="none"/>
        </w:rPr>
        <w:t>，苏环发〔2022〕6号；</w:t>
      </w:r>
      <w:bookmarkStart w:id="344" w:name="pindex419"/>
      <w:bookmarkEnd w:id="344"/>
    </w:p>
    <w:p w14:paraId="59028C8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(27)</w:t>
      </w:r>
      <w:bookmarkStart w:id="345" w:name="OLE_LINK1064"/>
      <w:r>
        <w:rPr>
          <w:rFonts w:hint="default" w:ascii="Times New Roman" w:hAnsi="Times New Roman" w:eastAsia="宋体" w:cs="Times New Roman"/>
          <w:color w:val="auto"/>
          <w:sz w:val="24"/>
          <w:szCs w:val="24"/>
          <w:highlight w:val="none"/>
        </w:rPr>
        <w:t>《省生态环境厅关于印发</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江苏省污染源自动监控管理办法（试行）</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的通知》</w:t>
      </w:r>
      <w:bookmarkEnd w:id="345"/>
      <w:r>
        <w:rPr>
          <w:rFonts w:hint="default" w:ascii="Times New Roman" w:hAnsi="Times New Roman" w:eastAsia="宋体" w:cs="Times New Roman"/>
          <w:color w:val="auto"/>
          <w:sz w:val="24"/>
          <w:szCs w:val="24"/>
          <w:highlight w:val="none"/>
        </w:rPr>
        <w:t>，江苏省生态环境厅，2021年11月10日；</w:t>
      </w:r>
      <w:bookmarkStart w:id="346" w:name="pindex420"/>
      <w:bookmarkEnd w:id="346"/>
    </w:p>
    <w:p w14:paraId="311D2CC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(28)</w:t>
      </w:r>
      <w:bookmarkStart w:id="347" w:name="OLE_LINK1068"/>
      <w:r>
        <w:rPr>
          <w:rFonts w:hint="default" w:ascii="Times New Roman" w:hAnsi="Times New Roman" w:eastAsia="宋体" w:cs="Times New Roman"/>
          <w:color w:val="auto"/>
          <w:sz w:val="24"/>
          <w:szCs w:val="24"/>
          <w:highlight w:val="none"/>
        </w:rPr>
        <w:t>《省政府关于进一步加强地下水保护管理工作的通知》</w:t>
      </w:r>
      <w:bookmarkEnd w:id="347"/>
      <w:r>
        <w:rPr>
          <w:rFonts w:hint="default" w:ascii="Times New Roman" w:hAnsi="Times New Roman" w:eastAsia="宋体" w:cs="Times New Roman"/>
          <w:color w:val="auto"/>
          <w:sz w:val="24"/>
          <w:szCs w:val="24"/>
          <w:highlight w:val="none"/>
        </w:rPr>
        <w:t>，苏政规〔2023〕3号；</w:t>
      </w:r>
      <w:bookmarkStart w:id="348" w:name="pindex421"/>
      <w:bookmarkEnd w:id="348"/>
    </w:p>
    <w:p w14:paraId="21BCE56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(29)</w:t>
      </w:r>
      <w:bookmarkStart w:id="349" w:name="OLE_LINK1069"/>
      <w:r>
        <w:rPr>
          <w:rFonts w:hint="default" w:ascii="Times New Roman" w:hAnsi="Times New Roman" w:eastAsia="宋体" w:cs="Times New Roman"/>
          <w:color w:val="auto"/>
          <w:sz w:val="24"/>
          <w:szCs w:val="24"/>
          <w:highlight w:val="none"/>
        </w:rPr>
        <w:t>《关于印发</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江苏省“十四五”噪声污染防治行动计划实施方案</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的通知》</w:t>
      </w:r>
      <w:bookmarkEnd w:id="349"/>
      <w:r>
        <w:rPr>
          <w:rFonts w:hint="default" w:ascii="Times New Roman" w:hAnsi="Times New Roman" w:eastAsia="宋体" w:cs="Times New Roman"/>
          <w:color w:val="auto"/>
          <w:sz w:val="24"/>
          <w:szCs w:val="24"/>
          <w:highlight w:val="none"/>
        </w:rPr>
        <w:t>，苏环办〔2023〕197号；</w:t>
      </w:r>
      <w:bookmarkStart w:id="350" w:name="pindex422"/>
      <w:bookmarkEnd w:id="350"/>
    </w:p>
    <w:p w14:paraId="4FC0D8E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(30)</w:t>
      </w:r>
      <w:bookmarkStart w:id="351" w:name="OLE_LINK1072"/>
      <w:r>
        <w:rPr>
          <w:rFonts w:hint="default" w:ascii="Times New Roman" w:hAnsi="Times New Roman" w:eastAsia="宋体" w:cs="Times New Roman"/>
          <w:color w:val="auto"/>
          <w:sz w:val="24"/>
          <w:szCs w:val="24"/>
          <w:highlight w:val="none"/>
        </w:rPr>
        <w:t>《关于印发</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江苏省重点行业工业企业雨水排放环境管理办法（试行）</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的通知》</w:t>
      </w:r>
      <w:bookmarkEnd w:id="351"/>
      <w:r>
        <w:rPr>
          <w:rFonts w:hint="default" w:ascii="Times New Roman" w:hAnsi="Times New Roman" w:eastAsia="宋体" w:cs="Times New Roman"/>
          <w:color w:val="auto"/>
          <w:sz w:val="24"/>
          <w:szCs w:val="24"/>
          <w:highlight w:val="none"/>
        </w:rPr>
        <w:t>，苏污防攻坚指办〔2023〕71号；</w:t>
      </w:r>
      <w:bookmarkStart w:id="352" w:name="pindex423"/>
      <w:bookmarkEnd w:id="352"/>
    </w:p>
    <w:p w14:paraId="71019CC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(31)</w:t>
      </w:r>
      <w:bookmarkStart w:id="353" w:name="OLE_LINK1074"/>
      <w:r>
        <w:rPr>
          <w:rFonts w:hint="default" w:ascii="Times New Roman" w:hAnsi="Times New Roman" w:eastAsia="宋体" w:cs="Times New Roman"/>
          <w:color w:val="auto"/>
          <w:sz w:val="24"/>
          <w:szCs w:val="24"/>
          <w:highlight w:val="none"/>
        </w:rPr>
        <w:t>《关于印发江苏省突发环境事件应急预案管理办法的通知》</w:t>
      </w:r>
      <w:bookmarkEnd w:id="353"/>
      <w:r>
        <w:rPr>
          <w:rFonts w:hint="default" w:ascii="Times New Roman" w:hAnsi="Times New Roman" w:eastAsia="宋体" w:cs="Times New Roman"/>
          <w:color w:val="auto"/>
          <w:sz w:val="24"/>
          <w:szCs w:val="24"/>
          <w:highlight w:val="none"/>
        </w:rPr>
        <w:t>，苏环发〔2023〕7号</w:t>
      </w:r>
      <w:r>
        <w:rPr>
          <w:rFonts w:hint="eastAsia" w:ascii="Times New Roman" w:hAnsi="Times New Roman" w:eastAsia="宋体" w:cs="Times New Roman"/>
          <w:color w:val="auto"/>
          <w:sz w:val="24"/>
          <w:szCs w:val="24"/>
          <w:highlight w:val="none"/>
          <w:lang w:eastAsia="zh-CN"/>
        </w:rPr>
        <w:t>；</w:t>
      </w:r>
      <w:bookmarkStart w:id="354" w:name="pindex424"/>
      <w:bookmarkEnd w:id="354"/>
    </w:p>
    <w:p w14:paraId="55551D2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(3</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关于印发</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江苏省“两高”项目管理目录（2024年版）</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的通知》，</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苏发改规发〔2024〕4号）；</w:t>
      </w:r>
      <w:bookmarkStart w:id="355" w:name="pindex425"/>
      <w:bookmarkEnd w:id="355"/>
    </w:p>
    <w:p w14:paraId="1B2E53E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(3</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关于印发</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江苏省新污染物治理工作方案</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的通知</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苏政办发〔2022〕81号）；</w:t>
      </w:r>
      <w:bookmarkStart w:id="356" w:name="pindex426"/>
      <w:bookmarkEnd w:id="356"/>
    </w:p>
    <w:p w14:paraId="3920DE8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(3</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《关于开展全市（除太湖流域）重点行业涉磷企业排查整治工作的通知》（南京市生态环境局〔2023〕172号）</w:t>
      </w:r>
      <w:r>
        <w:rPr>
          <w:rFonts w:hint="eastAsia" w:ascii="Times New Roman" w:hAnsi="Times New Roman" w:eastAsia="宋体" w:cs="Times New Roman"/>
          <w:color w:val="auto"/>
          <w:sz w:val="24"/>
          <w:szCs w:val="24"/>
          <w:highlight w:val="none"/>
          <w:lang w:val="en-US" w:eastAsia="zh-CN"/>
        </w:rPr>
        <w:t>；</w:t>
      </w:r>
      <w:bookmarkStart w:id="357" w:name="pindex427"/>
      <w:bookmarkEnd w:id="357"/>
    </w:p>
    <w:p w14:paraId="2CDE172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(3</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省生态环境厅关于加强重点管控新污染物及优先控制化学品环境管理工作的通知</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苏环办〔2023〕314号）；</w:t>
      </w:r>
      <w:bookmarkStart w:id="358" w:name="pindex428"/>
      <w:bookmarkEnd w:id="358"/>
    </w:p>
    <w:p w14:paraId="1A0B607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(3</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省生态环境厅印发关于进一步加强重金属污染防控工作的实施方案的通知</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苏环办〔2022〕155号）。</w:t>
      </w:r>
      <w:bookmarkStart w:id="359" w:name="pindex429"/>
      <w:bookmarkEnd w:id="359"/>
    </w:p>
    <w:p w14:paraId="741418F5">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ascii="Times New Roman" w:hAnsi="Times New Roman" w:eastAsia="Times New Roman" w:cs="Times New Roman"/>
          <w:b/>
          <w:bCs/>
          <w:color w:val="auto"/>
          <w:spacing w:val="-3"/>
          <w:sz w:val="24"/>
          <w:szCs w:val="24"/>
          <w:highlight w:val="none"/>
        </w:rPr>
      </w:pPr>
      <w:bookmarkStart w:id="360" w:name="bookmark17"/>
      <w:bookmarkEnd w:id="360"/>
      <w:bookmarkStart w:id="361" w:name="_Toc13994"/>
      <w:r>
        <w:rPr>
          <w:rFonts w:ascii="Times New Roman" w:hAnsi="Times New Roman" w:eastAsia="Times New Roman" w:cs="Times New Roman"/>
          <w:b/>
          <w:bCs/>
          <w:color w:val="auto"/>
          <w:spacing w:val="-3"/>
          <w:sz w:val="24"/>
          <w:szCs w:val="24"/>
          <w:highlight w:val="none"/>
        </w:rPr>
        <w:t>2.3南京法规、政府规章及政策文件</w:t>
      </w:r>
      <w:bookmarkEnd w:id="361"/>
      <w:bookmarkStart w:id="362" w:name="pindex430"/>
      <w:bookmarkEnd w:id="362"/>
    </w:p>
    <w:p w14:paraId="34419CB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bookmarkStart w:id="363" w:name="OLE_LINK1075"/>
      <w:r>
        <w:rPr>
          <w:rFonts w:hint="default" w:ascii="Times New Roman" w:hAnsi="Times New Roman" w:eastAsia="宋体" w:cs="Times New Roman"/>
          <w:color w:val="auto"/>
          <w:sz w:val="24"/>
          <w:szCs w:val="24"/>
          <w:highlight w:val="none"/>
        </w:rPr>
        <w:t>《南京市大气污染防治条例》</w:t>
      </w:r>
      <w:bookmarkEnd w:id="363"/>
      <w:r>
        <w:rPr>
          <w:rFonts w:hint="default" w:ascii="Times New Roman" w:hAnsi="Times New Roman" w:eastAsia="宋体" w:cs="Times New Roman"/>
          <w:color w:val="auto"/>
          <w:sz w:val="24"/>
          <w:szCs w:val="24"/>
          <w:highlight w:val="none"/>
        </w:rPr>
        <w:t>，2019年5月1日施行；</w:t>
      </w:r>
      <w:bookmarkStart w:id="364" w:name="pindex431"/>
      <w:bookmarkEnd w:id="364"/>
    </w:p>
    <w:p w14:paraId="7A7A149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bookmarkStart w:id="365" w:name="OLE_LINK1076"/>
      <w:r>
        <w:rPr>
          <w:rFonts w:hint="default" w:ascii="Times New Roman" w:hAnsi="Times New Roman" w:eastAsia="宋体" w:cs="Times New Roman"/>
          <w:color w:val="auto"/>
          <w:sz w:val="24"/>
          <w:szCs w:val="24"/>
          <w:highlight w:val="none"/>
        </w:rPr>
        <w:t>《南京市水环境保护条例》</w:t>
      </w:r>
      <w:bookmarkEnd w:id="365"/>
      <w:r>
        <w:rPr>
          <w:rFonts w:hint="default" w:ascii="Times New Roman" w:hAnsi="Times New Roman" w:eastAsia="宋体" w:cs="Times New Roman"/>
          <w:color w:val="auto"/>
          <w:sz w:val="24"/>
          <w:szCs w:val="24"/>
          <w:highlight w:val="none"/>
        </w:rPr>
        <w:t>（2017年修正）；</w:t>
      </w:r>
      <w:bookmarkStart w:id="366" w:name="pindex432"/>
      <w:bookmarkEnd w:id="366"/>
    </w:p>
    <w:p w14:paraId="7F2BF033">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w:t>
      </w:r>
      <w:bookmarkStart w:id="367" w:name="OLE_LINK1077"/>
      <w:r>
        <w:rPr>
          <w:rFonts w:hint="default" w:ascii="Times New Roman" w:hAnsi="Times New Roman" w:eastAsia="宋体" w:cs="Times New Roman"/>
          <w:color w:val="auto"/>
          <w:sz w:val="24"/>
          <w:szCs w:val="24"/>
          <w:highlight w:val="none"/>
        </w:rPr>
        <w:t>《南京市环境噪声污染防治条例》</w:t>
      </w:r>
      <w:bookmarkEnd w:id="367"/>
      <w:r>
        <w:rPr>
          <w:rFonts w:hint="default" w:ascii="Times New Roman" w:hAnsi="Times New Roman" w:eastAsia="宋体" w:cs="Times New Roman"/>
          <w:color w:val="auto"/>
          <w:sz w:val="24"/>
          <w:szCs w:val="24"/>
          <w:highlight w:val="none"/>
        </w:rPr>
        <w:t>（2017年修正），2017年</w:t>
      </w: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1日施行；</w:t>
      </w:r>
      <w:bookmarkStart w:id="368" w:name="pindex433"/>
      <w:bookmarkEnd w:id="368"/>
    </w:p>
    <w:p w14:paraId="68ED475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w:t>
      </w:r>
      <w:bookmarkStart w:id="369" w:name="OLE_LINK1078"/>
      <w:r>
        <w:rPr>
          <w:rFonts w:hint="default" w:ascii="Times New Roman" w:hAnsi="Times New Roman" w:eastAsia="宋体" w:cs="Times New Roman"/>
          <w:color w:val="auto"/>
          <w:sz w:val="24"/>
          <w:szCs w:val="24"/>
          <w:highlight w:val="none"/>
        </w:rPr>
        <w:t>《南京市固体废物污染环境防治条例》</w:t>
      </w:r>
      <w:bookmarkEnd w:id="369"/>
      <w:r>
        <w:rPr>
          <w:rFonts w:hint="default" w:ascii="Times New Roman" w:hAnsi="Times New Roman" w:eastAsia="宋体" w:cs="Times New Roman"/>
          <w:color w:val="auto"/>
          <w:sz w:val="24"/>
          <w:szCs w:val="24"/>
          <w:highlight w:val="none"/>
        </w:rPr>
        <w:t>，2023年10月1日起施行；</w:t>
      </w:r>
      <w:bookmarkStart w:id="370" w:name="pindex434"/>
      <w:bookmarkEnd w:id="370"/>
    </w:p>
    <w:p w14:paraId="5D9EE66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w:t>
      </w:r>
      <w:bookmarkStart w:id="371" w:name="OLE_LINK1079"/>
      <w:r>
        <w:rPr>
          <w:rFonts w:hint="default" w:ascii="Times New Roman" w:hAnsi="Times New Roman" w:eastAsia="宋体" w:cs="Times New Roman"/>
          <w:color w:val="auto"/>
          <w:sz w:val="24"/>
          <w:szCs w:val="24"/>
          <w:highlight w:val="none"/>
        </w:rPr>
        <w:t>南京市地下水资源保护管理办法</w:t>
      </w:r>
      <w:bookmarkEnd w:id="371"/>
      <w:r>
        <w:rPr>
          <w:rFonts w:hint="default" w:ascii="Times New Roman" w:hAnsi="Times New Roman" w:eastAsia="宋体" w:cs="Times New Roman"/>
          <w:color w:val="auto"/>
          <w:sz w:val="24"/>
          <w:szCs w:val="24"/>
          <w:highlight w:val="none"/>
        </w:rPr>
        <w:t>》，2017年10月30日修订；</w:t>
      </w:r>
      <w:bookmarkStart w:id="372" w:name="pindex435"/>
      <w:bookmarkEnd w:id="372"/>
    </w:p>
    <w:p w14:paraId="4DCDA65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w:t>
      </w:r>
      <w:bookmarkStart w:id="373" w:name="OLE_LINK1080"/>
      <w:r>
        <w:rPr>
          <w:rFonts w:hint="default" w:ascii="Times New Roman" w:hAnsi="Times New Roman" w:eastAsia="宋体" w:cs="Times New Roman"/>
          <w:color w:val="auto"/>
          <w:sz w:val="24"/>
          <w:szCs w:val="24"/>
          <w:highlight w:val="none"/>
        </w:rPr>
        <w:t>《南京市长江岸线保护办法》</w:t>
      </w:r>
      <w:bookmarkEnd w:id="373"/>
      <w:r>
        <w:rPr>
          <w:rFonts w:hint="default" w:ascii="Times New Roman" w:hAnsi="Times New Roman" w:eastAsia="宋体" w:cs="Times New Roman"/>
          <w:color w:val="auto"/>
          <w:sz w:val="24"/>
          <w:szCs w:val="24"/>
          <w:highlight w:val="none"/>
        </w:rPr>
        <w:t>，2018年4月10日起施行；</w:t>
      </w:r>
      <w:bookmarkStart w:id="374" w:name="pindex436"/>
      <w:bookmarkEnd w:id="374"/>
    </w:p>
    <w:p w14:paraId="3FF9AE45">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w:t>
      </w:r>
      <w:bookmarkStart w:id="375" w:name="OLE_LINK1081"/>
      <w:r>
        <w:rPr>
          <w:rFonts w:hint="default" w:ascii="Times New Roman" w:hAnsi="Times New Roman" w:eastAsia="宋体" w:cs="Times New Roman"/>
          <w:color w:val="auto"/>
          <w:sz w:val="24"/>
          <w:szCs w:val="24"/>
          <w:highlight w:val="none"/>
        </w:rPr>
        <w:t>《市政府办公厅关于印发南京市打好固废治理攻坚战实施方案的通知》</w:t>
      </w:r>
      <w:bookmarkEnd w:id="375"/>
      <w:r>
        <w:rPr>
          <w:rFonts w:hint="default" w:ascii="Times New Roman" w:hAnsi="Times New Roman" w:eastAsia="宋体" w:cs="Times New Roman"/>
          <w:color w:val="auto"/>
          <w:sz w:val="24"/>
          <w:szCs w:val="24"/>
          <w:highlight w:val="none"/>
        </w:rPr>
        <w:t>，宁政办发〔2019〕14号；</w:t>
      </w:r>
      <w:bookmarkStart w:id="376" w:name="pindex437"/>
      <w:bookmarkEnd w:id="376"/>
    </w:p>
    <w:p w14:paraId="29162A2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(8)</w:t>
      </w:r>
      <w:bookmarkStart w:id="377" w:name="OLE_LINK1082"/>
      <w:r>
        <w:rPr>
          <w:rFonts w:hint="default" w:ascii="Times New Roman" w:hAnsi="Times New Roman" w:eastAsia="宋体" w:cs="Times New Roman"/>
          <w:color w:val="auto"/>
          <w:sz w:val="24"/>
          <w:szCs w:val="24"/>
          <w:highlight w:val="none"/>
        </w:rPr>
        <w:t>《关于大力治理大气、水、土壤污染加快改善环境质量的决定》</w:t>
      </w:r>
      <w:bookmarkEnd w:id="377"/>
      <w:r>
        <w:rPr>
          <w:rFonts w:hint="default" w:ascii="Times New Roman" w:hAnsi="Times New Roman" w:eastAsia="宋体" w:cs="Times New Roman"/>
          <w:color w:val="auto"/>
          <w:sz w:val="24"/>
          <w:szCs w:val="24"/>
          <w:highlight w:val="none"/>
        </w:rPr>
        <w:t>，2017年2月17日南京市第十五届人民代表大会常务委员会第三十二次会议通过；</w:t>
      </w:r>
      <w:bookmarkStart w:id="378" w:name="pindex438"/>
      <w:bookmarkEnd w:id="378"/>
    </w:p>
    <w:p w14:paraId="38B3974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w:t>
      </w:r>
      <w:bookmarkStart w:id="379" w:name="OLE_LINK1083"/>
      <w:r>
        <w:rPr>
          <w:rFonts w:hint="default" w:ascii="Times New Roman" w:hAnsi="Times New Roman" w:eastAsia="宋体" w:cs="Times New Roman"/>
          <w:color w:val="auto"/>
          <w:sz w:val="24"/>
          <w:szCs w:val="24"/>
          <w:highlight w:val="none"/>
        </w:rPr>
        <w:t>《南京市重点行业挥发性有机物排放量核算技术办法（试行）》</w:t>
      </w:r>
      <w:bookmarkEnd w:id="379"/>
      <w:r>
        <w:rPr>
          <w:rFonts w:hint="default" w:ascii="Times New Roman" w:hAnsi="Times New Roman" w:eastAsia="宋体" w:cs="Times New Roman"/>
          <w:color w:val="auto"/>
          <w:sz w:val="24"/>
          <w:szCs w:val="24"/>
          <w:highlight w:val="none"/>
        </w:rPr>
        <w:t>，宁环办〔2017〕128号；</w:t>
      </w:r>
      <w:bookmarkStart w:id="380" w:name="pindex439"/>
      <w:bookmarkEnd w:id="380"/>
    </w:p>
    <w:p w14:paraId="603D3B6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eastAsia"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w:t>
      </w:r>
      <w:bookmarkStart w:id="381" w:name="OLE_LINK1084"/>
      <w:r>
        <w:rPr>
          <w:rFonts w:hint="default" w:ascii="Times New Roman" w:hAnsi="Times New Roman" w:eastAsia="宋体" w:cs="Times New Roman"/>
          <w:color w:val="auto"/>
          <w:sz w:val="24"/>
          <w:szCs w:val="24"/>
          <w:highlight w:val="none"/>
        </w:rPr>
        <w:t>《关于全面加强产业园区规划环境影响评价工作的通知》</w:t>
      </w:r>
      <w:bookmarkEnd w:id="381"/>
      <w:r>
        <w:rPr>
          <w:rFonts w:hint="default" w:ascii="Times New Roman" w:hAnsi="Times New Roman" w:eastAsia="宋体" w:cs="Times New Roman"/>
          <w:color w:val="auto"/>
          <w:sz w:val="24"/>
          <w:szCs w:val="24"/>
          <w:highlight w:val="none"/>
        </w:rPr>
        <w:t>，</w:t>
      </w:r>
      <w:bookmarkStart w:id="382" w:name="OLE_LINK1085"/>
      <w:r>
        <w:rPr>
          <w:rFonts w:hint="default" w:ascii="Times New Roman" w:hAnsi="Times New Roman" w:eastAsia="宋体" w:cs="Times New Roman"/>
          <w:color w:val="auto"/>
          <w:sz w:val="24"/>
          <w:szCs w:val="24"/>
          <w:highlight w:val="none"/>
        </w:rPr>
        <w:t>宁环委办〔2017〕25号</w:t>
      </w:r>
      <w:bookmarkEnd w:id="382"/>
      <w:r>
        <w:rPr>
          <w:rFonts w:hint="default" w:ascii="Times New Roman" w:hAnsi="Times New Roman" w:eastAsia="宋体" w:cs="Times New Roman"/>
          <w:color w:val="auto"/>
          <w:sz w:val="24"/>
          <w:szCs w:val="24"/>
          <w:highlight w:val="none"/>
        </w:rPr>
        <w:t>；</w:t>
      </w:r>
      <w:bookmarkStart w:id="383" w:name="pindex440"/>
      <w:bookmarkEnd w:id="383"/>
    </w:p>
    <w:p w14:paraId="421A6FBE">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bookmarkStart w:id="384" w:name="OLE_LINK1086"/>
      <w:r>
        <w:rPr>
          <w:rFonts w:hint="default" w:ascii="Times New Roman" w:hAnsi="Times New Roman" w:eastAsia="宋体" w:cs="Times New Roman"/>
          <w:color w:val="auto"/>
          <w:sz w:val="24"/>
          <w:szCs w:val="24"/>
          <w:highlight w:val="none"/>
        </w:rPr>
        <w:t>《关于印发南京市重点行业挥发性有机物清洁原料替代工作方案的通知》</w:t>
      </w:r>
      <w:bookmarkEnd w:id="384"/>
      <w:r>
        <w:rPr>
          <w:rFonts w:hint="default" w:ascii="Times New Roman" w:hAnsi="Times New Roman" w:eastAsia="宋体" w:cs="Times New Roman"/>
          <w:color w:val="auto"/>
          <w:sz w:val="24"/>
          <w:szCs w:val="24"/>
          <w:highlight w:val="none"/>
        </w:rPr>
        <w:t>，</w:t>
      </w:r>
      <w:bookmarkStart w:id="385" w:name="OLE_LINK1087"/>
      <w:r>
        <w:rPr>
          <w:rFonts w:hint="default" w:ascii="Times New Roman" w:hAnsi="Times New Roman" w:eastAsia="宋体" w:cs="Times New Roman"/>
          <w:color w:val="auto"/>
          <w:sz w:val="24"/>
          <w:szCs w:val="24"/>
          <w:highlight w:val="none"/>
        </w:rPr>
        <w:t>宁污防攻坚指办〔2021〕68号</w:t>
      </w:r>
      <w:bookmarkEnd w:id="385"/>
      <w:r>
        <w:rPr>
          <w:rFonts w:hint="default" w:ascii="Times New Roman" w:hAnsi="Times New Roman" w:eastAsia="宋体" w:cs="Times New Roman"/>
          <w:color w:val="auto"/>
          <w:sz w:val="24"/>
          <w:szCs w:val="24"/>
          <w:highlight w:val="none"/>
        </w:rPr>
        <w:t>；</w:t>
      </w:r>
      <w:bookmarkStart w:id="386" w:name="pindex441"/>
      <w:bookmarkEnd w:id="386"/>
    </w:p>
    <w:p w14:paraId="4B7326B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387" w:name="OLE_LINK16"/>
      <w:r>
        <w:rPr>
          <w:rFonts w:hint="default" w:ascii="Times New Roman" w:hAnsi="Times New Roman" w:eastAsia="宋体" w:cs="Times New Roman"/>
          <w:color w:val="auto"/>
          <w:sz w:val="24"/>
          <w:szCs w:val="24"/>
          <w:highlight w:val="none"/>
        </w:rPr>
        <w:t>(1</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bookmarkEnd w:id="387"/>
      <w:bookmarkStart w:id="388" w:name="OLE_LINK22"/>
      <w:r>
        <w:rPr>
          <w:rFonts w:hint="default" w:ascii="Times New Roman" w:hAnsi="Times New Roman" w:eastAsia="宋体" w:cs="Times New Roman"/>
          <w:color w:val="auto"/>
          <w:sz w:val="24"/>
          <w:szCs w:val="24"/>
          <w:highlight w:val="none"/>
        </w:rPr>
        <w:t>《关于印发南京市地下水污染防治分区的函》</w:t>
      </w:r>
      <w:bookmarkEnd w:id="388"/>
      <w:r>
        <w:rPr>
          <w:rFonts w:hint="default" w:ascii="Times New Roman" w:hAnsi="Times New Roman" w:eastAsia="宋体" w:cs="Times New Roman"/>
          <w:color w:val="auto"/>
          <w:sz w:val="24"/>
          <w:szCs w:val="24"/>
          <w:highlight w:val="none"/>
        </w:rPr>
        <w:t>，宁环函〔2022〕20号；</w:t>
      </w:r>
      <w:bookmarkStart w:id="389" w:name="pindex442"/>
      <w:bookmarkEnd w:id="389"/>
    </w:p>
    <w:p w14:paraId="5F43C84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390" w:name="OLE_LINK15"/>
      <w:r>
        <w:rPr>
          <w:rFonts w:hint="default" w:ascii="Times New Roman" w:hAnsi="Times New Roman" w:eastAsia="宋体" w:cs="Times New Roman"/>
          <w:color w:val="auto"/>
          <w:sz w:val="24"/>
          <w:szCs w:val="24"/>
          <w:highlight w:val="none"/>
        </w:rPr>
        <w:t>(1</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bookmarkEnd w:id="390"/>
      <w:bookmarkStart w:id="391" w:name="OLE_LINK1088"/>
      <w:r>
        <w:rPr>
          <w:rFonts w:hint="default" w:ascii="Times New Roman" w:hAnsi="Times New Roman" w:eastAsia="宋体" w:cs="Times New Roman"/>
          <w:color w:val="auto"/>
          <w:sz w:val="24"/>
          <w:szCs w:val="24"/>
          <w:highlight w:val="none"/>
        </w:rPr>
        <w:t>《南京市污染源自动监测管理办法》</w:t>
      </w:r>
      <w:bookmarkEnd w:id="391"/>
      <w:r>
        <w:rPr>
          <w:rFonts w:hint="default" w:ascii="Times New Roman" w:hAnsi="Times New Roman" w:eastAsia="宋体" w:cs="Times New Roman"/>
          <w:color w:val="auto"/>
          <w:sz w:val="24"/>
          <w:szCs w:val="24"/>
          <w:highlight w:val="none"/>
        </w:rPr>
        <w:t>，2023年5月20日起施行</w:t>
      </w:r>
      <w:r>
        <w:rPr>
          <w:rFonts w:hint="eastAsia" w:ascii="Times New Roman" w:hAnsi="Times New Roman" w:eastAsia="宋体" w:cs="Times New Roman"/>
          <w:color w:val="auto"/>
          <w:sz w:val="24"/>
          <w:szCs w:val="24"/>
          <w:highlight w:val="none"/>
          <w:lang w:eastAsia="zh-CN"/>
        </w:rPr>
        <w:t>；</w:t>
      </w:r>
      <w:bookmarkStart w:id="392" w:name="pindex443"/>
      <w:bookmarkEnd w:id="392"/>
    </w:p>
    <w:p w14:paraId="51EAE1B4">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80" w:firstLineChars="200"/>
        <w:textAlignment w:val="baseline"/>
        <w:outlineLvl w:val="9"/>
        <w:rPr>
          <w:rFonts w:hint="eastAsia" w:eastAsia="宋体"/>
          <w:color w:val="auto"/>
          <w:sz w:val="24"/>
          <w:szCs w:val="24"/>
          <w:highlight w:val="none"/>
          <w:lang w:val="en-US" w:eastAsia="zh-CN"/>
        </w:rPr>
      </w:pPr>
      <w:bookmarkStart w:id="393" w:name="bookmark19"/>
      <w:bookmarkEnd w:id="393"/>
      <w:bookmarkStart w:id="394" w:name="OLE_LINK18"/>
      <w:bookmarkStart w:id="395" w:name="OLE_LINK25"/>
      <w:r>
        <w:rPr>
          <w:rFonts w:hint="default" w:ascii="Times New Roman" w:hAnsi="Times New Roman" w:eastAsia="宋体" w:cs="Times New Roman"/>
          <w:color w:val="auto"/>
          <w:sz w:val="24"/>
          <w:szCs w:val="24"/>
          <w:highlight w:val="none"/>
        </w:rPr>
        <w:t>(1</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bookmarkStart w:id="396" w:name="OLE_LINK21"/>
      <w:r>
        <w:rPr>
          <w:rFonts w:hint="default" w:eastAsia="宋体"/>
          <w:color w:val="auto"/>
          <w:sz w:val="24"/>
          <w:szCs w:val="24"/>
          <w:highlight w:val="none"/>
          <w:lang w:val="en-US" w:eastAsia="zh-CN"/>
        </w:rPr>
        <w:t>《自然资源部办公厅关于北京等省</w:t>
      </w:r>
      <w:r>
        <w:rPr>
          <w:rFonts w:hint="eastAsia" w:eastAsia="宋体"/>
          <w:color w:val="auto"/>
          <w:sz w:val="24"/>
          <w:szCs w:val="24"/>
          <w:highlight w:val="none"/>
          <w:lang w:val="en-US" w:eastAsia="zh-CN"/>
        </w:rPr>
        <w:t>（</w:t>
      </w:r>
      <w:r>
        <w:rPr>
          <w:rFonts w:hint="default" w:eastAsia="宋体"/>
          <w:color w:val="auto"/>
          <w:sz w:val="24"/>
          <w:szCs w:val="24"/>
          <w:highlight w:val="none"/>
          <w:lang w:val="en-US" w:eastAsia="zh-CN"/>
        </w:rPr>
        <w:t>区、市</w:t>
      </w:r>
      <w:r>
        <w:rPr>
          <w:rFonts w:hint="eastAsia" w:eastAsia="宋体"/>
          <w:color w:val="auto"/>
          <w:sz w:val="24"/>
          <w:szCs w:val="24"/>
          <w:highlight w:val="none"/>
          <w:lang w:val="en-US" w:eastAsia="zh-CN"/>
        </w:rPr>
        <w:t>）</w:t>
      </w:r>
      <w:r>
        <w:rPr>
          <w:rFonts w:hint="default" w:eastAsia="宋体"/>
          <w:color w:val="auto"/>
          <w:sz w:val="24"/>
          <w:szCs w:val="24"/>
          <w:highlight w:val="none"/>
          <w:lang w:val="en-US" w:eastAsia="zh-CN"/>
        </w:rPr>
        <w:t>启用“三区三线”划定成果作为报批建设项目用地用海依据的函》</w:t>
      </w:r>
      <w:r>
        <w:rPr>
          <w:rFonts w:hint="eastAsia" w:eastAsia="宋体"/>
          <w:color w:val="auto"/>
          <w:sz w:val="24"/>
          <w:szCs w:val="24"/>
          <w:highlight w:val="none"/>
          <w:lang w:val="en-US" w:eastAsia="zh-CN"/>
        </w:rPr>
        <w:t>，</w:t>
      </w:r>
      <w:r>
        <w:rPr>
          <w:rFonts w:hint="default" w:eastAsia="宋体"/>
          <w:color w:val="auto"/>
          <w:sz w:val="24"/>
          <w:szCs w:val="24"/>
          <w:highlight w:val="none"/>
          <w:lang w:val="en-US" w:eastAsia="zh-CN"/>
        </w:rPr>
        <w:t>自然资办函</w:t>
      </w:r>
      <w:bookmarkStart w:id="397" w:name="OLE_LINK26"/>
      <w:r>
        <w:rPr>
          <w:rFonts w:hint="default" w:ascii="Times New Roman" w:hAnsi="Times New Roman" w:eastAsia="宋体" w:cs="Times New Roman"/>
          <w:color w:val="auto"/>
          <w:sz w:val="24"/>
          <w:szCs w:val="24"/>
          <w:highlight w:val="none"/>
        </w:rPr>
        <w:t>〔202</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bookmarkEnd w:id="397"/>
      <w:bookmarkStart w:id="398" w:name="OLE_LINK23"/>
      <w:r>
        <w:rPr>
          <w:rFonts w:hint="default" w:ascii="Times New Roman" w:hAnsi="Times New Roman" w:eastAsia="宋体" w:cs="Times New Roman"/>
          <w:color w:val="auto"/>
          <w:sz w:val="24"/>
          <w:szCs w:val="24"/>
          <w:highlight w:val="none"/>
          <w:lang w:val="en-US" w:eastAsia="zh-CN"/>
        </w:rPr>
        <w:t>2207</w:t>
      </w:r>
      <w:bookmarkEnd w:id="398"/>
      <w:r>
        <w:rPr>
          <w:rFonts w:hint="default" w:eastAsia="宋体"/>
          <w:color w:val="auto"/>
          <w:sz w:val="24"/>
          <w:szCs w:val="24"/>
          <w:highlight w:val="none"/>
          <w:lang w:val="en-US" w:eastAsia="zh-CN"/>
        </w:rPr>
        <w:t>号</w:t>
      </w:r>
      <w:r>
        <w:rPr>
          <w:rFonts w:hint="eastAsia" w:eastAsia="宋体"/>
          <w:color w:val="auto"/>
          <w:sz w:val="24"/>
          <w:szCs w:val="24"/>
          <w:highlight w:val="none"/>
          <w:lang w:val="en-US" w:eastAsia="zh-CN"/>
        </w:rPr>
        <w:t>；</w:t>
      </w:r>
      <w:bookmarkStart w:id="399" w:name="pindex444"/>
      <w:bookmarkEnd w:id="399"/>
    </w:p>
    <w:bookmarkEnd w:id="394"/>
    <w:p w14:paraId="160CA7C1">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80" w:firstLineChars="200"/>
        <w:textAlignment w:val="baseline"/>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(1</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r>
        <w:rPr>
          <w:rFonts w:hint="default" w:eastAsia="宋体"/>
          <w:color w:val="auto"/>
          <w:sz w:val="24"/>
          <w:szCs w:val="24"/>
          <w:highlight w:val="none"/>
          <w:lang w:val="en-US" w:eastAsia="zh-CN"/>
        </w:rPr>
        <w:t>《南京市江宁区</w:t>
      </w:r>
      <w:bookmarkStart w:id="400" w:name="OLE_LINK24"/>
      <w:r>
        <w:rPr>
          <w:rFonts w:hint="default" w:ascii="Times New Roman" w:hAnsi="Times New Roman" w:eastAsia="宋体" w:cs="Times New Roman"/>
          <w:color w:val="auto"/>
          <w:sz w:val="24"/>
          <w:szCs w:val="24"/>
          <w:highlight w:val="none"/>
          <w:lang w:val="en-US" w:eastAsia="zh-CN"/>
        </w:rPr>
        <w:t>2023年度生态空间管控区调整方案》；</w:t>
      </w:r>
      <w:bookmarkStart w:id="401" w:name="pindex445"/>
      <w:bookmarkEnd w:id="401"/>
    </w:p>
    <w:p w14:paraId="18A16AFF">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80" w:firstLineChars="200"/>
        <w:textAlignment w:val="baseline"/>
        <w:outlineLvl w:val="9"/>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highlight w:val="none"/>
        </w:rPr>
        <w:t>(1</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《江苏省自然资源厅关于南京市江宁区2023年</w:t>
      </w:r>
      <w:r>
        <w:rPr>
          <w:rFonts w:hint="default" w:ascii="Times New Roman" w:hAnsi="Times New Roman" w:eastAsia="宋体" w:cs="Times New Roman"/>
          <w:color w:val="auto"/>
          <w:sz w:val="24"/>
          <w:szCs w:val="24"/>
          <w:lang w:val="en-US" w:eastAsia="zh-CN"/>
        </w:rPr>
        <w:t>度生态空间管控区调整方案的复函》</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苏自然资函</w:t>
      </w:r>
      <w:r>
        <w:rPr>
          <w:rFonts w:hint="default" w:ascii="Times New Roman" w:hAnsi="Times New Roman" w:eastAsia="宋体" w:cs="Times New Roman"/>
          <w:color w:val="auto"/>
          <w:sz w:val="24"/>
          <w:szCs w:val="24"/>
          <w:highlight w:val="none"/>
        </w:rPr>
        <w:t>〔202</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lang w:val="en-US" w:eastAsia="zh-CN"/>
        </w:rPr>
        <w:t>1058号</w:t>
      </w:r>
      <w:bookmarkEnd w:id="400"/>
      <w:r>
        <w:rPr>
          <w:rFonts w:hint="eastAsia" w:ascii="Times New Roman" w:hAnsi="Times New Roman" w:eastAsia="宋体" w:cs="Times New Roman"/>
          <w:color w:val="auto"/>
          <w:sz w:val="24"/>
          <w:szCs w:val="24"/>
          <w:lang w:val="en-US" w:eastAsia="zh-CN"/>
        </w:rPr>
        <w:t>；</w:t>
      </w:r>
      <w:bookmarkStart w:id="402" w:name="pindex446"/>
      <w:bookmarkEnd w:id="402"/>
    </w:p>
    <w:p w14:paraId="5CF0D822">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80" w:firstLineChars="200"/>
        <w:textAlignment w:val="baseline"/>
        <w:outlineLvl w:val="9"/>
        <w:rPr>
          <w:rFonts w:hint="eastAsia" w:ascii="Times New Roman" w:hAnsi="Times New Roman" w:eastAsia="宋体" w:cs="Times New Roman"/>
          <w:b w:val="0"/>
          <w:bCs w:val="0"/>
          <w:color w:val="auto"/>
          <w:sz w:val="24"/>
          <w:szCs w:val="24"/>
          <w:lang w:eastAsia="zh-CN"/>
        </w:rPr>
      </w:pPr>
      <w:r>
        <w:rPr>
          <w:rFonts w:hint="default" w:ascii="Times New Roman" w:hAnsi="Times New Roman" w:cs="Times New Roman"/>
          <w:b w:val="0"/>
          <w:bCs w:val="0"/>
          <w:color w:val="auto"/>
          <w:sz w:val="24"/>
          <w:szCs w:val="24"/>
        </w:rPr>
        <w:t>(</w:t>
      </w:r>
      <w:r>
        <w:rPr>
          <w:rFonts w:hint="eastAsia" w:ascii="Times New Roman" w:hAnsi="Times New Roman" w:eastAsia="宋体" w:cs="Times New Roman"/>
          <w:b w:val="0"/>
          <w:bCs w:val="0"/>
          <w:color w:val="auto"/>
          <w:sz w:val="24"/>
          <w:szCs w:val="24"/>
          <w:lang w:val="en-US" w:eastAsia="zh-CN"/>
        </w:rPr>
        <w:t>17</w:t>
      </w:r>
      <w:r>
        <w:rPr>
          <w:rFonts w:hint="default" w:ascii="Times New Roman" w:hAnsi="Times New Roman" w:cs="Times New Roman"/>
          <w:b w:val="0"/>
          <w:bCs w:val="0"/>
          <w:color w:val="auto"/>
          <w:sz w:val="24"/>
          <w:szCs w:val="24"/>
        </w:rPr>
        <w:t>)</w:t>
      </w:r>
      <w:r>
        <w:rPr>
          <w:rFonts w:hint="eastAsia" w:ascii="Times New Roman" w:hAnsi="Times New Roman" w:eastAsia="宋体" w:cs="Times New Roman"/>
          <w:b w:val="0"/>
          <w:bCs w:val="0"/>
          <w:color w:val="auto"/>
          <w:sz w:val="24"/>
          <w:szCs w:val="24"/>
          <w:lang w:eastAsia="zh-CN"/>
        </w:rPr>
        <w:t>《南京市危险化学品禁止、限制和控制目录（</w:t>
      </w:r>
      <w:r>
        <w:rPr>
          <w:rFonts w:hint="eastAsia" w:ascii="Times New Roman" w:hAnsi="Times New Roman" w:eastAsia="宋体" w:cs="Times New Roman"/>
          <w:b w:val="0"/>
          <w:bCs w:val="0"/>
          <w:color w:val="auto"/>
          <w:sz w:val="24"/>
          <w:szCs w:val="24"/>
          <w:lang w:val="en-US" w:eastAsia="zh-CN"/>
        </w:rPr>
        <w:t>2023版</w:t>
      </w:r>
      <w:r>
        <w:rPr>
          <w:rFonts w:hint="eastAsia" w:ascii="Times New Roman" w:hAnsi="Times New Roman" w:eastAsia="宋体" w:cs="Times New Roman"/>
          <w:b w:val="0"/>
          <w:bCs w:val="0"/>
          <w:color w:val="auto"/>
          <w:sz w:val="24"/>
          <w:szCs w:val="24"/>
          <w:lang w:eastAsia="zh-CN"/>
        </w:rPr>
        <w:t>）》；</w:t>
      </w:r>
      <w:bookmarkStart w:id="403" w:name="pindex447"/>
      <w:bookmarkEnd w:id="403"/>
    </w:p>
    <w:p w14:paraId="1F4A13D4">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80" w:firstLineChars="200"/>
        <w:textAlignment w:val="baseline"/>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cs="Times New Roman"/>
          <w:b w:val="0"/>
          <w:bCs w:val="0"/>
          <w:color w:val="auto"/>
          <w:sz w:val="24"/>
          <w:szCs w:val="24"/>
        </w:rPr>
        <w:t>(</w:t>
      </w:r>
      <w:r>
        <w:rPr>
          <w:rFonts w:hint="eastAsia" w:ascii="Times New Roman" w:hAnsi="Times New Roman" w:eastAsia="宋体" w:cs="Times New Roman"/>
          <w:b w:val="0"/>
          <w:bCs w:val="0"/>
          <w:color w:val="auto"/>
          <w:sz w:val="24"/>
          <w:szCs w:val="24"/>
          <w:lang w:val="en-US" w:eastAsia="zh-CN"/>
        </w:rPr>
        <w:t>18</w:t>
      </w:r>
      <w:r>
        <w:rPr>
          <w:rFonts w:hint="default" w:ascii="Times New Roman" w:hAnsi="Times New Roman" w:cs="Times New Roman"/>
          <w:b w:val="0"/>
          <w:bCs w:val="0"/>
          <w:color w:val="auto"/>
          <w:sz w:val="24"/>
          <w:szCs w:val="24"/>
        </w:rPr>
        <w:t>)</w:t>
      </w:r>
      <w:r>
        <w:rPr>
          <w:rFonts w:hint="eastAsia" w:ascii="Times New Roman" w:hAnsi="Times New Roman" w:eastAsia="宋体" w:cs="Times New Roman"/>
          <w:b w:val="0"/>
          <w:bCs w:val="0"/>
          <w:color w:val="auto"/>
          <w:sz w:val="24"/>
          <w:szCs w:val="24"/>
          <w:lang w:eastAsia="zh-CN"/>
        </w:rPr>
        <w:t>《南京市新污染物治理工作方案》。</w:t>
      </w:r>
      <w:bookmarkStart w:id="404" w:name="pindex448"/>
      <w:bookmarkEnd w:id="404"/>
    </w:p>
    <w:bookmarkEnd w:id="395"/>
    <w:bookmarkEnd w:id="396"/>
    <w:p w14:paraId="47E8B688">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ascii="Times New Roman" w:hAnsi="Times New Roman" w:eastAsia="Times New Roman" w:cs="Times New Roman"/>
          <w:b/>
          <w:bCs/>
          <w:color w:val="auto"/>
          <w:spacing w:val="-3"/>
          <w:sz w:val="24"/>
          <w:szCs w:val="24"/>
        </w:rPr>
      </w:pPr>
      <w:bookmarkStart w:id="405" w:name="_Toc8245"/>
      <w:r>
        <w:rPr>
          <w:rFonts w:ascii="Times New Roman" w:hAnsi="Times New Roman" w:eastAsia="Times New Roman" w:cs="Times New Roman"/>
          <w:b/>
          <w:bCs/>
          <w:color w:val="auto"/>
          <w:spacing w:val="-3"/>
          <w:sz w:val="24"/>
          <w:szCs w:val="24"/>
        </w:rPr>
        <w:t>2.4技术导则与规范</w:t>
      </w:r>
      <w:bookmarkEnd w:id="405"/>
      <w:bookmarkStart w:id="406" w:name="pindex449"/>
      <w:bookmarkEnd w:id="406"/>
    </w:p>
    <w:p w14:paraId="4380C5F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bookmarkStart w:id="407" w:name="OLE_LINK1089"/>
      <w:r>
        <w:rPr>
          <w:rFonts w:hint="default" w:ascii="Times New Roman" w:hAnsi="Times New Roman" w:eastAsia="宋体" w:cs="Times New Roman"/>
          <w:color w:val="auto"/>
          <w:sz w:val="24"/>
          <w:szCs w:val="24"/>
        </w:rPr>
        <w:t>规划环境影响评价技术导则</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总纲》</w:t>
      </w:r>
      <w:bookmarkEnd w:id="407"/>
      <w:r>
        <w:rPr>
          <w:rFonts w:hint="default" w:ascii="Times New Roman" w:hAnsi="Times New Roman" w:eastAsia="宋体" w:cs="Times New Roman"/>
          <w:color w:val="auto"/>
          <w:sz w:val="24"/>
          <w:szCs w:val="24"/>
        </w:rPr>
        <w:t>（HJ130-2019）；</w:t>
      </w:r>
      <w:bookmarkStart w:id="408" w:name="pindex450"/>
      <w:bookmarkEnd w:id="408"/>
    </w:p>
    <w:p w14:paraId="263959E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bookmarkStart w:id="409" w:name="OLE_LINK1091"/>
      <w:r>
        <w:rPr>
          <w:rFonts w:hint="default" w:ascii="Times New Roman" w:hAnsi="Times New Roman" w:eastAsia="宋体" w:cs="Times New Roman"/>
          <w:color w:val="auto"/>
          <w:sz w:val="24"/>
          <w:szCs w:val="24"/>
        </w:rPr>
        <w:t>建设项目环境影响评价技术导则</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总纲</w:t>
      </w:r>
      <w:bookmarkEnd w:id="409"/>
      <w:r>
        <w:rPr>
          <w:rFonts w:hint="default" w:ascii="Times New Roman" w:hAnsi="Times New Roman" w:eastAsia="宋体" w:cs="Times New Roman"/>
          <w:color w:val="auto"/>
          <w:sz w:val="24"/>
          <w:szCs w:val="24"/>
        </w:rPr>
        <w:t>》（HJ2.1-2016）；</w:t>
      </w:r>
      <w:bookmarkStart w:id="410" w:name="pindex451"/>
      <w:bookmarkEnd w:id="410"/>
    </w:p>
    <w:p w14:paraId="27770B9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w:t>
      </w:r>
      <w:bookmarkStart w:id="411" w:name="OLE_LINK1092"/>
      <w:r>
        <w:rPr>
          <w:rFonts w:hint="default" w:ascii="Times New Roman" w:hAnsi="Times New Roman" w:eastAsia="宋体" w:cs="Times New Roman"/>
          <w:color w:val="auto"/>
          <w:sz w:val="24"/>
          <w:szCs w:val="24"/>
        </w:rPr>
        <w:t>环境影响评价技术导则</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大气环境</w:t>
      </w:r>
      <w:bookmarkEnd w:id="411"/>
      <w:r>
        <w:rPr>
          <w:rFonts w:hint="default" w:ascii="Times New Roman" w:hAnsi="Times New Roman" w:eastAsia="宋体" w:cs="Times New Roman"/>
          <w:color w:val="auto"/>
          <w:sz w:val="24"/>
          <w:szCs w:val="24"/>
        </w:rPr>
        <w:t>》（HJ2.2-2018）；</w:t>
      </w:r>
      <w:bookmarkStart w:id="412" w:name="pindex452"/>
      <w:bookmarkEnd w:id="412"/>
    </w:p>
    <w:p w14:paraId="305488D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w:t>
      </w:r>
      <w:bookmarkStart w:id="413" w:name="OLE_LINK1093"/>
      <w:r>
        <w:rPr>
          <w:rFonts w:hint="default" w:ascii="Times New Roman" w:hAnsi="Times New Roman" w:eastAsia="宋体" w:cs="Times New Roman"/>
          <w:color w:val="auto"/>
          <w:sz w:val="24"/>
          <w:szCs w:val="24"/>
        </w:rPr>
        <w:t>环境影响评价技术导则</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地表水环境</w:t>
      </w:r>
      <w:bookmarkEnd w:id="413"/>
      <w:r>
        <w:rPr>
          <w:rFonts w:hint="default" w:ascii="Times New Roman" w:hAnsi="Times New Roman" w:eastAsia="宋体" w:cs="Times New Roman"/>
          <w:color w:val="auto"/>
          <w:sz w:val="24"/>
          <w:szCs w:val="24"/>
        </w:rPr>
        <w:t>》（HJ2.3-2018）；</w:t>
      </w:r>
      <w:bookmarkStart w:id="414" w:name="pindex453"/>
      <w:bookmarkEnd w:id="414"/>
    </w:p>
    <w:p w14:paraId="13C8706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w:t>
      </w:r>
      <w:bookmarkStart w:id="415" w:name="OLE_LINK1094"/>
      <w:r>
        <w:rPr>
          <w:rFonts w:hint="default" w:ascii="Times New Roman" w:hAnsi="Times New Roman" w:eastAsia="宋体" w:cs="Times New Roman"/>
          <w:color w:val="auto"/>
          <w:sz w:val="24"/>
          <w:szCs w:val="24"/>
        </w:rPr>
        <w:t>环境影响评价技术导则</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地下水环境</w:t>
      </w:r>
      <w:bookmarkEnd w:id="415"/>
      <w:r>
        <w:rPr>
          <w:rFonts w:hint="default" w:ascii="Times New Roman" w:hAnsi="Times New Roman" w:eastAsia="宋体" w:cs="Times New Roman"/>
          <w:color w:val="auto"/>
          <w:sz w:val="24"/>
          <w:szCs w:val="24"/>
        </w:rPr>
        <w:t>》（HJ610-2016）；</w:t>
      </w:r>
      <w:bookmarkStart w:id="416" w:name="pindex454"/>
      <w:bookmarkEnd w:id="416"/>
    </w:p>
    <w:p w14:paraId="17C82A5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)《环境影响评价技术导则</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声环境》（HJ2.4-2021）；</w:t>
      </w:r>
      <w:bookmarkStart w:id="417" w:name="pindex455"/>
      <w:bookmarkEnd w:id="417"/>
    </w:p>
    <w:p w14:paraId="649BC49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)《环境影响评价技术导则</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生态影响》（HJ19-2022）；</w:t>
      </w:r>
      <w:bookmarkStart w:id="418" w:name="pindex456"/>
      <w:bookmarkEnd w:id="418"/>
    </w:p>
    <w:p w14:paraId="3FFF028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)《环境影响评价技术导则</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土壤环境（试行）》（HJ964-2018）；</w:t>
      </w:r>
      <w:bookmarkStart w:id="419" w:name="pindex457"/>
      <w:bookmarkEnd w:id="419"/>
    </w:p>
    <w:p w14:paraId="473ACB6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)《建设项目环境风险评价技术导则》（HJ169-2018）；</w:t>
      </w:r>
      <w:bookmarkStart w:id="420" w:name="pindex458"/>
      <w:bookmarkEnd w:id="420"/>
    </w:p>
    <w:p w14:paraId="146CDA4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r>
        <w:rPr>
          <w:rFonts w:hint="eastAsia"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rPr>
        <w:t>)《建设项目危险废物环境影响评价指南》（环境保护部公告2017年第43号）；</w:t>
      </w:r>
      <w:bookmarkStart w:id="421" w:name="pindex459"/>
      <w:bookmarkEnd w:id="421"/>
    </w:p>
    <w:p w14:paraId="24D500C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)《生态环境状况评价技术规范》（HJ192-2015）；</w:t>
      </w:r>
      <w:bookmarkStart w:id="422" w:name="pindex460"/>
      <w:bookmarkEnd w:id="422"/>
    </w:p>
    <w:p w14:paraId="0B653A2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全国生态状况调查评估技术规范-项目尺度生态影响评估</w:t>
      </w:r>
      <w:r>
        <w:rPr>
          <w:rFonts w:hint="default" w:ascii="Times New Roman" w:hAnsi="Times New Roman" w:eastAsia="宋体" w:cs="Times New Roman"/>
          <w:color w:val="auto"/>
          <w:sz w:val="24"/>
          <w:szCs w:val="24"/>
        </w:rPr>
        <w:t>》（HJ1175-2021）；</w:t>
      </w:r>
      <w:bookmarkStart w:id="423" w:name="pindex461"/>
      <w:bookmarkEnd w:id="423"/>
    </w:p>
    <w:p w14:paraId="7421203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)《国家生态工业示范园区标准》（HJ274-2015）；</w:t>
      </w:r>
      <w:bookmarkStart w:id="424" w:name="pindex462"/>
      <w:bookmarkEnd w:id="424"/>
    </w:p>
    <w:p w14:paraId="45E9DE0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)《突发环境事件应急监测技术规范》（HJ589-2021）；</w:t>
      </w:r>
      <w:bookmarkStart w:id="425" w:name="pindex463"/>
      <w:bookmarkEnd w:id="425"/>
    </w:p>
    <w:p w14:paraId="0663143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)《省商务厅省自然资源厅省生态环境厅等七部门关于印发江苏省开发区区域评估工作方案（试行）的通知》（苏商开发〔2019〕280号）；</w:t>
      </w:r>
      <w:bookmarkStart w:id="426" w:name="pindex464"/>
      <w:bookmarkEnd w:id="426"/>
    </w:p>
    <w:p w14:paraId="6D03BE8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)《省商务厅省自然资源厅省生态环境厅等七部门关于印发江苏省开发区区域评估实施细则》（苏商开发〔2019〕548号）；</w:t>
      </w:r>
      <w:bookmarkStart w:id="427" w:name="pindex465"/>
      <w:bookmarkEnd w:id="427"/>
    </w:p>
    <w:p w14:paraId="5524CFC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r>
        <w:rPr>
          <w:rFonts w:hint="eastAsia"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)《省政府办公厅关于印发江苏省工程建设项目审批制度改革实施方案的通知》（苏政办发〔2019〕53号）；</w:t>
      </w:r>
      <w:bookmarkStart w:id="428" w:name="pindex466"/>
      <w:bookmarkEnd w:id="428"/>
    </w:p>
    <w:p w14:paraId="1DD4376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color w:val="auto"/>
        </w:rPr>
      </w:pPr>
      <w:r>
        <w:rPr>
          <w:rFonts w:hint="default" w:ascii="Times New Roman" w:hAnsi="Times New Roman" w:eastAsia="宋体" w:cs="Times New Roman"/>
          <w:color w:val="auto"/>
          <w:sz w:val="24"/>
          <w:szCs w:val="24"/>
        </w:rPr>
        <w:t>(1</w:t>
      </w:r>
      <w:r>
        <w:rPr>
          <w:rFonts w:hint="eastAsia"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)《省商务厅省自然资源厅省生态环境厅等七部门关于印发2020年度江苏省开发区区域评估工作要点的函》（苏商开发〔2020〕166号）</w:t>
      </w:r>
      <w:r>
        <w:rPr>
          <w:rFonts w:hint="eastAsia" w:ascii="Times New Roman" w:hAnsi="Times New Roman" w:eastAsia="宋体" w:cs="Times New Roman"/>
          <w:color w:val="auto"/>
          <w:sz w:val="24"/>
          <w:szCs w:val="24"/>
          <w:lang w:eastAsia="zh-CN"/>
        </w:rPr>
        <w:t>。</w:t>
      </w:r>
      <w:bookmarkStart w:id="429" w:name="pindex467"/>
      <w:bookmarkEnd w:id="429"/>
    </w:p>
    <w:p w14:paraId="6B71E17D">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ascii="Times New Roman" w:hAnsi="Times New Roman" w:eastAsia="Times New Roman" w:cs="Times New Roman"/>
          <w:b/>
          <w:bCs/>
          <w:color w:val="auto"/>
          <w:spacing w:val="-3"/>
          <w:sz w:val="24"/>
          <w:szCs w:val="24"/>
        </w:rPr>
      </w:pPr>
      <w:bookmarkStart w:id="430" w:name="bookmark21"/>
      <w:bookmarkEnd w:id="430"/>
      <w:bookmarkStart w:id="431" w:name="_Toc30"/>
      <w:r>
        <w:rPr>
          <w:rFonts w:ascii="Times New Roman" w:hAnsi="Times New Roman" w:eastAsia="Times New Roman" w:cs="Times New Roman"/>
          <w:b/>
          <w:bCs/>
          <w:color w:val="auto"/>
          <w:spacing w:val="-3"/>
          <w:sz w:val="24"/>
          <w:szCs w:val="24"/>
        </w:rPr>
        <w:t>2.5与园区主导产业相关的政策</w:t>
      </w:r>
      <w:bookmarkEnd w:id="431"/>
      <w:bookmarkStart w:id="432" w:name="pindex468"/>
      <w:bookmarkEnd w:id="432"/>
    </w:p>
    <w:p w14:paraId="2684DB9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(1)《产业结构调整指导目录（</w:t>
      </w:r>
      <w:r>
        <w:rPr>
          <w:rFonts w:hint="default" w:ascii="Times New Roman" w:hAnsi="Times New Roman" w:eastAsia="宋体" w:cs="Times New Roman"/>
          <w:color w:val="auto"/>
          <w:sz w:val="24"/>
          <w:szCs w:val="24"/>
          <w:lang w:val="en-US" w:eastAsia="zh-CN"/>
        </w:rPr>
        <w:t>2024</w:t>
      </w:r>
      <w:r>
        <w:rPr>
          <w:rFonts w:hint="default" w:ascii="Times New Roman" w:hAnsi="Times New Roman" w:eastAsia="宋体" w:cs="Times New Roman"/>
          <w:color w:val="auto"/>
          <w:sz w:val="24"/>
          <w:szCs w:val="24"/>
        </w:rPr>
        <w:t>年本）》，国家发展改革委令第</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号，202</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月1日起施行；</w:t>
      </w:r>
      <w:bookmarkStart w:id="433" w:name="pindex469"/>
      <w:bookmarkEnd w:id="433"/>
    </w:p>
    <w:p w14:paraId="5828E0C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(2)《鼓励外商投资产业目录（2022年版）》，2022年10月26日国家发展改革委、商务部令第52号公布，2023年1月1日起施行；</w:t>
      </w:r>
      <w:bookmarkStart w:id="434" w:name="pindex470"/>
      <w:bookmarkEnd w:id="434"/>
    </w:p>
    <w:p w14:paraId="66D6219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rPr>
        <w:t>(3)《外商投资准入特别管理措施（负面清单）（2021年版）》，2021年12月27日国家发展改革委、商务部令第47号公布，2022年1月1日起施行；</w:t>
      </w:r>
      <w:bookmarkStart w:id="435" w:name="pindex471"/>
      <w:bookmarkEnd w:id="435"/>
    </w:p>
    <w:p w14:paraId="22C2D26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(4)《产业发展与转移指导目录（2018年本）》，工业和信息化部公告2018年第66号，2018年12月20日施行；</w:t>
      </w:r>
      <w:bookmarkStart w:id="436" w:name="pindex472"/>
      <w:bookmarkEnd w:id="436"/>
    </w:p>
    <w:p w14:paraId="3C19F5D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w:t>
      </w:r>
      <w:bookmarkStart w:id="437" w:name="OLE_LINK1095"/>
      <w:bookmarkStart w:id="438" w:name="OLE_LINK41"/>
      <w:r>
        <w:rPr>
          <w:rFonts w:hint="default" w:ascii="Times New Roman" w:hAnsi="Times New Roman" w:eastAsia="宋体" w:cs="Times New Roman"/>
          <w:color w:val="auto"/>
          <w:sz w:val="24"/>
          <w:szCs w:val="24"/>
        </w:rPr>
        <w:t>《</w:t>
      </w:r>
      <w:bookmarkStart w:id="439" w:name="OLE_LINK1096"/>
      <w:bookmarkStart w:id="440" w:name="OLE_LINK40"/>
      <w:r>
        <w:rPr>
          <w:rFonts w:hint="default" w:ascii="Times New Roman" w:hAnsi="Times New Roman" w:eastAsia="宋体" w:cs="Times New Roman"/>
          <w:color w:val="auto"/>
          <w:sz w:val="24"/>
          <w:szCs w:val="24"/>
        </w:rPr>
        <w:t>市场准入负面</w:t>
      </w:r>
      <w:bookmarkEnd w:id="437"/>
      <w:r>
        <w:rPr>
          <w:rFonts w:hint="default" w:ascii="Times New Roman" w:hAnsi="Times New Roman" w:eastAsia="宋体" w:cs="Times New Roman"/>
          <w:color w:val="auto"/>
          <w:sz w:val="24"/>
          <w:szCs w:val="24"/>
        </w:rPr>
        <w:t>清单</w:t>
      </w:r>
      <w:bookmarkEnd w:id="439"/>
      <w:r>
        <w:rPr>
          <w:rFonts w:hint="default" w:ascii="Times New Roman" w:hAnsi="Times New Roman" w:eastAsia="宋体" w:cs="Times New Roman"/>
          <w:color w:val="auto"/>
          <w:sz w:val="24"/>
          <w:szCs w:val="24"/>
        </w:rPr>
        <w:t>（2022年版）</w:t>
      </w:r>
      <w:bookmarkEnd w:id="440"/>
      <w:r>
        <w:rPr>
          <w:rFonts w:hint="default" w:ascii="Times New Roman" w:hAnsi="Times New Roman" w:eastAsia="宋体" w:cs="Times New Roman"/>
          <w:color w:val="auto"/>
          <w:sz w:val="24"/>
          <w:szCs w:val="24"/>
        </w:rPr>
        <w:t>》，发改体改规〔2022〕397号</w:t>
      </w:r>
      <w:bookmarkEnd w:id="438"/>
      <w:r>
        <w:rPr>
          <w:rFonts w:hint="default" w:ascii="Times New Roman" w:hAnsi="Times New Roman" w:eastAsia="宋体" w:cs="Times New Roman"/>
          <w:color w:val="auto"/>
          <w:sz w:val="24"/>
          <w:szCs w:val="24"/>
        </w:rPr>
        <w:t>；</w:t>
      </w:r>
      <w:bookmarkStart w:id="441" w:name="pindex473"/>
      <w:bookmarkEnd w:id="441"/>
    </w:p>
    <w:p w14:paraId="4A486C89">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w:t>
      </w:r>
      <w:bookmarkStart w:id="442" w:name="OLE_LINK42"/>
      <w:r>
        <w:rPr>
          <w:rFonts w:hint="default" w:ascii="Times New Roman" w:hAnsi="Times New Roman" w:eastAsia="宋体" w:cs="Times New Roman"/>
          <w:color w:val="auto"/>
          <w:sz w:val="24"/>
          <w:szCs w:val="24"/>
        </w:rPr>
        <w:t>《</w:t>
      </w:r>
      <w:bookmarkStart w:id="443" w:name="OLE_LINK1097"/>
      <w:r>
        <w:rPr>
          <w:rFonts w:hint="eastAsia" w:ascii="Times New Roman" w:hAnsi="Times New Roman" w:eastAsia="宋体" w:cs="Times New Roman"/>
          <w:color w:val="auto"/>
          <w:sz w:val="24"/>
          <w:szCs w:val="24"/>
          <w:lang w:val="en-US" w:eastAsia="zh-CN"/>
        </w:rPr>
        <w:t>关于印发〈</w:t>
      </w:r>
      <w:r>
        <w:rPr>
          <w:rFonts w:hint="default" w:ascii="Times New Roman" w:hAnsi="Times New Roman" w:eastAsia="宋体" w:cs="Times New Roman"/>
          <w:color w:val="auto"/>
          <w:sz w:val="24"/>
          <w:szCs w:val="24"/>
        </w:rPr>
        <w:t>长江经济带发展负面清单指南（试行，2022年版）江苏省实施细则</w:t>
      </w:r>
      <w:bookmarkEnd w:id="443"/>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的通知</w:t>
      </w:r>
      <w:r>
        <w:rPr>
          <w:rFonts w:hint="default" w:ascii="Times New Roman" w:hAnsi="Times New Roman" w:eastAsia="宋体" w:cs="Times New Roman"/>
          <w:color w:val="auto"/>
          <w:sz w:val="24"/>
          <w:szCs w:val="24"/>
        </w:rPr>
        <w:t>》，</w:t>
      </w:r>
      <w:bookmarkStart w:id="444" w:name="OLE_LINK1098"/>
      <w:r>
        <w:rPr>
          <w:rFonts w:hint="default" w:ascii="Times New Roman" w:hAnsi="Times New Roman" w:eastAsia="宋体" w:cs="Times New Roman"/>
          <w:color w:val="auto"/>
          <w:sz w:val="24"/>
          <w:szCs w:val="24"/>
        </w:rPr>
        <w:t>苏长江办发〔2022〕55号</w:t>
      </w:r>
      <w:bookmarkEnd w:id="442"/>
      <w:bookmarkEnd w:id="444"/>
      <w:r>
        <w:rPr>
          <w:rFonts w:hint="default" w:ascii="Times New Roman" w:hAnsi="Times New Roman" w:eastAsia="宋体" w:cs="Times New Roman"/>
          <w:color w:val="auto"/>
          <w:sz w:val="24"/>
          <w:szCs w:val="24"/>
        </w:rPr>
        <w:t>；</w:t>
      </w:r>
      <w:bookmarkStart w:id="445" w:name="pindex474"/>
      <w:bookmarkEnd w:id="445"/>
    </w:p>
    <w:p w14:paraId="1B9DC60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w:t>
      </w:r>
      <w:bookmarkStart w:id="446" w:name="OLE_LINK1099"/>
      <w:r>
        <w:rPr>
          <w:rFonts w:hint="default" w:ascii="Times New Roman" w:hAnsi="Times New Roman" w:eastAsia="宋体" w:cs="Times New Roman"/>
          <w:color w:val="auto"/>
          <w:sz w:val="24"/>
          <w:szCs w:val="24"/>
        </w:rPr>
        <w:t>《国务院关于加快建立健全绿色低碳发展经济体系的指导意见》</w:t>
      </w:r>
      <w:bookmarkEnd w:id="446"/>
      <w:r>
        <w:rPr>
          <w:rFonts w:hint="default" w:ascii="Times New Roman" w:hAnsi="Times New Roman" w:eastAsia="宋体" w:cs="Times New Roman"/>
          <w:color w:val="auto"/>
          <w:sz w:val="24"/>
          <w:szCs w:val="24"/>
        </w:rPr>
        <w:t>，国发〔2021〕4号；</w:t>
      </w:r>
      <w:bookmarkStart w:id="447" w:name="pindex475"/>
      <w:bookmarkEnd w:id="447"/>
    </w:p>
    <w:p w14:paraId="58230DB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rPr>
        <w:t>(8)</w:t>
      </w:r>
      <w:bookmarkStart w:id="448" w:name="OLE_LINK1100"/>
      <w:r>
        <w:rPr>
          <w:rFonts w:hint="default" w:ascii="Times New Roman" w:hAnsi="Times New Roman" w:eastAsia="宋体" w:cs="Times New Roman"/>
          <w:color w:val="auto"/>
          <w:sz w:val="24"/>
          <w:szCs w:val="24"/>
          <w:highlight w:val="none"/>
        </w:rPr>
        <w:t>《关于做好环评审批正面清单落实工作的函》</w:t>
      </w:r>
      <w:bookmarkEnd w:id="448"/>
      <w:r>
        <w:rPr>
          <w:rFonts w:hint="default" w:ascii="Times New Roman" w:hAnsi="Times New Roman" w:eastAsia="宋体" w:cs="Times New Roman"/>
          <w:color w:val="auto"/>
          <w:sz w:val="24"/>
          <w:szCs w:val="24"/>
          <w:highlight w:val="none"/>
        </w:rPr>
        <w:t>，环评函〔2020〕19号；</w:t>
      </w:r>
      <w:bookmarkStart w:id="449" w:name="pindex476"/>
      <w:bookmarkEnd w:id="449"/>
    </w:p>
    <w:p w14:paraId="22C86AA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(9)</w:t>
      </w:r>
      <w:bookmarkStart w:id="450" w:name="OLE_LINK1101"/>
      <w:r>
        <w:rPr>
          <w:rFonts w:hint="default" w:ascii="Times New Roman" w:hAnsi="Times New Roman" w:eastAsia="宋体" w:cs="Times New Roman"/>
          <w:color w:val="auto"/>
          <w:sz w:val="24"/>
          <w:szCs w:val="24"/>
        </w:rPr>
        <w:t>《省政府关于推进绿色产业发展的意见》</w:t>
      </w:r>
      <w:bookmarkEnd w:id="450"/>
      <w:r>
        <w:rPr>
          <w:rFonts w:hint="default" w:ascii="Times New Roman" w:hAnsi="Times New Roman" w:eastAsia="宋体" w:cs="Times New Roman"/>
          <w:color w:val="auto"/>
          <w:sz w:val="24"/>
          <w:szCs w:val="24"/>
        </w:rPr>
        <w:t>，苏政发〔2020〕28号；</w:t>
      </w:r>
      <w:bookmarkStart w:id="451" w:name="pindex477"/>
      <w:bookmarkEnd w:id="451"/>
    </w:p>
    <w:p w14:paraId="48F6461C">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(10)</w:t>
      </w:r>
      <w:bookmarkStart w:id="452" w:name="OLE_LINK1102"/>
      <w:r>
        <w:rPr>
          <w:rFonts w:hint="default" w:ascii="Times New Roman" w:hAnsi="Times New Roman" w:eastAsia="宋体" w:cs="Times New Roman"/>
          <w:color w:val="auto"/>
          <w:sz w:val="24"/>
          <w:szCs w:val="24"/>
        </w:rPr>
        <w:t>《关于印发江苏省“产业强链”三年行动计划（2021-2023年）的通知》</w:t>
      </w:r>
      <w:bookmarkEnd w:id="452"/>
      <w:r>
        <w:rPr>
          <w:rFonts w:hint="default" w:ascii="Times New Roman" w:hAnsi="Times New Roman" w:eastAsia="宋体" w:cs="Times New Roman"/>
          <w:color w:val="auto"/>
          <w:sz w:val="24"/>
          <w:szCs w:val="24"/>
        </w:rPr>
        <w:t>，苏政办发〔2020〕82号；</w:t>
      </w:r>
      <w:bookmarkStart w:id="453" w:name="pindex478"/>
      <w:bookmarkEnd w:id="453"/>
    </w:p>
    <w:p w14:paraId="79274B69">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w:t>
      </w:r>
      <w:bookmarkStart w:id="454" w:name="OLE_LINK1103"/>
      <w:r>
        <w:rPr>
          <w:rFonts w:hint="default" w:ascii="Times New Roman" w:hAnsi="Times New Roman" w:eastAsia="宋体" w:cs="Times New Roman"/>
          <w:color w:val="auto"/>
          <w:sz w:val="24"/>
          <w:szCs w:val="24"/>
        </w:rPr>
        <w:t>《省政府办公厅关于印发江苏省“十四五”制造业高质量发展规划的通知》</w:t>
      </w:r>
      <w:bookmarkEnd w:id="454"/>
      <w:r>
        <w:rPr>
          <w:rFonts w:hint="default" w:ascii="Times New Roman" w:hAnsi="Times New Roman" w:eastAsia="宋体" w:cs="Times New Roman"/>
          <w:color w:val="auto"/>
          <w:sz w:val="24"/>
          <w:szCs w:val="24"/>
        </w:rPr>
        <w:t>，苏政办发〔2021〕51号；</w:t>
      </w:r>
      <w:bookmarkStart w:id="455" w:name="pindex479"/>
      <w:bookmarkEnd w:id="455"/>
    </w:p>
    <w:p w14:paraId="54B72F3B">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w:t>
      </w:r>
      <w:bookmarkStart w:id="456" w:name="OLE_LINK1104"/>
      <w:r>
        <w:rPr>
          <w:rFonts w:hint="default" w:ascii="Times New Roman" w:hAnsi="Times New Roman" w:eastAsia="宋体" w:cs="Times New Roman"/>
          <w:color w:val="auto"/>
          <w:sz w:val="24"/>
          <w:szCs w:val="24"/>
        </w:rPr>
        <w:t>《省政府办公厅关于印发江苏省“十四五”现代物流业发展规划的通知》</w:t>
      </w:r>
      <w:bookmarkEnd w:id="456"/>
      <w:r>
        <w:rPr>
          <w:rFonts w:hint="default" w:ascii="Times New Roman" w:hAnsi="Times New Roman" w:eastAsia="宋体" w:cs="Times New Roman"/>
          <w:color w:val="auto"/>
          <w:sz w:val="24"/>
          <w:szCs w:val="24"/>
        </w:rPr>
        <w:t>，苏政办发〔2021〕37号；</w:t>
      </w:r>
      <w:bookmarkStart w:id="457" w:name="pindex480"/>
      <w:bookmarkEnd w:id="457"/>
    </w:p>
    <w:p w14:paraId="6722E501">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(13)</w:t>
      </w:r>
      <w:bookmarkStart w:id="458" w:name="OLE_LINK1105"/>
      <w:r>
        <w:rPr>
          <w:rFonts w:hint="default" w:ascii="Times New Roman" w:hAnsi="Times New Roman" w:eastAsia="宋体" w:cs="Times New Roman"/>
          <w:color w:val="auto"/>
          <w:sz w:val="24"/>
          <w:szCs w:val="24"/>
        </w:rPr>
        <w:t>《省政府办公厅关于印发江苏省“十四五”现代服务业发展规划的通知》</w:t>
      </w:r>
      <w:bookmarkEnd w:id="458"/>
      <w:r>
        <w:rPr>
          <w:rFonts w:hint="default" w:ascii="Times New Roman" w:hAnsi="Times New Roman" w:eastAsia="宋体" w:cs="Times New Roman"/>
          <w:color w:val="auto"/>
          <w:sz w:val="24"/>
          <w:szCs w:val="24"/>
        </w:rPr>
        <w:t>，苏政办发〔2021〕34号；</w:t>
      </w:r>
      <w:bookmarkStart w:id="459" w:name="pindex481"/>
      <w:bookmarkEnd w:id="459"/>
    </w:p>
    <w:p w14:paraId="6293F20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rPr>
        <w:t>(14)</w:t>
      </w:r>
      <w:bookmarkStart w:id="460" w:name="OLE_LINK1106"/>
      <w:r>
        <w:rPr>
          <w:rFonts w:hint="default" w:ascii="Times New Roman" w:hAnsi="Times New Roman" w:eastAsia="宋体" w:cs="Times New Roman"/>
          <w:color w:val="auto"/>
          <w:sz w:val="24"/>
          <w:szCs w:val="24"/>
        </w:rPr>
        <w:t>《江</w:t>
      </w:r>
      <w:r>
        <w:rPr>
          <w:rFonts w:hint="default" w:ascii="Times New Roman" w:hAnsi="Times New Roman" w:eastAsia="宋体" w:cs="Times New Roman"/>
          <w:color w:val="auto"/>
          <w:sz w:val="24"/>
          <w:szCs w:val="24"/>
          <w:highlight w:val="none"/>
        </w:rPr>
        <w:t>苏省“十四五”工业绿色发展规划》</w:t>
      </w:r>
      <w:bookmarkEnd w:id="460"/>
      <w:r>
        <w:rPr>
          <w:rFonts w:hint="default" w:ascii="Times New Roman" w:hAnsi="Times New Roman" w:eastAsia="宋体" w:cs="Times New Roman"/>
          <w:color w:val="auto"/>
          <w:sz w:val="24"/>
          <w:szCs w:val="24"/>
          <w:highlight w:val="none"/>
        </w:rPr>
        <w:t>，苏工信综合〔2021〕409号；</w:t>
      </w:r>
      <w:bookmarkStart w:id="461" w:name="pindex482"/>
      <w:bookmarkEnd w:id="461"/>
    </w:p>
    <w:p w14:paraId="156E53E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(15)</w:t>
      </w:r>
      <w:bookmarkStart w:id="462" w:name="OLE_LINK1107"/>
      <w:r>
        <w:rPr>
          <w:rFonts w:hint="default" w:ascii="Times New Roman" w:hAnsi="Times New Roman" w:eastAsia="宋体" w:cs="Times New Roman"/>
          <w:color w:val="auto"/>
          <w:sz w:val="24"/>
          <w:szCs w:val="24"/>
          <w:highlight w:val="none"/>
        </w:rPr>
        <w:t>《江苏省“十四五”医药产业发展规划》</w:t>
      </w:r>
      <w:bookmarkEnd w:id="462"/>
      <w:r>
        <w:rPr>
          <w:rFonts w:hint="default" w:ascii="Times New Roman" w:hAnsi="Times New Roman" w:eastAsia="宋体" w:cs="Times New Roman"/>
          <w:color w:val="auto"/>
          <w:sz w:val="24"/>
          <w:szCs w:val="24"/>
          <w:highlight w:val="none"/>
        </w:rPr>
        <w:t>，苏工信综合〔2021〕409号；</w:t>
      </w:r>
      <w:bookmarkStart w:id="463" w:name="pindex483"/>
      <w:bookmarkEnd w:id="463"/>
    </w:p>
    <w:p w14:paraId="06510359">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rPr>
        <w:t>(16)</w:t>
      </w:r>
      <w:bookmarkStart w:id="464" w:name="OLE_LINK1108"/>
      <w:r>
        <w:rPr>
          <w:rFonts w:hint="default" w:ascii="Times New Roman" w:hAnsi="Times New Roman" w:eastAsia="宋体" w:cs="Times New Roman"/>
          <w:color w:val="auto"/>
          <w:sz w:val="24"/>
          <w:szCs w:val="24"/>
        </w:rPr>
        <w:t>《江苏省“十四五”循环经济发展规划》</w:t>
      </w:r>
      <w:bookmarkEnd w:id="464"/>
      <w:r>
        <w:rPr>
          <w:rFonts w:hint="default" w:ascii="Times New Roman" w:hAnsi="Times New Roman" w:eastAsia="宋体" w:cs="Times New Roman"/>
          <w:color w:val="auto"/>
          <w:sz w:val="24"/>
          <w:szCs w:val="24"/>
        </w:rPr>
        <w:t>，苏发改资环发〔2021〕892号；</w:t>
      </w:r>
      <w:bookmarkStart w:id="465" w:name="pindex484"/>
      <w:bookmarkEnd w:id="465"/>
    </w:p>
    <w:p w14:paraId="59AC06F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rPr>
        <w:t>(17)</w:t>
      </w:r>
      <w:bookmarkStart w:id="466" w:name="OLE_LINK1109"/>
      <w:r>
        <w:rPr>
          <w:rFonts w:hint="default" w:ascii="Times New Roman" w:hAnsi="Times New Roman" w:eastAsia="宋体" w:cs="Times New Roman"/>
          <w:color w:val="auto"/>
          <w:sz w:val="24"/>
          <w:szCs w:val="24"/>
          <w:highlight w:val="none"/>
        </w:rPr>
        <w:t>《省政府关于推动生</w:t>
      </w:r>
      <w:r>
        <w:rPr>
          <w:rFonts w:hint="default" w:ascii="Times New Roman" w:hAnsi="Times New Roman" w:eastAsia="宋体" w:cs="Times New Roman"/>
          <w:color w:val="auto"/>
          <w:sz w:val="24"/>
          <w:szCs w:val="24"/>
        </w:rPr>
        <w:t>物医药产业高质量发展的意见》</w:t>
      </w:r>
      <w:bookmarkEnd w:id="466"/>
      <w:r>
        <w:rPr>
          <w:rFonts w:hint="default" w:ascii="Times New Roman" w:hAnsi="Times New Roman" w:eastAsia="宋体" w:cs="Times New Roman"/>
          <w:color w:val="auto"/>
          <w:sz w:val="24"/>
          <w:szCs w:val="24"/>
        </w:rPr>
        <w:t>，苏政发〔2018〕144号；</w:t>
      </w:r>
      <w:bookmarkStart w:id="467" w:name="pindex485"/>
      <w:bookmarkEnd w:id="467"/>
    </w:p>
    <w:p w14:paraId="62E0482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18</w:t>
      </w:r>
      <w:r>
        <w:rPr>
          <w:rFonts w:hint="default" w:ascii="Times New Roman" w:hAnsi="Times New Roman" w:eastAsia="宋体" w:cs="Times New Roman"/>
          <w:color w:val="auto"/>
          <w:sz w:val="24"/>
          <w:szCs w:val="24"/>
        </w:rPr>
        <w:t>)</w:t>
      </w:r>
      <w:bookmarkStart w:id="468" w:name="OLE_LINK1110"/>
      <w:r>
        <w:rPr>
          <w:rFonts w:hint="default" w:ascii="Times New Roman" w:hAnsi="Times New Roman" w:eastAsia="宋体" w:cs="Times New Roman"/>
          <w:color w:val="auto"/>
          <w:sz w:val="24"/>
          <w:szCs w:val="24"/>
        </w:rPr>
        <w:t>《关于印发新能源汽车产业发展规划（2021-2035年）的通知》</w:t>
      </w:r>
      <w:bookmarkEnd w:id="468"/>
      <w:r>
        <w:rPr>
          <w:rFonts w:hint="default" w:ascii="Times New Roman" w:hAnsi="Times New Roman" w:eastAsia="宋体" w:cs="Times New Roman"/>
          <w:color w:val="auto"/>
          <w:sz w:val="24"/>
          <w:szCs w:val="24"/>
        </w:rPr>
        <w:t>，国办发〔2020〕39号；</w:t>
      </w:r>
      <w:bookmarkStart w:id="469" w:name="pindex486"/>
      <w:bookmarkEnd w:id="469"/>
    </w:p>
    <w:p w14:paraId="29EF2C1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19</w:t>
      </w:r>
      <w:r>
        <w:rPr>
          <w:rFonts w:hint="default" w:ascii="Times New Roman" w:hAnsi="Times New Roman" w:eastAsia="宋体" w:cs="Times New Roman"/>
          <w:color w:val="auto"/>
          <w:sz w:val="24"/>
          <w:szCs w:val="24"/>
        </w:rPr>
        <w:t>)</w:t>
      </w:r>
      <w:bookmarkStart w:id="470" w:name="OLE_LINK1111"/>
      <w:r>
        <w:rPr>
          <w:rFonts w:hint="default" w:ascii="Times New Roman" w:hAnsi="Times New Roman" w:eastAsia="宋体" w:cs="Times New Roman"/>
          <w:color w:val="auto"/>
          <w:sz w:val="24"/>
          <w:szCs w:val="24"/>
        </w:rPr>
        <w:t>《关于印发</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推动物流业制造业深度融合创新发展实施方案</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的通知》</w:t>
      </w:r>
      <w:bookmarkEnd w:id="470"/>
      <w:r>
        <w:rPr>
          <w:rFonts w:hint="default" w:ascii="Times New Roman" w:hAnsi="Times New Roman" w:eastAsia="宋体" w:cs="Times New Roman"/>
          <w:color w:val="auto"/>
          <w:sz w:val="24"/>
          <w:szCs w:val="24"/>
        </w:rPr>
        <w:t>，发改经贸〔2020〕1315号；</w:t>
      </w:r>
      <w:bookmarkStart w:id="471" w:name="pindex487"/>
      <w:bookmarkEnd w:id="471"/>
    </w:p>
    <w:p w14:paraId="0A1432E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w:t>
      </w:r>
      <w:r>
        <w:rPr>
          <w:rFonts w:hint="eastAsia"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rPr>
        <w:t>)</w:t>
      </w:r>
      <w:bookmarkStart w:id="472" w:name="OLE_LINK1112"/>
      <w:r>
        <w:rPr>
          <w:rFonts w:hint="default" w:ascii="Times New Roman" w:hAnsi="Times New Roman" w:eastAsia="宋体" w:cs="Times New Roman"/>
          <w:color w:val="auto"/>
          <w:sz w:val="24"/>
          <w:szCs w:val="24"/>
        </w:rPr>
        <w:t>《关于印发</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医药工业发展规划指南</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的通知》</w:t>
      </w:r>
      <w:bookmarkEnd w:id="472"/>
      <w:r>
        <w:rPr>
          <w:rFonts w:hint="default" w:ascii="Times New Roman" w:hAnsi="Times New Roman" w:eastAsia="宋体" w:cs="Times New Roman"/>
          <w:color w:val="auto"/>
          <w:sz w:val="24"/>
          <w:szCs w:val="24"/>
        </w:rPr>
        <w:t>，工信部联规〔2016〕350号；</w:t>
      </w:r>
      <w:bookmarkStart w:id="473" w:name="pindex488"/>
      <w:bookmarkEnd w:id="473"/>
    </w:p>
    <w:p w14:paraId="61D23F2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w:t>
      </w: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w:t>
      </w:r>
      <w:bookmarkStart w:id="474" w:name="OLE_LINK1114"/>
      <w:r>
        <w:rPr>
          <w:rFonts w:hint="default" w:ascii="Times New Roman" w:hAnsi="Times New Roman" w:eastAsia="宋体" w:cs="Times New Roman"/>
          <w:color w:val="auto"/>
          <w:sz w:val="24"/>
          <w:szCs w:val="24"/>
        </w:rPr>
        <w:t>《</w:t>
      </w:r>
      <w:bookmarkStart w:id="475" w:name="OLE_LINK1113"/>
      <w:r>
        <w:rPr>
          <w:rFonts w:hint="default" w:ascii="Times New Roman" w:hAnsi="Times New Roman" w:eastAsia="宋体" w:cs="Times New Roman"/>
          <w:color w:val="auto"/>
          <w:sz w:val="24"/>
          <w:szCs w:val="24"/>
        </w:rPr>
        <w:t>市政府办公厅关于印发南京市打造新医药与生命健康产业地标行动计划的通知》</w:t>
      </w:r>
      <w:bookmarkEnd w:id="474"/>
      <w:bookmarkEnd w:id="475"/>
      <w:r>
        <w:rPr>
          <w:rFonts w:hint="default" w:ascii="Times New Roman" w:hAnsi="Times New Roman" w:eastAsia="宋体" w:cs="Times New Roman"/>
          <w:color w:val="auto"/>
          <w:sz w:val="24"/>
          <w:szCs w:val="24"/>
        </w:rPr>
        <w:t>，宁政办发〔2020〕35号；</w:t>
      </w:r>
      <w:bookmarkStart w:id="476" w:name="pindex489"/>
      <w:bookmarkEnd w:id="476"/>
    </w:p>
    <w:p w14:paraId="017819C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bookmarkStart w:id="477" w:name="OLE_LINK1116"/>
      <w:bookmarkStart w:id="478" w:name="OLE_LINK1115"/>
      <w:r>
        <w:rPr>
          <w:rFonts w:hint="default" w:ascii="Times New Roman" w:hAnsi="Times New Roman" w:eastAsia="宋体" w:cs="Times New Roman"/>
          <w:color w:val="auto"/>
          <w:sz w:val="24"/>
          <w:szCs w:val="24"/>
          <w:highlight w:val="none"/>
        </w:rPr>
        <w:t>《市政府印发关于促进产业用地高质量利用的实施方案的通知》</w:t>
      </w:r>
      <w:bookmarkEnd w:id="477"/>
      <w:r>
        <w:rPr>
          <w:rFonts w:hint="default" w:ascii="Times New Roman" w:hAnsi="Times New Roman" w:eastAsia="宋体" w:cs="Times New Roman"/>
          <w:color w:val="auto"/>
          <w:sz w:val="24"/>
          <w:szCs w:val="24"/>
          <w:highlight w:val="none"/>
        </w:rPr>
        <w:t>，宁政发〔2021〕7号</w:t>
      </w:r>
      <w:bookmarkEnd w:id="478"/>
      <w:r>
        <w:rPr>
          <w:rFonts w:hint="default" w:ascii="Times New Roman" w:hAnsi="Times New Roman" w:eastAsia="宋体" w:cs="Times New Roman"/>
          <w:color w:val="auto"/>
          <w:sz w:val="24"/>
          <w:szCs w:val="24"/>
          <w:highlight w:val="none"/>
        </w:rPr>
        <w:t>；</w:t>
      </w:r>
      <w:bookmarkStart w:id="479" w:name="pindex490"/>
      <w:bookmarkEnd w:id="479"/>
    </w:p>
    <w:p w14:paraId="799AEE9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ascii="宋体" w:hAnsi="宋体" w:eastAsia="宋体" w:cs="宋体"/>
          <w:color w:val="auto"/>
          <w:szCs w:val="24"/>
          <w:highlight w:val="none"/>
        </w:rPr>
      </w:pPr>
      <w:bookmarkStart w:id="480" w:name="OLE_LINK43"/>
      <w:r>
        <w:rPr>
          <w:rFonts w:hint="default" w:ascii="Times New Roman" w:hAnsi="Times New Roman" w:eastAsia="宋体" w:cs="Times New Roman"/>
          <w:color w:val="auto"/>
          <w:sz w:val="24"/>
          <w:szCs w:val="24"/>
          <w:highlight w:val="none"/>
        </w:rPr>
        <w:t>(2</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bookmarkStart w:id="481" w:name="OLE_LINK1117"/>
      <w:r>
        <w:rPr>
          <w:rFonts w:hint="default" w:ascii="Times New Roman" w:hAnsi="Times New Roman" w:eastAsia="宋体" w:cs="Times New Roman"/>
          <w:color w:val="auto"/>
          <w:sz w:val="24"/>
          <w:szCs w:val="24"/>
          <w:highlight w:val="none"/>
        </w:rPr>
        <w:t>《市政府关于印发南京市推进经济开发区创新提升打造改革开放新高地实施方案的通知》</w:t>
      </w:r>
      <w:bookmarkEnd w:id="481"/>
      <w:r>
        <w:rPr>
          <w:rFonts w:hint="default" w:ascii="Times New Roman" w:hAnsi="Times New Roman" w:eastAsia="宋体" w:cs="Times New Roman"/>
          <w:color w:val="auto"/>
          <w:sz w:val="24"/>
          <w:szCs w:val="24"/>
          <w:highlight w:val="none"/>
        </w:rPr>
        <w:t>，宁政发〔2021〕20号</w:t>
      </w:r>
      <w:bookmarkEnd w:id="480"/>
      <w:r>
        <w:rPr>
          <w:rFonts w:hint="eastAsia" w:ascii="Times New Roman" w:hAnsi="Times New Roman" w:eastAsia="宋体" w:cs="Times New Roman"/>
          <w:color w:val="auto"/>
          <w:sz w:val="24"/>
          <w:szCs w:val="24"/>
          <w:highlight w:val="none"/>
          <w:lang w:eastAsia="zh-CN"/>
        </w:rPr>
        <w:t>；</w:t>
      </w:r>
      <w:bookmarkStart w:id="482" w:name="pindex491"/>
      <w:bookmarkEnd w:id="482"/>
    </w:p>
    <w:p w14:paraId="01C5F1B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eastAsia="zh-CN"/>
        </w:rPr>
      </w:pPr>
      <w:bookmarkStart w:id="483" w:name="OLE_LINK46"/>
      <w:r>
        <w:rPr>
          <w:rFonts w:hint="default" w:ascii="Times New Roman" w:hAnsi="Times New Roman" w:eastAsia="宋体" w:cs="Times New Roman"/>
          <w:color w:val="auto"/>
          <w:sz w:val="24"/>
          <w:szCs w:val="24"/>
          <w:highlight w:val="none"/>
        </w:rPr>
        <w:t>(2</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r>
        <w:rPr>
          <w:rFonts w:hint="eastAsia" w:ascii="Times New Roman" w:hAnsi="Times New Roman" w:eastAsia="Times New Roman" w:cs="Times New Roman"/>
          <w:color w:val="auto"/>
          <w:sz w:val="24"/>
          <w:szCs w:val="24"/>
          <w:highlight w:val="none"/>
        </w:rPr>
        <w:t>江宁经济技术开发区总体发展规划（</w:t>
      </w:r>
      <w:sdt>
        <w:sdtPr>
          <w:rPr>
            <w:color w:val="auto"/>
            <w:highlight w:val="none"/>
          </w:rPr>
          <w:alias w:val="易错词检查"/>
          <w:tag w:val="auto"/>
          <w:id w:val="152140"/>
        </w:sdtPr>
        <w:sdtEndPr>
          <w:rPr>
            <w:color w:val="auto"/>
            <w:highlight w:val="none"/>
          </w:rPr>
        </w:sdtEndPr>
        <w:sdtContent>
          <w:bookmarkStart w:id="484" w:name="bkReivew152140"/>
          <w:r>
            <w:rPr>
              <w:rFonts w:hint="eastAsia" w:ascii="Times New Roman" w:hAnsi="Times New Roman" w:eastAsia="Times New Roman" w:cs="Times New Roman"/>
              <w:color w:val="auto"/>
              <w:sz w:val="24"/>
              <w:szCs w:val="24"/>
              <w:highlight w:val="none"/>
            </w:rPr>
            <w:t>2020-2035</w:t>
          </w:r>
          <w:bookmarkEnd w:id="484"/>
        </w:sdtContent>
      </w:sdt>
      <w:r>
        <w:rPr>
          <w:rFonts w:hint="eastAsia" w:ascii="Times New Roman" w:hAnsi="Times New Roman" w:eastAsia="Times New Roman" w:cs="Times New Roman"/>
          <w:color w:val="auto"/>
          <w:sz w:val="24"/>
          <w:szCs w:val="24"/>
          <w:highlight w:val="none"/>
        </w:rPr>
        <w:t>）环境影响报告书</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bookmarkStart w:id="485" w:name="pindex492"/>
      <w:bookmarkEnd w:id="485"/>
    </w:p>
    <w:p w14:paraId="0816D13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eastAsia="宋体"/>
          <w:color w:val="auto"/>
          <w:highlight w:val="none"/>
          <w:lang w:val="en-US" w:eastAsia="zh-CN"/>
        </w:rPr>
      </w:pPr>
      <w:bookmarkStart w:id="486" w:name="sys493059"/>
      <w:bookmarkStart w:id="487" w:name="OLE_LINK44"/>
      <w:r>
        <w:rPr>
          <w:rFonts w:hint="default" w:ascii="Times New Roman" w:hAnsi="Times New Roman" w:eastAsia="宋体" w:cs="Times New Roman"/>
          <w:color w:val="auto"/>
          <w:sz w:val="24"/>
          <w:szCs w:val="24"/>
          <w:highlight w:val="none"/>
        </w:rPr>
        <w:t>(2</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关于</w:t>
      </w:r>
      <w:r>
        <w:rPr>
          <w:rFonts w:hint="default" w:ascii="Times New Roman" w:hAnsi="Times New Roman" w:eastAsia="宋体" w:cs="Times New Roman"/>
          <w:color w:val="auto"/>
          <w:sz w:val="24"/>
          <w:szCs w:val="24"/>
          <w:highlight w:val="none"/>
        </w:rPr>
        <w:t>《</w:t>
      </w:r>
      <w:r>
        <w:rPr>
          <w:rFonts w:hint="eastAsia" w:ascii="Times New Roman" w:hAnsi="Times New Roman" w:eastAsia="Times New Roman" w:cs="Times New Roman"/>
          <w:color w:val="auto"/>
          <w:sz w:val="24"/>
          <w:szCs w:val="24"/>
          <w:highlight w:val="none"/>
        </w:rPr>
        <w:t>江宁经济技术开发区总体发展规划（</w:t>
      </w:r>
      <w:sdt>
        <w:sdtPr>
          <w:rPr>
            <w:color w:val="auto"/>
            <w:highlight w:val="none"/>
          </w:rPr>
          <w:alias w:val="易错词检查"/>
          <w:tag w:val="auto"/>
          <w:id w:val="1060603"/>
        </w:sdtPr>
        <w:sdtEndPr>
          <w:rPr>
            <w:color w:val="auto"/>
            <w:highlight w:val="none"/>
          </w:rPr>
        </w:sdtEndPr>
        <w:sdtContent>
          <w:bookmarkStart w:id="488" w:name="bkReivew1060603"/>
          <w:r>
            <w:rPr>
              <w:rFonts w:hint="eastAsia" w:ascii="Times New Roman" w:hAnsi="Times New Roman" w:eastAsia="Times New Roman" w:cs="Times New Roman"/>
              <w:color w:val="auto"/>
              <w:sz w:val="24"/>
              <w:szCs w:val="24"/>
              <w:highlight w:val="none"/>
            </w:rPr>
            <w:t>2020-2035</w:t>
          </w:r>
          <w:bookmarkEnd w:id="488"/>
        </w:sdtContent>
      </w:sdt>
      <w:r>
        <w:rPr>
          <w:rFonts w:hint="eastAsia" w:ascii="Times New Roman" w:hAnsi="Times New Roman" w:eastAsia="Times New Roman" w:cs="Times New Roman"/>
          <w:color w:val="auto"/>
          <w:sz w:val="24"/>
          <w:szCs w:val="24"/>
          <w:highlight w:val="none"/>
        </w:rPr>
        <w:t>）环境影响报告书</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的审查意见</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环审</w:t>
      </w:r>
      <w:r>
        <w:rPr>
          <w:rFonts w:hint="default" w:ascii="Times New Roman" w:hAnsi="Times New Roman" w:eastAsia="宋体" w:cs="Times New Roman"/>
          <w:color w:val="auto"/>
          <w:sz w:val="24"/>
          <w:szCs w:val="24"/>
          <w:highlight w:val="none"/>
        </w:rPr>
        <w:t>〔202</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46</w:t>
      </w:r>
      <w:r>
        <w:rPr>
          <w:rFonts w:hint="default" w:ascii="Times New Roman" w:hAnsi="Times New Roman" w:eastAsia="宋体" w:cs="Times New Roman"/>
          <w:color w:val="auto"/>
          <w:sz w:val="24"/>
          <w:szCs w:val="24"/>
          <w:highlight w:val="none"/>
        </w:rPr>
        <w:t>号</w:t>
      </w:r>
      <w:r>
        <w:rPr>
          <w:rFonts w:hint="eastAsia" w:ascii="Times New Roman" w:hAnsi="Times New Roman" w:eastAsia="宋体" w:cs="Times New Roman"/>
          <w:color w:val="auto"/>
          <w:sz w:val="24"/>
          <w:szCs w:val="24"/>
          <w:highlight w:val="none"/>
          <w:lang w:eastAsia="zh-CN"/>
        </w:rPr>
        <w:t>。</w:t>
      </w:r>
      <w:bookmarkEnd w:id="486"/>
      <w:bookmarkStart w:id="489" w:name="pindex493"/>
      <w:bookmarkEnd w:id="489"/>
    </w:p>
    <w:bookmarkEnd w:id="483"/>
    <w:bookmarkEnd w:id="487"/>
    <w:p w14:paraId="62DA80AC">
      <w:pPr>
        <w:tabs>
          <w:tab w:val="left" w:pos="1823"/>
        </w:tabs>
        <w:bidi w:val="0"/>
        <w:jc w:val="left"/>
        <w:rPr>
          <w:rFonts w:hint="eastAsia" w:ascii="Arial" w:hAnsi="Arial" w:eastAsia="宋体" w:cs="Arial"/>
          <w:snapToGrid w:val="0"/>
          <w:color w:val="auto"/>
          <w:kern w:val="0"/>
          <w:sz w:val="21"/>
          <w:szCs w:val="21"/>
          <w:highlight w:val="none"/>
          <w:lang w:val="en-US" w:eastAsia="zh-CN" w:bidi="ar-SA"/>
        </w:rPr>
        <w:sectPr>
          <w:headerReference r:id="rId9" w:type="default"/>
          <w:footerReference r:id="rId10" w:type="default"/>
          <w:pgSz w:w="11907" w:h="16839"/>
          <w:pgMar w:top="1134" w:right="1769" w:bottom="1169" w:left="1771" w:header="863" w:footer="991" w:gutter="0"/>
          <w:pgBorders>
            <w:top w:val="none" w:sz="0" w:space="0"/>
            <w:left w:val="none" w:sz="0" w:space="0"/>
            <w:bottom w:val="none" w:sz="0" w:space="0"/>
            <w:right w:val="none" w:sz="0" w:space="0"/>
          </w:pgBorders>
          <w:pgNumType w:fmt="decimal"/>
          <w:cols w:space="720" w:num="1"/>
        </w:sectPr>
      </w:pPr>
      <w:r>
        <w:rPr>
          <w:rFonts w:hint="eastAsia" w:eastAsia="宋体" w:cs="Arial"/>
          <w:snapToGrid w:val="0"/>
          <w:color w:val="auto"/>
          <w:kern w:val="0"/>
          <w:sz w:val="21"/>
          <w:szCs w:val="21"/>
          <w:highlight w:val="none"/>
          <w:lang w:val="en-US" w:eastAsia="zh-CN" w:bidi="ar-SA"/>
        </w:rPr>
        <w:tab/>
      </w:r>
    </w:p>
    <w:p w14:paraId="0B9F53F4">
      <w:pPr>
        <w:keepNext w:val="0"/>
        <w:keepLines w:val="0"/>
        <w:pageBreakBefore w:val="0"/>
        <w:widowControl/>
        <w:kinsoku w:val="0"/>
        <w:wordWrap/>
        <w:overflowPunct/>
        <w:topLinePunct w:val="0"/>
        <w:autoSpaceDE w:val="0"/>
        <w:autoSpaceDN w:val="0"/>
        <w:bidi w:val="0"/>
        <w:adjustRightInd w:val="0"/>
        <w:snapToGrid w:val="0"/>
        <w:spacing w:before="91" w:line="360" w:lineRule="auto"/>
        <w:ind w:left="34"/>
        <w:textAlignment w:val="baseline"/>
        <w:outlineLvl w:val="0"/>
        <w:rPr>
          <w:rFonts w:hint="eastAsia" w:ascii="Times New Roman" w:hAnsi="Times New Roman" w:eastAsia="Times New Roman" w:cs="Times New Roman"/>
          <w:b/>
          <w:bCs/>
          <w:color w:val="auto"/>
          <w:spacing w:val="-2"/>
          <w:sz w:val="28"/>
          <w:szCs w:val="28"/>
          <w:highlight w:val="none"/>
          <w:lang w:val="en-US" w:eastAsia="zh-CN"/>
        </w:rPr>
      </w:pPr>
      <w:bookmarkStart w:id="490" w:name="bookmark23"/>
      <w:bookmarkEnd w:id="490"/>
      <w:bookmarkStart w:id="491" w:name="_Toc31676"/>
      <w:r>
        <w:rPr>
          <w:rFonts w:hint="eastAsia" w:ascii="Times New Roman" w:hAnsi="Times New Roman" w:eastAsia="Times New Roman" w:cs="Times New Roman"/>
          <w:b/>
          <w:bCs/>
          <w:color w:val="auto"/>
          <w:spacing w:val="-2"/>
          <w:sz w:val="28"/>
          <w:szCs w:val="28"/>
          <w:highlight w:val="none"/>
          <w:lang w:val="en-US" w:eastAsia="zh-CN"/>
        </w:rPr>
        <w:t>3环境功能区划、环境标准</w:t>
      </w:r>
      <w:bookmarkEnd w:id="491"/>
      <w:bookmarkStart w:id="492" w:name="pindex495"/>
      <w:bookmarkEnd w:id="492"/>
    </w:p>
    <w:p w14:paraId="35038419">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color w:val="auto"/>
          <w:highlight w:val="none"/>
        </w:rPr>
      </w:pPr>
      <w:bookmarkStart w:id="493" w:name="bookmark25"/>
      <w:bookmarkEnd w:id="493"/>
      <w:bookmarkStart w:id="494" w:name="OLE_LINK48"/>
      <w:bookmarkStart w:id="495" w:name="_Toc9220"/>
      <w:bookmarkStart w:id="496" w:name="OLE_LINK50"/>
      <w:bookmarkStart w:id="497" w:name="OLE_LINK49"/>
      <w:bookmarkStart w:id="498" w:name="OLE_LINK47"/>
      <w:r>
        <w:rPr>
          <w:rFonts w:ascii="Times New Roman" w:hAnsi="Times New Roman" w:eastAsia="Times New Roman" w:cs="Times New Roman"/>
          <w:b/>
          <w:bCs/>
          <w:color w:val="auto"/>
          <w:spacing w:val="-3"/>
          <w:sz w:val="24"/>
          <w:szCs w:val="24"/>
          <w:highlight w:val="none"/>
        </w:rPr>
        <w:t>3.1</w:t>
      </w:r>
      <w:r>
        <w:rPr>
          <w:rFonts w:hint="eastAsia" w:ascii="Times New Roman" w:hAnsi="Times New Roman" w:eastAsia="Times New Roman" w:cs="Times New Roman"/>
          <w:b/>
          <w:bCs/>
          <w:color w:val="auto"/>
          <w:spacing w:val="-3"/>
          <w:sz w:val="24"/>
          <w:szCs w:val="24"/>
          <w:highlight w:val="none"/>
          <w:lang w:val="en-US" w:eastAsia="zh-CN"/>
        </w:rPr>
        <w:t>环境</w:t>
      </w:r>
      <w:r>
        <w:rPr>
          <w:rFonts w:ascii="Times New Roman" w:hAnsi="Times New Roman" w:eastAsia="Times New Roman" w:cs="Times New Roman"/>
          <w:b/>
          <w:bCs/>
          <w:color w:val="auto"/>
          <w:spacing w:val="-3"/>
          <w:sz w:val="24"/>
          <w:szCs w:val="24"/>
          <w:highlight w:val="none"/>
        </w:rPr>
        <w:t>功能区划</w:t>
      </w:r>
      <w:bookmarkEnd w:id="494"/>
      <w:bookmarkEnd w:id="495"/>
      <w:bookmarkStart w:id="499" w:name="pindex496"/>
      <w:bookmarkEnd w:id="499"/>
    </w:p>
    <w:bookmarkEnd w:id="496"/>
    <w:p w14:paraId="300A56E2">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2"/>
        <w:rPr>
          <w:color w:val="auto"/>
          <w:highlight w:val="none"/>
        </w:rPr>
      </w:pPr>
      <w:bookmarkStart w:id="500" w:name="_Toc21041"/>
      <w:bookmarkStart w:id="501" w:name="OLE_LINK51"/>
      <w:r>
        <w:rPr>
          <w:rFonts w:ascii="Times New Roman" w:hAnsi="Times New Roman" w:eastAsia="Times New Roman" w:cs="Times New Roman"/>
          <w:b/>
          <w:bCs/>
          <w:color w:val="auto"/>
          <w:spacing w:val="-3"/>
          <w:sz w:val="24"/>
          <w:szCs w:val="24"/>
          <w:highlight w:val="none"/>
        </w:rPr>
        <w:t>3.1</w:t>
      </w:r>
      <w:r>
        <w:rPr>
          <w:rFonts w:hint="eastAsia" w:ascii="Times New Roman" w:hAnsi="Times New Roman" w:eastAsia="宋体" w:cs="Times New Roman"/>
          <w:b/>
          <w:bCs/>
          <w:color w:val="auto"/>
          <w:spacing w:val="-3"/>
          <w:sz w:val="24"/>
          <w:szCs w:val="24"/>
          <w:highlight w:val="none"/>
          <w:lang w:val="en-US" w:eastAsia="zh-CN"/>
        </w:rPr>
        <w:t>.1</w:t>
      </w:r>
      <w:r>
        <w:rPr>
          <w:rFonts w:hint="eastAsia" w:ascii="Times New Roman" w:hAnsi="Times New Roman" w:eastAsia="Times New Roman" w:cs="Times New Roman"/>
          <w:b/>
          <w:bCs/>
          <w:color w:val="auto"/>
          <w:spacing w:val="-3"/>
          <w:sz w:val="24"/>
          <w:szCs w:val="24"/>
          <w:highlight w:val="none"/>
          <w:lang w:val="en-US" w:eastAsia="zh-CN"/>
        </w:rPr>
        <w:t>主体</w:t>
      </w:r>
      <w:r>
        <w:rPr>
          <w:rFonts w:ascii="Times New Roman" w:hAnsi="Times New Roman" w:eastAsia="Times New Roman" w:cs="Times New Roman"/>
          <w:b/>
          <w:bCs/>
          <w:color w:val="auto"/>
          <w:spacing w:val="-3"/>
          <w:sz w:val="24"/>
          <w:szCs w:val="24"/>
          <w:highlight w:val="none"/>
        </w:rPr>
        <w:t>功能区划</w:t>
      </w:r>
      <w:bookmarkEnd w:id="500"/>
      <w:bookmarkStart w:id="502" w:name="pindex497"/>
      <w:bookmarkEnd w:id="502"/>
    </w:p>
    <w:p w14:paraId="61588724">
      <w:pPr>
        <w:pStyle w:val="14"/>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ascii="Times New Roman" w:hAnsi="Times New Roman" w:cs="Times New Roman"/>
          <w:color w:val="auto"/>
          <w:highlight w:val="none"/>
        </w:rPr>
      </w:pPr>
      <w:r>
        <w:rPr>
          <w:rFonts w:ascii="Times New Roman" w:hAnsi="Times New Roman" w:cs="Times New Roman"/>
          <w:color w:val="auto"/>
          <w:highlight w:val="none"/>
        </w:rPr>
        <w:t>根据《全国主体功能区规划》（国发〔2010〕46号），长江三角洲地区为国家层面的优化开发区域，包括上海市和江苏省、浙江省的部分地区；根据《江苏省主体功能区规划（2011~2020）》（苏政发〔2014〕20号），江苏省的优化开发区域指长三角（北翼）核心区，也是国家层面的优化开发区域，包括南京、无锡、常州、苏州、镇江的大部分地区及南通、扬州、泰州的城区。</w:t>
      </w:r>
    </w:p>
    <w:bookmarkEnd w:id="501"/>
    <w:p w14:paraId="22B3FA78">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2"/>
        <w:rPr>
          <w:color w:val="auto"/>
          <w:highlight w:val="none"/>
        </w:rPr>
      </w:pPr>
      <w:bookmarkStart w:id="503" w:name="OLE_LINK52"/>
      <w:bookmarkStart w:id="504" w:name="_Toc10569"/>
      <w:r>
        <w:rPr>
          <w:rFonts w:ascii="Times New Roman" w:hAnsi="Times New Roman" w:eastAsia="Times New Roman" w:cs="Times New Roman"/>
          <w:b/>
          <w:bCs/>
          <w:color w:val="auto"/>
          <w:spacing w:val="-3"/>
          <w:sz w:val="24"/>
          <w:szCs w:val="24"/>
          <w:highlight w:val="none"/>
        </w:rPr>
        <w:t>3.1</w:t>
      </w:r>
      <w:r>
        <w:rPr>
          <w:rFonts w:hint="eastAsia" w:ascii="Times New Roman" w:hAnsi="Times New Roman" w:eastAsia="宋体" w:cs="Times New Roman"/>
          <w:b/>
          <w:bCs/>
          <w:color w:val="auto"/>
          <w:spacing w:val="-3"/>
          <w:sz w:val="24"/>
          <w:szCs w:val="24"/>
          <w:highlight w:val="none"/>
          <w:lang w:val="en-US" w:eastAsia="zh-CN"/>
        </w:rPr>
        <w:t>.2</w:t>
      </w:r>
      <w:r>
        <w:rPr>
          <w:rFonts w:hint="eastAsia" w:ascii="Times New Roman" w:hAnsi="Times New Roman" w:eastAsia="Times New Roman" w:cs="Times New Roman"/>
          <w:b/>
          <w:bCs/>
          <w:color w:val="auto"/>
          <w:spacing w:val="-3"/>
          <w:sz w:val="24"/>
          <w:szCs w:val="24"/>
          <w:highlight w:val="none"/>
          <w:lang w:val="en-US" w:eastAsia="zh-CN"/>
        </w:rPr>
        <w:t>环境</w:t>
      </w:r>
      <w:r>
        <w:rPr>
          <w:rFonts w:ascii="Times New Roman" w:hAnsi="Times New Roman" w:eastAsia="Times New Roman" w:cs="Times New Roman"/>
          <w:b/>
          <w:bCs/>
          <w:color w:val="auto"/>
          <w:spacing w:val="-3"/>
          <w:sz w:val="24"/>
          <w:szCs w:val="24"/>
          <w:highlight w:val="none"/>
        </w:rPr>
        <w:t>功能区划</w:t>
      </w:r>
      <w:bookmarkEnd w:id="503"/>
      <w:bookmarkEnd w:id="504"/>
      <w:bookmarkStart w:id="505" w:name="pindex499"/>
      <w:bookmarkEnd w:id="505"/>
    </w:p>
    <w:bookmarkEnd w:id="497"/>
    <w:bookmarkEnd w:id="498"/>
    <w:p w14:paraId="0AFCA47C">
      <w:pPr>
        <w:pStyle w:val="14"/>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highlight w:val="none"/>
          <w:lang w:val="en-US" w:eastAsia="zh-CN"/>
        </w:rPr>
      </w:pPr>
      <w:bookmarkStart w:id="506" w:name="OLE_LINK53"/>
      <w:r>
        <w:rPr>
          <w:rFonts w:hint="eastAsia" w:ascii="Times New Roman" w:hAnsi="Times New Roman" w:eastAsia="宋体" w:cs="Times New Roman"/>
          <w:snapToGrid w:val="0"/>
          <w:color w:val="auto"/>
          <w:kern w:val="0"/>
          <w:sz w:val="24"/>
          <w:szCs w:val="24"/>
          <w:highlight w:val="none"/>
          <w:lang w:val="en-US" w:eastAsia="zh-CN" w:bidi="ar-SA"/>
        </w:rPr>
        <w:t>（1）</w:t>
      </w:r>
      <w:r>
        <w:rPr>
          <w:rFonts w:hint="default" w:ascii="Times New Roman" w:hAnsi="Times New Roman" w:cs="Times New Roman"/>
          <w:color w:val="auto"/>
          <w:highlight w:val="none"/>
        </w:rPr>
        <w:t>大气</w:t>
      </w:r>
      <w:r>
        <w:rPr>
          <w:rFonts w:hint="eastAsia" w:ascii="Times New Roman" w:hAnsi="Times New Roman" w:cs="Times New Roman"/>
          <w:color w:val="auto"/>
          <w:highlight w:val="none"/>
          <w:lang w:val="en-US" w:eastAsia="zh-CN"/>
        </w:rPr>
        <w:t>环境</w:t>
      </w:r>
      <w:bookmarkStart w:id="507" w:name="pindex500"/>
      <w:bookmarkEnd w:id="507"/>
    </w:p>
    <w:p w14:paraId="60264F7E">
      <w:pPr>
        <w:pStyle w:val="14"/>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根据《江苏省环境空气质量功能区划》，</w:t>
      </w:r>
      <w:r>
        <w:rPr>
          <w:rFonts w:hint="default" w:ascii="Times New Roman" w:hAnsi="Times New Roman" w:cs="Times New Roman"/>
          <w:color w:val="auto"/>
          <w:highlight w:val="none"/>
          <w:lang w:val="en-US" w:eastAsia="zh-CN"/>
        </w:rPr>
        <w:t>牛首-祖堂风景名胜区为环境空气质量一类区，达到《环境空气质量标准》（GB3095-2012）一级标准</w:t>
      </w:r>
      <w:r>
        <w:rPr>
          <w:rFonts w:hint="eastAsia" w:ascii="Times New Roman" w:hAnsi="Times New Roman" w:cs="Times New Roman"/>
          <w:color w:val="auto"/>
          <w:highlight w:val="none"/>
          <w:lang w:val="en-US" w:eastAsia="zh-CN"/>
        </w:rPr>
        <w:t>，</w:t>
      </w:r>
      <w:bookmarkStart w:id="508" w:name="OLE_LINK30"/>
      <w:r>
        <w:rPr>
          <w:rFonts w:hint="eastAsia" w:ascii="Times New Roman" w:hAnsi="Times New Roman" w:cs="Times New Roman"/>
          <w:color w:val="auto"/>
          <w:highlight w:val="none"/>
          <w:lang w:val="en-US" w:eastAsia="zh-CN"/>
        </w:rPr>
        <w:t>开发区内其他区域</w:t>
      </w:r>
      <w:bookmarkEnd w:id="508"/>
      <w:r>
        <w:rPr>
          <w:rFonts w:hint="default" w:ascii="Times New Roman" w:hAnsi="Times New Roman" w:cs="Times New Roman"/>
          <w:color w:val="auto"/>
          <w:highlight w:val="none"/>
        </w:rPr>
        <w:t>为环境空气质量二类区，达到《环境空气质量标准》</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GB3095-2012</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二级标准</w:t>
      </w:r>
      <w:r>
        <w:rPr>
          <w:rFonts w:hint="default" w:ascii="Times New Roman" w:hAnsi="Times New Roman" w:cs="Times New Roman"/>
          <w:color w:val="auto"/>
          <w:highlight w:val="none"/>
          <w:lang w:eastAsia="zh-CN"/>
        </w:rPr>
        <w:t>。</w:t>
      </w:r>
    </w:p>
    <w:p w14:paraId="52742C0E">
      <w:pPr>
        <w:pStyle w:val="14"/>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highlight w:val="none"/>
        </w:rPr>
      </w:pPr>
      <w:r>
        <w:rPr>
          <w:rFonts w:hint="default" w:ascii="Times New Roman" w:hAnsi="Times New Roman" w:eastAsia="宋体" w:cs="Times New Roman"/>
          <w:snapToGrid w:val="0"/>
          <w:color w:val="auto"/>
          <w:kern w:val="0"/>
          <w:sz w:val="24"/>
          <w:szCs w:val="24"/>
          <w:highlight w:val="none"/>
          <w:lang w:val="en-US" w:eastAsia="en-US" w:bidi="ar-SA"/>
        </w:rPr>
        <w:t>（2）</w:t>
      </w:r>
      <w:r>
        <w:rPr>
          <w:rFonts w:hint="default" w:ascii="Times New Roman" w:hAnsi="Times New Roman" w:cs="Times New Roman"/>
          <w:color w:val="auto"/>
          <w:highlight w:val="none"/>
        </w:rPr>
        <w:t>地表水</w:t>
      </w:r>
      <w:r>
        <w:rPr>
          <w:rFonts w:hint="eastAsia" w:ascii="Times New Roman" w:hAnsi="Times New Roman" w:cs="Times New Roman"/>
          <w:color w:val="auto"/>
          <w:highlight w:val="none"/>
          <w:lang w:val="en-US" w:eastAsia="zh-CN"/>
        </w:rPr>
        <w:t>环境</w:t>
      </w:r>
      <w:bookmarkStart w:id="509" w:name="pindex502"/>
      <w:bookmarkEnd w:id="509"/>
    </w:p>
    <w:p w14:paraId="50EE4FC2">
      <w:pPr>
        <w:pStyle w:val="14"/>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highlight w:val="none"/>
          <w:lang w:val="en-US" w:eastAsia="zh-CN"/>
        </w:rPr>
      </w:pPr>
      <w:bookmarkStart w:id="510" w:name="sys5030118"/>
      <w:r>
        <w:rPr>
          <w:rFonts w:hint="default" w:ascii="Times New Roman" w:hAnsi="Times New Roman" w:cs="Times New Roman"/>
          <w:color w:val="auto"/>
          <w:highlight w:val="none"/>
        </w:rPr>
        <w:t>根据江苏省人民政府批复的《江苏省地表水（环境）功能区划》</w:t>
      </w:r>
      <w:r>
        <w:rPr>
          <w:rFonts w:hint="eastAsia" w:ascii="Times New Roman" w:hAnsi="Times New Roman" w:cs="Times New Roman"/>
          <w:color w:val="auto"/>
          <w:highlight w:val="none"/>
          <w:lang w:val="en-US" w:eastAsia="zh-CN"/>
        </w:rPr>
        <w:t>及江宁区相关要求，秦淮河（云台山河河口－牛首山河口河段）、牛首山河、秦淮新河、云台山河、</w:t>
      </w:r>
      <w:bookmarkStart w:id="511" w:name="OLE_LINK365"/>
      <w:r>
        <w:rPr>
          <w:rFonts w:hint="eastAsia" w:ascii="Times New Roman" w:hAnsi="Times New Roman" w:eastAsia="宋体" w:cs="Times New Roman"/>
          <w:color w:val="auto"/>
          <w:sz w:val="24"/>
          <w:szCs w:val="24"/>
          <w:highlight w:val="none"/>
          <w:lang w:val="en-US" w:eastAsia="zh-CN"/>
        </w:rPr>
        <w:t>句容河</w:t>
      </w:r>
      <w:r>
        <w:rPr>
          <w:rFonts w:hint="eastAsia" w:ascii="Times New Roman" w:hAnsi="Times New Roman" w:cs="Times New Roman"/>
          <w:color w:val="auto"/>
          <w:sz w:val="24"/>
          <w:szCs w:val="24"/>
          <w:highlight w:val="none"/>
          <w:lang w:val="en-US" w:eastAsia="zh-CN"/>
        </w:rPr>
        <w:t>、</w:t>
      </w:r>
      <w:r>
        <w:rPr>
          <w:rFonts w:hint="eastAsia" w:ascii="Times New Roman" w:hAnsi="Times New Roman" w:cs="Times New Roman"/>
          <w:color w:val="auto"/>
          <w:highlight w:val="none"/>
          <w:lang w:val="en-US" w:eastAsia="zh-CN"/>
        </w:rPr>
        <w:t>风波坟水库、谷里水库</w:t>
      </w:r>
      <w:bookmarkEnd w:id="511"/>
      <w:r>
        <w:rPr>
          <w:rFonts w:hint="eastAsia" w:ascii="Times New Roman" w:hAnsi="Times New Roman" w:cs="Times New Roman"/>
          <w:color w:val="auto"/>
          <w:highlight w:val="none"/>
          <w:lang w:val="en-US" w:eastAsia="zh-CN"/>
        </w:rPr>
        <w:t>执行</w:t>
      </w:r>
      <w:r>
        <w:rPr>
          <w:rFonts w:hint="default" w:ascii="Times New Roman" w:hAnsi="Times New Roman" w:cs="Times New Roman"/>
          <w:color w:val="auto"/>
          <w:highlight w:val="none"/>
        </w:rPr>
        <w:t>《地表水环境质量标准》（GB3838-2002）中Ⅲ类标准</w:t>
      </w:r>
      <w:r>
        <w:rPr>
          <w:rFonts w:hint="eastAsia" w:ascii="Times New Roman" w:hAnsi="Times New Roman" w:cs="Times New Roman"/>
          <w:color w:val="auto"/>
          <w:highlight w:val="none"/>
          <w:lang w:eastAsia="zh-CN"/>
        </w:rPr>
        <w:t>；</w:t>
      </w:r>
      <w:bookmarkEnd w:id="510"/>
      <w:bookmarkStart w:id="512" w:name="sys50311863"/>
      <w:r>
        <w:rPr>
          <w:rFonts w:hint="eastAsia" w:ascii="Times New Roman" w:hAnsi="Times New Roman" w:cs="Times New Roman"/>
          <w:color w:val="auto"/>
          <w:highlight w:val="none"/>
          <w:lang w:val="en-US" w:eastAsia="zh-CN"/>
        </w:rPr>
        <w:t>秦淮河（牛首山河河口－江宁上坊门桥段）、胜利河、百家湖、九龙湖执行</w:t>
      </w:r>
      <w:r>
        <w:rPr>
          <w:rFonts w:hint="default" w:ascii="Times New Roman" w:hAnsi="Times New Roman" w:cs="Times New Roman"/>
          <w:color w:val="auto"/>
          <w:highlight w:val="none"/>
        </w:rPr>
        <w:t>《地表水环境质量标准》（GB3838-2002）中Ⅳ类标准</w:t>
      </w:r>
      <w:r>
        <w:rPr>
          <w:rFonts w:hint="eastAsia" w:ascii="Times New Roman" w:hAnsi="Times New Roman" w:cs="Times New Roman"/>
          <w:color w:val="auto"/>
          <w:highlight w:val="none"/>
          <w:lang w:eastAsia="zh-CN"/>
        </w:rPr>
        <w:t>。</w:t>
      </w:r>
      <w:bookmarkEnd w:id="512"/>
    </w:p>
    <w:p w14:paraId="6C9303B4">
      <w:pPr>
        <w:pStyle w:val="14"/>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eastAsia" w:ascii="Times New Roman" w:hAnsi="Times New Roman" w:cs="Times New Roman"/>
          <w:color w:val="auto"/>
          <w:highlight w:val="none"/>
          <w:lang w:val="en-US" w:eastAsia="zh-CN"/>
        </w:rPr>
      </w:pPr>
      <w:bookmarkStart w:id="513" w:name="OLE_LINK59"/>
      <w:r>
        <w:rPr>
          <w:rFonts w:hint="eastAsia" w:ascii="Times New Roman" w:hAnsi="Times New Roman" w:eastAsia="宋体" w:cs="Times New Roman"/>
          <w:snapToGrid w:val="0"/>
          <w:color w:val="auto"/>
          <w:kern w:val="0"/>
          <w:sz w:val="24"/>
          <w:szCs w:val="24"/>
          <w:highlight w:val="none"/>
          <w:lang w:val="en-US" w:eastAsia="zh-CN" w:bidi="ar-SA"/>
        </w:rPr>
        <w:t>（3）</w:t>
      </w:r>
      <w:r>
        <w:rPr>
          <w:rFonts w:hint="default" w:ascii="Times New Roman" w:hAnsi="Times New Roman" w:cs="Times New Roman"/>
          <w:color w:val="auto"/>
          <w:highlight w:val="none"/>
        </w:rPr>
        <w:t>声</w:t>
      </w:r>
      <w:r>
        <w:rPr>
          <w:rFonts w:hint="eastAsia" w:ascii="Times New Roman" w:hAnsi="Times New Roman" w:cs="Times New Roman"/>
          <w:color w:val="auto"/>
          <w:highlight w:val="none"/>
          <w:lang w:val="en-US" w:eastAsia="zh-CN"/>
        </w:rPr>
        <w:t>环境</w:t>
      </w:r>
      <w:bookmarkStart w:id="514" w:name="pindex504"/>
      <w:bookmarkEnd w:id="514"/>
    </w:p>
    <w:bookmarkEnd w:id="513"/>
    <w:p w14:paraId="24411815">
      <w:pPr>
        <w:pStyle w:val="14"/>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根据《声环境质量标准》（GB3096-2008）及《市政府关于批转市环保局</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南京市声环境功能区划分调整方案</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的通知》（宁政发〔2014〕34号），本次评价范围秣陵集镇</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欣旺花苑二期北-兴旺路-龙秣路-秣隆农行-秣陵初级中学-双龙大道-苏源大道</w:t>
      </w:r>
      <w:r>
        <w:rPr>
          <w:rFonts w:hint="eastAsia" w:ascii="Times New Roman" w:hAnsi="Times New Roman" w:cs="Times New Roman"/>
          <w:color w:val="auto"/>
          <w:highlight w:val="none"/>
          <w:lang w:eastAsia="zh-CN"/>
        </w:rPr>
        <w:t>南段</w:t>
      </w:r>
      <w:r>
        <w:rPr>
          <w:rFonts w:hint="default" w:ascii="Times New Roman" w:hAnsi="Times New Roman" w:cs="Times New Roman"/>
          <w:color w:val="auto"/>
          <w:highlight w:val="none"/>
        </w:rPr>
        <w:t>-秣周中路-阳山河-双龙大道金杓桥-双龙大道-正方东路-天秣路</w:t>
      </w:r>
      <w:r>
        <w:rPr>
          <w:rFonts w:hint="eastAsia" w:ascii="Times New Roman" w:hAnsi="Times New Roman" w:cs="Times New Roman"/>
          <w:color w:val="auto"/>
          <w:highlight w:val="none"/>
          <w:lang w:eastAsia="zh-CN"/>
        </w:rPr>
        <w:t>）、百家湖街道</w:t>
      </w:r>
      <w:sdt>
        <w:sdtPr>
          <w:rPr>
            <w:color w:val="auto"/>
            <w:highlight w:val="none"/>
          </w:rPr>
          <w:alias w:val="标点符号检查"/>
          <w:tag w:val="auto"/>
          <w:id w:val="173811"/>
        </w:sdtPr>
        <w:sdtEndPr>
          <w:rPr>
            <w:color w:val="auto"/>
            <w:highlight w:val="none"/>
          </w:rPr>
        </w:sdtEndPr>
        <w:sdtContent>
          <w:bookmarkStart w:id="515" w:name="bkReivew173811"/>
          <w:r>
            <w:rPr>
              <w:rFonts w:hint="eastAsia"/>
              <w:color w:val="auto"/>
              <w:highlight w:val="none"/>
              <w:lang w:eastAsia="zh-CN"/>
            </w:rPr>
            <w:t>（</w:t>
          </w:r>
          <w:bookmarkEnd w:id="515"/>
        </w:sdtContent>
      </w:sdt>
      <w:r>
        <w:rPr>
          <w:rFonts w:hint="eastAsia" w:ascii="Times New Roman" w:hAnsi="Times New Roman" w:cs="Times New Roman"/>
          <w:color w:val="auto"/>
          <w:highlight w:val="none"/>
          <w:lang w:eastAsia="zh-CN"/>
        </w:rPr>
        <w:t>秦淮河河定桥-天元中路-秦淮河大桥-青沙嘴-新河村-双龙大道-苏源大道-将军大道一麻田路-秦淮路-双龙大道-河定桥（扣除百家湖片：双龙大道-天元西路-利源中路-胜太路-双龙大道））、东善桥集镇（将军大道吉印大道口-秣周中路口-基督教东善桥教堂-东虹花苑东-东善桥中心幼儿园</w:t>
      </w:r>
      <w:sdt>
        <w:sdtPr>
          <w:rPr>
            <w:color w:val="auto"/>
            <w:highlight w:val="none"/>
          </w:rPr>
          <w:alias w:val="易错词检查"/>
          <w:tag w:val="auto"/>
          <w:id w:val="1150316"/>
        </w:sdtPr>
        <w:sdtEndPr>
          <w:rPr>
            <w:color w:val="auto"/>
            <w:highlight w:val="none"/>
          </w:rPr>
        </w:sdtEndPr>
        <w:sdtContent>
          <w:bookmarkStart w:id="516" w:name="bkReivew1150316"/>
          <w:r>
            <w:rPr>
              <w:rFonts w:hint="eastAsia" w:ascii="Times New Roman" w:hAnsi="Times New Roman" w:cs="Times New Roman"/>
              <w:color w:val="auto"/>
              <w:highlight w:val="none"/>
              <w:lang w:eastAsia="zh-CN"/>
            </w:rPr>
            <w:t>-丹阳大道-丹阳大道</w:t>
          </w:r>
          <w:bookmarkEnd w:id="516"/>
        </w:sdtContent>
      </w:sdt>
      <w:r>
        <w:rPr>
          <w:rFonts w:hint="eastAsia" w:ascii="Times New Roman" w:hAnsi="Times New Roman" w:cs="Times New Roman"/>
          <w:color w:val="auto"/>
          <w:highlight w:val="none"/>
          <w:lang w:eastAsia="zh-CN"/>
        </w:rPr>
        <w:t>铁路口-东阁街西头-吉印大道-将军大道）</w:t>
      </w:r>
      <w:r>
        <w:rPr>
          <w:rFonts w:hint="eastAsia" w:ascii="Times New Roman" w:hAnsi="Times New Roman" w:cs="Times New Roman"/>
          <w:color w:val="auto"/>
          <w:highlight w:val="none"/>
          <w:lang w:val="en-US" w:eastAsia="zh-CN"/>
        </w:rPr>
        <w:t>执行2类标准；</w:t>
      </w:r>
      <w:bookmarkStart w:id="517" w:name="sys50533461"/>
      <w:r>
        <w:rPr>
          <w:rFonts w:hint="eastAsia" w:ascii="Times New Roman" w:hAnsi="Times New Roman" w:cs="Times New Roman"/>
          <w:color w:val="auto"/>
          <w:highlight w:val="none"/>
          <w:lang w:val="en-US" w:eastAsia="zh-CN"/>
        </w:rPr>
        <w:t>高速公路、一级公路、二级公路、城市快速路、城市主干路、城市次干路、城市轨道交通（地面段）、内河航道两侧区域执行4a类标准；</w:t>
      </w:r>
      <w:bookmarkEnd w:id="517"/>
      <w:r>
        <w:rPr>
          <w:rFonts w:hint="eastAsia" w:ascii="Times New Roman" w:hAnsi="Times New Roman" w:cs="Times New Roman"/>
          <w:color w:val="auto"/>
          <w:highlight w:val="none"/>
          <w:lang w:val="en-US" w:eastAsia="zh-CN"/>
        </w:rPr>
        <w:t>除2、4a类以外的区域执行1类标准。</w:t>
      </w:r>
    </w:p>
    <w:p w14:paraId="48D7998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color w:val="auto"/>
          <w:highlight w:val="none"/>
        </w:rPr>
      </w:pPr>
      <w:bookmarkStart w:id="518" w:name="OLE_LINK61"/>
      <w:bookmarkStart w:id="519" w:name="OLE_LINK60"/>
      <w:r>
        <w:rPr>
          <w:rFonts w:hint="eastAsia" w:ascii="Times New Roman" w:hAnsi="Times New Roman" w:eastAsia="宋体" w:cs="Times New Roman"/>
          <w:color w:val="auto"/>
          <w:sz w:val="24"/>
          <w:szCs w:val="24"/>
          <w:highlight w:val="none"/>
          <w:lang w:val="en-US" w:eastAsia="zh-CN"/>
        </w:rPr>
        <w:t>江宁经济技术</w:t>
      </w:r>
      <w:bookmarkEnd w:id="518"/>
      <w:r>
        <w:rPr>
          <w:rFonts w:hint="eastAsia" w:ascii="Times New Roman" w:hAnsi="Times New Roman" w:eastAsia="宋体" w:cs="Times New Roman"/>
          <w:color w:val="auto"/>
          <w:sz w:val="24"/>
          <w:szCs w:val="24"/>
          <w:highlight w:val="none"/>
          <w:lang w:val="en-US" w:eastAsia="zh-CN"/>
        </w:rPr>
        <w:t>开发区</w:t>
      </w:r>
      <w:bookmarkEnd w:id="519"/>
      <w:r>
        <w:rPr>
          <w:rFonts w:hint="default" w:ascii="Times New Roman" w:hAnsi="Times New Roman" w:eastAsia="宋体" w:cs="Times New Roman"/>
          <w:color w:val="auto"/>
          <w:sz w:val="24"/>
          <w:szCs w:val="24"/>
          <w:highlight w:val="none"/>
        </w:rPr>
        <w:t>声环境功能区划详见图3.</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bookmarkEnd w:id="506"/>
    </w:p>
    <w:p w14:paraId="6392A173">
      <w:pPr>
        <w:pStyle w:val="14"/>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eastAsia" w:ascii="Times New Roman" w:hAnsi="Times New Roman" w:cs="Times New Roman"/>
          <w:color w:val="auto"/>
          <w:highlight w:val="none"/>
          <w:lang w:val="en-US" w:eastAsia="zh-CN"/>
        </w:rPr>
      </w:pPr>
      <w:r>
        <w:rPr>
          <w:rFonts w:hint="eastAsia" w:ascii="Times New Roman" w:hAnsi="Times New Roman" w:eastAsia="宋体" w:cs="Times New Roman"/>
          <w:snapToGrid w:val="0"/>
          <w:color w:val="auto"/>
          <w:kern w:val="0"/>
          <w:sz w:val="24"/>
          <w:szCs w:val="24"/>
          <w:highlight w:val="none"/>
          <w:lang w:val="en-US" w:eastAsia="zh-CN" w:bidi="ar-SA"/>
        </w:rPr>
        <w:t>（4）</w:t>
      </w:r>
      <w:r>
        <w:rPr>
          <w:rFonts w:hint="eastAsia"/>
          <w:color w:val="auto"/>
          <w:highlight w:val="none"/>
          <w:lang w:val="en-US" w:eastAsia="zh-CN"/>
        </w:rPr>
        <w:t>地下水</w:t>
      </w:r>
      <w:r>
        <w:rPr>
          <w:rFonts w:hint="eastAsia" w:ascii="Times New Roman" w:hAnsi="Times New Roman" w:cs="Times New Roman"/>
          <w:color w:val="auto"/>
          <w:highlight w:val="none"/>
          <w:lang w:val="en-US" w:eastAsia="zh-CN"/>
        </w:rPr>
        <w:t>环境</w:t>
      </w:r>
      <w:bookmarkStart w:id="520" w:name="pindex507"/>
      <w:bookmarkEnd w:id="520"/>
    </w:p>
    <w:p w14:paraId="5E0CFDBF">
      <w:pPr>
        <w:spacing w:line="360" w:lineRule="auto"/>
        <w:ind w:firstLine="482"/>
        <w:rPr>
          <w:color w:val="auto"/>
          <w:sz w:val="24"/>
        </w:rPr>
      </w:pPr>
      <w:bookmarkStart w:id="521" w:name="OLE_LINK62"/>
      <w:r>
        <w:rPr>
          <w:rFonts w:hint="eastAsia" w:ascii="Times New Roman" w:hAnsi="Times New Roman" w:eastAsia="宋体" w:cs="Times New Roman"/>
          <w:color w:val="auto"/>
          <w:sz w:val="24"/>
          <w:szCs w:val="24"/>
          <w:highlight w:val="none"/>
          <w:lang w:val="en-US" w:eastAsia="zh-CN"/>
        </w:rPr>
        <w:t>江宁经济技术开发区</w:t>
      </w:r>
      <w:bookmarkEnd w:id="521"/>
      <w:r>
        <w:rPr>
          <w:color w:val="auto"/>
          <w:sz w:val="24"/>
          <w:highlight w:val="none"/>
        </w:rPr>
        <w:t>及周边</w:t>
      </w:r>
      <w:r>
        <w:rPr>
          <w:color w:val="auto"/>
          <w:sz w:val="24"/>
        </w:rPr>
        <w:t>区域目前暂无地下水环境功能区划。</w:t>
      </w:r>
    </w:p>
    <w:p w14:paraId="47F16699">
      <w:pPr>
        <w:spacing w:line="342" w:lineRule="auto"/>
        <w:rPr>
          <w:rFonts w:ascii="宋体" w:hAnsi="宋体" w:eastAsia="宋体" w:cs="宋体"/>
          <w:color w:val="auto"/>
          <w:sz w:val="24"/>
          <w:szCs w:val="24"/>
        </w:rPr>
        <w:sectPr>
          <w:footerReference r:id="rId11" w:type="default"/>
          <w:pgSz w:w="11907" w:h="16839"/>
          <w:pgMar w:top="1134" w:right="1712" w:bottom="1169" w:left="1771" w:header="863" w:footer="991" w:gutter="0"/>
          <w:pgBorders>
            <w:top w:val="none" w:sz="0" w:space="0"/>
            <w:left w:val="none" w:sz="0" w:space="0"/>
            <w:bottom w:val="none" w:sz="0" w:space="0"/>
            <w:right w:val="none" w:sz="0" w:space="0"/>
          </w:pgBorders>
          <w:pgNumType w:fmt="decimal"/>
          <w:cols w:space="720" w:num="1"/>
        </w:sectPr>
      </w:pPr>
    </w:p>
    <w:p w14:paraId="4D8E0FF3">
      <w:pPr>
        <w:jc w:val="center"/>
        <w:rPr>
          <w:rFonts w:hint="default" w:ascii="Times New Roman" w:hAnsi="Times New Roman" w:cs="Times New Roman"/>
          <w:color w:val="auto"/>
        </w:rPr>
      </w:pPr>
      <w:r>
        <w:rPr>
          <w:color w:val="auto"/>
        </w:rPr>
        <w:drawing>
          <wp:inline distT="0" distB="0" distL="114300" distR="114300">
            <wp:extent cx="7689850" cy="4988560"/>
            <wp:effectExtent l="0" t="0" r="6350" b="2540"/>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44"/>
                    <a:srcRect t="3065" r="423" b="1923"/>
                    <a:stretch>
                      <a:fillRect/>
                    </a:stretch>
                  </pic:blipFill>
                  <pic:spPr>
                    <a:xfrm>
                      <a:off x="0" y="0"/>
                      <a:ext cx="7689850" cy="4988560"/>
                    </a:xfrm>
                    <a:prstGeom prst="rect">
                      <a:avLst/>
                    </a:prstGeom>
                    <a:noFill/>
                    <a:ln>
                      <a:noFill/>
                    </a:ln>
                  </pic:spPr>
                </pic:pic>
              </a:graphicData>
            </a:graphic>
          </wp:inline>
        </w:drawing>
      </w:r>
    </w:p>
    <w:p w14:paraId="3ECC4EF3">
      <w:pPr>
        <w:spacing w:before="204" w:line="220" w:lineRule="auto"/>
        <w:jc w:val="center"/>
        <w:rPr>
          <w:rFonts w:ascii="宋体" w:hAnsi="宋体" w:eastAsia="宋体" w:cs="宋体"/>
          <w:color w:val="auto"/>
          <w:sz w:val="24"/>
          <w:szCs w:val="24"/>
          <w:highlight w:val="none"/>
        </w:rPr>
      </w:pPr>
      <w:bookmarkStart w:id="522" w:name="OLE_LINK55"/>
      <w:r>
        <w:rPr>
          <w:rFonts w:ascii="宋体" w:hAnsi="宋体" w:eastAsia="宋体" w:cs="宋体"/>
          <w:b/>
          <w:bCs/>
          <w:color w:val="auto"/>
          <w:spacing w:val="-4"/>
          <w:sz w:val="24"/>
          <w:szCs w:val="24"/>
          <w:highlight w:val="none"/>
        </w:rPr>
        <w:t>图</w:t>
      </w:r>
      <w:r>
        <w:rPr>
          <w:rFonts w:ascii="Times New Roman" w:hAnsi="Times New Roman" w:eastAsia="Times New Roman" w:cs="Times New Roman"/>
          <w:b/>
          <w:bCs/>
          <w:color w:val="auto"/>
          <w:spacing w:val="-4"/>
          <w:sz w:val="24"/>
          <w:szCs w:val="24"/>
          <w:highlight w:val="none"/>
        </w:rPr>
        <w:t>3.</w:t>
      </w:r>
      <w:r>
        <w:rPr>
          <w:rFonts w:hint="eastAsia" w:ascii="Times New Roman" w:hAnsi="Times New Roman" w:eastAsia="宋体" w:cs="Times New Roman"/>
          <w:b/>
          <w:bCs/>
          <w:color w:val="auto"/>
          <w:spacing w:val="-4"/>
          <w:sz w:val="24"/>
          <w:szCs w:val="24"/>
          <w:highlight w:val="none"/>
          <w:lang w:val="en-US" w:eastAsia="zh-CN"/>
        </w:rPr>
        <w:t>1</w:t>
      </w:r>
      <w:r>
        <w:rPr>
          <w:rFonts w:ascii="Times New Roman" w:hAnsi="Times New Roman" w:eastAsia="Times New Roman" w:cs="Times New Roman"/>
          <w:b/>
          <w:bCs/>
          <w:color w:val="auto"/>
          <w:spacing w:val="-4"/>
          <w:sz w:val="24"/>
          <w:szCs w:val="24"/>
          <w:highlight w:val="none"/>
        </w:rPr>
        <w:t>-1</w:t>
      </w:r>
      <w:r>
        <w:rPr>
          <w:rFonts w:hint="eastAsia" w:ascii="宋体" w:hAnsi="宋体" w:eastAsia="宋体" w:cs="宋体"/>
          <w:b/>
          <w:bCs/>
          <w:color w:val="auto"/>
          <w:spacing w:val="-4"/>
          <w:sz w:val="24"/>
          <w:szCs w:val="24"/>
          <w:highlight w:val="none"/>
          <w:lang w:val="en-US" w:eastAsia="zh-CN"/>
        </w:rPr>
        <w:t xml:space="preserve"> 江宁经济技术开发区水系</w:t>
      </w:r>
      <w:r>
        <w:rPr>
          <w:rFonts w:ascii="宋体" w:hAnsi="宋体" w:eastAsia="宋体" w:cs="宋体"/>
          <w:b/>
          <w:bCs/>
          <w:color w:val="auto"/>
          <w:spacing w:val="-4"/>
          <w:sz w:val="24"/>
          <w:szCs w:val="24"/>
          <w:highlight w:val="none"/>
        </w:rPr>
        <w:t>图</w:t>
      </w:r>
      <w:bookmarkStart w:id="523" w:name="pindex511"/>
      <w:bookmarkEnd w:id="523"/>
    </w:p>
    <w:bookmarkEnd w:id="522"/>
    <w:p w14:paraId="150F498B">
      <w:pPr>
        <w:spacing w:before="204" w:line="220" w:lineRule="auto"/>
        <w:jc w:val="center"/>
        <w:rPr>
          <w:rFonts w:ascii="宋体" w:hAnsi="宋体" w:eastAsia="宋体" w:cs="宋体"/>
          <w:b/>
          <w:bCs/>
          <w:color w:val="auto"/>
          <w:spacing w:val="-4"/>
          <w:sz w:val="24"/>
          <w:szCs w:val="24"/>
          <w:highlight w:val="none"/>
        </w:rPr>
      </w:pPr>
      <w:bookmarkStart w:id="524" w:name="OLE_LINK74"/>
      <w:r>
        <w:rPr>
          <w:color w:val="auto"/>
        </w:rPr>
        <w:drawing>
          <wp:inline distT="0" distB="0" distL="114300" distR="114300">
            <wp:extent cx="7035800" cy="4726305"/>
            <wp:effectExtent l="0" t="0" r="12700" b="17145"/>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45"/>
                    <a:srcRect l="7915" t="3023" r="5287" b="3242"/>
                    <a:stretch>
                      <a:fillRect/>
                    </a:stretch>
                  </pic:blipFill>
                  <pic:spPr>
                    <a:xfrm>
                      <a:off x="0" y="0"/>
                      <a:ext cx="7035800" cy="4726305"/>
                    </a:xfrm>
                    <a:prstGeom prst="rect">
                      <a:avLst/>
                    </a:prstGeom>
                    <a:noFill/>
                    <a:ln>
                      <a:noFill/>
                    </a:ln>
                  </pic:spPr>
                </pic:pic>
              </a:graphicData>
            </a:graphic>
          </wp:inline>
        </w:drawing>
      </w:r>
    </w:p>
    <w:p w14:paraId="06626D8D">
      <w:pPr>
        <w:spacing w:before="204" w:line="220" w:lineRule="auto"/>
        <w:jc w:val="center"/>
        <w:rPr>
          <w:rFonts w:ascii="宋体" w:hAnsi="宋体" w:eastAsia="宋体" w:cs="宋体"/>
          <w:color w:val="auto"/>
          <w:sz w:val="24"/>
          <w:szCs w:val="24"/>
          <w:highlight w:val="none"/>
        </w:rPr>
      </w:pPr>
      <w:r>
        <w:rPr>
          <w:rFonts w:ascii="宋体" w:hAnsi="宋体" w:eastAsia="宋体" w:cs="宋体"/>
          <w:b/>
          <w:bCs/>
          <w:color w:val="auto"/>
          <w:spacing w:val="-4"/>
          <w:sz w:val="24"/>
          <w:szCs w:val="24"/>
          <w:highlight w:val="none"/>
        </w:rPr>
        <w:t>图</w:t>
      </w:r>
      <w:r>
        <w:rPr>
          <w:rFonts w:ascii="Times New Roman" w:hAnsi="Times New Roman" w:eastAsia="Times New Roman" w:cs="Times New Roman"/>
          <w:b/>
          <w:bCs/>
          <w:color w:val="auto"/>
          <w:spacing w:val="-4"/>
          <w:sz w:val="24"/>
          <w:szCs w:val="24"/>
          <w:highlight w:val="none"/>
        </w:rPr>
        <w:t>3.</w:t>
      </w:r>
      <w:r>
        <w:rPr>
          <w:rFonts w:hint="eastAsia" w:ascii="Times New Roman" w:hAnsi="Times New Roman" w:eastAsia="宋体" w:cs="Times New Roman"/>
          <w:b/>
          <w:bCs/>
          <w:color w:val="auto"/>
          <w:spacing w:val="-4"/>
          <w:sz w:val="24"/>
          <w:szCs w:val="24"/>
          <w:highlight w:val="none"/>
          <w:lang w:val="en-US" w:eastAsia="zh-CN"/>
        </w:rPr>
        <w:t>1</w:t>
      </w:r>
      <w:r>
        <w:rPr>
          <w:rFonts w:ascii="Times New Roman" w:hAnsi="Times New Roman" w:eastAsia="Times New Roman" w:cs="Times New Roman"/>
          <w:b/>
          <w:bCs/>
          <w:color w:val="auto"/>
          <w:spacing w:val="-4"/>
          <w:sz w:val="24"/>
          <w:szCs w:val="24"/>
          <w:highlight w:val="none"/>
        </w:rPr>
        <w:t>-</w:t>
      </w:r>
      <w:r>
        <w:rPr>
          <w:rFonts w:hint="eastAsia" w:ascii="Times New Roman" w:hAnsi="Times New Roman" w:eastAsia="宋体" w:cs="Times New Roman"/>
          <w:b/>
          <w:bCs/>
          <w:color w:val="auto"/>
          <w:spacing w:val="-4"/>
          <w:sz w:val="24"/>
          <w:szCs w:val="24"/>
          <w:highlight w:val="none"/>
          <w:lang w:val="en-US" w:eastAsia="zh-CN"/>
        </w:rPr>
        <w:t>2</w:t>
      </w:r>
      <w:r>
        <w:rPr>
          <w:rFonts w:hint="eastAsia" w:ascii="宋体" w:hAnsi="宋体" w:eastAsia="宋体" w:cs="宋体"/>
          <w:b/>
          <w:bCs/>
          <w:color w:val="auto"/>
          <w:spacing w:val="-4"/>
          <w:sz w:val="24"/>
          <w:szCs w:val="24"/>
          <w:highlight w:val="none"/>
          <w:lang w:val="en-US" w:eastAsia="zh-CN"/>
        </w:rPr>
        <w:t xml:space="preserve"> 江宁经济技术开发区</w:t>
      </w:r>
      <w:r>
        <w:rPr>
          <w:rFonts w:ascii="宋体" w:hAnsi="宋体" w:eastAsia="宋体" w:cs="宋体"/>
          <w:b/>
          <w:bCs/>
          <w:color w:val="auto"/>
          <w:spacing w:val="-4"/>
          <w:sz w:val="24"/>
          <w:szCs w:val="24"/>
          <w:highlight w:val="none"/>
        </w:rPr>
        <w:t>声环境功能区划图</w:t>
      </w:r>
      <w:bookmarkEnd w:id="524"/>
      <w:bookmarkStart w:id="525" w:name="pindex513"/>
      <w:bookmarkEnd w:id="525"/>
    </w:p>
    <w:p w14:paraId="73AEE5F4">
      <w:pPr>
        <w:spacing w:line="220" w:lineRule="auto"/>
        <w:rPr>
          <w:rFonts w:ascii="宋体" w:hAnsi="宋体" w:eastAsia="宋体" w:cs="宋体"/>
          <w:color w:val="auto"/>
          <w:sz w:val="24"/>
          <w:szCs w:val="24"/>
        </w:rPr>
        <w:sectPr>
          <w:footerReference r:id="rId12" w:type="default"/>
          <w:pgSz w:w="16839" w:h="11907" w:orient="landscape"/>
          <w:pgMar w:top="1771" w:right="1134" w:bottom="1755" w:left="1168" w:header="863" w:footer="991" w:gutter="0"/>
          <w:pgBorders>
            <w:top w:val="none" w:sz="0" w:space="0"/>
            <w:left w:val="none" w:sz="0" w:space="0"/>
            <w:bottom w:val="none" w:sz="0" w:space="0"/>
            <w:right w:val="none" w:sz="0" w:space="0"/>
          </w:pgBorders>
          <w:pgNumType w:fmt="decimal"/>
          <w:cols w:space="720" w:num="1"/>
        </w:sectPr>
      </w:pPr>
    </w:p>
    <w:p w14:paraId="62058D16">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ascii="Times New Roman" w:hAnsi="Times New Roman" w:eastAsia="Times New Roman" w:cs="Times New Roman"/>
          <w:b/>
          <w:bCs/>
          <w:color w:val="auto"/>
          <w:spacing w:val="-3"/>
          <w:sz w:val="24"/>
          <w:szCs w:val="24"/>
        </w:rPr>
      </w:pPr>
      <w:bookmarkStart w:id="526" w:name="bookmark27"/>
      <w:bookmarkEnd w:id="526"/>
      <w:bookmarkStart w:id="527" w:name="_Toc15128"/>
      <w:bookmarkStart w:id="528" w:name="OLE_LINK65"/>
      <w:bookmarkStart w:id="529" w:name="OLE_LINK70"/>
      <w:r>
        <w:rPr>
          <w:rFonts w:ascii="Times New Roman" w:hAnsi="Times New Roman" w:eastAsia="Times New Roman" w:cs="Times New Roman"/>
          <w:b/>
          <w:bCs/>
          <w:color w:val="auto"/>
          <w:spacing w:val="-3"/>
          <w:sz w:val="24"/>
          <w:szCs w:val="24"/>
        </w:rPr>
        <w:t>3.1</w:t>
      </w:r>
      <w:r>
        <w:rPr>
          <w:rFonts w:hint="eastAsia" w:ascii="Times New Roman" w:hAnsi="Times New Roman" w:eastAsia="宋体" w:cs="Times New Roman"/>
          <w:b/>
          <w:bCs/>
          <w:color w:val="auto"/>
          <w:spacing w:val="-3"/>
          <w:sz w:val="24"/>
          <w:szCs w:val="24"/>
          <w:lang w:val="en-US" w:eastAsia="zh-CN"/>
        </w:rPr>
        <w:t>.3生态</w:t>
      </w:r>
      <w:r>
        <w:rPr>
          <w:rFonts w:ascii="Times New Roman" w:hAnsi="Times New Roman" w:eastAsia="Times New Roman" w:cs="Times New Roman"/>
          <w:b/>
          <w:bCs/>
          <w:color w:val="auto"/>
          <w:spacing w:val="-3"/>
          <w:sz w:val="24"/>
          <w:szCs w:val="24"/>
        </w:rPr>
        <w:t>功能区划</w:t>
      </w:r>
      <w:bookmarkEnd w:id="527"/>
      <w:bookmarkEnd w:id="528"/>
      <w:bookmarkStart w:id="530" w:name="pindex515"/>
      <w:bookmarkEnd w:id="530"/>
      <w:bookmarkStart w:id="531" w:name="OLE_LINK69"/>
      <w:bookmarkStart w:id="532" w:name="OLE_LINK64"/>
    </w:p>
    <w:p w14:paraId="647658FF">
      <w:pPr>
        <w:keepNext w:val="0"/>
        <w:keepLines w:val="0"/>
        <w:pageBreakBefore w:val="0"/>
        <w:widowControl/>
        <w:kinsoku w:val="0"/>
        <w:wordWrap/>
        <w:overflowPunct/>
        <w:topLinePunct w:val="0"/>
        <w:autoSpaceDE w:val="0"/>
        <w:autoSpaceDN w:val="0"/>
        <w:bidi w:val="0"/>
        <w:adjustRightInd w:val="0"/>
        <w:snapToGrid w:val="0"/>
        <w:spacing w:line="360" w:lineRule="auto"/>
        <w:ind w:firstLine="496" w:firstLineChars="200"/>
        <w:textAlignment w:val="baseline"/>
        <w:outlineLvl w:val="9"/>
        <w:rPr>
          <w:rFonts w:ascii="宋体" w:hAnsi="宋体" w:eastAsia="宋体" w:cs="宋体"/>
          <w:color w:val="auto"/>
          <w:sz w:val="24"/>
          <w:szCs w:val="24"/>
          <w:highlight w:val="none"/>
        </w:rPr>
      </w:pPr>
      <w:bookmarkStart w:id="533" w:name="OLE_LINK349"/>
      <w:bookmarkStart w:id="534" w:name="sys5160231"/>
      <w:r>
        <w:rPr>
          <w:rFonts w:ascii="宋体" w:hAnsi="宋体" w:eastAsia="宋体" w:cs="宋体"/>
          <w:color w:val="auto"/>
          <w:spacing w:val="4"/>
          <w:sz w:val="24"/>
          <w:szCs w:val="24"/>
          <w:highlight w:val="none"/>
        </w:rPr>
        <w:t>本次评估范围内生态环境保护目标主要</w:t>
      </w:r>
      <w:r>
        <w:rPr>
          <w:rFonts w:hint="default" w:ascii="Times New Roman" w:hAnsi="Times New Roman" w:eastAsia="宋体" w:cs="Times New Roman"/>
          <w:color w:val="auto"/>
          <w:spacing w:val="-6"/>
          <w:sz w:val="24"/>
          <w:szCs w:val="24"/>
          <w:highlight w:val="none"/>
          <w:lang w:val="en-US" w:eastAsia="zh-CN"/>
        </w:rPr>
        <w:t>对照《自然资源部办公厅关于北京等省</w:t>
      </w:r>
      <w:r>
        <w:rPr>
          <w:rFonts w:hint="eastAsia" w:ascii="Times New Roman" w:hAnsi="Times New Roman" w:eastAsia="宋体" w:cs="Times New Roman"/>
          <w:color w:val="auto"/>
          <w:spacing w:val="-6"/>
          <w:sz w:val="24"/>
          <w:szCs w:val="24"/>
          <w:highlight w:val="none"/>
          <w:lang w:val="en-US" w:eastAsia="zh-CN"/>
        </w:rPr>
        <w:t>（</w:t>
      </w:r>
      <w:r>
        <w:rPr>
          <w:rFonts w:hint="default" w:ascii="Times New Roman" w:hAnsi="Times New Roman" w:eastAsia="宋体" w:cs="Times New Roman"/>
          <w:color w:val="auto"/>
          <w:spacing w:val="-6"/>
          <w:sz w:val="24"/>
          <w:szCs w:val="24"/>
          <w:highlight w:val="none"/>
          <w:lang w:val="en-US" w:eastAsia="zh-CN"/>
        </w:rPr>
        <w:t>区、市</w:t>
      </w:r>
      <w:r>
        <w:rPr>
          <w:rFonts w:hint="eastAsia" w:ascii="Times New Roman" w:hAnsi="Times New Roman" w:eastAsia="宋体" w:cs="Times New Roman"/>
          <w:color w:val="auto"/>
          <w:spacing w:val="-6"/>
          <w:sz w:val="24"/>
          <w:szCs w:val="24"/>
          <w:highlight w:val="none"/>
          <w:lang w:val="en-US" w:eastAsia="zh-CN"/>
        </w:rPr>
        <w:t>）</w:t>
      </w:r>
      <w:r>
        <w:rPr>
          <w:rFonts w:hint="default" w:ascii="Times New Roman" w:hAnsi="Times New Roman" w:eastAsia="宋体" w:cs="Times New Roman"/>
          <w:color w:val="auto"/>
          <w:spacing w:val="-6"/>
          <w:sz w:val="24"/>
          <w:szCs w:val="24"/>
          <w:highlight w:val="none"/>
          <w:lang w:val="en-US" w:eastAsia="zh-CN"/>
        </w:rPr>
        <w:t>启用“三区三线”划定成果作为报批建设项目用地用海依据的函》（自然资办函〔202</w:t>
      </w:r>
      <w:r>
        <w:rPr>
          <w:rFonts w:hint="eastAsia" w:ascii="Times New Roman" w:hAnsi="Times New Roman" w:eastAsia="宋体" w:cs="Times New Roman"/>
          <w:color w:val="auto"/>
          <w:spacing w:val="-6"/>
          <w:sz w:val="24"/>
          <w:szCs w:val="24"/>
          <w:highlight w:val="none"/>
          <w:lang w:val="en-US" w:eastAsia="zh-CN"/>
        </w:rPr>
        <w:t>2</w:t>
      </w:r>
      <w:r>
        <w:rPr>
          <w:rFonts w:hint="default" w:ascii="Times New Roman" w:hAnsi="Times New Roman" w:eastAsia="宋体" w:cs="Times New Roman"/>
          <w:color w:val="auto"/>
          <w:spacing w:val="-6"/>
          <w:sz w:val="24"/>
          <w:szCs w:val="24"/>
          <w:highlight w:val="none"/>
          <w:lang w:val="en-US" w:eastAsia="zh-CN"/>
        </w:rPr>
        <w:t>〕2207号</w:t>
      </w:r>
      <w:bookmarkEnd w:id="531"/>
      <w:r>
        <w:rPr>
          <w:rFonts w:hint="default" w:ascii="Times New Roman" w:hAnsi="Times New Roman" w:eastAsia="宋体" w:cs="Times New Roman"/>
          <w:color w:val="auto"/>
          <w:spacing w:val="-6"/>
          <w:sz w:val="24"/>
          <w:szCs w:val="24"/>
          <w:highlight w:val="none"/>
          <w:lang w:val="en-US" w:eastAsia="zh-CN"/>
        </w:rPr>
        <w:t>）、南京市“三区三线”划定成果、《南京市江宁区2023年度生态空间管控区调整方案》《江苏省自然资源厅关于南京市江宁区2023年度生态空间管控区调整方案的复函》（苏自然资函〔2023〕1058号）</w:t>
      </w:r>
      <w:r>
        <w:rPr>
          <w:rFonts w:hint="default" w:ascii="Times New Roman" w:hAnsi="Times New Roman" w:eastAsia="宋体" w:cs="Times New Roman"/>
          <w:color w:val="auto"/>
          <w:spacing w:val="-6"/>
          <w:sz w:val="24"/>
          <w:szCs w:val="24"/>
          <w:highlight w:val="none"/>
        </w:rPr>
        <w:t>进行确定</w:t>
      </w:r>
      <w:r>
        <w:rPr>
          <w:rFonts w:ascii="宋体" w:hAnsi="宋体" w:eastAsia="宋体" w:cs="宋体"/>
          <w:color w:val="auto"/>
          <w:spacing w:val="-6"/>
          <w:sz w:val="24"/>
          <w:szCs w:val="24"/>
          <w:highlight w:val="none"/>
        </w:rPr>
        <w:t>，</w:t>
      </w:r>
      <w:bookmarkStart w:id="535" w:name="OLE_LINK71"/>
      <w:bookmarkStart w:id="536" w:name="OLE_LINK362"/>
      <w:r>
        <w:rPr>
          <w:rFonts w:ascii="宋体" w:hAnsi="宋体" w:eastAsia="宋体" w:cs="宋体"/>
          <w:color w:val="auto"/>
          <w:spacing w:val="-7"/>
          <w:sz w:val="24"/>
          <w:szCs w:val="24"/>
          <w:highlight w:val="none"/>
        </w:rPr>
        <w:t>开发区</w:t>
      </w:r>
      <w:r>
        <w:rPr>
          <w:rFonts w:hint="eastAsia" w:ascii="宋体" w:hAnsi="宋体" w:eastAsia="宋体" w:cs="宋体"/>
          <w:color w:val="auto"/>
          <w:spacing w:val="-7"/>
          <w:sz w:val="24"/>
          <w:szCs w:val="24"/>
          <w:highlight w:val="none"/>
          <w:lang w:val="en-US" w:eastAsia="zh-CN"/>
        </w:rPr>
        <w:t>评估</w:t>
      </w:r>
      <w:r>
        <w:rPr>
          <w:rFonts w:ascii="宋体" w:hAnsi="宋体" w:eastAsia="宋体" w:cs="宋体"/>
          <w:color w:val="auto"/>
          <w:spacing w:val="-7"/>
          <w:sz w:val="24"/>
          <w:szCs w:val="24"/>
          <w:highlight w:val="none"/>
        </w:rPr>
        <w:t>范围内</w:t>
      </w:r>
      <w:bookmarkEnd w:id="535"/>
      <w:r>
        <w:rPr>
          <w:rFonts w:hint="eastAsia" w:ascii="宋体" w:hAnsi="宋体" w:eastAsia="宋体" w:cs="宋体"/>
          <w:color w:val="auto"/>
          <w:spacing w:val="-7"/>
          <w:sz w:val="24"/>
          <w:szCs w:val="24"/>
          <w:highlight w:val="none"/>
          <w:lang w:val="en-US" w:eastAsia="zh-CN"/>
        </w:rPr>
        <w:t>及周边</w:t>
      </w:r>
      <w:r>
        <w:rPr>
          <w:rFonts w:ascii="宋体" w:hAnsi="宋体" w:eastAsia="宋体" w:cs="宋体"/>
          <w:color w:val="auto"/>
          <w:spacing w:val="-7"/>
          <w:sz w:val="24"/>
          <w:szCs w:val="24"/>
          <w:highlight w:val="none"/>
        </w:rPr>
        <w:t>生态</w:t>
      </w:r>
      <w:r>
        <w:rPr>
          <w:rFonts w:ascii="宋体" w:hAnsi="宋体" w:eastAsia="宋体" w:cs="宋体"/>
          <w:color w:val="auto"/>
          <w:spacing w:val="-3"/>
          <w:sz w:val="24"/>
          <w:szCs w:val="24"/>
          <w:highlight w:val="none"/>
        </w:rPr>
        <w:t>保护红线区域</w:t>
      </w:r>
      <w:r>
        <w:rPr>
          <w:rFonts w:hint="eastAsia" w:ascii="宋体" w:hAnsi="宋体" w:eastAsia="宋体" w:cs="宋体"/>
          <w:color w:val="auto"/>
          <w:spacing w:val="-3"/>
          <w:sz w:val="24"/>
          <w:szCs w:val="24"/>
          <w:highlight w:val="none"/>
          <w:lang w:eastAsia="zh-CN"/>
        </w:rPr>
        <w:t>、</w:t>
      </w:r>
      <w:r>
        <w:rPr>
          <w:rFonts w:ascii="宋体" w:hAnsi="宋体" w:eastAsia="宋体" w:cs="宋体"/>
          <w:color w:val="auto"/>
          <w:spacing w:val="-3"/>
          <w:sz w:val="24"/>
          <w:szCs w:val="24"/>
          <w:highlight w:val="none"/>
        </w:rPr>
        <w:t>生态空间管控区域</w:t>
      </w:r>
      <w:r>
        <w:rPr>
          <w:rFonts w:ascii="宋体" w:hAnsi="宋体" w:eastAsia="宋体" w:cs="宋体"/>
          <w:color w:val="auto"/>
          <w:spacing w:val="-4"/>
          <w:sz w:val="24"/>
          <w:szCs w:val="24"/>
          <w:highlight w:val="none"/>
        </w:rPr>
        <w:t>共有</w:t>
      </w:r>
      <w:r>
        <w:rPr>
          <w:rFonts w:hint="eastAsia" w:ascii="Times New Roman" w:hAnsi="Times New Roman" w:eastAsia="宋体" w:cs="Times New Roman"/>
          <w:color w:val="auto"/>
          <w:spacing w:val="-4"/>
          <w:sz w:val="24"/>
          <w:szCs w:val="24"/>
          <w:highlight w:val="none"/>
          <w:lang w:val="en-US" w:eastAsia="zh-CN"/>
        </w:rPr>
        <w:t>7</w:t>
      </w:r>
      <w:r>
        <w:rPr>
          <w:rFonts w:ascii="宋体" w:hAnsi="宋体" w:eastAsia="宋体" w:cs="宋体"/>
          <w:color w:val="auto"/>
          <w:spacing w:val="-4"/>
          <w:sz w:val="24"/>
          <w:szCs w:val="24"/>
          <w:highlight w:val="none"/>
        </w:rPr>
        <w:t>个生态敏感目标</w:t>
      </w:r>
      <w:bookmarkEnd w:id="533"/>
      <w:bookmarkEnd w:id="536"/>
      <w:bookmarkStart w:id="537" w:name="OLE_LINK67"/>
      <w:bookmarkStart w:id="538" w:name="OLE_LINK66"/>
      <w:r>
        <w:rPr>
          <w:rFonts w:hint="eastAsia" w:ascii="宋体" w:hAnsi="宋体" w:eastAsia="宋体" w:cs="宋体"/>
          <w:color w:val="auto"/>
          <w:spacing w:val="-4"/>
          <w:sz w:val="24"/>
          <w:szCs w:val="24"/>
          <w:highlight w:val="none"/>
          <w:lang w:eastAsia="zh-CN"/>
        </w:rPr>
        <w:t>，</w:t>
      </w:r>
      <w:r>
        <w:rPr>
          <w:rFonts w:hint="eastAsia" w:ascii="宋体" w:hAnsi="宋体" w:eastAsia="宋体" w:cs="宋体"/>
          <w:color w:val="auto"/>
          <w:spacing w:val="-4"/>
          <w:sz w:val="24"/>
          <w:szCs w:val="24"/>
          <w:highlight w:val="none"/>
          <w:lang w:val="en-US" w:eastAsia="zh-CN"/>
        </w:rPr>
        <w:t>见</w:t>
      </w:r>
      <w:r>
        <w:rPr>
          <w:rFonts w:ascii="宋体" w:hAnsi="宋体" w:eastAsia="宋体" w:cs="宋体"/>
          <w:color w:val="auto"/>
          <w:spacing w:val="-3"/>
          <w:sz w:val="24"/>
          <w:szCs w:val="24"/>
          <w:highlight w:val="none"/>
        </w:rPr>
        <w:t>附图</w:t>
      </w:r>
      <w:bookmarkEnd w:id="537"/>
      <w:r>
        <w:rPr>
          <w:rFonts w:hint="eastAsia" w:ascii="Times New Roman" w:hAnsi="Times New Roman" w:eastAsia="宋体" w:cs="Times New Roman"/>
          <w:color w:val="auto"/>
          <w:spacing w:val="-3"/>
          <w:sz w:val="24"/>
          <w:szCs w:val="24"/>
          <w:highlight w:val="none"/>
          <w:lang w:val="en-US" w:eastAsia="zh-CN"/>
        </w:rPr>
        <w:t>6</w:t>
      </w:r>
      <w:r>
        <w:rPr>
          <w:rFonts w:ascii="宋体" w:hAnsi="宋体" w:eastAsia="宋体" w:cs="宋体"/>
          <w:color w:val="auto"/>
          <w:spacing w:val="-3"/>
          <w:sz w:val="24"/>
          <w:szCs w:val="24"/>
          <w:highlight w:val="none"/>
        </w:rPr>
        <w:t>。</w:t>
      </w:r>
      <w:bookmarkEnd w:id="534"/>
      <w:bookmarkEnd w:id="538"/>
    </w:p>
    <w:bookmarkEnd w:id="529"/>
    <w:bookmarkEnd w:id="532"/>
    <w:p w14:paraId="4158AF56">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1"/>
        <w:rPr>
          <w:rFonts w:ascii="Times New Roman" w:hAnsi="Times New Roman" w:eastAsia="Times New Roman" w:cs="Times New Roman"/>
          <w:b/>
          <w:bCs/>
          <w:color w:val="auto"/>
          <w:spacing w:val="-3"/>
          <w:sz w:val="24"/>
          <w:szCs w:val="24"/>
          <w:highlight w:val="none"/>
        </w:rPr>
      </w:pPr>
      <w:bookmarkStart w:id="539" w:name="_Toc19610"/>
      <w:r>
        <w:rPr>
          <w:rFonts w:ascii="Times New Roman" w:hAnsi="Times New Roman" w:eastAsia="Times New Roman" w:cs="Times New Roman"/>
          <w:b/>
          <w:bCs/>
          <w:color w:val="auto"/>
          <w:spacing w:val="-3"/>
          <w:sz w:val="24"/>
          <w:szCs w:val="24"/>
          <w:highlight w:val="none"/>
        </w:rPr>
        <w:t>3.</w:t>
      </w:r>
      <w:r>
        <w:rPr>
          <w:rFonts w:hint="eastAsia" w:ascii="Times New Roman" w:hAnsi="Times New Roman" w:eastAsia="宋体" w:cs="Times New Roman"/>
          <w:b/>
          <w:bCs/>
          <w:color w:val="auto"/>
          <w:spacing w:val="-3"/>
          <w:sz w:val="24"/>
          <w:szCs w:val="24"/>
          <w:highlight w:val="none"/>
          <w:lang w:val="en-US" w:eastAsia="zh-CN"/>
        </w:rPr>
        <w:t>2</w:t>
      </w:r>
      <w:r>
        <w:rPr>
          <w:rFonts w:hint="eastAsia" w:ascii="Times New Roman" w:hAnsi="Times New Roman" w:eastAsia="Times New Roman" w:cs="Times New Roman"/>
          <w:b/>
          <w:bCs/>
          <w:color w:val="auto"/>
          <w:spacing w:val="-3"/>
          <w:sz w:val="24"/>
          <w:szCs w:val="24"/>
          <w:highlight w:val="none"/>
          <w:lang w:val="en-US" w:eastAsia="zh-CN"/>
        </w:rPr>
        <w:t>环境</w:t>
      </w:r>
      <w:r>
        <w:rPr>
          <w:rFonts w:hint="eastAsia" w:ascii="Times New Roman" w:hAnsi="Times New Roman" w:eastAsia="宋体" w:cs="Times New Roman"/>
          <w:b/>
          <w:bCs/>
          <w:color w:val="auto"/>
          <w:spacing w:val="-3"/>
          <w:sz w:val="24"/>
          <w:szCs w:val="24"/>
          <w:highlight w:val="none"/>
          <w:lang w:val="en-US" w:eastAsia="zh-CN"/>
        </w:rPr>
        <w:t>标准</w:t>
      </w:r>
      <w:bookmarkEnd w:id="539"/>
      <w:bookmarkStart w:id="540" w:name="pindex517"/>
      <w:bookmarkEnd w:id="540"/>
    </w:p>
    <w:p w14:paraId="0D2CB920">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2"/>
        <w:rPr>
          <w:rFonts w:ascii="Times New Roman" w:hAnsi="Times New Roman" w:eastAsia="Times New Roman" w:cs="Times New Roman"/>
          <w:b/>
          <w:bCs/>
          <w:color w:val="auto"/>
          <w:spacing w:val="-3"/>
          <w:sz w:val="24"/>
          <w:szCs w:val="24"/>
          <w:highlight w:val="none"/>
        </w:rPr>
      </w:pPr>
      <w:bookmarkStart w:id="541" w:name="_Toc24244"/>
      <w:bookmarkStart w:id="542" w:name="OLE_LINK121"/>
      <w:r>
        <w:rPr>
          <w:rFonts w:ascii="Times New Roman" w:hAnsi="Times New Roman" w:eastAsia="Times New Roman" w:cs="Times New Roman"/>
          <w:b/>
          <w:bCs/>
          <w:color w:val="auto"/>
          <w:spacing w:val="-3"/>
          <w:sz w:val="24"/>
          <w:szCs w:val="24"/>
          <w:highlight w:val="none"/>
        </w:rPr>
        <w:t>3.</w:t>
      </w:r>
      <w:r>
        <w:rPr>
          <w:rFonts w:hint="eastAsia" w:ascii="Times New Roman" w:hAnsi="Times New Roman" w:eastAsia="宋体" w:cs="Times New Roman"/>
          <w:b/>
          <w:bCs/>
          <w:color w:val="auto"/>
          <w:spacing w:val="-3"/>
          <w:sz w:val="24"/>
          <w:szCs w:val="24"/>
          <w:highlight w:val="none"/>
          <w:lang w:val="en-US" w:eastAsia="zh-CN"/>
        </w:rPr>
        <w:t>2.1</w:t>
      </w:r>
      <w:r>
        <w:rPr>
          <w:rFonts w:ascii="Times New Roman" w:hAnsi="Times New Roman" w:eastAsia="Times New Roman" w:cs="Times New Roman"/>
          <w:b/>
          <w:bCs/>
          <w:color w:val="auto"/>
          <w:spacing w:val="-3"/>
          <w:sz w:val="24"/>
          <w:szCs w:val="24"/>
          <w:highlight w:val="none"/>
        </w:rPr>
        <w:t>环境质量标准</w:t>
      </w:r>
      <w:bookmarkEnd w:id="541"/>
      <w:bookmarkStart w:id="543" w:name="pindex518"/>
      <w:bookmarkEnd w:id="543"/>
    </w:p>
    <w:bookmarkEnd w:id="542"/>
    <w:p w14:paraId="0528AD13">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9"/>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3.</w:t>
      </w:r>
      <w:r>
        <w:rPr>
          <w:rFonts w:hint="eastAsia" w:ascii="Times New Roman" w:hAnsi="Times New Roman" w:eastAsia="宋体" w:cs="Times New Roman"/>
          <w:b/>
          <w:bCs/>
          <w:color w:val="auto"/>
          <w:sz w:val="24"/>
          <w:szCs w:val="24"/>
          <w:highlight w:val="none"/>
          <w:lang w:val="en-US" w:eastAsia="zh-CN"/>
        </w:rPr>
        <w:t>2.1</w:t>
      </w:r>
      <w:r>
        <w:rPr>
          <w:rFonts w:hint="default" w:ascii="Times New Roman" w:hAnsi="Times New Roman" w:eastAsia="宋体" w:cs="Times New Roman"/>
          <w:b/>
          <w:bCs/>
          <w:color w:val="auto"/>
          <w:sz w:val="24"/>
          <w:szCs w:val="24"/>
          <w:highlight w:val="none"/>
        </w:rPr>
        <w:t>.1</w:t>
      </w:r>
      <w:r>
        <w:rPr>
          <w:rFonts w:hint="eastAsia" w:ascii="Times New Roman" w:hAnsi="Times New Roman" w:eastAsia="宋体" w:cs="Times New Roman"/>
          <w:b/>
          <w:bCs/>
          <w:color w:val="auto"/>
          <w:sz w:val="24"/>
          <w:szCs w:val="24"/>
          <w:highlight w:val="none"/>
          <w:lang w:val="en-US" w:eastAsia="zh-CN"/>
        </w:rPr>
        <w:t>环境空气</w:t>
      </w:r>
      <w:r>
        <w:rPr>
          <w:rFonts w:hint="default" w:ascii="Times New Roman" w:hAnsi="Times New Roman" w:eastAsia="宋体" w:cs="Times New Roman"/>
          <w:b/>
          <w:bCs/>
          <w:color w:val="auto"/>
          <w:sz w:val="24"/>
          <w:szCs w:val="24"/>
          <w:highlight w:val="none"/>
        </w:rPr>
        <w:t>质量标准</w:t>
      </w:r>
      <w:bookmarkStart w:id="544" w:name="pindex519"/>
      <w:bookmarkEnd w:id="544"/>
    </w:p>
    <w:p w14:paraId="4138B18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、NO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10</w:t>
      </w: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2.5</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、CO</w:t>
      </w:r>
      <w:r>
        <w:rPr>
          <w:rFonts w:hint="eastAsia" w:ascii="Times New Roman" w:hAnsi="Times New Roman" w:eastAsia="宋体" w:cs="Times New Roman"/>
          <w:color w:val="auto"/>
          <w:sz w:val="24"/>
          <w:szCs w:val="24"/>
          <w:highlight w:val="none"/>
          <w:lang w:eastAsia="zh-CN"/>
        </w:rPr>
        <w:t>、</w:t>
      </w:r>
      <w:bookmarkStart w:id="545" w:name="OLE_LINK78"/>
      <w:r>
        <w:rPr>
          <w:rFonts w:hint="eastAsia" w:ascii="Times New Roman" w:hAnsi="Times New Roman" w:eastAsia="宋体" w:cs="Times New Roman"/>
          <w:color w:val="auto"/>
          <w:sz w:val="24"/>
          <w:szCs w:val="24"/>
          <w:highlight w:val="none"/>
          <w:lang w:val="en-US" w:eastAsia="zh-CN"/>
        </w:rPr>
        <w:t>TSP</w:t>
      </w:r>
      <w:bookmarkEnd w:id="545"/>
      <w:r>
        <w:rPr>
          <w:rFonts w:hint="eastAsia" w:ascii="Times New Roman" w:hAnsi="Times New Roman" w:eastAsia="宋体" w:cs="Times New Roman"/>
          <w:color w:val="auto"/>
          <w:sz w:val="24"/>
          <w:szCs w:val="24"/>
          <w:highlight w:val="none"/>
          <w:lang w:val="en-US" w:eastAsia="zh-CN"/>
        </w:rPr>
        <w:t>、</w:t>
      </w:r>
      <w:bookmarkStart w:id="546" w:name="OLE_LINK91"/>
      <w:bookmarkStart w:id="547" w:name="OLE_LINK92"/>
      <w:r>
        <w:rPr>
          <w:rFonts w:hint="eastAsia" w:ascii="Times New Roman" w:hAnsi="Times New Roman" w:eastAsia="宋体" w:cs="Times New Roman"/>
          <w:caps/>
          <w:color w:val="auto"/>
          <w:sz w:val="24"/>
          <w:szCs w:val="24"/>
          <w:highlight w:val="none"/>
          <w:lang w:val="en-US" w:eastAsia="zh-CN"/>
        </w:rPr>
        <w:t>NO</w:t>
      </w:r>
      <w:r>
        <w:rPr>
          <w:rFonts w:hint="eastAsia" w:ascii="Times New Roman" w:hAnsi="Times New Roman" w:eastAsia="宋体" w:cs="Times New Roman"/>
          <w:caps/>
          <w:color w:val="auto"/>
          <w:sz w:val="24"/>
          <w:szCs w:val="24"/>
          <w:highlight w:val="none"/>
          <w:vertAlign w:val="subscript"/>
          <w:lang w:val="en-US" w:eastAsia="zh-CN"/>
        </w:rPr>
        <w:t>x</w:t>
      </w:r>
      <w:bookmarkEnd w:id="546"/>
      <w:r>
        <w:rPr>
          <w:rFonts w:hint="eastAsia" w:ascii="Times New Roman" w:hAnsi="Times New Roman" w:eastAsia="宋体" w:cs="Times New Roman"/>
          <w:caps/>
          <w:color w:val="auto"/>
          <w:sz w:val="24"/>
          <w:szCs w:val="24"/>
          <w:highlight w:val="none"/>
          <w:vertAlign w:val="baseline"/>
          <w:lang w:val="en-US" w:eastAsia="zh-CN"/>
        </w:rPr>
        <w:t>、</w:t>
      </w:r>
      <w:bookmarkEnd w:id="547"/>
      <w:r>
        <w:rPr>
          <w:rFonts w:hint="default" w:ascii="Times New Roman" w:hAnsi="Times New Roman" w:eastAsia="宋体" w:cs="Times New Roman"/>
          <w:color w:val="auto"/>
          <w:sz w:val="24"/>
          <w:szCs w:val="24"/>
          <w:highlight w:val="none"/>
        </w:rPr>
        <w:t>氟化物执行《环境空气质量标准》（GB3095-2012）二级标准；</w:t>
      </w:r>
      <w:bookmarkStart w:id="548" w:name="sys5206667"/>
      <w:r>
        <w:rPr>
          <w:rFonts w:hint="default" w:ascii="Times New Roman" w:hAnsi="Times New Roman" w:eastAsia="宋体" w:cs="Times New Roman"/>
          <w:color w:val="auto"/>
          <w:sz w:val="24"/>
          <w:szCs w:val="24"/>
          <w:highlight w:val="none"/>
        </w:rPr>
        <w:t>氨、</w:t>
      </w:r>
      <w:r>
        <w:rPr>
          <w:rFonts w:hint="eastAsia" w:ascii="Times New Roman" w:hAnsi="Times New Roman" w:eastAsia="宋体" w:cs="Times New Roman"/>
          <w:color w:val="auto"/>
          <w:sz w:val="24"/>
          <w:szCs w:val="24"/>
          <w:highlight w:val="none"/>
          <w:lang w:val="en-US" w:eastAsia="zh-CN"/>
        </w:rPr>
        <w:t>苯、硫酸</w:t>
      </w:r>
      <w:sdt>
        <w:sdtPr>
          <w:rPr>
            <w:color w:val="auto"/>
            <w:highlight w:val="none"/>
          </w:rPr>
          <w:alias w:val="易错词检查"/>
          <w:tag w:val="auto"/>
          <w:id w:val="20656"/>
        </w:sdtPr>
        <w:sdtEndPr>
          <w:rPr>
            <w:color w:val="auto"/>
            <w:highlight w:val="none"/>
          </w:rPr>
        </w:sdtEndPr>
        <w:sdtContent>
          <w:bookmarkStart w:id="549" w:name="bkReivew20656"/>
          <w:r>
            <w:rPr>
              <w:rFonts w:hint="eastAsia" w:ascii="Times New Roman" w:hAnsi="Times New Roman" w:eastAsia="宋体" w:cs="Times New Roman"/>
              <w:color w:val="auto"/>
              <w:sz w:val="24"/>
              <w:szCs w:val="24"/>
              <w:highlight w:val="none"/>
              <w:lang w:val="en-US" w:eastAsia="zh-CN"/>
            </w:rPr>
            <w:t>雾</w:t>
          </w:r>
          <w:bookmarkEnd w:id="549"/>
        </w:sdtContent>
      </w:sdt>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氯化氢、硫化氢参照执行《环境影响评价技术导则 大气环境》（HJ2.2—2018）附录D其他污染物空气质量浓度参考限值；</w:t>
      </w:r>
      <w:bookmarkEnd w:id="548"/>
      <w:r>
        <w:rPr>
          <w:rFonts w:hint="default" w:ascii="Times New Roman" w:hAnsi="Times New Roman" w:eastAsia="宋体" w:cs="Times New Roman"/>
          <w:color w:val="auto"/>
          <w:sz w:val="24"/>
          <w:szCs w:val="24"/>
          <w:highlight w:val="none"/>
        </w:rPr>
        <w:t>非甲烷总烃参照《大气污染物综合排放标准详解》中的环境质量标准取值</w:t>
      </w:r>
      <w:r>
        <w:rPr>
          <w:rFonts w:hint="default" w:ascii="Times New Roman" w:hAnsi="Times New Roman" w:eastAsia="宋体" w:cs="Times New Roman"/>
          <w:color w:val="auto"/>
          <w:sz w:val="24"/>
          <w:szCs w:val="24"/>
          <w:highlight w:val="none"/>
          <w:lang w:eastAsia="zh-CN"/>
        </w:rPr>
        <w:t>。</w:t>
      </w:r>
    </w:p>
    <w:p w14:paraId="7FC20C2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cs="Times New Roman"/>
          <w:b/>
          <w:bCs/>
          <w:color w:val="auto"/>
          <w:highlight w:val="none"/>
        </w:rPr>
      </w:pPr>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3.</w:t>
      </w:r>
      <w:r>
        <w:rPr>
          <w:rFonts w:hint="eastAsia" w:ascii="Times New Roman" w:hAnsi="Times New Roman" w:eastAsia="宋体" w:cs="Times New Roman"/>
          <w:b/>
          <w:bCs/>
          <w:color w:val="auto"/>
          <w:spacing w:val="-2"/>
          <w:sz w:val="24"/>
          <w:szCs w:val="24"/>
          <w:highlight w:val="none"/>
          <w:lang w:val="en-US" w:eastAsia="zh-CN"/>
        </w:rPr>
        <w:t>2</w:t>
      </w:r>
      <w:r>
        <w:rPr>
          <w:rFonts w:ascii="Times New Roman" w:hAnsi="Times New Roman" w:eastAsia="Times New Roman" w:cs="Times New Roman"/>
          <w:b/>
          <w:bCs/>
          <w:color w:val="auto"/>
          <w:spacing w:val="-2"/>
          <w:sz w:val="24"/>
          <w:szCs w:val="24"/>
          <w:highlight w:val="none"/>
        </w:rPr>
        <w:t>-1</w:t>
      </w:r>
      <w:r>
        <w:rPr>
          <w:rFonts w:hint="eastAsia" w:ascii="Times New Roman" w:hAnsi="Times New Roman" w:eastAsia="宋体" w:cs="Times New Roman"/>
          <w:b/>
          <w:bCs/>
          <w:color w:val="auto"/>
          <w:spacing w:val="-2"/>
          <w:sz w:val="24"/>
          <w:szCs w:val="24"/>
          <w:highlight w:val="none"/>
          <w:lang w:val="en-US" w:eastAsia="zh-CN"/>
        </w:rPr>
        <w:t xml:space="preserve"> </w:t>
      </w:r>
      <w:r>
        <w:rPr>
          <w:rFonts w:ascii="宋体" w:hAnsi="宋体" w:eastAsia="宋体" w:cs="宋体"/>
          <w:b/>
          <w:bCs/>
          <w:color w:val="auto"/>
          <w:spacing w:val="-2"/>
          <w:sz w:val="24"/>
          <w:szCs w:val="24"/>
          <w:highlight w:val="none"/>
        </w:rPr>
        <w:t>环境空气质量</w:t>
      </w:r>
      <w:r>
        <w:rPr>
          <w:rFonts w:hint="eastAsia" w:ascii="宋体" w:hAnsi="宋体" w:eastAsia="宋体" w:cs="宋体"/>
          <w:b/>
          <w:bCs/>
          <w:color w:val="auto"/>
          <w:spacing w:val="-2"/>
          <w:sz w:val="24"/>
          <w:szCs w:val="24"/>
          <w:highlight w:val="none"/>
          <w:lang w:val="en-US" w:eastAsia="zh-CN"/>
        </w:rPr>
        <w:t>评价</w:t>
      </w:r>
      <w:r>
        <w:rPr>
          <w:rFonts w:ascii="宋体" w:hAnsi="宋体" w:eastAsia="宋体" w:cs="宋体"/>
          <w:b/>
          <w:bCs/>
          <w:color w:val="auto"/>
          <w:spacing w:val="-2"/>
          <w:sz w:val="24"/>
          <w:szCs w:val="24"/>
          <w:highlight w:val="none"/>
        </w:rPr>
        <w:t>标准</w:t>
      </w:r>
      <w:r>
        <w:rPr>
          <w:rFonts w:ascii="Times New Roman" w:hAnsi="Times New Roman" w:cs="Times New Roman"/>
          <w:b/>
          <w:bCs/>
          <w:color w:val="auto"/>
          <w:highlight w:val="none"/>
        </w:rPr>
        <w:t>（mg/m</w:t>
      </w:r>
      <w:r>
        <w:rPr>
          <w:rFonts w:ascii="Times New Roman" w:hAnsi="Times New Roman" w:cs="Times New Roman"/>
          <w:b/>
          <w:bCs/>
          <w:color w:val="auto"/>
          <w:highlight w:val="none"/>
          <w:vertAlign w:val="superscript"/>
        </w:rPr>
        <w:t>3</w:t>
      </w:r>
      <w:r>
        <w:rPr>
          <w:rFonts w:ascii="Times New Roman" w:hAnsi="Times New Roman" w:cs="Times New Roman"/>
          <w:b/>
          <w:bCs/>
          <w:color w:val="auto"/>
          <w:highlight w:val="none"/>
        </w:rPr>
        <w:t>）</w:t>
      </w:r>
      <w:bookmarkStart w:id="550" w:name="pindex521"/>
      <w:bookmarkEnd w:id="550"/>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6"/>
        <w:gridCol w:w="2096"/>
        <w:gridCol w:w="1784"/>
        <w:gridCol w:w="1175"/>
        <w:gridCol w:w="2154"/>
      </w:tblGrid>
      <w:tr w14:paraId="755689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96" w:type="pct"/>
            <w:vAlign w:val="center"/>
          </w:tcPr>
          <w:p w14:paraId="6DE1F19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aps/>
                <w:color w:val="auto"/>
                <w:sz w:val="21"/>
                <w:szCs w:val="21"/>
                <w:highlight w:val="none"/>
              </w:rPr>
            </w:pPr>
            <w:r>
              <w:rPr>
                <w:rFonts w:hint="default" w:ascii="Times New Roman" w:hAnsi="Times New Roman" w:eastAsia="宋体" w:cs="Times New Roman"/>
                <w:b/>
                <w:bCs/>
                <w:caps/>
                <w:color w:val="auto"/>
                <w:sz w:val="21"/>
                <w:szCs w:val="21"/>
                <w:highlight w:val="none"/>
              </w:rPr>
              <w:t>指标</w:t>
            </w:r>
          </w:p>
        </w:tc>
        <w:tc>
          <w:tcPr>
            <w:tcW w:w="1222" w:type="pct"/>
            <w:vAlign w:val="center"/>
          </w:tcPr>
          <w:p w14:paraId="7654335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aps/>
                <w:color w:val="auto"/>
                <w:sz w:val="21"/>
                <w:szCs w:val="21"/>
                <w:highlight w:val="none"/>
              </w:rPr>
            </w:pPr>
            <w:r>
              <w:rPr>
                <w:rFonts w:hint="default" w:ascii="Times New Roman" w:hAnsi="Times New Roman" w:eastAsia="宋体" w:cs="Times New Roman"/>
                <w:b/>
                <w:bCs/>
                <w:caps/>
                <w:color w:val="auto"/>
                <w:sz w:val="21"/>
                <w:szCs w:val="21"/>
                <w:highlight w:val="none"/>
              </w:rPr>
              <w:t>1小时平均（一次）</w:t>
            </w:r>
          </w:p>
        </w:tc>
        <w:tc>
          <w:tcPr>
            <w:tcW w:w="1040" w:type="pct"/>
            <w:vAlign w:val="center"/>
          </w:tcPr>
          <w:p w14:paraId="316E36C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aps/>
                <w:color w:val="auto"/>
                <w:sz w:val="21"/>
                <w:szCs w:val="21"/>
                <w:highlight w:val="none"/>
              </w:rPr>
            </w:pPr>
            <w:r>
              <w:rPr>
                <w:rFonts w:hint="eastAsia" w:ascii="Times New Roman" w:hAnsi="Times New Roman" w:eastAsia="宋体" w:cs="Times New Roman"/>
                <w:b/>
                <w:bCs/>
                <w:caps/>
                <w:color w:val="auto"/>
                <w:sz w:val="21"/>
                <w:szCs w:val="21"/>
                <w:highlight w:val="none"/>
                <w:lang w:val="en-US" w:eastAsia="zh-CN"/>
              </w:rPr>
              <w:t>24小时</w:t>
            </w:r>
            <w:r>
              <w:rPr>
                <w:rFonts w:hint="default" w:ascii="Times New Roman" w:hAnsi="Times New Roman" w:eastAsia="宋体" w:cs="Times New Roman"/>
                <w:b/>
                <w:bCs/>
                <w:caps/>
                <w:color w:val="auto"/>
                <w:sz w:val="21"/>
                <w:szCs w:val="21"/>
                <w:highlight w:val="none"/>
              </w:rPr>
              <w:t>平均</w:t>
            </w:r>
          </w:p>
        </w:tc>
        <w:tc>
          <w:tcPr>
            <w:tcW w:w="684" w:type="pct"/>
            <w:vAlign w:val="center"/>
          </w:tcPr>
          <w:p w14:paraId="1D0DE8C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aps/>
                <w:color w:val="auto"/>
                <w:sz w:val="21"/>
                <w:szCs w:val="21"/>
                <w:highlight w:val="none"/>
              </w:rPr>
            </w:pPr>
            <w:r>
              <w:rPr>
                <w:rFonts w:hint="default" w:ascii="Times New Roman" w:hAnsi="Times New Roman" w:eastAsia="宋体" w:cs="Times New Roman"/>
                <w:b/>
                <w:bCs/>
                <w:caps/>
                <w:color w:val="auto"/>
                <w:sz w:val="21"/>
                <w:szCs w:val="21"/>
                <w:highlight w:val="none"/>
              </w:rPr>
              <w:t>年平均</w:t>
            </w:r>
          </w:p>
        </w:tc>
        <w:tc>
          <w:tcPr>
            <w:tcW w:w="1255" w:type="pct"/>
            <w:vAlign w:val="center"/>
          </w:tcPr>
          <w:p w14:paraId="278C517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aps/>
                <w:color w:val="auto"/>
                <w:sz w:val="21"/>
                <w:szCs w:val="21"/>
                <w:highlight w:val="none"/>
              </w:rPr>
            </w:pPr>
            <w:r>
              <w:rPr>
                <w:rFonts w:hint="default" w:ascii="Times New Roman" w:hAnsi="Times New Roman" w:eastAsia="宋体" w:cs="Times New Roman"/>
                <w:b/>
                <w:bCs/>
                <w:caps/>
                <w:color w:val="auto"/>
                <w:sz w:val="21"/>
                <w:szCs w:val="21"/>
                <w:highlight w:val="none"/>
              </w:rPr>
              <w:t>依据</w:t>
            </w:r>
          </w:p>
        </w:tc>
      </w:tr>
      <w:tr w14:paraId="167682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Align w:val="center"/>
          </w:tcPr>
          <w:p w14:paraId="6731F5C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bookmarkStart w:id="551" w:name="OLE_LINK75" w:colFirst="3" w:colLast="4"/>
            <w:r>
              <w:rPr>
                <w:rFonts w:hint="default" w:ascii="Times New Roman" w:hAnsi="Times New Roman" w:eastAsia="宋体" w:cs="Times New Roman"/>
                <w:caps/>
                <w:color w:val="auto"/>
                <w:sz w:val="21"/>
                <w:szCs w:val="21"/>
                <w:highlight w:val="none"/>
              </w:rPr>
              <w:t>SO</w:t>
            </w:r>
            <w:r>
              <w:rPr>
                <w:rFonts w:hint="default" w:ascii="Times New Roman" w:hAnsi="Times New Roman" w:eastAsia="宋体" w:cs="Times New Roman"/>
                <w:caps/>
                <w:color w:val="auto"/>
                <w:sz w:val="21"/>
                <w:szCs w:val="21"/>
                <w:highlight w:val="none"/>
                <w:vertAlign w:val="subscript"/>
              </w:rPr>
              <w:t>2</w:t>
            </w:r>
          </w:p>
        </w:tc>
        <w:tc>
          <w:tcPr>
            <w:tcW w:w="1222" w:type="pct"/>
            <w:vAlign w:val="center"/>
          </w:tcPr>
          <w:p w14:paraId="36C53E6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0.5</w:t>
            </w:r>
          </w:p>
        </w:tc>
        <w:tc>
          <w:tcPr>
            <w:tcW w:w="1040" w:type="pct"/>
            <w:vAlign w:val="center"/>
          </w:tcPr>
          <w:p w14:paraId="1C0F130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0.15</w:t>
            </w:r>
          </w:p>
        </w:tc>
        <w:tc>
          <w:tcPr>
            <w:tcW w:w="684" w:type="pct"/>
            <w:vAlign w:val="center"/>
          </w:tcPr>
          <w:p w14:paraId="55FCE86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0.06</w:t>
            </w:r>
          </w:p>
        </w:tc>
        <w:tc>
          <w:tcPr>
            <w:tcW w:w="1255" w:type="pct"/>
            <w:vMerge w:val="restart"/>
            <w:vAlign w:val="center"/>
          </w:tcPr>
          <w:p w14:paraId="6EC0209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bookmarkStart w:id="552" w:name="OLE_LINK76"/>
            <w:r>
              <w:rPr>
                <w:rFonts w:hint="default" w:ascii="Times New Roman" w:hAnsi="Times New Roman" w:eastAsia="宋体" w:cs="Times New Roman"/>
                <w:caps/>
                <w:color w:val="auto"/>
                <w:sz w:val="21"/>
                <w:szCs w:val="21"/>
                <w:highlight w:val="none"/>
              </w:rPr>
              <w:t>《环境空气质量标准》（GB3095-2012）</w:t>
            </w:r>
            <w:bookmarkEnd w:id="552"/>
            <w:r>
              <w:rPr>
                <w:rFonts w:hint="default" w:ascii="Times New Roman" w:hAnsi="Times New Roman" w:eastAsia="宋体" w:cs="Times New Roman"/>
                <w:caps/>
                <w:color w:val="auto"/>
                <w:sz w:val="21"/>
                <w:szCs w:val="21"/>
                <w:highlight w:val="none"/>
              </w:rPr>
              <w:t>二级</w:t>
            </w:r>
          </w:p>
        </w:tc>
      </w:tr>
      <w:tr w14:paraId="58CAEF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Align w:val="center"/>
          </w:tcPr>
          <w:p w14:paraId="3A0EC36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NO</w:t>
            </w:r>
            <w:r>
              <w:rPr>
                <w:rFonts w:hint="default" w:ascii="Times New Roman" w:hAnsi="Times New Roman" w:eastAsia="宋体" w:cs="Times New Roman"/>
                <w:caps/>
                <w:color w:val="auto"/>
                <w:sz w:val="21"/>
                <w:szCs w:val="21"/>
                <w:highlight w:val="none"/>
                <w:vertAlign w:val="subscript"/>
              </w:rPr>
              <w:t>2</w:t>
            </w:r>
          </w:p>
        </w:tc>
        <w:tc>
          <w:tcPr>
            <w:tcW w:w="1222" w:type="pct"/>
            <w:vAlign w:val="center"/>
          </w:tcPr>
          <w:p w14:paraId="60B33C6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0.2</w:t>
            </w:r>
          </w:p>
        </w:tc>
        <w:tc>
          <w:tcPr>
            <w:tcW w:w="1040" w:type="pct"/>
            <w:vAlign w:val="center"/>
          </w:tcPr>
          <w:p w14:paraId="40012ED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0.08</w:t>
            </w:r>
          </w:p>
        </w:tc>
        <w:tc>
          <w:tcPr>
            <w:tcW w:w="684" w:type="pct"/>
            <w:vAlign w:val="center"/>
          </w:tcPr>
          <w:p w14:paraId="2253FBF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0.04</w:t>
            </w:r>
          </w:p>
        </w:tc>
        <w:tc>
          <w:tcPr>
            <w:tcW w:w="1255" w:type="pct"/>
            <w:vMerge w:val="continue"/>
            <w:vAlign w:val="center"/>
          </w:tcPr>
          <w:p w14:paraId="190DE1B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p>
        </w:tc>
      </w:tr>
      <w:tr w14:paraId="4549C2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Align w:val="center"/>
          </w:tcPr>
          <w:p w14:paraId="6471699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lang w:val="en-US" w:eastAsia="zh-CN"/>
              </w:rPr>
            </w:pPr>
            <w:bookmarkStart w:id="553" w:name="OLE_LINK80"/>
            <w:r>
              <w:rPr>
                <w:rFonts w:hint="eastAsia" w:ascii="Times New Roman" w:hAnsi="Times New Roman" w:eastAsia="宋体" w:cs="Times New Roman"/>
                <w:caps/>
                <w:color w:val="auto"/>
                <w:sz w:val="21"/>
                <w:szCs w:val="21"/>
                <w:highlight w:val="none"/>
                <w:lang w:val="en-US" w:eastAsia="zh-CN"/>
              </w:rPr>
              <w:t>NO</w:t>
            </w:r>
            <w:bookmarkStart w:id="554" w:name="OLE_LINK79"/>
            <w:r>
              <w:rPr>
                <w:rFonts w:hint="eastAsia" w:ascii="Times New Roman" w:hAnsi="Times New Roman" w:eastAsia="宋体" w:cs="Times New Roman"/>
                <w:caps/>
                <w:color w:val="auto"/>
                <w:sz w:val="21"/>
                <w:szCs w:val="21"/>
                <w:highlight w:val="none"/>
                <w:vertAlign w:val="subscript"/>
                <w:lang w:val="en-US" w:eastAsia="zh-CN"/>
              </w:rPr>
              <w:t>x</w:t>
            </w:r>
            <w:bookmarkEnd w:id="553"/>
            <w:bookmarkEnd w:id="554"/>
          </w:p>
        </w:tc>
        <w:tc>
          <w:tcPr>
            <w:tcW w:w="1222" w:type="pct"/>
            <w:vAlign w:val="center"/>
          </w:tcPr>
          <w:p w14:paraId="42F2355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lang w:val="en-US" w:eastAsia="zh-CN"/>
              </w:rPr>
            </w:pPr>
            <w:r>
              <w:rPr>
                <w:rFonts w:hint="eastAsia" w:ascii="Times New Roman" w:hAnsi="Times New Roman" w:eastAsia="宋体" w:cs="Times New Roman"/>
                <w:caps/>
                <w:color w:val="auto"/>
                <w:sz w:val="21"/>
                <w:szCs w:val="21"/>
                <w:highlight w:val="none"/>
                <w:lang w:val="en-US" w:eastAsia="zh-CN"/>
              </w:rPr>
              <w:t>0.25</w:t>
            </w:r>
          </w:p>
        </w:tc>
        <w:tc>
          <w:tcPr>
            <w:tcW w:w="1040" w:type="pct"/>
            <w:vAlign w:val="center"/>
          </w:tcPr>
          <w:p w14:paraId="07A8D14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lang w:val="en-US" w:eastAsia="zh-CN"/>
              </w:rPr>
            </w:pPr>
            <w:r>
              <w:rPr>
                <w:rFonts w:hint="eastAsia" w:ascii="Times New Roman" w:hAnsi="Times New Roman" w:eastAsia="宋体" w:cs="Times New Roman"/>
                <w:caps/>
                <w:color w:val="auto"/>
                <w:sz w:val="21"/>
                <w:szCs w:val="21"/>
                <w:highlight w:val="none"/>
                <w:lang w:val="en-US" w:eastAsia="zh-CN"/>
              </w:rPr>
              <w:t>0.1</w:t>
            </w:r>
          </w:p>
        </w:tc>
        <w:tc>
          <w:tcPr>
            <w:tcW w:w="684" w:type="pct"/>
            <w:vAlign w:val="center"/>
          </w:tcPr>
          <w:p w14:paraId="492EABA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lang w:val="en-US" w:eastAsia="zh-CN"/>
              </w:rPr>
            </w:pPr>
            <w:r>
              <w:rPr>
                <w:rFonts w:hint="eastAsia" w:ascii="Times New Roman" w:hAnsi="Times New Roman" w:eastAsia="宋体" w:cs="Times New Roman"/>
                <w:caps/>
                <w:color w:val="auto"/>
                <w:sz w:val="21"/>
                <w:szCs w:val="21"/>
                <w:highlight w:val="none"/>
                <w:lang w:val="en-US" w:eastAsia="zh-CN"/>
              </w:rPr>
              <w:t>0.05</w:t>
            </w:r>
          </w:p>
        </w:tc>
        <w:tc>
          <w:tcPr>
            <w:tcW w:w="1255" w:type="pct"/>
            <w:vMerge w:val="continue"/>
            <w:vAlign w:val="center"/>
          </w:tcPr>
          <w:p w14:paraId="76E8E6F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p>
        </w:tc>
      </w:tr>
      <w:tr w14:paraId="472E0C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796" w:type="pct"/>
            <w:vAlign w:val="center"/>
          </w:tcPr>
          <w:p w14:paraId="2B6F637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PM</w:t>
            </w:r>
            <w:r>
              <w:rPr>
                <w:rFonts w:hint="default" w:ascii="Times New Roman" w:hAnsi="Times New Roman" w:eastAsia="宋体" w:cs="Times New Roman"/>
                <w:caps/>
                <w:color w:val="auto"/>
                <w:sz w:val="21"/>
                <w:szCs w:val="21"/>
                <w:highlight w:val="none"/>
                <w:vertAlign w:val="subscript"/>
              </w:rPr>
              <w:t>10</w:t>
            </w:r>
          </w:p>
        </w:tc>
        <w:tc>
          <w:tcPr>
            <w:tcW w:w="1222" w:type="pct"/>
            <w:vAlign w:val="center"/>
          </w:tcPr>
          <w:p w14:paraId="0776643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w:t>
            </w:r>
          </w:p>
        </w:tc>
        <w:tc>
          <w:tcPr>
            <w:tcW w:w="1040" w:type="pct"/>
            <w:vAlign w:val="center"/>
          </w:tcPr>
          <w:p w14:paraId="554E8E4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0.15</w:t>
            </w:r>
          </w:p>
        </w:tc>
        <w:tc>
          <w:tcPr>
            <w:tcW w:w="684" w:type="pct"/>
            <w:vAlign w:val="center"/>
          </w:tcPr>
          <w:p w14:paraId="305399C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0.07</w:t>
            </w:r>
          </w:p>
        </w:tc>
        <w:tc>
          <w:tcPr>
            <w:tcW w:w="1255" w:type="pct"/>
            <w:vMerge w:val="continue"/>
            <w:vAlign w:val="center"/>
          </w:tcPr>
          <w:p w14:paraId="18D18CB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p>
        </w:tc>
      </w:tr>
      <w:tr w14:paraId="050292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Align w:val="center"/>
          </w:tcPr>
          <w:p w14:paraId="3A2E5EB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PM</w:t>
            </w:r>
            <w:r>
              <w:rPr>
                <w:rFonts w:hint="default" w:ascii="Times New Roman" w:hAnsi="Times New Roman" w:eastAsia="宋体" w:cs="Times New Roman"/>
                <w:caps/>
                <w:color w:val="auto"/>
                <w:sz w:val="21"/>
                <w:szCs w:val="21"/>
                <w:highlight w:val="none"/>
                <w:vertAlign w:val="subscript"/>
              </w:rPr>
              <w:t>2.5</w:t>
            </w:r>
          </w:p>
        </w:tc>
        <w:tc>
          <w:tcPr>
            <w:tcW w:w="1222" w:type="pct"/>
            <w:vAlign w:val="center"/>
          </w:tcPr>
          <w:p w14:paraId="7C3E5DC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w:t>
            </w:r>
          </w:p>
        </w:tc>
        <w:tc>
          <w:tcPr>
            <w:tcW w:w="1040" w:type="pct"/>
            <w:vAlign w:val="center"/>
          </w:tcPr>
          <w:p w14:paraId="6767D28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0.075</w:t>
            </w:r>
          </w:p>
        </w:tc>
        <w:tc>
          <w:tcPr>
            <w:tcW w:w="684" w:type="pct"/>
            <w:vAlign w:val="center"/>
          </w:tcPr>
          <w:p w14:paraId="3ECC4D6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0.035</w:t>
            </w:r>
          </w:p>
        </w:tc>
        <w:tc>
          <w:tcPr>
            <w:tcW w:w="1255" w:type="pct"/>
            <w:vMerge w:val="continue"/>
            <w:vAlign w:val="center"/>
          </w:tcPr>
          <w:p w14:paraId="4A01C7C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p>
        </w:tc>
      </w:tr>
      <w:tr w14:paraId="31801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Align w:val="center"/>
          </w:tcPr>
          <w:p w14:paraId="01AEC8F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lang w:val="en-US" w:eastAsia="zh-CN"/>
              </w:rPr>
            </w:pPr>
            <w:bookmarkStart w:id="555" w:name="OLE_LINK77"/>
            <w:r>
              <w:rPr>
                <w:rFonts w:hint="eastAsia" w:ascii="Times New Roman" w:hAnsi="Times New Roman" w:eastAsia="宋体" w:cs="Times New Roman"/>
                <w:caps/>
                <w:color w:val="auto"/>
                <w:sz w:val="21"/>
                <w:szCs w:val="21"/>
                <w:highlight w:val="none"/>
                <w:lang w:val="en-US" w:eastAsia="zh-CN"/>
              </w:rPr>
              <w:t>TSP</w:t>
            </w:r>
            <w:bookmarkEnd w:id="555"/>
          </w:p>
        </w:tc>
        <w:tc>
          <w:tcPr>
            <w:tcW w:w="1222" w:type="pct"/>
            <w:vAlign w:val="center"/>
          </w:tcPr>
          <w:p w14:paraId="306EB0D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aps/>
                <w:color w:val="auto"/>
                <w:sz w:val="21"/>
                <w:szCs w:val="21"/>
                <w:highlight w:val="none"/>
                <w:lang w:val="en-US" w:eastAsia="zh-CN"/>
              </w:rPr>
            </w:pPr>
            <w:r>
              <w:rPr>
                <w:rFonts w:hint="eastAsia" w:ascii="Times New Roman" w:hAnsi="Times New Roman" w:eastAsia="宋体" w:cs="Times New Roman"/>
                <w:caps/>
                <w:color w:val="auto"/>
                <w:sz w:val="21"/>
                <w:szCs w:val="21"/>
                <w:highlight w:val="none"/>
                <w:lang w:val="en-US" w:eastAsia="zh-CN"/>
              </w:rPr>
              <w:t>/</w:t>
            </w:r>
          </w:p>
        </w:tc>
        <w:tc>
          <w:tcPr>
            <w:tcW w:w="1040" w:type="pct"/>
            <w:vAlign w:val="center"/>
          </w:tcPr>
          <w:p w14:paraId="544FD2F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lang w:val="en-US" w:eastAsia="zh-CN"/>
              </w:rPr>
            </w:pPr>
            <w:r>
              <w:rPr>
                <w:rFonts w:hint="eastAsia" w:ascii="Times New Roman" w:hAnsi="Times New Roman" w:eastAsia="宋体" w:cs="Times New Roman"/>
                <w:caps/>
                <w:color w:val="auto"/>
                <w:sz w:val="21"/>
                <w:szCs w:val="21"/>
                <w:highlight w:val="none"/>
                <w:lang w:val="en-US" w:eastAsia="zh-CN"/>
              </w:rPr>
              <w:t>0.3</w:t>
            </w:r>
          </w:p>
        </w:tc>
        <w:tc>
          <w:tcPr>
            <w:tcW w:w="684" w:type="pct"/>
            <w:vAlign w:val="center"/>
          </w:tcPr>
          <w:p w14:paraId="4DD6B3E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lang w:val="en-US" w:eastAsia="zh-CN"/>
              </w:rPr>
            </w:pPr>
            <w:r>
              <w:rPr>
                <w:rFonts w:hint="eastAsia" w:ascii="Times New Roman" w:hAnsi="Times New Roman" w:eastAsia="宋体" w:cs="Times New Roman"/>
                <w:caps/>
                <w:color w:val="auto"/>
                <w:sz w:val="21"/>
                <w:szCs w:val="21"/>
                <w:highlight w:val="none"/>
                <w:lang w:val="en-US" w:eastAsia="zh-CN"/>
              </w:rPr>
              <w:t>0.2</w:t>
            </w:r>
          </w:p>
        </w:tc>
        <w:tc>
          <w:tcPr>
            <w:tcW w:w="1255" w:type="pct"/>
            <w:vMerge w:val="continue"/>
            <w:vAlign w:val="center"/>
          </w:tcPr>
          <w:p w14:paraId="1A2583C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p>
        </w:tc>
      </w:tr>
      <w:bookmarkEnd w:id="551"/>
      <w:tr w14:paraId="67B107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Align w:val="center"/>
          </w:tcPr>
          <w:p w14:paraId="3ABC48D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O</w:t>
            </w:r>
            <w:r>
              <w:rPr>
                <w:rFonts w:hint="default" w:ascii="Times New Roman" w:hAnsi="Times New Roman" w:eastAsia="宋体" w:cs="Times New Roman"/>
                <w:caps/>
                <w:color w:val="auto"/>
                <w:sz w:val="21"/>
                <w:szCs w:val="21"/>
                <w:highlight w:val="none"/>
                <w:vertAlign w:val="subscript"/>
              </w:rPr>
              <w:t>3</w:t>
            </w:r>
          </w:p>
        </w:tc>
        <w:tc>
          <w:tcPr>
            <w:tcW w:w="1222" w:type="pct"/>
            <w:vAlign w:val="center"/>
          </w:tcPr>
          <w:p w14:paraId="7776FF2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0.2</w:t>
            </w:r>
          </w:p>
        </w:tc>
        <w:tc>
          <w:tcPr>
            <w:tcW w:w="1040" w:type="pct"/>
            <w:vAlign w:val="center"/>
          </w:tcPr>
          <w:p w14:paraId="7F3F352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0.16</w:t>
            </w:r>
          </w:p>
          <w:p w14:paraId="6B49F87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（8小时均值）</w:t>
            </w:r>
          </w:p>
        </w:tc>
        <w:tc>
          <w:tcPr>
            <w:tcW w:w="684" w:type="pct"/>
            <w:vAlign w:val="center"/>
          </w:tcPr>
          <w:p w14:paraId="5172DF7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w:t>
            </w:r>
          </w:p>
        </w:tc>
        <w:tc>
          <w:tcPr>
            <w:tcW w:w="1255" w:type="pct"/>
            <w:vMerge w:val="continue"/>
            <w:vAlign w:val="center"/>
          </w:tcPr>
          <w:p w14:paraId="4DCD521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p>
        </w:tc>
      </w:tr>
      <w:tr w14:paraId="39D753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Align w:val="center"/>
          </w:tcPr>
          <w:p w14:paraId="2E5E5AE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CO</w:t>
            </w:r>
          </w:p>
        </w:tc>
        <w:tc>
          <w:tcPr>
            <w:tcW w:w="1222" w:type="pct"/>
            <w:vAlign w:val="center"/>
          </w:tcPr>
          <w:p w14:paraId="22894D0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10</w:t>
            </w:r>
          </w:p>
        </w:tc>
        <w:tc>
          <w:tcPr>
            <w:tcW w:w="1040" w:type="pct"/>
            <w:vAlign w:val="center"/>
          </w:tcPr>
          <w:p w14:paraId="294840E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4</w:t>
            </w:r>
          </w:p>
        </w:tc>
        <w:tc>
          <w:tcPr>
            <w:tcW w:w="684" w:type="pct"/>
            <w:vAlign w:val="center"/>
          </w:tcPr>
          <w:p w14:paraId="2C3CB1A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w:t>
            </w:r>
          </w:p>
        </w:tc>
        <w:tc>
          <w:tcPr>
            <w:tcW w:w="1255" w:type="pct"/>
            <w:vMerge w:val="continue"/>
            <w:vAlign w:val="center"/>
          </w:tcPr>
          <w:p w14:paraId="6BA89D6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p>
        </w:tc>
      </w:tr>
      <w:tr w14:paraId="0D5C19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Align w:val="center"/>
          </w:tcPr>
          <w:p w14:paraId="52D46F5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bookmarkStart w:id="556" w:name="OLE_LINK84"/>
            <w:r>
              <w:rPr>
                <w:rFonts w:hint="default" w:ascii="Times New Roman" w:hAnsi="Times New Roman" w:eastAsia="宋体" w:cs="Times New Roman"/>
                <w:caps/>
                <w:color w:val="auto"/>
                <w:sz w:val="21"/>
                <w:szCs w:val="21"/>
                <w:highlight w:val="none"/>
              </w:rPr>
              <w:t>氟化物</w:t>
            </w:r>
            <w:bookmarkEnd w:id="556"/>
          </w:p>
        </w:tc>
        <w:tc>
          <w:tcPr>
            <w:tcW w:w="1222" w:type="pct"/>
            <w:vAlign w:val="center"/>
          </w:tcPr>
          <w:p w14:paraId="0BE8265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0.02</w:t>
            </w:r>
          </w:p>
        </w:tc>
        <w:tc>
          <w:tcPr>
            <w:tcW w:w="1040" w:type="pct"/>
            <w:vAlign w:val="center"/>
          </w:tcPr>
          <w:p w14:paraId="114C277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0.007</w:t>
            </w:r>
          </w:p>
        </w:tc>
        <w:tc>
          <w:tcPr>
            <w:tcW w:w="684" w:type="pct"/>
            <w:vAlign w:val="center"/>
          </w:tcPr>
          <w:p w14:paraId="666BC60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w:t>
            </w:r>
          </w:p>
        </w:tc>
        <w:tc>
          <w:tcPr>
            <w:tcW w:w="1255" w:type="pct"/>
            <w:vMerge w:val="continue"/>
            <w:vAlign w:val="center"/>
          </w:tcPr>
          <w:p w14:paraId="05BED58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p>
        </w:tc>
      </w:tr>
      <w:tr w14:paraId="1CF12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Align w:val="center"/>
          </w:tcPr>
          <w:p w14:paraId="12FB095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bookmarkStart w:id="557" w:name="OLE_LINK83"/>
            <w:r>
              <w:rPr>
                <w:rFonts w:hint="default" w:ascii="Times New Roman" w:hAnsi="Times New Roman" w:eastAsia="宋体" w:cs="Times New Roman"/>
                <w:caps/>
                <w:color w:val="auto"/>
                <w:sz w:val="21"/>
                <w:szCs w:val="21"/>
                <w:highlight w:val="none"/>
              </w:rPr>
              <w:t>氨</w:t>
            </w:r>
            <w:bookmarkEnd w:id="557"/>
          </w:p>
        </w:tc>
        <w:tc>
          <w:tcPr>
            <w:tcW w:w="1222" w:type="pct"/>
            <w:vAlign w:val="center"/>
          </w:tcPr>
          <w:p w14:paraId="271A51A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0.20</w:t>
            </w:r>
          </w:p>
        </w:tc>
        <w:tc>
          <w:tcPr>
            <w:tcW w:w="1040" w:type="pct"/>
            <w:vAlign w:val="center"/>
          </w:tcPr>
          <w:p w14:paraId="68E9EBA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w:t>
            </w:r>
          </w:p>
        </w:tc>
        <w:tc>
          <w:tcPr>
            <w:tcW w:w="684" w:type="pct"/>
            <w:vAlign w:val="center"/>
          </w:tcPr>
          <w:p w14:paraId="4E6523C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w:t>
            </w:r>
          </w:p>
        </w:tc>
        <w:tc>
          <w:tcPr>
            <w:tcW w:w="1255" w:type="pct"/>
            <w:vMerge w:val="restart"/>
            <w:vAlign w:val="center"/>
          </w:tcPr>
          <w:p w14:paraId="0E1E079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《环境影响评价技术导则 大气环境》（HJ2.2—2018）附录D 其他污染物空气质量浓度参考限值</w:t>
            </w:r>
          </w:p>
        </w:tc>
      </w:tr>
      <w:tr w14:paraId="7BD788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Align w:val="center"/>
          </w:tcPr>
          <w:p w14:paraId="40E297D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aps/>
                <w:color w:val="auto"/>
                <w:sz w:val="21"/>
                <w:szCs w:val="21"/>
                <w:highlight w:val="none"/>
                <w:lang w:val="en-US" w:eastAsia="zh-CN"/>
              </w:rPr>
            </w:pPr>
            <w:r>
              <w:rPr>
                <w:rFonts w:hint="eastAsia" w:ascii="Times New Roman" w:hAnsi="Times New Roman" w:eastAsia="宋体" w:cs="Times New Roman"/>
                <w:caps/>
                <w:color w:val="auto"/>
                <w:sz w:val="21"/>
                <w:szCs w:val="21"/>
                <w:highlight w:val="none"/>
                <w:lang w:val="en-US" w:eastAsia="zh-CN"/>
              </w:rPr>
              <w:t>苯</w:t>
            </w:r>
          </w:p>
        </w:tc>
        <w:tc>
          <w:tcPr>
            <w:tcW w:w="1222" w:type="pct"/>
            <w:vAlign w:val="center"/>
          </w:tcPr>
          <w:p w14:paraId="196A09E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lang w:val="en-US" w:eastAsia="zh-CN"/>
              </w:rPr>
            </w:pPr>
            <w:r>
              <w:rPr>
                <w:rFonts w:hint="eastAsia" w:ascii="Times New Roman" w:hAnsi="Times New Roman" w:eastAsia="宋体" w:cs="Times New Roman"/>
                <w:caps/>
                <w:color w:val="auto"/>
                <w:sz w:val="21"/>
                <w:szCs w:val="21"/>
                <w:highlight w:val="none"/>
                <w:lang w:val="en-US" w:eastAsia="zh-CN"/>
              </w:rPr>
              <w:t>0.11</w:t>
            </w:r>
          </w:p>
        </w:tc>
        <w:tc>
          <w:tcPr>
            <w:tcW w:w="1040" w:type="pct"/>
            <w:vAlign w:val="center"/>
          </w:tcPr>
          <w:p w14:paraId="5E6A70B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aps/>
                <w:color w:val="auto"/>
                <w:sz w:val="21"/>
                <w:szCs w:val="21"/>
                <w:highlight w:val="none"/>
                <w:lang w:val="en-US" w:eastAsia="zh-CN"/>
              </w:rPr>
            </w:pPr>
            <w:r>
              <w:rPr>
                <w:rFonts w:hint="eastAsia" w:ascii="Times New Roman" w:hAnsi="Times New Roman" w:eastAsia="宋体" w:cs="Times New Roman"/>
                <w:caps/>
                <w:color w:val="auto"/>
                <w:sz w:val="21"/>
                <w:szCs w:val="21"/>
                <w:highlight w:val="none"/>
                <w:lang w:val="en-US" w:eastAsia="zh-CN"/>
              </w:rPr>
              <w:t>/</w:t>
            </w:r>
          </w:p>
        </w:tc>
        <w:tc>
          <w:tcPr>
            <w:tcW w:w="684" w:type="pct"/>
            <w:vAlign w:val="center"/>
          </w:tcPr>
          <w:p w14:paraId="63F5BE4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aps/>
                <w:color w:val="auto"/>
                <w:sz w:val="21"/>
                <w:szCs w:val="21"/>
                <w:highlight w:val="none"/>
                <w:lang w:val="en-US" w:eastAsia="zh-CN"/>
              </w:rPr>
            </w:pPr>
            <w:r>
              <w:rPr>
                <w:rFonts w:hint="eastAsia" w:ascii="Times New Roman" w:hAnsi="Times New Roman" w:eastAsia="宋体" w:cs="Times New Roman"/>
                <w:caps/>
                <w:color w:val="auto"/>
                <w:sz w:val="21"/>
                <w:szCs w:val="21"/>
                <w:highlight w:val="none"/>
                <w:lang w:val="en-US" w:eastAsia="zh-CN"/>
              </w:rPr>
              <w:t>/</w:t>
            </w:r>
          </w:p>
        </w:tc>
        <w:tc>
          <w:tcPr>
            <w:tcW w:w="1255" w:type="pct"/>
            <w:vMerge w:val="continue"/>
            <w:vAlign w:val="center"/>
          </w:tcPr>
          <w:p w14:paraId="113B3D0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p>
        </w:tc>
      </w:tr>
      <w:tr w14:paraId="0EE3E5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Align w:val="center"/>
          </w:tcPr>
          <w:p w14:paraId="0778A1B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bookmarkStart w:id="558" w:name="OLE_LINK81"/>
            <w:r>
              <w:rPr>
                <w:rFonts w:hint="default" w:ascii="Times New Roman" w:hAnsi="Times New Roman" w:eastAsia="宋体" w:cs="Times New Roman"/>
                <w:caps/>
                <w:color w:val="auto"/>
                <w:sz w:val="21"/>
                <w:szCs w:val="21"/>
                <w:highlight w:val="none"/>
              </w:rPr>
              <w:t>氯化氢</w:t>
            </w:r>
            <w:bookmarkEnd w:id="558"/>
          </w:p>
        </w:tc>
        <w:tc>
          <w:tcPr>
            <w:tcW w:w="1222" w:type="pct"/>
            <w:vAlign w:val="center"/>
          </w:tcPr>
          <w:p w14:paraId="7012553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0.05</w:t>
            </w:r>
          </w:p>
        </w:tc>
        <w:tc>
          <w:tcPr>
            <w:tcW w:w="1040" w:type="pct"/>
            <w:vAlign w:val="center"/>
          </w:tcPr>
          <w:p w14:paraId="6DD3EA6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0.015</w:t>
            </w:r>
          </w:p>
        </w:tc>
        <w:tc>
          <w:tcPr>
            <w:tcW w:w="684" w:type="pct"/>
            <w:vAlign w:val="center"/>
          </w:tcPr>
          <w:p w14:paraId="7459E56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w:t>
            </w:r>
          </w:p>
        </w:tc>
        <w:tc>
          <w:tcPr>
            <w:tcW w:w="1255" w:type="pct"/>
            <w:vMerge w:val="continue"/>
            <w:vAlign w:val="center"/>
          </w:tcPr>
          <w:p w14:paraId="18FA419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p>
        </w:tc>
      </w:tr>
      <w:tr w14:paraId="70B20F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shd w:val="clear" w:color="auto" w:fill="auto"/>
            <w:vAlign w:val="center"/>
          </w:tcPr>
          <w:p w14:paraId="0039A2E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snapToGrid w:val="0"/>
                <w:color w:val="auto"/>
                <w:kern w:val="0"/>
                <w:sz w:val="21"/>
                <w:szCs w:val="21"/>
                <w:highlight w:val="none"/>
                <w:lang w:val="en-US" w:eastAsia="en-US" w:bidi="ar-SA"/>
              </w:rPr>
            </w:pPr>
            <w:bookmarkStart w:id="559" w:name="OLE_LINK82"/>
            <w:r>
              <w:rPr>
                <w:rFonts w:hint="default" w:ascii="Times New Roman" w:hAnsi="Times New Roman" w:eastAsia="宋体" w:cs="Times New Roman"/>
                <w:caps/>
                <w:color w:val="auto"/>
                <w:sz w:val="21"/>
                <w:szCs w:val="21"/>
                <w:highlight w:val="none"/>
              </w:rPr>
              <w:t>硫酸雾</w:t>
            </w:r>
          </w:p>
        </w:tc>
        <w:tc>
          <w:tcPr>
            <w:tcW w:w="1222" w:type="pct"/>
            <w:shd w:val="clear" w:color="auto" w:fill="auto"/>
            <w:vAlign w:val="center"/>
          </w:tcPr>
          <w:p w14:paraId="72A53FD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snapToGrid w:val="0"/>
                <w:color w:val="auto"/>
                <w:kern w:val="0"/>
                <w:sz w:val="21"/>
                <w:szCs w:val="21"/>
                <w:highlight w:val="none"/>
                <w:lang w:val="en-US" w:eastAsia="en-US" w:bidi="ar-SA"/>
              </w:rPr>
            </w:pPr>
            <w:r>
              <w:rPr>
                <w:rFonts w:hint="default" w:ascii="Times New Roman" w:hAnsi="Times New Roman" w:eastAsia="宋体" w:cs="Times New Roman"/>
                <w:caps/>
                <w:color w:val="auto"/>
                <w:sz w:val="21"/>
                <w:szCs w:val="21"/>
                <w:highlight w:val="none"/>
              </w:rPr>
              <w:t>0.30</w:t>
            </w:r>
          </w:p>
        </w:tc>
        <w:tc>
          <w:tcPr>
            <w:tcW w:w="1040" w:type="pct"/>
            <w:shd w:val="clear" w:color="auto" w:fill="auto"/>
            <w:vAlign w:val="center"/>
          </w:tcPr>
          <w:p w14:paraId="7BF1F27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snapToGrid w:val="0"/>
                <w:color w:val="auto"/>
                <w:kern w:val="0"/>
                <w:sz w:val="21"/>
                <w:szCs w:val="21"/>
                <w:highlight w:val="none"/>
                <w:lang w:val="en-US" w:eastAsia="en-US" w:bidi="ar-SA"/>
              </w:rPr>
            </w:pPr>
            <w:r>
              <w:rPr>
                <w:rFonts w:hint="default" w:ascii="Times New Roman" w:hAnsi="Times New Roman" w:eastAsia="宋体" w:cs="Times New Roman"/>
                <w:caps/>
                <w:color w:val="auto"/>
                <w:sz w:val="21"/>
                <w:szCs w:val="21"/>
                <w:highlight w:val="none"/>
              </w:rPr>
              <w:t>0.10</w:t>
            </w:r>
          </w:p>
        </w:tc>
        <w:tc>
          <w:tcPr>
            <w:tcW w:w="684" w:type="pct"/>
            <w:shd w:val="clear" w:color="auto" w:fill="auto"/>
            <w:vAlign w:val="center"/>
          </w:tcPr>
          <w:p w14:paraId="319C05D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snapToGrid w:val="0"/>
                <w:color w:val="auto"/>
                <w:kern w:val="0"/>
                <w:sz w:val="21"/>
                <w:szCs w:val="21"/>
                <w:highlight w:val="none"/>
                <w:lang w:val="en-US" w:eastAsia="en-US" w:bidi="ar-SA"/>
              </w:rPr>
            </w:pPr>
            <w:r>
              <w:rPr>
                <w:rFonts w:hint="default" w:ascii="Times New Roman" w:hAnsi="Times New Roman" w:eastAsia="宋体" w:cs="Times New Roman"/>
                <w:caps/>
                <w:color w:val="auto"/>
                <w:sz w:val="21"/>
                <w:szCs w:val="21"/>
                <w:highlight w:val="none"/>
              </w:rPr>
              <w:t>/</w:t>
            </w:r>
          </w:p>
        </w:tc>
        <w:tc>
          <w:tcPr>
            <w:tcW w:w="1255" w:type="pct"/>
            <w:vMerge w:val="continue"/>
            <w:vAlign w:val="center"/>
          </w:tcPr>
          <w:p w14:paraId="6D89D8B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p>
        </w:tc>
      </w:tr>
      <w:tr w14:paraId="54FBCE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 w:type="pct"/>
            <w:vAlign w:val="center"/>
          </w:tcPr>
          <w:p w14:paraId="21E4862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硫化氢</w:t>
            </w:r>
            <w:bookmarkEnd w:id="559"/>
          </w:p>
        </w:tc>
        <w:tc>
          <w:tcPr>
            <w:tcW w:w="1222" w:type="pct"/>
            <w:vAlign w:val="center"/>
          </w:tcPr>
          <w:p w14:paraId="2095824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0.01</w:t>
            </w:r>
          </w:p>
        </w:tc>
        <w:tc>
          <w:tcPr>
            <w:tcW w:w="1040" w:type="pct"/>
            <w:vAlign w:val="center"/>
          </w:tcPr>
          <w:p w14:paraId="0945215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w:t>
            </w:r>
          </w:p>
        </w:tc>
        <w:tc>
          <w:tcPr>
            <w:tcW w:w="684" w:type="pct"/>
            <w:vAlign w:val="center"/>
          </w:tcPr>
          <w:p w14:paraId="1F01DC5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w:t>
            </w:r>
          </w:p>
        </w:tc>
        <w:tc>
          <w:tcPr>
            <w:tcW w:w="1255" w:type="pct"/>
            <w:vMerge w:val="continue"/>
            <w:vAlign w:val="center"/>
          </w:tcPr>
          <w:p w14:paraId="5FC166A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p>
        </w:tc>
      </w:tr>
      <w:tr w14:paraId="00C49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96" w:type="pct"/>
            <w:tcBorders>
              <w:top w:val="single" w:color="auto" w:sz="4" w:space="0"/>
              <w:bottom w:val="single" w:color="auto" w:sz="12" w:space="0"/>
            </w:tcBorders>
            <w:vAlign w:val="center"/>
          </w:tcPr>
          <w:p w14:paraId="68E533D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bookmarkStart w:id="560" w:name="OLE_LINK87"/>
            <w:r>
              <w:rPr>
                <w:rFonts w:hint="default" w:ascii="Times New Roman" w:hAnsi="Times New Roman" w:eastAsia="宋体" w:cs="Times New Roman"/>
                <w:caps/>
                <w:color w:val="auto"/>
                <w:sz w:val="21"/>
                <w:szCs w:val="21"/>
                <w:highlight w:val="none"/>
              </w:rPr>
              <w:t>非甲烷总烃</w:t>
            </w:r>
            <w:bookmarkEnd w:id="560"/>
          </w:p>
        </w:tc>
        <w:tc>
          <w:tcPr>
            <w:tcW w:w="1222" w:type="pct"/>
            <w:tcBorders>
              <w:top w:val="single" w:color="auto" w:sz="4" w:space="0"/>
              <w:bottom w:val="single" w:color="auto" w:sz="12" w:space="0"/>
            </w:tcBorders>
            <w:vAlign w:val="center"/>
          </w:tcPr>
          <w:p w14:paraId="623AF2A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2</w:t>
            </w:r>
          </w:p>
        </w:tc>
        <w:tc>
          <w:tcPr>
            <w:tcW w:w="1040" w:type="pct"/>
            <w:tcBorders>
              <w:top w:val="single" w:color="auto" w:sz="4" w:space="0"/>
              <w:bottom w:val="single" w:color="auto" w:sz="12" w:space="0"/>
            </w:tcBorders>
            <w:vAlign w:val="center"/>
          </w:tcPr>
          <w:p w14:paraId="19CE51A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w:t>
            </w:r>
          </w:p>
        </w:tc>
        <w:tc>
          <w:tcPr>
            <w:tcW w:w="684" w:type="pct"/>
            <w:tcBorders>
              <w:top w:val="single" w:color="auto" w:sz="4" w:space="0"/>
              <w:bottom w:val="single" w:color="auto" w:sz="12" w:space="0"/>
            </w:tcBorders>
            <w:vAlign w:val="center"/>
          </w:tcPr>
          <w:p w14:paraId="396B083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w:t>
            </w:r>
          </w:p>
        </w:tc>
        <w:tc>
          <w:tcPr>
            <w:tcW w:w="1255" w:type="pct"/>
            <w:tcBorders>
              <w:top w:val="single" w:color="auto" w:sz="4" w:space="0"/>
              <w:bottom w:val="single" w:color="auto" w:sz="12" w:space="0"/>
            </w:tcBorders>
            <w:vAlign w:val="center"/>
          </w:tcPr>
          <w:p w14:paraId="032EDF7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aps/>
                <w:color w:val="auto"/>
                <w:sz w:val="21"/>
                <w:szCs w:val="21"/>
                <w:highlight w:val="none"/>
              </w:rPr>
            </w:pPr>
            <w:r>
              <w:rPr>
                <w:rFonts w:hint="default" w:ascii="Times New Roman" w:hAnsi="Times New Roman" w:eastAsia="宋体" w:cs="Times New Roman"/>
                <w:caps/>
                <w:color w:val="auto"/>
                <w:sz w:val="21"/>
                <w:szCs w:val="21"/>
                <w:highlight w:val="none"/>
              </w:rPr>
              <w:t>《大气污染物综合排放标准详解》</w:t>
            </w:r>
          </w:p>
        </w:tc>
      </w:tr>
    </w:tbl>
    <w:p w14:paraId="7AB5B69E">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9"/>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3</w:t>
      </w: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r>
        <w:rPr>
          <w:rFonts w:hint="eastAsia"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2地表水环境质量标准</w:t>
      </w:r>
      <w:bookmarkStart w:id="561" w:name="pindex603"/>
      <w:bookmarkEnd w:id="561"/>
    </w:p>
    <w:p w14:paraId="5D1DD4A6">
      <w:pPr>
        <w:keepNext w:val="0"/>
        <w:keepLines w:val="0"/>
        <w:pageBreakBefore w:val="0"/>
        <w:widowControl/>
        <w:kinsoku w:val="0"/>
        <w:wordWrap/>
        <w:overflowPunct/>
        <w:topLinePunct w:val="0"/>
        <w:autoSpaceDE w:val="0"/>
        <w:autoSpaceDN w:val="0"/>
        <w:bidi w:val="0"/>
        <w:adjustRightInd w:val="0"/>
        <w:snapToGrid w:val="0"/>
        <w:spacing w:before="33" w:line="360" w:lineRule="auto"/>
        <w:ind w:left="39" w:right="136" w:firstLine="508"/>
        <w:jc w:val="both"/>
        <w:textAlignment w:val="baseline"/>
        <w:rPr>
          <w:rFonts w:hint="eastAsia" w:ascii="Times New Roman" w:hAnsi="Times New Roman" w:eastAsia="宋体" w:cs="Times New Roman"/>
          <w:color w:val="auto"/>
          <w:sz w:val="24"/>
          <w:szCs w:val="24"/>
          <w:highlight w:val="none"/>
          <w:lang w:eastAsia="zh-CN"/>
        </w:rPr>
      </w:pPr>
      <w:bookmarkStart w:id="562" w:name="sys6040105"/>
      <w:r>
        <w:rPr>
          <w:rFonts w:hint="default" w:ascii="Times New Roman" w:hAnsi="Times New Roman" w:eastAsia="宋体" w:cs="Times New Roman"/>
          <w:color w:val="auto"/>
          <w:sz w:val="24"/>
          <w:szCs w:val="24"/>
          <w:highlight w:val="none"/>
        </w:rPr>
        <w:t>根据《江苏省地表水（环境）功能区划》和相关管理要求，秦淮河（</w:t>
      </w:r>
      <w:r>
        <w:rPr>
          <w:rFonts w:hint="eastAsia" w:ascii="Times New Roman" w:hAnsi="Times New Roman" w:eastAsia="宋体" w:cs="Times New Roman"/>
          <w:color w:val="auto"/>
          <w:sz w:val="24"/>
          <w:szCs w:val="24"/>
          <w:highlight w:val="none"/>
          <w:lang w:val="en-US" w:eastAsia="zh-CN"/>
        </w:rPr>
        <w:t>云台山河口</w:t>
      </w:r>
      <w:r>
        <w:rPr>
          <w:rFonts w:hint="eastAsia" w:ascii="Times New Roman" w:hAnsi="Times New Roman" w:cs="Times New Roman"/>
          <w:color w:val="auto"/>
          <w:highlight w:val="none"/>
          <w:lang w:val="en-US" w:eastAsia="zh-CN"/>
        </w:rPr>
        <w:t>－</w:t>
      </w:r>
      <w:r>
        <w:rPr>
          <w:rFonts w:hint="eastAsia" w:ascii="Times New Roman" w:hAnsi="Times New Roman" w:eastAsia="宋体" w:cs="Times New Roman"/>
          <w:color w:val="auto"/>
          <w:sz w:val="24"/>
          <w:szCs w:val="24"/>
          <w:highlight w:val="none"/>
          <w:lang w:val="en-US" w:eastAsia="zh-CN"/>
        </w:rPr>
        <w:t>牛首山河口</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w:t>
      </w:r>
      <w:bookmarkStart w:id="563" w:name="OLE_LINK473"/>
      <w:r>
        <w:rPr>
          <w:rFonts w:hint="default" w:ascii="Times New Roman" w:hAnsi="Times New Roman" w:eastAsia="宋体" w:cs="Times New Roman"/>
          <w:color w:val="auto"/>
          <w:sz w:val="24"/>
          <w:szCs w:val="24"/>
          <w:highlight w:val="none"/>
          <w:lang w:val="en-US" w:eastAsia="zh-CN"/>
        </w:rPr>
        <w:t>牛首山河、</w:t>
      </w:r>
      <w:r>
        <w:rPr>
          <w:rFonts w:hint="eastAsia" w:ascii="Times New Roman" w:hAnsi="Times New Roman" w:eastAsia="宋体" w:cs="Times New Roman"/>
          <w:color w:val="auto"/>
          <w:sz w:val="24"/>
          <w:szCs w:val="24"/>
          <w:highlight w:val="none"/>
          <w:lang w:val="en-US" w:eastAsia="zh-CN"/>
        </w:rPr>
        <w:t>秦淮新河、</w:t>
      </w:r>
      <w:r>
        <w:rPr>
          <w:rFonts w:hint="default" w:ascii="Times New Roman" w:hAnsi="Times New Roman" w:eastAsia="宋体" w:cs="Times New Roman"/>
          <w:color w:val="auto"/>
          <w:sz w:val="24"/>
          <w:szCs w:val="24"/>
          <w:highlight w:val="none"/>
          <w:lang w:val="en-US" w:eastAsia="zh-CN"/>
        </w:rPr>
        <w:t>云台山河</w:t>
      </w:r>
      <w:r>
        <w:rPr>
          <w:rFonts w:hint="eastAsia" w:ascii="Times New Roman" w:hAnsi="Times New Roman" w:eastAsia="宋体" w:cs="Times New Roman"/>
          <w:color w:val="auto"/>
          <w:sz w:val="24"/>
          <w:szCs w:val="24"/>
          <w:highlight w:val="none"/>
          <w:lang w:val="en-US" w:eastAsia="zh-CN"/>
        </w:rPr>
        <w:t>、</w:t>
      </w:r>
      <w:bookmarkStart w:id="564" w:name="OLE_LINK476"/>
      <w:r>
        <w:rPr>
          <w:rFonts w:hint="eastAsia" w:ascii="Times New Roman" w:hAnsi="Times New Roman" w:eastAsia="宋体" w:cs="Times New Roman"/>
          <w:color w:val="auto"/>
          <w:sz w:val="24"/>
          <w:szCs w:val="24"/>
          <w:highlight w:val="none"/>
          <w:lang w:val="en-US" w:eastAsia="zh-CN"/>
        </w:rPr>
        <w:t>句容河</w:t>
      </w:r>
      <w:bookmarkEnd w:id="564"/>
      <w:r>
        <w:rPr>
          <w:rFonts w:hint="eastAsia" w:ascii="Times New Roman" w:hAnsi="Times New Roman" w:eastAsia="宋体" w:cs="Times New Roman"/>
          <w:color w:val="auto"/>
          <w:sz w:val="24"/>
          <w:szCs w:val="24"/>
          <w:highlight w:val="none"/>
          <w:lang w:val="en-US" w:eastAsia="zh-CN"/>
        </w:rPr>
        <w:t>、</w:t>
      </w:r>
      <w:bookmarkStart w:id="565" w:name="OLE_LINK472"/>
      <w:r>
        <w:rPr>
          <w:rFonts w:hint="eastAsia" w:ascii="Times New Roman" w:hAnsi="Times New Roman" w:eastAsia="宋体" w:cs="Times New Roman"/>
          <w:color w:val="auto"/>
          <w:sz w:val="24"/>
          <w:szCs w:val="24"/>
          <w:highlight w:val="none"/>
          <w:lang w:val="en-US" w:eastAsia="zh-CN"/>
        </w:rPr>
        <w:t>风波坟水库、谷里水库</w:t>
      </w:r>
      <w:bookmarkEnd w:id="563"/>
      <w:bookmarkEnd w:id="565"/>
      <w:r>
        <w:rPr>
          <w:rFonts w:hint="default" w:ascii="Times New Roman" w:hAnsi="Times New Roman" w:eastAsia="宋体" w:cs="Times New Roman"/>
          <w:color w:val="auto"/>
          <w:sz w:val="24"/>
          <w:szCs w:val="24"/>
          <w:highlight w:val="none"/>
        </w:rPr>
        <w:t>执行《地表水环境质量标准》（GB3838-2002）</w:t>
      </w:r>
      <w:bookmarkStart w:id="566" w:name="_Hlk38642390"/>
      <w:r>
        <w:rPr>
          <w:rFonts w:hint="default" w:ascii="Times New Roman" w:hAnsi="Times New Roman" w:eastAsia="宋体" w:cs="Times New Roman"/>
          <w:color w:val="auto"/>
          <w:sz w:val="24"/>
          <w:szCs w:val="24"/>
          <w:highlight w:val="none"/>
        </w:rPr>
        <w:t>Ⅲ类水质标准</w:t>
      </w:r>
      <w:bookmarkEnd w:id="566"/>
      <w:r>
        <w:rPr>
          <w:rFonts w:hint="eastAsia" w:ascii="Times New Roman" w:hAnsi="Times New Roman" w:eastAsia="宋体" w:cs="Times New Roman"/>
          <w:color w:val="auto"/>
          <w:sz w:val="24"/>
          <w:szCs w:val="24"/>
          <w:highlight w:val="none"/>
          <w:lang w:eastAsia="zh-CN"/>
        </w:rPr>
        <w:t>；</w:t>
      </w:r>
      <w:bookmarkEnd w:id="562"/>
      <w:bookmarkStart w:id="567" w:name="sys60410540"/>
      <w:r>
        <w:rPr>
          <w:rFonts w:hint="eastAsia" w:ascii="Times New Roman" w:hAnsi="Times New Roman" w:eastAsia="宋体" w:cs="Times New Roman"/>
          <w:color w:val="auto"/>
          <w:sz w:val="24"/>
          <w:szCs w:val="24"/>
          <w:highlight w:val="none"/>
          <w:lang w:val="en-US" w:eastAsia="zh-CN"/>
        </w:rPr>
        <w:t>秦淮河（牛首山河河口－江宁上坊门桥段）</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胜利河、百家湖、九龙湖执行Ⅳ类水质标准</w:t>
      </w:r>
      <w:r>
        <w:rPr>
          <w:rFonts w:hint="eastAsia" w:ascii="Times New Roman" w:hAnsi="Times New Roman" w:eastAsia="宋体" w:cs="Times New Roman"/>
          <w:color w:val="auto"/>
          <w:sz w:val="24"/>
          <w:szCs w:val="24"/>
          <w:highlight w:val="none"/>
          <w:lang w:eastAsia="zh-CN"/>
        </w:rPr>
        <w:t>。</w:t>
      </w:r>
      <w:bookmarkEnd w:id="567"/>
    </w:p>
    <w:p w14:paraId="09B5D881">
      <w:pPr>
        <w:keepNext w:val="0"/>
        <w:keepLines w:val="0"/>
        <w:pageBreakBefore w:val="0"/>
        <w:widowControl/>
        <w:kinsoku w:val="0"/>
        <w:wordWrap/>
        <w:overflowPunct/>
        <w:topLinePunct w:val="0"/>
        <w:autoSpaceDE w:val="0"/>
        <w:autoSpaceDN w:val="0"/>
        <w:bidi w:val="0"/>
        <w:adjustRightInd w:val="0"/>
        <w:snapToGrid w:val="0"/>
        <w:spacing w:before="33" w:line="240" w:lineRule="auto"/>
        <w:ind w:right="136"/>
        <w:jc w:val="center"/>
        <w:textAlignment w:val="baseline"/>
        <w:rPr>
          <w:rFonts w:ascii="宋体" w:hAnsi="宋体" w:eastAsia="宋体" w:cs="宋体"/>
          <w:b/>
          <w:bCs/>
          <w:color w:val="auto"/>
          <w:spacing w:val="-3"/>
          <w:sz w:val="24"/>
          <w:szCs w:val="24"/>
          <w:highlight w:val="none"/>
        </w:rPr>
      </w:pPr>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3.</w:t>
      </w:r>
      <w:r>
        <w:rPr>
          <w:rFonts w:hint="eastAsia" w:ascii="Times New Roman" w:hAnsi="Times New Roman" w:eastAsia="宋体" w:cs="Times New Roman"/>
          <w:b/>
          <w:bCs/>
          <w:color w:val="auto"/>
          <w:spacing w:val="-2"/>
          <w:sz w:val="24"/>
          <w:szCs w:val="24"/>
          <w:highlight w:val="none"/>
          <w:lang w:val="en-US" w:eastAsia="zh-CN"/>
        </w:rPr>
        <w:t>2</w:t>
      </w:r>
      <w:r>
        <w:rPr>
          <w:rFonts w:ascii="Times New Roman" w:hAnsi="Times New Roman" w:eastAsia="Times New Roman" w:cs="Times New Roman"/>
          <w:b/>
          <w:bCs/>
          <w:color w:val="auto"/>
          <w:spacing w:val="-2"/>
          <w:sz w:val="24"/>
          <w:szCs w:val="24"/>
          <w:highlight w:val="none"/>
        </w:rPr>
        <w:t>-</w:t>
      </w:r>
      <w:r>
        <w:rPr>
          <w:rFonts w:hint="eastAsia" w:ascii="Times New Roman" w:hAnsi="Times New Roman" w:eastAsia="宋体" w:cs="Times New Roman"/>
          <w:b/>
          <w:bCs/>
          <w:color w:val="auto"/>
          <w:spacing w:val="-2"/>
          <w:sz w:val="24"/>
          <w:szCs w:val="24"/>
          <w:highlight w:val="none"/>
          <w:lang w:val="en-US" w:eastAsia="zh-CN"/>
        </w:rPr>
        <w:t xml:space="preserve">2  </w:t>
      </w:r>
      <w:r>
        <w:rPr>
          <w:rFonts w:ascii="宋体" w:hAnsi="宋体" w:eastAsia="宋体" w:cs="宋体"/>
          <w:b/>
          <w:bCs/>
          <w:color w:val="auto"/>
          <w:spacing w:val="-2"/>
          <w:sz w:val="24"/>
          <w:szCs w:val="24"/>
          <w:highlight w:val="none"/>
        </w:rPr>
        <w:t>地表水环境质量标准</w:t>
      </w:r>
      <w:r>
        <w:rPr>
          <w:rFonts w:ascii="宋体" w:hAnsi="宋体" w:eastAsia="宋体" w:cs="宋体"/>
          <w:b/>
          <w:bCs/>
          <w:color w:val="auto"/>
          <w:spacing w:val="-3"/>
          <w:sz w:val="24"/>
          <w:szCs w:val="24"/>
          <w:highlight w:val="none"/>
        </w:rPr>
        <w:t>（单位：</w:t>
      </w:r>
      <w:r>
        <w:rPr>
          <w:rFonts w:ascii="Times New Roman" w:hAnsi="Times New Roman" w:eastAsia="Times New Roman" w:cs="Times New Roman"/>
          <w:b/>
          <w:bCs/>
          <w:color w:val="auto"/>
          <w:spacing w:val="-3"/>
          <w:sz w:val="24"/>
          <w:szCs w:val="24"/>
          <w:highlight w:val="none"/>
        </w:rPr>
        <w:t>mg/L</w:t>
      </w:r>
      <w:r>
        <w:rPr>
          <w:rFonts w:hint="eastAsia" w:ascii="Times New Roman" w:hAnsi="Times New Roman" w:eastAsia="宋体" w:cs="Times New Roman"/>
          <w:b/>
          <w:bCs/>
          <w:color w:val="auto"/>
          <w:spacing w:val="-3"/>
          <w:sz w:val="24"/>
          <w:szCs w:val="24"/>
          <w:highlight w:val="none"/>
          <w:lang w:val="en-US" w:eastAsia="zh-CN"/>
        </w:rPr>
        <w:t xml:space="preserve">  </w:t>
      </w:r>
      <w:r>
        <w:rPr>
          <w:rFonts w:ascii="Times New Roman" w:hAnsi="Times New Roman" w:eastAsia="Times New Roman" w:cs="Times New Roman"/>
          <w:b/>
          <w:bCs/>
          <w:color w:val="auto"/>
          <w:spacing w:val="-3"/>
          <w:sz w:val="24"/>
          <w:szCs w:val="24"/>
          <w:highlight w:val="none"/>
        </w:rPr>
        <w:t>pH</w:t>
      </w:r>
      <w:r>
        <w:rPr>
          <w:rFonts w:ascii="宋体" w:hAnsi="宋体" w:eastAsia="宋体" w:cs="宋体"/>
          <w:b/>
          <w:bCs/>
          <w:color w:val="auto"/>
          <w:spacing w:val="-3"/>
          <w:sz w:val="24"/>
          <w:szCs w:val="24"/>
          <w:highlight w:val="none"/>
        </w:rPr>
        <w:t>除外）</w:t>
      </w:r>
      <w:bookmarkStart w:id="568" w:name="pindex605"/>
      <w:bookmarkEnd w:id="568"/>
    </w:p>
    <w:tbl>
      <w:tblPr>
        <w:tblStyle w:val="19"/>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4"/>
        <w:gridCol w:w="1770"/>
        <w:gridCol w:w="1755"/>
        <w:gridCol w:w="1710"/>
        <w:gridCol w:w="1563"/>
      </w:tblGrid>
      <w:tr w14:paraId="402AB5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1724" w:type="dxa"/>
            <w:tcBorders>
              <w:top w:val="single" w:color="auto" w:sz="12" w:space="0"/>
            </w:tcBorders>
            <w:shd w:val="clear" w:color="auto" w:fill="auto"/>
            <w:vAlign w:val="center"/>
          </w:tcPr>
          <w:p w14:paraId="78EC5D9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bCs/>
                <w:color w:val="auto"/>
                <w:highlight w:val="none"/>
              </w:rPr>
            </w:pPr>
            <w:bookmarkStart w:id="569" w:name="OLE_LINK101" w:colFirst="1" w:colLast="3"/>
            <w:bookmarkStart w:id="570" w:name="OLE_LINK102" w:colFirst="1" w:colLast="3"/>
            <w:r>
              <w:rPr>
                <w:rFonts w:ascii="Times New Roman" w:hAnsi="Times New Roman" w:eastAsia="宋体" w:cs="Times New Roman"/>
                <w:b/>
                <w:bCs/>
                <w:color w:val="auto"/>
                <w:highlight w:val="none"/>
              </w:rPr>
              <w:t>指标</w:t>
            </w:r>
          </w:p>
        </w:tc>
        <w:tc>
          <w:tcPr>
            <w:tcW w:w="1770" w:type="dxa"/>
            <w:tcBorders>
              <w:top w:val="single" w:color="auto" w:sz="12" w:space="0"/>
            </w:tcBorders>
            <w:shd w:val="clear" w:color="auto" w:fill="auto"/>
            <w:vAlign w:val="center"/>
          </w:tcPr>
          <w:p w14:paraId="739F5F5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Ⅱ类</w:t>
            </w:r>
          </w:p>
        </w:tc>
        <w:tc>
          <w:tcPr>
            <w:tcW w:w="1755" w:type="dxa"/>
            <w:tcBorders>
              <w:top w:val="single" w:color="auto" w:sz="12" w:space="0"/>
            </w:tcBorders>
            <w:shd w:val="clear" w:color="auto" w:fill="auto"/>
            <w:vAlign w:val="center"/>
          </w:tcPr>
          <w:p w14:paraId="40D293A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bCs/>
                <w:caps/>
                <w:color w:val="auto"/>
                <w:highlight w:val="none"/>
              </w:rPr>
            </w:pPr>
            <w:r>
              <w:rPr>
                <w:rFonts w:ascii="Times New Roman" w:hAnsi="Times New Roman" w:eastAsia="宋体" w:cs="Times New Roman"/>
                <w:b/>
                <w:bCs/>
                <w:caps/>
                <w:color w:val="auto"/>
                <w:highlight w:val="none"/>
              </w:rPr>
              <w:t>Ⅲ类</w:t>
            </w:r>
          </w:p>
        </w:tc>
        <w:tc>
          <w:tcPr>
            <w:tcW w:w="1710" w:type="dxa"/>
            <w:tcBorders>
              <w:top w:val="single" w:color="auto" w:sz="12" w:space="0"/>
            </w:tcBorders>
            <w:shd w:val="clear" w:color="auto" w:fill="auto"/>
            <w:vAlign w:val="center"/>
          </w:tcPr>
          <w:p w14:paraId="1B8FA37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bCs/>
                <w:caps/>
                <w:color w:val="auto"/>
                <w:highlight w:val="none"/>
              </w:rPr>
            </w:pPr>
            <w:r>
              <w:rPr>
                <w:rFonts w:ascii="Times New Roman" w:hAnsi="Times New Roman" w:eastAsia="宋体" w:cs="Times New Roman"/>
                <w:b/>
                <w:bCs/>
                <w:caps/>
                <w:color w:val="auto"/>
                <w:highlight w:val="none"/>
              </w:rPr>
              <w:t>Ⅳ类</w:t>
            </w:r>
          </w:p>
        </w:tc>
        <w:tc>
          <w:tcPr>
            <w:tcW w:w="1563" w:type="dxa"/>
            <w:tcBorders>
              <w:top w:val="single" w:color="auto" w:sz="12" w:space="0"/>
            </w:tcBorders>
            <w:vAlign w:val="center"/>
          </w:tcPr>
          <w:p w14:paraId="63C9F90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bCs/>
                <w:caps/>
                <w:color w:val="auto"/>
                <w:highlight w:val="none"/>
              </w:rPr>
            </w:pPr>
            <w:r>
              <w:rPr>
                <w:rFonts w:ascii="Times New Roman" w:hAnsi="Times New Roman" w:eastAsia="宋体" w:cs="Times New Roman"/>
                <w:b/>
                <w:bCs/>
                <w:caps/>
                <w:color w:val="auto"/>
                <w:highlight w:val="none"/>
              </w:rPr>
              <w:t>依据</w:t>
            </w:r>
          </w:p>
        </w:tc>
      </w:tr>
      <w:tr w14:paraId="42E7E9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603CB2E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highlight w:val="none"/>
              </w:rPr>
            </w:pPr>
            <w:r>
              <w:rPr>
                <w:rFonts w:ascii="Times New Roman" w:hAnsi="Times New Roman" w:eastAsia="宋体" w:cs="Times New Roman"/>
                <w:color w:val="auto"/>
                <w:highlight w:val="none"/>
              </w:rPr>
              <w:t>pH值</w:t>
            </w:r>
          </w:p>
          <w:p w14:paraId="5156847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highlight w:val="none"/>
              </w:rPr>
            </w:pPr>
            <w:r>
              <w:rPr>
                <w:rFonts w:ascii="Times New Roman" w:hAnsi="Times New Roman" w:eastAsia="宋体" w:cs="Times New Roman"/>
                <w:color w:val="auto"/>
                <w:highlight w:val="none"/>
              </w:rPr>
              <w:t>（无量纲）</w:t>
            </w:r>
          </w:p>
        </w:tc>
        <w:tc>
          <w:tcPr>
            <w:tcW w:w="5235" w:type="dxa"/>
            <w:gridSpan w:val="3"/>
            <w:shd w:val="clear" w:color="auto" w:fill="auto"/>
            <w:vAlign w:val="center"/>
          </w:tcPr>
          <w:p w14:paraId="697CA5B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highlight w:val="none"/>
              </w:rPr>
            </w:pPr>
            <w:r>
              <w:rPr>
                <w:rFonts w:ascii="Times New Roman" w:hAnsi="Times New Roman" w:eastAsia="宋体" w:cs="Times New Roman"/>
                <w:color w:val="auto"/>
                <w:highlight w:val="none"/>
              </w:rPr>
              <w:t>6~9</w:t>
            </w:r>
          </w:p>
        </w:tc>
        <w:tc>
          <w:tcPr>
            <w:tcW w:w="1563" w:type="dxa"/>
            <w:vMerge w:val="restart"/>
            <w:vAlign w:val="center"/>
          </w:tcPr>
          <w:p w14:paraId="1141581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2"/>
                <w:highlight w:val="none"/>
              </w:rPr>
            </w:pPr>
            <w:r>
              <w:rPr>
                <w:rFonts w:ascii="Times New Roman" w:hAnsi="Times New Roman" w:eastAsia="宋体" w:cs="Times New Roman"/>
                <w:color w:val="auto"/>
                <w:sz w:val="22"/>
                <w:highlight w:val="none"/>
              </w:rPr>
              <w:t>《地表水环境质量标准》（GB3838-2002）</w:t>
            </w:r>
          </w:p>
          <w:p w14:paraId="59749D62">
            <w:pPr>
              <w:pStyle w:val="18"/>
              <w:jc w:val="center"/>
              <w:rPr>
                <w:color w:val="auto"/>
                <w:highlight w:val="none"/>
              </w:rPr>
            </w:pPr>
          </w:p>
        </w:tc>
      </w:tr>
      <w:tr w14:paraId="6AFFCF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77104E2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highlight w:val="none"/>
                <w:lang w:val="en-US" w:eastAsia="en-US" w:bidi="ar-SA"/>
              </w:rPr>
            </w:pPr>
            <w:r>
              <w:rPr>
                <w:rFonts w:ascii="Times New Roman" w:hAnsi="Times New Roman" w:eastAsia="宋体" w:cs="Times New Roman"/>
                <w:color w:val="auto"/>
                <w:highlight w:val="none"/>
              </w:rPr>
              <w:t>溶解氧</w:t>
            </w:r>
          </w:p>
        </w:tc>
        <w:tc>
          <w:tcPr>
            <w:tcW w:w="1770" w:type="dxa"/>
            <w:shd w:val="clear" w:color="auto" w:fill="auto"/>
            <w:vAlign w:val="center"/>
          </w:tcPr>
          <w:p w14:paraId="5FBA7C4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highlight w:val="none"/>
                <w:lang w:val="en-US" w:eastAsia="en-US" w:bidi="ar-SA"/>
              </w:rPr>
            </w:pPr>
            <w:r>
              <w:rPr>
                <w:rFonts w:ascii="Times New Roman" w:hAnsi="Times New Roman" w:eastAsia="宋体" w:cs="Times New Roman"/>
                <w:color w:val="auto"/>
                <w:highlight w:val="none"/>
              </w:rPr>
              <w:t>6</w:t>
            </w:r>
          </w:p>
        </w:tc>
        <w:tc>
          <w:tcPr>
            <w:tcW w:w="1755" w:type="dxa"/>
            <w:shd w:val="clear" w:color="auto" w:fill="auto"/>
            <w:vAlign w:val="center"/>
          </w:tcPr>
          <w:p w14:paraId="58EC33A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highlight w:val="none"/>
                <w:lang w:val="en-US" w:eastAsia="en-US" w:bidi="ar-SA"/>
              </w:rPr>
            </w:pPr>
            <w:r>
              <w:rPr>
                <w:rFonts w:ascii="Times New Roman" w:hAnsi="Times New Roman" w:eastAsia="宋体" w:cs="Times New Roman"/>
                <w:color w:val="auto"/>
                <w:highlight w:val="none"/>
              </w:rPr>
              <w:t>5</w:t>
            </w:r>
          </w:p>
        </w:tc>
        <w:tc>
          <w:tcPr>
            <w:tcW w:w="1710" w:type="dxa"/>
            <w:shd w:val="clear" w:color="auto" w:fill="auto"/>
            <w:vAlign w:val="center"/>
          </w:tcPr>
          <w:p w14:paraId="78E2DB7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highlight w:val="none"/>
                <w:lang w:val="en-US" w:eastAsia="en-US" w:bidi="ar-SA"/>
              </w:rPr>
            </w:pPr>
            <w:r>
              <w:rPr>
                <w:rFonts w:ascii="Times New Roman" w:hAnsi="Times New Roman" w:eastAsia="宋体" w:cs="Times New Roman"/>
                <w:color w:val="auto"/>
                <w:highlight w:val="none"/>
              </w:rPr>
              <w:t>3</w:t>
            </w:r>
          </w:p>
        </w:tc>
        <w:tc>
          <w:tcPr>
            <w:tcW w:w="1563" w:type="dxa"/>
            <w:vMerge w:val="continue"/>
            <w:vAlign w:val="center"/>
          </w:tcPr>
          <w:p w14:paraId="2BAF95A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highlight w:val="none"/>
              </w:rPr>
            </w:pPr>
          </w:p>
        </w:tc>
      </w:tr>
      <w:tr w14:paraId="4E6B1C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59F0107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高锰酸盐指数</w:t>
            </w:r>
          </w:p>
        </w:tc>
        <w:tc>
          <w:tcPr>
            <w:tcW w:w="1770" w:type="dxa"/>
            <w:shd w:val="clear" w:color="auto" w:fill="auto"/>
            <w:vAlign w:val="center"/>
          </w:tcPr>
          <w:p w14:paraId="0440894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4</w:t>
            </w:r>
          </w:p>
        </w:tc>
        <w:tc>
          <w:tcPr>
            <w:tcW w:w="1755" w:type="dxa"/>
            <w:shd w:val="clear" w:color="auto" w:fill="auto"/>
            <w:vAlign w:val="center"/>
          </w:tcPr>
          <w:p w14:paraId="55643A8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6</w:t>
            </w:r>
          </w:p>
        </w:tc>
        <w:tc>
          <w:tcPr>
            <w:tcW w:w="1710" w:type="dxa"/>
            <w:shd w:val="clear" w:color="auto" w:fill="auto"/>
            <w:vAlign w:val="center"/>
          </w:tcPr>
          <w:p w14:paraId="323C5E6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10</w:t>
            </w:r>
          </w:p>
        </w:tc>
        <w:tc>
          <w:tcPr>
            <w:tcW w:w="1563" w:type="dxa"/>
            <w:vMerge w:val="continue"/>
            <w:vAlign w:val="center"/>
          </w:tcPr>
          <w:p w14:paraId="3A8F09F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50A03D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17857CC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COD</w:t>
            </w:r>
          </w:p>
        </w:tc>
        <w:tc>
          <w:tcPr>
            <w:tcW w:w="1770" w:type="dxa"/>
            <w:shd w:val="clear" w:color="auto" w:fill="auto"/>
            <w:vAlign w:val="center"/>
          </w:tcPr>
          <w:p w14:paraId="6CBD447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15</w:t>
            </w:r>
          </w:p>
        </w:tc>
        <w:tc>
          <w:tcPr>
            <w:tcW w:w="1755" w:type="dxa"/>
            <w:shd w:val="clear" w:color="auto" w:fill="auto"/>
            <w:vAlign w:val="center"/>
          </w:tcPr>
          <w:p w14:paraId="266F6EE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20</w:t>
            </w:r>
          </w:p>
        </w:tc>
        <w:tc>
          <w:tcPr>
            <w:tcW w:w="1710" w:type="dxa"/>
            <w:shd w:val="clear" w:color="auto" w:fill="auto"/>
            <w:vAlign w:val="center"/>
          </w:tcPr>
          <w:p w14:paraId="435CA2A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30</w:t>
            </w:r>
          </w:p>
        </w:tc>
        <w:tc>
          <w:tcPr>
            <w:tcW w:w="1563" w:type="dxa"/>
            <w:vMerge w:val="continue"/>
            <w:vAlign w:val="center"/>
          </w:tcPr>
          <w:p w14:paraId="5F36E7A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bookmarkEnd w:id="569"/>
      <w:tr w14:paraId="0B6146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1231907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BOD</w:t>
            </w:r>
            <w:r>
              <w:rPr>
                <w:rFonts w:ascii="Times New Roman" w:hAnsi="Times New Roman" w:eastAsia="宋体" w:cs="Times New Roman"/>
                <w:color w:val="auto"/>
                <w:vertAlign w:val="subscript"/>
              </w:rPr>
              <w:t>5</w:t>
            </w:r>
          </w:p>
        </w:tc>
        <w:tc>
          <w:tcPr>
            <w:tcW w:w="1770" w:type="dxa"/>
            <w:shd w:val="clear" w:color="auto" w:fill="auto"/>
            <w:vAlign w:val="center"/>
          </w:tcPr>
          <w:p w14:paraId="64BD468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3</w:t>
            </w:r>
          </w:p>
        </w:tc>
        <w:tc>
          <w:tcPr>
            <w:tcW w:w="1755" w:type="dxa"/>
            <w:shd w:val="clear" w:color="auto" w:fill="auto"/>
            <w:vAlign w:val="center"/>
          </w:tcPr>
          <w:p w14:paraId="4FABF46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4</w:t>
            </w:r>
          </w:p>
        </w:tc>
        <w:tc>
          <w:tcPr>
            <w:tcW w:w="1710" w:type="dxa"/>
            <w:shd w:val="clear" w:color="auto" w:fill="auto"/>
            <w:vAlign w:val="center"/>
          </w:tcPr>
          <w:p w14:paraId="101FE96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6</w:t>
            </w:r>
          </w:p>
        </w:tc>
        <w:tc>
          <w:tcPr>
            <w:tcW w:w="1563" w:type="dxa"/>
            <w:vMerge w:val="continue"/>
            <w:vAlign w:val="center"/>
          </w:tcPr>
          <w:p w14:paraId="41F341F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380FD9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5289914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氨氮（NH</w:t>
            </w:r>
            <w:bookmarkStart w:id="571" w:name="OLE_LINK96"/>
            <w:r>
              <w:rPr>
                <w:rFonts w:hint="eastAsia" w:ascii="Times New Roman" w:hAnsi="Times New Roman" w:eastAsia="宋体" w:cs="Times New Roman"/>
                <w:color w:val="auto"/>
                <w:vertAlign w:val="subscript"/>
                <w:lang w:val="en-US" w:eastAsia="zh-CN"/>
              </w:rPr>
              <w:t>3</w:t>
            </w:r>
            <w:bookmarkEnd w:id="571"/>
            <w:r>
              <w:rPr>
                <w:rFonts w:hint="eastAsia" w:ascii="Times New Roman" w:hAnsi="Times New Roman" w:eastAsia="宋体" w:cs="Times New Roman"/>
                <w:color w:val="auto"/>
                <w:lang w:val="en-US" w:eastAsia="zh-CN"/>
              </w:rPr>
              <w:t>-N）</w:t>
            </w:r>
          </w:p>
        </w:tc>
        <w:tc>
          <w:tcPr>
            <w:tcW w:w="1770" w:type="dxa"/>
            <w:shd w:val="clear" w:color="auto" w:fill="auto"/>
            <w:vAlign w:val="center"/>
          </w:tcPr>
          <w:p w14:paraId="45D0C67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0.5</w:t>
            </w:r>
          </w:p>
        </w:tc>
        <w:tc>
          <w:tcPr>
            <w:tcW w:w="1755" w:type="dxa"/>
            <w:shd w:val="clear" w:color="auto" w:fill="auto"/>
            <w:vAlign w:val="center"/>
          </w:tcPr>
          <w:p w14:paraId="26307BE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w:t>
            </w:r>
          </w:p>
        </w:tc>
        <w:tc>
          <w:tcPr>
            <w:tcW w:w="1710" w:type="dxa"/>
            <w:shd w:val="clear" w:color="auto" w:fill="auto"/>
            <w:vAlign w:val="center"/>
          </w:tcPr>
          <w:p w14:paraId="5B9C629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1.5</w:t>
            </w:r>
          </w:p>
        </w:tc>
        <w:tc>
          <w:tcPr>
            <w:tcW w:w="1563" w:type="dxa"/>
            <w:vMerge w:val="continue"/>
            <w:vAlign w:val="center"/>
          </w:tcPr>
          <w:p w14:paraId="07DCD69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0AF0D7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176B846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lang w:val="en-US" w:eastAsia="zh-CN"/>
              </w:rPr>
              <w:t>总磷</w:t>
            </w:r>
          </w:p>
        </w:tc>
        <w:tc>
          <w:tcPr>
            <w:tcW w:w="1770" w:type="dxa"/>
            <w:shd w:val="clear" w:color="auto" w:fill="auto"/>
            <w:vAlign w:val="center"/>
          </w:tcPr>
          <w:p w14:paraId="0728971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0.1</w:t>
            </w:r>
          </w:p>
          <w:p w14:paraId="67E1B5E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bookmarkStart w:id="572" w:name="OLE_LINK97"/>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湖、库0.025</w:t>
            </w:r>
            <w:r>
              <w:rPr>
                <w:rFonts w:hint="eastAsia" w:ascii="Times New Roman" w:hAnsi="Times New Roman" w:eastAsia="宋体" w:cs="Times New Roman"/>
                <w:color w:val="auto"/>
                <w:lang w:eastAsia="zh-CN"/>
              </w:rPr>
              <w:t>）</w:t>
            </w:r>
            <w:bookmarkEnd w:id="572"/>
          </w:p>
        </w:tc>
        <w:tc>
          <w:tcPr>
            <w:tcW w:w="1755" w:type="dxa"/>
            <w:shd w:val="clear" w:color="auto" w:fill="auto"/>
            <w:vAlign w:val="center"/>
          </w:tcPr>
          <w:p w14:paraId="69C366B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bookmarkStart w:id="573" w:name="OLE_LINK103"/>
            <w:r>
              <w:rPr>
                <w:rFonts w:ascii="Times New Roman" w:hAnsi="Times New Roman" w:eastAsia="宋体" w:cs="Times New Roman"/>
                <w:color w:val="auto"/>
              </w:rPr>
              <w:t>0.2</w:t>
            </w:r>
          </w:p>
          <w:p w14:paraId="7560BC8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color w:val="auto"/>
                <w:lang w:val="en-US" w:eastAsia="en-US"/>
              </w:rPr>
            </w:pPr>
            <w:bookmarkStart w:id="574" w:name="OLE_LINK99"/>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湖、库0.05</w:t>
            </w:r>
            <w:r>
              <w:rPr>
                <w:rFonts w:hint="eastAsia" w:ascii="Times New Roman" w:hAnsi="Times New Roman" w:eastAsia="宋体" w:cs="Times New Roman"/>
                <w:color w:val="auto"/>
                <w:lang w:eastAsia="zh-CN"/>
              </w:rPr>
              <w:t>）</w:t>
            </w:r>
            <w:bookmarkEnd w:id="573"/>
            <w:bookmarkEnd w:id="574"/>
          </w:p>
        </w:tc>
        <w:tc>
          <w:tcPr>
            <w:tcW w:w="1710" w:type="dxa"/>
            <w:shd w:val="clear" w:color="auto" w:fill="auto"/>
            <w:vAlign w:val="center"/>
          </w:tcPr>
          <w:p w14:paraId="307A3A6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0.3</w:t>
            </w:r>
          </w:p>
          <w:p w14:paraId="6808181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color w:val="auto"/>
                <w:lang w:val="en-US" w:eastAsia="en-US"/>
              </w:rPr>
            </w:pPr>
            <w:bookmarkStart w:id="575" w:name="OLE_LINK100"/>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湖、库0.1</w:t>
            </w:r>
            <w:r>
              <w:rPr>
                <w:rFonts w:hint="eastAsia" w:ascii="Times New Roman" w:hAnsi="Times New Roman" w:eastAsia="宋体" w:cs="Times New Roman"/>
                <w:color w:val="auto"/>
                <w:lang w:eastAsia="zh-CN"/>
              </w:rPr>
              <w:t>）</w:t>
            </w:r>
            <w:bookmarkEnd w:id="575"/>
          </w:p>
        </w:tc>
        <w:tc>
          <w:tcPr>
            <w:tcW w:w="1563" w:type="dxa"/>
            <w:vMerge w:val="continue"/>
            <w:vAlign w:val="center"/>
          </w:tcPr>
          <w:p w14:paraId="008A730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0379DD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29969DA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lang w:val="en-US" w:eastAsia="zh-CN"/>
              </w:rPr>
            </w:pPr>
            <w:bookmarkStart w:id="576" w:name="OLE_LINK95" w:colFirst="0" w:colLast="2"/>
            <w:r>
              <w:rPr>
                <w:rFonts w:hint="eastAsia" w:ascii="Times New Roman" w:hAnsi="Times New Roman" w:eastAsia="宋体" w:cs="Times New Roman"/>
                <w:color w:val="auto"/>
                <w:lang w:val="en-US" w:eastAsia="zh-CN"/>
              </w:rPr>
              <w:t>总氮</w:t>
            </w:r>
            <w:bookmarkStart w:id="577" w:name="OLE_LINK104"/>
            <w:r>
              <w:rPr>
                <w:rFonts w:hint="eastAsia" w:ascii="Times New Roman" w:hAnsi="Times New Roman" w:eastAsia="宋体" w:cs="Times New Roman"/>
                <w:color w:val="auto"/>
                <w:lang w:val="en-US" w:eastAsia="zh-CN"/>
              </w:rPr>
              <w:t>（湖、库，以N计）</w:t>
            </w:r>
            <w:bookmarkEnd w:id="577"/>
          </w:p>
        </w:tc>
        <w:tc>
          <w:tcPr>
            <w:tcW w:w="1770" w:type="dxa"/>
            <w:shd w:val="clear" w:color="auto" w:fill="auto"/>
            <w:vAlign w:val="center"/>
          </w:tcPr>
          <w:p w14:paraId="761F2B9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0.5</w:t>
            </w:r>
          </w:p>
        </w:tc>
        <w:tc>
          <w:tcPr>
            <w:tcW w:w="1755" w:type="dxa"/>
            <w:shd w:val="clear" w:color="auto" w:fill="auto"/>
            <w:vAlign w:val="center"/>
          </w:tcPr>
          <w:p w14:paraId="45D8BA8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w:t>
            </w:r>
          </w:p>
        </w:tc>
        <w:tc>
          <w:tcPr>
            <w:tcW w:w="1710" w:type="dxa"/>
            <w:shd w:val="clear" w:color="auto" w:fill="auto"/>
            <w:vAlign w:val="center"/>
          </w:tcPr>
          <w:p w14:paraId="041FAAA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1.5</w:t>
            </w:r>
          </w:p>
        </w:tc>
        <w:tc>
          <w:tcPr>
            <w:tcW w:w="1563" w:type="dxa"/>
            <w:vMerge w:val="continue"/>
            <w:vAlign w:val="center"/>
          </w:tcPr>
          <w:p w14:paraId="1025E09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3D1984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5D3E202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铜</w:t>
            </w:r>
          </w:p>
        </w:tc>
        <w:tc>
          <w:tcPr>
            <w:tcW w:w="1770" w:type="dxa"/>
            <w:shd w:val="clear" w:color="auto" w:fill="auto"/>
            <w:vAlign w:val="center"/>
          </w:tcPr>
          <w:p w14:paraId="017D3B0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1.0</w:t>
            </w:r>
          </w:p>
        </w:tc>
        <w:tc>
          <w:tcPr>
            <w:tcW w:w="1755" w:type="dxa"/>
            <w:shd w:val="clear" w:color="auto" w:fill="auto"/>
            <w:vAlign w:val="center"/>
          </w:tcPr>
          <w:p w14:paraId="262CB86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1.0</w:t>
            </w:r>
          </w:p>
        </w:tc>
        <w:tc>
          <w:tcPr>
            <w:tcW w:w="1710" w:type="dxa"/>
            <w:shd w:val="clear" w:color="auto" w:fill="auto"/>
            <w:vAlign w:val="center"/>
          </w:tcPr>
          <w:p w14:paraId="115A41F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1.0</w:t>
            </w:r>
          </w:p>
        </w:tc>
        <w:tc>
          <w:tcPr>
            <w:tcW w:w="1563" w:type="dxa"/>
            <w:vMerge w:val="continue"/>
            <w:vAlign w:val="center"/>
          </w:tcPr>
          <w:p w14:paraId="0BF55AB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32ACF2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22294CD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锌</w:t>
            </w:r>
          </w:p>
        </w:tc>
        <w:tc>
          <w:tcPr>
            <w:tcW w:w="1770" w:type="dxa"/>
            <w:shd w:val="clear" w:color="auto" w:fill="auto"/>
            <w:vAlign w:val="center"/>
          </w:tcPr>
          <w:p w14:paraId="468CECF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1.0</w:t>
            </w:r>
          </w:p>
        </w:tc>
        <w:tc>
          <w:tcPr>
            <w:tcW w:w="1755" w:type="dxa"/>
            <w:shd w:val="clear" w:color="auto" w:fill="auto"/>
            <w:vAlign w:val="center"/>
          </w:tcPr>
          <w:p w14:paraId="4C42EF9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1.0</w:t>
            </w:r>
          </w:p>
        </w:tc>
        <w:tc>
          <w:tcPr>
            <w:tcW w:w="1710" w:type="dxa"/>
            <w:shd w:val="clear" w:color="auto" w:fill="auto"/>
            <w:vAlign w:val="center"/>
          </w:tcPr>
          <w:p w14:paraId="398A90B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2.0</w:t>
            </w:r>
          </w:p>
        </w:tc>
        <w:tc>
          <w:tcPr>
            <w:tcW w:w="1563" w:type="dxa"/>
            <w:vMerge w:val="continue"/>
            <w:vAlign w:val="center"/>
          </w:tcPr>
          <w:p w14:paraId="6BE5964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68F843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4D3F0ED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氟化物</w:t>
            </w:r>
          </w:p>
        </w:tc>
        <w:tc>
          <w:tcPr>
            <w:tcW w:w="1770" w:type="dxa"/>
            <w:shd w:val="clear" w:color="auto" w:fill="auto"/>
            <w:vAlign w:val="center"/>
          </w:tcPr>
          <w:p w14:paraId="2AD0502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1.0</w:t>
            </w:r>
          </w:p>
        </w:tc>
        <w:tc>
          <w:tcPr>
            <w:tcW w:w="1755" w:type="dxa"/>
            <w:shd w:val="clear" w:color="auto" w:fill="auto"/>
            <w:vAlign w:val="center"/>
          </w:tcPr>
          <w:p w14:paraId="2A8FACB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1.0</w:t>
            </w:r>
          </w:p>
        </w:tc>
        <w:tc>
          <w:tcPr>
            <w:tcW w:w="1710" w:type="dxa"/>
            <w:shd w:val="clear" w:color="auto" w:fill="auto"/>
            <w:vAlign w:val="center"/>
          </w:tcPr>
          <w:p w14:paraId="17822BA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1.5</w:t>
            </w:r>
          </w:p>
        </w:tc>
        <w:tc>
          <w:tcPr>
            <w:tcW w:w="1563" w:type="dxa"/>
            <w:vMerge w:val="continue"/>
            <w:vAlign w:val="center"/>
          </w:tcPr>
          <w:p w14:paraId="548EB67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298A8A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035FE25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硒</w:t>
            </w:r>
          </w:p>
        </w:tc>
        <w:tc>
          <w:tcPr>
            <w:tcW w:w="1770" w:type="dxa"/>
            <w:shd w:val="clear" w:color="auto" w:fill="auto"/>
            <w:vAlign w:val="center"/>
          </w:tcPr>
          <w:p w14:paraId="384DCD4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0.01</w:t>
            </w:r>
          </w:p>
        </w:tc>
        <w:tc>
          <w:tcPr>
            <w:tcW w:w="1755" w:type="dxa"/>
            <w:shd w:val="clear" w:color="auto" w:fill="auto"/>
            <w:vAlign w:val="center"/>
          </w:tcPr>
          <w:p w14:paraId="163CA67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0.01</w:t>
            </w:r>
          </w:p>
        </w:tc>
        <w:tc>
          <w:tcPr>
            <w:tcW w:w="1710" w:type="dxa"/>
            <w:shd w:val="clear" w:color="auto" w:fill="auto"/>
            <w:vAlign w:val="center"/>
          </w:tcPr>
          <w:p w14:paraId="12E03E7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0.02</w:t>
            </w:r>
          </w:p>
        </w:tc>
        <w:tc>
          <w:tcPr>
            <w:tcW w:w="1563" w:type="dxa"/>
            <w:vMerge w:val="continue"/>
            <w:vAlign w:val="center"/>
          </w:tcPr>
          <w:p w14:paraId="1615CC0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384718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380AAC2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汞</w:t>
            </w:r>
          </w:p>
        </w:tc>
        <w:tc>
          <w:tcPr>
            <w:tcW w:w="1770" w:type="dxa"/>
            <w:shd w:val="clear" w:color="auto" w:fill="auto"/>
            <w:vAlign w:val="center"/>
          </w:tcPr>
          <w:p w14:paraId="42BFBC1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0.00005</w:t>
            </w:r>
          </w:p>
        </w:tc>
        <w:tc>
          <w:tcPr>
            <w:tcW w:w="1755" w:type="dxa"/>
            <w:shd w:val="clear" w:color="auto" w:fill="auto"/>
            <w:vAlign w:val="center"/>
          </w:tcPr>
          <w:p w14:paraId="021973D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0.0001</w:t>
            </w:r>
          </w:p>
        </w:tc>
        <w:tc>
          <w:tcPr>
            <w:tcW w:w="1710" w:type="dxa"/>
            <w:shd w:val="clear" w:color="auto" w:fill="auto"/>
            <w:vAlign w:val="center"/>
          </w:tcPr>
          <w:p w14:paraId="2A7D8CB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0.001</w:t>
            </w:r>
          </w:p>
        </w:tc>
        <w:tc>
          <w:tcPr>
            <w:tcW w:w="1563" w:type="dxa"/>
            <w:vMerge w:val="continue"/>
            <w:vAlign w:val="center"/>
          </w:tcPr>
          <w:p w14:paraId="14336E6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46033C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21DB603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镉</w:t>
            </w:r>
          </w:p>
        </w:tc>
        <w:tc>
          <w:tcPr>
            <w:tcW w:w="1770" w:type="dxa"/>
            <w:shd w:val="clear" w:color="auto" w:fill="auto"/>
            <w:vAlign w:val="center"/>
          </w:tcPr>
          <w:p w14:paraId="206F9BA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0.005</w:t>
            </w:r>
          </w:p>
        </w:tc>
        <w:tc>
          <w:tcPr>
            <w:tcW w:w="1755" w:type="dxa"/>
            <w:shd w:val="clear" w:color="auto" w:fill="auto"/>
            <w:vAlign w:val="center"/>
          </w:tcPr>
          <w:p w14:paraId="4303C3D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0.005</w:t>
            </w:r>
          </w:p>
        </w:tc>
        <w:tc>
          <w:tcPr>
            <w:tcW w:w="1710" w:type="dxa"/>
            <w:shd w:val="clear" w:color="auto" w:fill="auto"/>
            <w:vAlign w:val="center"/>
          </w:tcPr>
          <w:p w14:paraId="7AFDA8C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0.005</w:t>
            </w:r>
          </w:p>
        </w:tc>
        <w:tc>
          <w:tcPr>
            <w:tcW w:w="1563" w:type="dxa"/>
            <w:vMerge w:val="continue"/>
            <w:vAlign w:val="center"/>
          </w:tcPr>
          <w:p w14:paraId="5469681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489FF2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2A02664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bidi="ar-SA"/>
              </w:rPr>
            </w:pPr>
            <w:r>
              <w:rPr>
                <w:rFonts w:ascii="Times New Roman" w:hAnsi="Times New Roman" w:eastAsia="宋体" w:cs="Times New Roman"/>
                <w:color w:val="auto"/>
              </w:rPr>
              <w:t>铬</w:t>
            </w:r>
            <w:r>
              <w:rPr>
                <w:rFonts w:hint="eastAsia" w:ascii="Times New Roman" w:hAnsi="Times New Roman" w:eastAsia="宋体" w:cs="Times New Roman"/>
                <w:color w:val="auto"/>
                <w:lang w:eastAsia="zh-CN"/>
              </w:rPr>
              <w:t>（</w:t>
            </w:r>
            <w:r>
              <w:rPr>
                <w:rFonts w:ascii="Times New Roman" w:hAnsi="Times New Roman" w:eastAsia="宋体" w:cs="Times New Roman"/>
                <w:color w:val="auto"/>
              </w:rPr>
              <w:t>六价</w:t>
            </w:r>
            <w:r>
              <w:rPr>
                <w:rFonts w:hint="eastAsia" w:ascii="Times New Roman" w:hAnsi="Times New Roman" w:eastAsia="宋体" w:cs="Times New Roman"/>
                <w:color w:val="auto"/>
                <w:lang w:eastAsia="zh-CN"/>
              </w:rPr>
              <w:t>）</w:t>
            </w:r>
          </w:p>
        </w:tc>
        <w:tc>
          <w:tcPr>
            <w:tcW w:w="1770" w:type="dxa"/>
            <w:shd w:val="clear" w:color="auto" w:fill="auto"/>
            <w:vAlign w:val="center"/>
          </w:tcPr>
          <w:p w14:paraId="2CF35E6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0.05</w:t>
            </w:r>
          </w:p>
        </w:tc>
        <w:tc>
          <w:tcPr>
            <w:tcW w:w="1755" w:type="dxa"/>
            <w:shd w:val="clear" w:color="auto" w:fill="auto"/>
            <w:vAlign w:val="center"/>
          </w:tcPr>
          <w:p w14:paraId="334F4D9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0.05</w:t>
            </w:r>
          </w:p>
        </w:tc>
        <w:tc>
          <w:tcPr>
            <w:tcW w:w="1710" w:type="dxa"/>
            <w:shd w:val="clear" w:color="auto" w:fill="auto"/>
            <w:vAlign w:val="center"/>
          </w:tcPr>
          <w:p w14:paraId="32E2B36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0.05</w:t>
            </w:r>
          </w:p>
        </w:tc>
        <w:tc>
          <w:tcPr>
            <w:tcW w:w="1563" w:type="dxa"/>
            <w:vMerge w:val="continue"/>
            <w:vAlign w:val="center"/>
          </w:tcPr>
          <w:p w14:paraId="3552FCA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04CA15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2B5EA3C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铅</w:t>
            </w:r>
          </w:p>
        </w:tc>
        <w:tc>
          <w:tcPr>
            <w:tcW w:w="1770" w:type="dxa"/>
            <w:shd w:val="clear" w:color="auto" w:fill="auto"/>
            <w:vAlign w:val="center"/>
          </w:tcPr>
          <w:p w14:paraId="0B4144F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0.01</w:t>
            </w:r>
          </w:p>
        </w:tc>
        <w:tc>
          <w:tcPr>
            <w:tcW w:w="1755" w:type="dxa"/>
            <w:shd w:val="clear" w:color="auto" w:fill="auto"/>
            <w:vAlign w:val="center"/>
          </w:tcPr>
          <w:p w14:paraId="114D23A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0.05</w:t>
            </w:r>
          </w:p>
        </w:tc>
        <w:tc>
          <w:tcPr>
            <w:tcW w:w="1710" w:type="dxa"/>
            <w:shd w:val="clear" w:color="auto" w:fill="auto"/>
            <w:vAlign w:val="center"/>
          </w:tcPr>
          <w:p w14:paraId="08090F8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0.05</w:t>
            </w:r>
          </w:p>
        </w:tc>
        <w:tc>
          <w:tcPr>
            <w:tcW w:w="1563" w:type="dxa"/>
            <w:vMerge w:val="continue"/>
            <w:vAlign w:val="center"/>
          </w:tcPr>
          <w:p w14:paraId="17DF1F2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292639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53A6017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氰化物</w:t>
            </w:r>
          </w:p>
        </w:tc>
        <w:tc>
          <w:tcPr>
            <w:tcW w:w="1770" w:type="dxa"/>
            <w:shd w:val="clear" w:color="auto" w:fill="auto"/>
            <w:vAlign w:val="center"/>
          </w:tcPr>
          <w:p w14:paraId="284A052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0.05</w:t>
            </w:r>
          </w:p>
        </w:tc>
        <w:tc>
          <w:tcPr>
            <w:tcW w:w="1755" w:type="dxa"/>
            <w:shd w:val="clear" w:color="auto" w:fill="auto"/>
            <w:vAlign w:val="center"/>
          </w:tcPr>
          <w:p w14:paraId="6AE41AF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0.2</w:t>
            </w:r>
          </w:p>
        </w:tc>
        <w:tc>
          <w:tcPr>
            <w:tcW w:w="1710" w:type="dxa"/>
            <w:shd w:val="clear" w:color="auto" w:fill="auto"/>
            <w:vAlign w:val="center"/>
          </w:tcPr>
          <w:p w14:paraId="0225138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0.2</w:t>
            </w:r>
          </w:p>
        </w:tc>
        <w:tc>
          <w:tcPr>
            <w:tcW w:w="1563" w:type="dxa"/>
            <w:vMerge w:val="continue"/>
            <w:vAlign w:val="center"/>
          </w:tcPr>
          <w:p w14:paraId="77C11D4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47EFB0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106684E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挥发酚</w:t>
            </w:r>
          </w:p>
        </w:tc>
        <w:tc>
          <w:tcPr>
            <w:tcW w:w="1770" w:type="dxa"/>
            <w:shd w:val="clear" w:color="auto" w:fill="auto"/>
            <w:vAlign w:val="center"/>
          </w:tcPr>
          <w:p w14:paraId="707514B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0.002</w:t>
            </w:r>
          </w:p>
        </w:tc>
        <w:tc>
          <w:tcPr>
            <w:tcW w:w="1755" w:type="dxa"/>
            <w:shd w:val="clear" w:color="auto" w:fill="auto"/>
            <w:vAlign w:val="center"/>
          </w:tcPr>
          <w:p w14:paraId="4FF5A80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0.005</w:t>
            </w:r>
          </w:p>
        </w:tc>
        <w:tc>
          <w:tcPr>
            <w:tcW w:w="1710" w:type="dxa"/>
            <w:shd w:val="clear" w:color="auto" w:fill="auto"/>
            <w:vAlign w:val="center"/>
          </w:tcPr>
          <w:p w14:paraId="673D8F5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0.01</w:t>
            </w:r>
          </w:p>
        </w:tc>
        <w:tc>
          <w:tcPr>
            <w:tcW w:w="1563" w:type="dxa"/>
            <w:vMerge w:val="continue"/>
            <w:vAlign w:val="center"/>
          </w:tcPr>
          <w:p w14:paraId="7802E77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bookmarkEnd w:id="576"/>
      <w:tr w14:paraId="1F8171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080A906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石油类</w:t>
            </w:r>
          </w:p>
        </w:tc>
        <w:tc>
          <w:tcPr>
            <w:tcW w:w="1770" w:type="dxa"/>
            <w:shd w:val="clear" w:color="auto" w:fill="auto"/>
            <w:vAlign w:val="center"/>
          </w:tcPr>
          <w:p w14:paraId="42DB595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0.05</w:t>
            </w:r>
          </w:p>
        </w:tc>
        <w:tc>
          <w:tcPr>
            <w:tcW w:w="1755" w:type="dxa"/>
            <w:shd w:val="clear" w:color="auto" w:fill="auto"/>
            <w:vAlign w:val="center"/>
          </w:tcPr>
          <w:p w14:paraId="389CC2F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0.05</w:t>
            </w:r>
          </w:p>
        </w:tc>
        <w:tc>
          <w:tcPr>
            <w:tcW w:w="1710" w:type="dxa"/>
            <w:shd w:val="clear" w:color="auto" w:fill="auto"/>
            <w:vAlign w:val="center"/>
          </w:tcPr>
          <w:p w14:paraId="0FE85DD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0.5</w:t>
            </w:r>
          </w:p>
        </w:tc>
        <w:tc>
          <w:tcPr>
            <w:tcW w:w="1563" w:type="dxa"/>
            <w:vMerge w:val="continue"/>
            <w:vAlign w:val="center"/>
          </w:tcPr>
          <w:p w14:paraId="5694395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43FD3C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6936341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阴离子表面活性剂</w:t>
            </w:r>
          </w:p>
        </w:tc>
        <w:tc>
          <w:tcPr>
            <w:tcW w:w="1770" w:type="dxa"/>
            <w:shd w:val="clear" w:color="auto" w:fill="auto"/>
            <w:vAlign w:val="center"/>
          </w:tcPr>
          <w:p w14:paraId="7B756F8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0.2</w:t>
            </w:r>
          </w:p>
        </w:tc>
        <w:tc>
          <w:tcPr>
            <w:tcW w:w="1755" w:type="dxa"/>
            <w:shd w:val="clear" w:color="auto" w:fill="auto"/>
            <w:vAlign w:val="center"/>
          </w:tcPr>
          <w:p w14:paraId="7823984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0.2</w:t>
            </w:r>
          </w:p>
        </w:tc>
        <w:tc>
          <w:tcPr>
            <w:tcW w:w="1710" w:type="dxa"/>
            <w:shd w:val="clear" w:color="auto" w:fill="auto"/>
            <w:vAlign w:val="center"/>
          </w:tcPr>
          <w:p w14:paraId="2F00430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0.3</w:t>
            </w:r>
          </w:p>
        </w:tc>
        <w:tc>
          <w:tcPr>
            <w:tcW w:w="1563" w:type="dxa"/>
            <w:vMerge w:val="continue"/>
            <w:vAlign w:val="center"/>
          </w:tcPr>
          <w:p w14:paraId="6BB7B4D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14A3A8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260DF40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硫化物</w:t>
            </w:r>
          </w:p>
        </w:tc>
        <w:tc>
          <w:tcPr>
            <w:tcW w:w="1770" w:type="dxa"/>
            <w:shd w:val="clear" w:color="auto" w:fill="auto"/>
            <w:vAlign w:val="center"/>
          </w:tcPr>
          <w:p w14:paraId="38246D5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0.1</w:t>
            </w:r>
          </w:p>
        </w:tc>
        <w:tc>
          <w:tcPr>
            <w:tcW w:w="1755" w:type="dxa"/>
            <w:shd w:val="clear" w:color="auto" w:fill="auto"/>
            <w:vAlign w:val="center"/>
          </w:tcPr>
          <w:p w14:paraId="415C834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0.2</w:t>
            </w:r>
          </w:p>
        </w:tc>
        <w:tc>
          <w:tcPr>
            <w:tcW w:w="1710" w:type="dxa"/>
            <w:shd w:val="clear" w:color="auto" w:fill="auto"/>
            <w:vAlign w:val="center"/>
          </w:tcPr>
          <w:p w14:paraId="6F4B079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0.5</w:t>
            </w:r>
          </w:p>
        </w:tc>
        <w:tc>
          <w:tcPr>
            <w:tcW w:w="1563" w:type="dxa"/>
            <w:vMerge w:val="continue"/>
            <w:vAlign w:val="center"/>
          </w:tcPr>
          <w:p w14:paraId="613A545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12C830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09BBA21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锰</w:t>
            </w:r>
          </w:p>
        </w:tc>
        <w:tc>
          <w:tcPr>
            <w:tcW w:w="5235" w:type="dxa"/>
            <w:gridSpan w:val="3"/>
            <w:shd w:val="clear" w:color="auto" w:fill="auto"/>
            <w:vAlign w:val="center"/>
          </w:tcPr>
          <w:p w14:paraId="3A775EB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0.1</w:t>
            </w:r>
          </w:p>
        </w:tc>
        <w:tc>
          <w:tcPr>
            <w:tcW w:w="1563" w:type="dxa"/>
            <w:vMerge w:val="continue"/>
            <w:vAlign w:val="center"/>
          </w:tcPr>
          <w:p w14:paraId="7D69559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1FCE1D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6DDB38C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砷</w:t>
            </w:r>
          </w:p>
        </w:tc>
        <w:tc>
          <w:tcPr>
            <w:tcW w:w="1770" w:type="dxa"/>
            <w:shd w:val="clear" w:color="auto" w:fill="auto"/>
            <w:vAlign w:val="center"/>
          </w:tcPr>
          <w:p w14:paraId="1D88E7E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0.05</w:t>
            </w:r>
          </w:p>
        </w:tc>
        <w:tc>
          <w:tcPr>
            <w:tcW w:w="1755" w:type="dxa"/>
            <w:shd w:val="clear" w:color="auto" w:fill="auto"/>
            <w:vAlign w:val="center"/>
          </w:tcPr>
          <w:p w14:paraId="034D9D8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0.05</w:t>
            </w:r>
          </w:p>
        </w:tc>
        <w:tc>
          <w:tcPr>
            <w:tcW w:w="1710" w:type="dxa"/>
            <w:shd w:val="clear" w:color="auto" w:fill="auto"/>
            <w:vAlign w:val="center"/>
          </w:tcPr>
          <w:p w14:paraId="361C666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rPr>
              <w:t>0.1</w:t>
            </w:r>
          </w:p>
        </w:tc>
        <w:tc>
          <w:tcPr>
            <w:tcW w:w="1563" w:type="dxa"/>
            <w:vMerge w:val="continue"/>
            <w:vAlign w:val="center"/>
          </w:tcPr>
          <w:p w14:paraId="403210D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69D0AB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shd w:val="clear" w:color="auto" w:fill="auto"/>
            <w:vAlign w:val="center"/>
          </w:tcPr>
          <w:p w14:paraId="006E293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镍</w:t>
            </w:r>
          </w:p>
        </w:tc>
        <w:tc>
          <w:tcPr>
            <w:tcW w:w="5235" w:type="dxa"/>
            <w:gridSpan w:val="3"/>
            <w:shd w:val="clear" w:color="auto" w:fill="auto"/>
            <w:vAlign w:val="center"/>
          </w:tcPr>
          <w:p w14:paraId="19B3E72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0.02</w:t>
            </w:r>
          </w:p>
        </w:tc>
        <w:tc>
          <w:tcPr>
            <w:tcW w:w="1563" w:type="dxa"/>
            <w:vMerge w:val="continue"/>
            <w:vAlign w:val="center"/>
          </w:tcPr>
          <w:p w14:paraId="55C20B2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p>
        </w:tc>
      </w:tr>
      <w:tr w14:paraId="56E2D4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dxa"/>
            <w:tcBorders>
              <w:bottom w:val="single" w:color="auto" w:sz="12" w:space="0"/>
            </w:tcBorders>
            <w:shd w:val="clear" w:color="auto" w:fill="auto"/>
            <w:vAlign w:val="center"/>
          </w:tcPr>
          <w:p w14:paraId="62CC8F8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bookmarkStart w:id="578" w:name="OLE_LINK98" w:colFirst="0" w:colLast="4"/>
            <w:r>
              <w:rPr>
                <w:rFonts w:ascii="Times New Roman" w:hAnsi="Times New Roman" w:eastAsia="宋体" w:cs="Times New Roman"/>
                <w:color w:val="auto"/>
              </w:rPr>
              <w:t>SS</w:t>
            </w:r>
          </w:p>
        </w:tc>
        <w:tc>
          <w:tcPr>
            <w:tcW w:w="1770" w:type="dxa"/>
            <w:tcBorders>
              <w:bottom w:val="single" w:color="auto" w:sz="12" w:space="0"/>
            </w:tcBorders>
            <w:shd w:val="clear" w:color="auto" w:fill="auto"/>
            <w:vAlign w:val="center"/>
          </w:tcPr>
          <w:p w14:paraId="7128A5D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25</w:t>
            </w:r>
          </w:p>
        </w:tc>
        <w:tc>
          <w:tcPr>
            <w:tcW w:w="1755" w:type="dxa"/>
            <w:tcBorders>
              <w:bottom w:val="single" w:color="auto" w:sz="12" w:space="0"/>
            </w:tcBorders>
            <w:shd w:val="clear" w:color="auto" w:fill="auto"/>
            <w:vAlign w:val="center"/>
          </w:tcPr>
          <w:p w14:paraId="5E0162C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30</w:t>
            </w:r>
          </w:p>
        </w:tc>
        <w:tc>
          <w:tcPr>
            <w:tcW w:w="1710" w:type="dxa"/>
            <w:tcBorders>
              <w:bottom w:val="single" w:color="auto" w:sz="12" w:space="0"/>
            </w:tcBorders>
            <w:shd w:val="clear" w:color="auto" w:fill="auto"/>
            <w:vAlign w:val="center"/>
          </w:tcPr>
          <w:p w14:paraId="71F1627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60</w:t>
            </w:r>
          </w:p>
        </w:tc>
        <w:tc>
          <w:tcPr>
            <w:tcW w:w="1563" w:type="dxa"/>
            <w:tcBorders>
              <w:bottom w:val="single" w:color="auto" w:sz="12" w:space="0"/>
            </w:tcBorders>
            <w:vAlign w:val="center"/>
          </w:tcPr>
          <w:p w14:paraId="1F26ECB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highlight w:val="yellow"/>
                <w:lang w:eastAsia="zh-CN"/>
              </w:rPr>
            </w:pPr>
            <w:sdt>
              <w:sdtPr>
                <w:rPr>
                  <w:color w:val="auto"/>
                </w:rPr>
                <w:alias w:val="标点符号检查"/>
                <w:tag w:val="auto"/>
                <w:id w:val="171316"/>
              </w:sdtPr>
              <w:sdtEndPr>
                <w:rPr>
                  <w:color w:val="auto"/>
                </w:rPr>
              </w:sdtEndPr>
              <w:sdtContent>
                <w:bookmarkStart w:id="579" w:name="bkReivew171316"/>
                <w:r>
                  <w:rPr>
                    <w:rFonts w:hint="eastAsia" w:ascii="Times New Roman" w:hAnsi="Times New Roman" w:eastAsia="宋体" w:cs="Times New Roman"/>
                    <w:color w:val="auto"/>
                    <w:lang w:val="en-US" w:eastAsia="zh-CN"/>
                  </w:rPr>
                  <w:t>-</w:t>
                </w:r>
                <w:bookmarkEnd w:id="579"/>
              </w:sdtContent>
            </w:sdt>
          </w:p>
        </w:tc>
      </w:tr>
      <w:bookmarkEnd w:id="570"/>
      <w:bookmarkEnd w:id="578"/>
    </w:tbl>
    <w:p w14:paraId="56DD5B76">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w:t>
      </w:r>
      <w:r>
        <w:rPr>
          <w:rFonts w:hint="eastAsia" w:ascii="Times New Roman" w:hAnsi="Times New Roman" w:eastAsia="宋体" w:cs="Times New Roman"/>
          <w:b/>
          <w:bCs/>
          <w:color w:val="auto"/>
          <w:sz w:val="24"/>
          <w:szCs w:val="24"/>
          <w:lang w:val="en-US" w:eastAsia="zh-CN"/>
        </w:rPr>
        <w:t>2.1</w:t>
      </w:r>
      <w:r>
        <w:rPr>
          <w:rFonts w:hint="default" w:ascii="Times New Roman" w:hAnsi="Times New Roman" w:eastAsia="宋体" w:cs="Times New Roman"/>
          <w:b/>
          <w:bCs/>
          <w:color w:val="auto"/>
          <w:sz w:val="24"/>
          <w:szCs w:val="24"/>
        </w:rPr>
        <w:t>.3声环境质量标准</w:t>
      </w:r>
      <w:bookmarkStart w:id="580" w:name="pindex735"/>
      <w:bookmarkEnd w:id="580"/>
    </w:p>
    <w:p w14:paraId="27E31B7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声环境执行《声环境质量标准》（GB3096-2008）</w:t>
      </w:r>
      <w:r>
        <w:rPr>
          <w:rFonts w:hint="eastAsia" w:ascii="Times New Roman" w:hAnsi="Times New Roman" w:eastAsia="宋体" w:cs="Times New Roman"/>
          <w:color w:val="auto"/>
          <w:sz w:val="24"/>
          <w:szCs w:val="24"/>
          <w:lang w:val="en-US" w:eastAsia="zh-CN"/>
        </w:rPr>
        <w:t>1类、</w:t>
      </w:r>
      <w:r>
        <w:rPr>
          <w:rFonts w:hint="default" w:ascii="Times New Roman" w:hAnsi="Times New Roman" w:eastAsia="宋体" w:cs="Times New Roman"/>
          <w:color w:val="auto"/>
          <w:sz w:val="24"/>
          <w:szCs w:val="24"/>
        </w:rPr>
        <w:t>2类、4类标准。</w:t>
      </w:r>
    </w:p>
    <w:p w14:paraId="034B2B34">
      <w:pPr>
        <w:keepNext w:val="0"/>
        <w:keepLines w:val="0"/>
        <w:pageBreakBefore w:val="0"/>
        <w:widowControl/>
        <w:kinsoku w:val="0"/>
        <w:wordWrap/>
        <w:overflowPunct/>
        <w:topLinePunct w:val="0"/>
        <w:autoSpaceDE w:val="0"/>
        <w:autoSpaceDN w:val="0"/>
        <w:bidi w:val="0"/>
        <w:adjustRightInd w:val="0"/>
        <w:snapToGrid w:val="0"/>
        <w:spacing w:before="34" w:line="240" w:lineRule="auto"/>
        <w:ind w:left="2585"/>
        <w:textAlignment w:val="baseline"/>
        <w:rPr>
          <w:rFonts w:ascii="宋体" w:hAnsi="宋体" w:eastAsia="宋体" w:cs="宋体"/>
          <w:b/>
          <w:bCs/>
          <w:color w:val="auto"/>
          <w:spacing w:val="-2"/>
          <w:sz w:val="24"/>
          <w:szCs w:val="24"/>
        </w:rPr>
      </w:pPr>
      <w:r>
        <w:rPr>
          <w:rFonts w:ascii="宋体" w:hAnsi="宋体" w:eastAsia="宋体" w:cs="宋体"/>
          <w:b/>
          <w:bCs/>
          <w:color w:val="auto"/>
          <w:spacing w:val="-2"/>
          <w:sz w:val="24"/>
          <w:szCs w:val="24"/>
        </w:rPr>
        <w:t>表</w:t>
      </w:r>
      <w:r>
        <w:rPr>
          <w:rFonts w:ascii="Times New Roman" w:hAnsi="Times New Roman" w:eastAsia="Times New Roman" w:cs="Times New Roman"/>
          <w:b/>
          <w:bCs/>
          <w:color w:val="auto"/>
          <w:spacing w:val="-2"/>
          <w:sz w:val="24"/>
          <w:szCs w:val="24"/>
        </w:rPr>
        <w:t>3.</w:t>
      </w:r>
      <w:r>
        <w:rPr>
          <w:rFonts w:hint="eastAsia" w:ascii="Times New Roman" w:hAnsi="Times New Roman" w:eastAsia="宋体" w:cs="Times New Roman"/>
          <w:b/>
          <w:bCs/>
          <w:color w:val="auto"/>
          <w:spacing w:val="-2"/>
          <w:sz w:val="24"/>
          <w:szCs w:val="24"/>
          <w:lang w:val="en-US" w:eastAsia="zh-CN"/>
        </w:rPr>
        <w:t>2</w:t>
      </w:r>
      <w:r>
        <w:rPr>
          <w:rFonts w:ascii="Times New Roman" w:hAnsi="Times New Roman" w:eastAsia="Times New Roman"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 xml:space="preserve">3  </w:t>
      </w:r>
      <w:r>
        <w:rPr>
          <w:rFonts w:ascii="宋体" w:hAnsi="宋体" w:eastAsia="宋体" w:cs="宋体"/>
          <w:b/>
          <w:bCs/>
          <w:color w:val="auto"/>
          <w:spacing w:val="-2"/>
          <w:sz w:val="24"/>
          <w:szCs w:val="24"/>
        </w:rPr>
        <w:t>环境噪声标准一览表</w:t>
      </w:r>
      <w:bookmarkStart w:id="581" w:name="pindex737"/>
      <w:bookmarkEnd w:id="581"/>
    </w:p>
    <w:tbl>
      <w:tblPr>
        <w:tblStyle w:val="19"/>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2151"/>
        <w:gridCol w:w="1240"/>
        <w:gridCol w:w="1240"/>
        <w:gridCol w:w="3784"/>
      </w:tblGrid>
      <w:tr w14:paraId="474568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jc w:val="center"/>
        </w:trPr>
        <w:tc>
          <w:tcPr>
            <w:tcW w:w="1278" w:type="pct"/>
            <w:vMerge w:val="restart"/>
            <w:tcBorders>
              <w:top w:val="single" w:color="000000" w:sz="12" w:space="0"/>
              <w:left w:val="nil"/>
              <w:bottom w:val="single" w:color="000000" w:sz="4" w:space="0"/>
            </w:tcBorders>
            <w:vAlign w:val="center"/>
          </w:tcPr>
          <w:p w14:paraId="35890D1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bCs/>
                <w:color w:val="auto"/>
              </w:rPr>
            </w:pPr>
            <w:r>
              <w:rPr>
                <w:rFonts w:ascii="Times New Roman" w:hAnsi="Times New Roman" w:eastAsia="宋体" w:cs="Times New Roman"/>
                <w:b/>
                <w:bCs/>
                <w:color w:val="auto"/>
              </w:rPr>
              <w:t>功能区类别</w:t>
            </w:r>
          </w:p>
        </w:tc>
        <w:tc>
          <w:tcPr>
            <w:tcW w:w="1474" w:type="pct"/>
            <w:gridSpan w:val="2"/>
            <w:vAlign w:val="center"/>
          </w:tcPr>
          <w:p w14:paraId="57B6A7B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bCs/>
                <w:color w:val="auto"/>
              </w:rPr>
            </w:pPr>
            <w:r>
              <w:rPr>
                <w:rFonts w:ascii="Times New Roman" w:hAnsi="Times New Roman" w:eastAsia="宋体" w:cs="Times New Roman"/>
                <w:b/>
                <w:bCs/>
                <w:color w:val="auto"/>
              </w:rPr>
              <w:t>标准值dB(A)</w:t>
            </w:r>
          </w:p>
        </w:tc>
        <w:tc>
          <w:tcPr>
            <w:tcW w:w="2248" w:type="pct"/>
            <w:vMerge w:val="restart"/>
            <w:vAlign w:val="center"/>
          </w:tcPr>
          <w:p w14:paraId="79536D2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bCs/>
                <w:color w:val="auto"/>
              </w:rPr>
            </w:pPr>
            <w:r>
              <w:rPr>
                <w:rFonts w:ascii="Times New Roman" w:hAnsi="Times New Roman" w:eastAsia="宋体" w:cs="Times New Roman"/>
                <w:b/>
                <w:bCs/>
                <w:color w:val="auto"/>
              </w:rPr>
              <w:t>依据</w:t>
            </w:r>
          </w:p>
        </w:tc>
      </w:tr>
      <w:tr w14:paraId="24B9FB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jc w:val="center"/>
        </w:trPr>
        <w:tc>
          <w:tcPr>
            <w:tcW w:w="1278" w:type="pct"/>
            <w:vMerge w:val="continue"/>
            <w:tcBorders>
              <w:top w:val="single" w:color="000000" w:sz="4" w:space="0"/>
              <w:left w:val="nil"/>
              <w:bottom w:val="single" w:color="000000" w:sz="4" w:space="0"/>
            </w:tcBorders>
            <w:vAlign w:val="center"/>
          </w:tcPr>
          <w:p w14:paraId="00511A6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bCs/>
                <w:color w:val="auto"/>
              </w:rPr>
            </w:pPr>
          </w:p>
        </w:tc>
        <w:tc>
          <w:tcPr>
            <w:tcW w:w="737" w:type="pct"/>
            <w:vAlign w:val="center"/>
          </w:tcPr>
          <w:p w14:paraId="76620ED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bCs/>
                <w:color w:val="auto"/>
              </w:rPr>
            </w:pPr>
            <w:r>
              <w:rPr>
                <w:rFonts w:ascii="Times New Roman" w:hAnsi="Times New Roman" w:eastAsia="宋体" w:cs="Times New Roman"/>
                <w:b/>
                <w:bCs/>
                <w:color w:val="auto"/>
              </w:rPr>
              <w:t>昼间</w:t>
            </w:r>
          </w:p>
        </w:tc>
        <w:tc>
          <w:tcPr>
            <w:tcW w:w="737" w:type="pct"/>
            <w:vAlign w:val="center"/>
          </w:tcPr>
          <w:p w14:paraId="3F01574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bCs/>
                <w:color w:val="auto"/>
              </w:rPr>
            </w:pPr>
            <w:r>
              <w:rPr>
                <w:rFonts w:ascii="Times New Roman" w:hAnsi="Times New Roman" w:eastAsia="宋体" w:cs="Times New Roman"/>
                <w:b/>
                <w:bCs/>
                <w:color w:val="auto"/>
              </w:rPr>
              <w:t>夜间</w:t>
            </w:r>
          </w:p>
        </w:tc>
        <w:tc>
          <w:tcPr>
            <w:tcW w:w="2248" w:type="pct"/>
            <w:vMerge w:val="continue"/>
            <w:vAlign w:val="center"/>
          </w:tcPr>
          <w:p w14:paraId="74B0976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bCs/>
                <w:color w:val="auto"/>
              </w:rPr>
            </w:pPr>
          </w:p>
        </w:tc>
      </w:tr>
      <w:tr w14:paraId="3A941E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238" w:hRule="atLeast"/>
          <w:jc w:val="center"/>
        </w:trPr>
        <w:tc>
          <w:tcPr>
            <w:tcW w:w="1278" w:type="pct"/>
            <w:tcBorders>
              <w:top w:val="single" w:color="000000" w:sz="4" w:space="0"/>
              <w:left w:val="nil"/>
              <w:bottom w:val="single" w:color="000000" w:sz="4" w:space="0"/>
            </w:tcBorders>
            <w:vAlign w:val="center"/>
          </w:tcPr>
          <w:p w14:paraId="545075B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4a类</w:t>
            </w:r>
          </w:p>
        </w:tc>
        <w:tc>
          <w:tcPr>
            <w:tcW w:w="737" w:type="pct"/>
            <w:vAlign w:val="center"/>
          </w:tcPr>
          <w:p w14:paraId="0344D84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70</w:t>
            </w:r>
          </w:p>
        </w:tc>
        <w:tc>
          <w:tcPr>
            <w:tcW w:w="737" w:type="pct"/>
            <w:vAlign w:val="center"/>
          </w:tcPr>
          <w:p w14:paraId="60B60DE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55</w:t>
            </w:r>
          </w:p>
        </w:tc>
        <w:tc>
          <w:tcPr>
            <w:tcW w:w="2248" w:type="pct"/>
            <w:vMerge w:val="restart"/>
            <w:vAlign w:val="center"/>
          </w:tcPr>
          <w:p w14:paraId="40C1474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《声环境质量标准》</w:t>
            </w:r>
          </w:p>
          <w:p w14:paraId="363FAB5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hint="eastAsia" w:ascii="Times New Roman" w:hAnsi="Times New Roman" w:eastAsia="宋体" w:cs="Times New Roman"/>
                <w:color w:val="auto"/>
                <w:lang w:eastAsia="zh-CN"/>
              </w:rPr>
              <w:t>(</w:t>
            </w:r>
            <w:r>
              <w:rPr>
                <w:rFonts w:ascii="Times New Roman" w:hAnsi="Times New Roman" w:eastAsia="宋体" w:cs="Times New Roman"/>
                <w:color w:val="auto"/>
              </w:rPr>
              <w:t>GB3096-2008</w:t>
            </w:r>
            <w:r>
              <w:rPr>
                <w:rFonts w:hint="eastAsia" w:ascii="Times New Roman" w:hAnsi="Times New Roman" w:eastAsia="宋体" w:cs="Times New Roman"/>
                <w:color w:val="auto"/>
                <w:lang w:eastAsia="zh-CN"/>
              </w:rPr>
              <w:t>)</w:t>
            </w:r>
          </w:p>
        </w:tc>
      </w:tr>
      <w:tr w14:paraId="0D4AA1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238" w:hRule="atLeast"/>
          <w:jc w:val="center"/>
        </w:trPr>
        <w:tc>
          <w:tcPr>
            <w:tcW w:w="1278" w:type="pct"/>
            <w:tcBorders>
              <w:top w:val="single" w:color="000000" w:sz="4" w:space="0"/>
              <w:left w:val="nil"/>
              <w:bottom w:val="single" w:color="000000" w:sz="4" w:space="0"/>
            </w:tcBorders>
            <w:vAlign w:val="center"/>
          </w:tcPr>
          <w:p w14:paraId="6B5647F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4b类</w:t>
            </w:r>
          </w:p>
        </w:tc>
        <w:tc>
          <w:tcPr>
            <w:tcW w:w="737" w:type="pct"/>
            <w:vAlign w:val="center"/>
          </w:tcPr>
          <w:p w14:paraId="6E426C4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70</w:t>
            </w:r>
          </w:p>
        </w:tc>
        <w:tc>
          <w:tcPr>
            <w:tcW w:w="737" w:type="pct"/>
            <w:vAlign w:val="center"/>
          </w:tcPr>
          <w:p w14:paraId="7F53228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60</w:t>
            </w:r>
          </w:p>
        </w:tc>
        <w:tc>
          <w:tcPr>
            <w:tcW w:w="2248" w:type="pct"/>
            <w:vMerge w:val="continue"/>
            <w:vAlign w:val="center"/>
          </w:tcPr>
          <w:p w14:paraId="1F82AC3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aps/>
                <w:color w:val="auto"/>
                <w:szCs w:val="21"/>
              </w:rPr>
            </w:pPr>
          </w:p>
        </w:tc>
      </w:tr>
      <w:tr w14:paraId="578212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jc w:val="center"/>
        </w:trPr>
        <w:tc>
          <w:tcPr>
            <w:tcW w:w="1278" w:type="pct"/>
            <w:tcBorders>
              <w:top w:val="single" w:color="000000" w:sz="4" w:space="0"/>
              <w:left w:val="nil"/>
              <w:bottom w:val="single" w:color="000000" w:sz="4" w:space="0"/>
            </w:tcBorders>
            <w:vAlign w:val="center"/>
          </w:tcPr>
          <w:p w14:paraId="31AD45E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3类</w:t>
            </w:r>
          </w:p>
        </w:tc>
        <w:tc>
          <w:tcPr>
            <w:tcW w:w="737" w:type="pct"/>
            <w:vAlign w:val="center"/>
          </w:tcPr>
          <w:p w14:paraId="5BA0049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65</w:t>
            </w:r>
          </w:p>
        </w:tc>
        <w:tc>
          <w:tcPr>
            <w:tcW w:w="737" w:type="pct"/>
            <w:vAlign w:val="center"/>
          </w:tcPr>
          <w:p w14:paraId="2244E3A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55</w:t>
            </w:r>
          </w:p>
        </w:tc>
        <w:tc>
          <w:tcPr>
            <w:tcW w:w="2248" w:type="pct"/>
            <w:vMerge w:val="continue"/>
            <w:vAlign w:val="center"/>
          </w:tcPr>
          <w:p w14:paraId="31D0EAF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aps/>
                <w:color w:val="auto"/>
                <w:szCs w:val="21"/>
              </w:rPr>
            </w:pPr>
          </w:p>
        </w:tc>
      </w:tr>
      <w:tr w14:paraId="25FDD2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jc w:val="center"/>
        </w:trPr>
        <w:tc>
          <w:tcPr>
            <w:tcW w:w="1278" w:type="pct"/>
            <w:tcBorders>
              <w:top w:val="single" w:color="000000" w:sz="4" w:space="0"/>
              <w:left w:val="nil"/>
              <w:bottom w:val="single" w:color="000000" w:sz="4" w:space="0"/>
            </w:tcBorders>
            <w:vAlign w:val="center"/>
          </w:tcPr>
          <w:p w14:paraId="7BCA056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2类</w:t>
            </w:r>
          </w:p>
        </w:tc>
        <w:tc>
          <w:tcPr>
            <w:tcW w:w="737" w:type="pct"/>
            <w:vAlign w:val="center"/>
          </w:tcPr>
          <w:p w14:paraId="6F5EBA8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60</w:t>
            </w:r>
          </w:p>
        </w:tc>
        <w:tc>
          <w:tcPr>
            <w:tcW w:w="737" w:type="pct"/>
            <w:vAlign w:val="center"/>
          </w:tcPr>
          <w:p w14:paraId="77E9220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50</w:t>
            </w:r>
          </w:p>
        </w:tc>
        <w:tc>
          <w:tcPr>
            <w:tcW w:w="2248" w:type="pct"/>
            <w:vMerge w:val="continue"/>
            <w:vAlign w:val="center"/>
          </w:tcPr>
          <w:p w14:paraId="1D2E22F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aps/>
                <w:color w:val="auto"/>
                <w:szCs w:val="21"/>
              </w:rPr>
            </w:pPr>
          </w:p>
        </w:tc>
      </w:tr>
      <w:tr w14:paraId="0BE405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jc w:val="center"/>
        </w:trPr>
        <w:tc>
          <w:tcPr>
            <w:tcW w:w="1278" w:type="pct"/>
            <w:tcBorders>
              <w:top w:val="single" w:color="000000" w:sz="4" w:space="0"/>
              <w:left w:val="nil"/>
              <w:bottom w:val="single" w:color="000000" w:sz="12" w:space="0"/>
            </w:tcBorders>
            <w:vAlign w:val="center"/>
          </w:tcPr>
          <w:p w14:paraId="4E65D6C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1类</w:t>
            </w:r>
          </w:p>
        </w:tc>
        <w:tc>
          <w:tcPr>
            <w:tcW w:w="737" w:type="pct"/>
            <w:vAlign w:val="center"/>
          </w:tcPr>
          <w:p w14:paraId="2300059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55</w:t>
            </w:r>
          </w:p>
        </w:tc>
        <w:tc>
          <w:tcPr>
            <w:tcW w:w="737" w:type="pct"/>
            <w:vAlign w:val="center"/>
          </w:tcPr>
          <w:p w14:paraId="4F5574D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rPr>
            </w:pPr>
            <w:r>
              <w:rPr>
                <w:rFonts w:ascii="Times New Roman" w:hAnsi="Times New Roman" w:eastAsia="宋体" w:cs="Times New Roman"/>
                <w:color w:val="auto"/>
              </w:rPr>
              <w:t>45</w:t>
            </w:r>
          </w:p>
        </w:tc>
        <w:tc>
          <w:tcPr>
            <w:tcW w:w="2248" w:type="pct"/>
            <w:vMerge w:val="continue"/>
            <w:vAlign w:val="center"/>
          </w:tcPr>
          <w:p w14:paraId="251C068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aps/>
                <w:color w:val="auto"/>
                <w:szCs w:val="21"/>
              </w:rPr>
            </w:pPr>
          </w:p>
        </w:tc>
      </w:tr>
    </w:tbl>
    <w:p w14:paraId="35CDCCD0">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w:t>
      </w:r>
      <w:r>
        <w:rPr>
          <w:rFonts w:hint="eastAsia" w:ascii="Times New Roman" w:hAnsi="Times New Roman" w:eastAsia="宋体" w:cs="Times New Roman"/>
          <w:b/>
          <w:bCs/>
          <w:color w:val="auto"/>
          <w:sz w:val="24"/>
          <w:szCs w:val="24"/>
          <w:lang w:val="en-US" w:eastAsia="zh-CN"/>
        </w:rPr>
        <w:t>2.1</w:t>
      </w:r>
      <w:r>
        <w:rPr>
          <w:rFonts w:hint="default" w:ascii="Times New Roman" w:hAnsi="Times New Roman" w:eastAsia="宋体" w:cs="Times New Roman"/>
          <w:b/>
          <w:bCs/>
          <w:color w:val="auto"/>
          <w:sz w:val="24"/>
          <w:szCs w:val="24"/>
        </w:rPr>
        <w:t>.4地下水环境质量标准</w:t>
      </w:r>
      <w:bookmarkStart w:id="582" w:name="pindex766"/>
      <w:bookmarkEnd w:id="582"/>
    </w:p>
    <w:p w14:paraId="29C94AD4">
      <w:pPr>
        <w:keepNext w:val="0"/>
        <w:keepLines w:val="0"/>
        <w:pageBreakBefore w:val="0"/>
        <w:widowControl/>
        <w:kinsoku w:val="0"/>
        <w:wordWrap/>
        <w:overflowPunct/>
        <w:topLinePunct w:val="0"/>
        <w:autoSpaceDE w:val="0"/>
        <w:autoSpaceDN w:val="0"/>
        <w:bidi w:val="0"/>
        <w:adjustRightInd w:val="0"/>
        <w:snapToGrid w:val="0"/>
        <w:spacing w:before="36" w:line="360" w:lineRule="auto"/>
        <w:ind w:left="34" w:firstLine="464" w:firstLineChars="200"/>
        <w:textAlignment w:val="baseline"/>
        <w:rPr>
          <w:rFonts w:ascii="宋体" w:hAnsi="宋体" w:eastAsia="宋体" w:cs="宋体"/>
          <w:color w:val="auto"/>
          <w:sz w:val="24"/>
          <w:szCs w:val="24"/>
        </w:rPr>
      </w:pPr>
      <w:r>
        <w:rPr>
          <w:rFonts w:ascii="宋体" w:hAnsi="宋体" w:eastAsia="宋体" w:cs="宋体"/>
          <w:color w:val="auto"/>
          <w:spacing w:val="-4"/>
          <w:sz w:val="24"/>
          <w:szCs w:val="24"/>
        </w:rPr>
        <w:t>地下水质量执行</w:t>
      </w:r>
      <w:bookmarkStart w:id="583" w:name="OLE_LINK105"/>
      <w:r>
        <w:rPr>
          <w:rFonts w:ascii="宋体" w:hAnsi="宋体" w:eastAsia="宋体" w:cs="宋体"/>
          <w:color w:val="auto"/>
          <w:spacing w:val="-4"/>
          <w:sz w:val="24"/>
          <w:szCs w:val="24"/>
        </w:rPr>
        <w:t>《地下水质量标准》（</w:t>
      </w:r>
      <w:r>
        <w:rPr>
          <w:rFonts w:ascii="Times New Roman" w:hAnsi="Times New Roman" w:eastAsia="Times New Roman" w:cs="Times New Roman"/>
          <w:color w:val="auto"/>
          <w:spacing w:val="-4"/>
          <w:sz w:val="24"/>
          <w:szCs w:val="24"/>
        </w:rPr>
        <w:t>GB/T14848-2017</w:t>
      </w:r>
      <w:r>
        <w:rPr>
          <w:rFonts w:ascii="宋体" w:hAnsi="宋体" w:eastAsia="宋体" w:cs="宋体"/>
          <w:color w:val="auto"/>
          <w:spacing w:val="-4"/>
          <w:sz w:val="24"/>
          <w:szCs w:val="24"/>
        </w:rPr>
        <w:t>）</w:t>
      </w:r>
      <w:bookmarkEnd w:id="583"/>
      <w:r>
        <w:rPr>
          <w:rFonts w:ascii="宋体" w:hAnsi="宋体" w:eastAsia="宋体" w:cs="宋体"/>
          <w:color w:val="auto"/>
          <w:spacing w:val="-4"/>
          <w:sz w:val="24"/>
          <w:szCs w:val="24"/>
        </w:rPr>
        <w:t>。</w:t>
      </w:r>
    </w:p>
    <w:p w14:paraId="20A839B9">
      <w:pPr>
        <w:keepNext w:val="0"/>
        <w:keepLines w:val="0"/>
        <w:pageBreakBefore w:val="0"/>
        <w:widowControl/>
        <w:kinsoku w:val="0"/>
        <w:wordWrap/>
        <w:overflowPunct/>
        <w:topLinePunct w:val="0"/>
        <w:autoSpaceDE w:val="0"/>
        <w:autoSpaceDN w:val="0"/>
        <w:bidi w:val="0"/>
        <w:adjustRightInd w:val="0"/>
        <w:snapToGrid w:val="0"/>
        <w:spacing w:before="34" w:line="240" w:lineRule="auto"/>
        <w:jc w:val="center"/>
        <w:textAlignment w:val="baseline"/>
        <w:rPr>
          <w:rFonts w:hint="default" w:ascii="Times New Roman" w:hAnsi="Times New Roman" w:eastAsia="宋体" w:cs="Times New Roman"/>
          <w:b/>
          <w:bCs/>
          <w:color w:val="auto"/>
          <w:spacing w:val="-2"/>
          <w:sz w:val="24"/>
          <w:szCs w:val="24"/>
        </w:rPr>
      </w:pPr>
      <w:r>
        <w:rPr>
          <w:rFonts w:hint="default" w:ascii="Times New Roman" w:hAnsi="Times New Roman" w:eastAsia="宋体" w:cs="Times New Roman"/>
          <w:b/>
          <w:bCs/>
          <w:color w:val="auto"/>
          <w:spacing w:val="-2"/>
          <w:sz w:val="24"/>
          <w:szCs w:val="24"/>
        </w:rPr>
        <w:t>表3.</w:t>
      </w:r>
      <w:r>
        <w:rPr>
          <w:rFonts w:hint="eastAsia" w:ascii="Times New Roman" w:hAnsi="Times New Roman" w:eastAsia="宋体" w:cs="Times New Roman"/>
          <w:b/>
          <w:bCs/>
          <w:color w:val="auto"/>
          <w:spacing w:val="-2"/>
          <w:sz w:val="24"/>
          <w:szCs w:val="24"/>
          <w:lang w:val="en-US" w:eastAsia="zh-CN"/>
        </w:rPr>
        <w:t>2</w:t>
      </w:r>
      <w:r>
        <w:rPr>
          <w:rFonts w:hint="default" w:ascii="Times New Roman" w:hAnsi="Times New Roman" w:eastAsia="宋体"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4</w:t>
      </w:r>
      <w:r>
        <w:rPr>
          <w:rFonts w:hint="default" w:ascii="Times New Roman" w:hAnsi="Times New Roman" w:eastAsia="宋体" w:cs="Times New Roman"/>
          <w:b/>
          <w:bCs/>
          <w:color w:val="auto"/>
          <w:spacing w:val="-2"/>
          <w:sz w:val="24"/>
          <w:szCs w:val="24"/>
          <w:lang w:val="en-US" w:eastAsia="zh-CN"/>
        </w:rPr>
        <w:t xml:space="preserve">  </w:t>
      </w:r>
      <w:r>
        <w:rPr>
          <w:rFonts w:hint="default" w:ascii="Times New Roman" w:hAnsi="Times New Roman" w:eastAsia="宋体" w:cs="Times New Roman"/>
          <w:b/>
          <w:bCs/>
          <w:color w:val="auto"/>
          <w:spacing w:val="-2"/>
          <w:sz w:val="24"/>
          <w:szCs w:val="24"/>
        </w:rPr>
        <w:t>地下水质量标准（单位：mg/L</w:t>
      </w:r>
      <w:r>
        <w:rPr>
          <w:rFonts w:hint="default" w:ascii="Times New Roman" w:hAnsi="Times New Roman" w:eastAsia="宋体" w:cs="Times New Roman"/>
          <w:b/>
          <w:bCs/>
          <w:color w:val="auto"/>
          <w:spacing w:val="-2"/>
          <w:sz w:val="24"/>
          <w:szCs w:val="24"/>
          <w:lang w:val="en-US" w:eastAsia="zh-CN"/>
        </w:rPr>
        <w:t xml:space="preserve">  </w:t>
      </w:r>
      <w:r>
        <w:rPr>
          <w:rFonts w:hint="default" w:ascii="Times New Roman" w:hAnsi="Times New Roman" w:eastAsia="宋体" w:cs="Times New Roman"/>
          <w:b/>
          <w:bCs/>
          <w:color w:val="auto"/>
          <w:spacing w:val="-2"/>
          <w:sz w:val="24"/>
          <w:szCs w:val="24"/>
        </w:rPr>
        <w:t>pH</w:t>
      </w:r>
      <w:r>
        <w:rPr>
          <w:rFonts w:hint="default" w:ascii="Times New Roman" w:hAnsi="Times New Roman" w:eastAsia="宋体" w:cs="Times New Roman"/>
          <w:b/>
          <w:bCs/>
          <w:color w:val="auto"/>
          <w:spacing w:val="-2"/>
          <w:sz w:val="24"/>
          <w:szCs w:val="24"/>
          <w:lang w:val="en-US" w:eastAsia="zh-CN"/>
        </w:rPr>
        <w:t>无量纲</w:t>
      </w:r>
      <w:r>
        <w:rPr>
          <w:rFonts w:hint="default" w:ascii="Times New Roman" w:hAnsi="Times New Roman" w:eastAsia="宋体" w:cs="Times New Roman"/>
          <w:b/>
          <w:bCs/>
          <w:color w:val="auto"/>
          <w:spacing w:val="-2"/>
          <w:sz w:val="24"/>
          <w:szCs w:val="24"/>
        </w:rPr>
        <w:t>）</w:t>
      </w:r>
      <w:bookmarkStart w:id="584" w:name="pindex768"/>
      <w:bookmarkEnd w:id="584"/>
    </w:p>
    <w:tbl>
      <w:tblPr>
        <w:tblStyle w:val="26"/>
        <w:tblW w:w="8322"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91"/>
        <w:gridCol w:w="1883"/>
        <w:gridCol w:w="921"/>
        <w:gridCol w:w="1035"/>
        <w:gridCol w:w="888"/>
        <w:gridCol w:w="1503"/>
        <w:gridCol w:w="1601"/>
      </w:tblGrid>
      <w:tr w14:paraId="4C77EE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0" w:hRule="atLeast"/>
          <w:jc w:val="center"/>
        </w:trPr>
        <w:tc>
          <w:tcPr>
            <w:tcW w:w="491" w:type="dxa"/>
            <w:tcBorders>
              <w:tl2br w:val="nil"/>
              <w:tr2bl w:val="nil"/>
            </w:tcBorders>
            <w:vAlign w:val="center"/>
          </w:tcPr>
          <w:p w14:paraId="1A2B439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883" w:type="dxa"/>
            <w:tcBorders>
              <w:tl2br w:val="nil"/>
              <w:tr2bl w:val="nil"/>
            </w:tcBorders>
            <w:vAlign w:val="center"/>
          </w:tcPr>
          <w:p w14:paraId="690C3D3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项目名称</w:t>
            </w:r>
          </w:p>
        </w:tc>
        <w:tc>
          <w:tcPr>
            <w:tcW w:w="921" w:type="dxa"/>
            <w:tcBorders>
              <w:tl2br w:val="nil"/>
              <w:tr2bl w:val="nil"/>
            </w:tcBorders>
            <w:vAlign w:val="center"/>
          </w:tcPr>
          <w:p w14:paraId="2F35866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I类</w:t>
            </w:r>
          </w:p>
        </w:tc>
        <w:tc>
          <w:tcPr>
            <w:tcW w:w="1035" w:type="dxa"/>
            <w:tcBorders>
              <w:tl2br w:val="nil"/>
              <w:tr2bl w:val="nil"/>
            </w:tcBorders>
            <w:vAlign w:val="center"/>
          </w:tcPr>
          <w:p w14:paraId="347C006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Ⅱ类</w:t>
            </w:r>
          </w:p>
        </w:tc>
        <w:tc>
          <w:tcPr>
            <w:tcW w:w="888" w:type="dxa"/>
            <w:tcBorders>
              <w:tl2br w:val="nil"/>
              <w:tr2bl w:val="nil"/>
            </w:tcBorders>
            <w:vAlign w:val="center"/>
          </w:tcPr>
          <w:p w14:paraId="687E9A3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lang w:eastAsia="zh-CN"/>
              </w:rPr>
              <w:t>Ⅲ</w:t>
            </w:r>
            <w:r>
              <w:rPr>
                <w:rFonts w:hint="default" w:ascii="Times New Roman" w:hAnsi="Times New Roman" w:eastAsia="宋体" w:cs="Times New Roman"/>
                <w:b/>
                <w:bCs/>
                <w:color w:val="auto"/>
                <w:sz w:val="21"/>
                <w:szCs w:val="21"/>
              </w:rPr>
              <w:t>类</w:t>
            </w:r>
          </w:p>
        </w:tc>
        <w:tc>
          <w:tcPr>
            <w:tcW w:w="1503" w:type="dxa"/>
            <w:tcBorders>
              <w:tl2br w:val="nil"/>
              <w:tr2bl w:val="nil"/>
            </w:tcBorders>
            <w:vAlign w:val="center"/>
          </w:tcPr>
          <w:p w14:paraId="0230839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Ⅳ类</w:t>
            </w:r>
          </w:p>
        </w:tc>
        <w:tc>
          <w:tcPr>
            <w:tcW w:w="1601" w:type="dxa"/>
            <w:tcBorders>
              <w:tl2br w:val="nil"/>
              <w:tr2bl w:val="nil"/>
            </w:tcBorders>
            <w:vAlign w:val="center"/>
          </w:tcPr>
          <w:p w14:paraId="7E7C788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V类</w:t>
            </w:r>
          </w:p>
        </w:tc>
      </w:tr>
      <w:tr w14:paraId="00C386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8" w:hRule="atLeast"/>
          <w:jc w:val="center"/>
        </w:trPr>
        <w:tc>
          <w:tcPr>
            <w:tcW w:w="491" w:type="dxa"/>
            <w:tcBorders>
              <w:tl2br w:val="nil"/>
              <w:tr2bl w:val="nil"/>
            </w:tcBorders>
            <w:vAlign w:val="center"/>
          </w:tcPr>
          <w:p w14:paraId="167848B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883" w:type="dxa"/>
            <w:tcBorders>
              <w:tl2br w:val="nil"/>
              <w:tr2bl w:val="nil"/>
            </w:tcBorders>
            <w:vAlign w:val="center"/>
          </w:tcPr>
          <w:p w14:paraId="75192D6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pH（无量纲）</w:t>
            </w:r>
          </w:p>
        </w:tc>
        <w:tc>
          <w:tcPr>
            <w:tcW w:w="2844" w:type="dxa"/>
            <w:gridSpan w:val="3"/>
            <w:tcBorders>
              <w:tl2br w:val="nil"/>
              <w:tr2bl w:val="nil"/>
            </w:tcBorders>
            <w:vAlign w:val="center"/>
          </w:tcPr>
          <w:p w14:paraId="6630542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6.5≤pH≤8.5</w:t>
            </w:r>
          </w:p>
        </w:tc>
        <w:tc>
          <w:tcPr>
            <w:tcW w:w="1503" w:type="dxa"/>
            <w:tcBorders>
              <w:tl2br w:val="nil"/>
              <w:tr2bl w:val="nil"/>
            </w:tcBorders>
            <w:vAlign w:val="center"/>
          </w:tcPr>
          <w:p w14:paraId="1C6DD9B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5.5≤pH</w:t>
            </w:r>
            <w:r>
              <w:rPr>
                <w:rFonts w:hint="eastAsia" w:ascii="Times New Roman" w:hAnsi="Times New Roman" w:eastAsia="宋体" w:cs="Times New Roman"/>
                <w:color w:val="auto"/>
                <w:sz w:val="21"/>
                <w:szCs w:val="21"/>
                <w:lang w:eastAsia="zh-CN"/>
              </w:rPr>
              <w:t>&lt;</w:t>
            </w:r>
            <w:r>
              <w:rPr>
                <w:rFonts w:hint="default" w:ascii="Times New Roman" w:hAnsi="Times New Roman" w:eastAsia="宋体" w:cs="Times New Roman"/>
                <w:color w:val="auto"/>
                <w:sz w:val="21"/>
                <w:szCs w:val="21"/>
              </w:rPr>
              <w:t>6.5</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8.5</w:t>
            </w:r>
            <w:r>
              <w:rPr>
                <w:rFonts w:hint="eastAsia" w:ascii="Times New Roman" w:hAnsi="Times New Roman" w:eastAsia="宋体" w:cs="Times New Roman"/>
                <w:color w:val="auto"/>
                <w:sz w:val="21"/>
                <w:szCs w:val="21"/>
                <w:lang w:eastAsia="zh-CN"/>
              </w:rPr>
              <w:t>&lt;</w:t>
            </w:r>
            <w:r>
              <w:rPr>
                <w:rFonts w:hint="default" w:ascii="Times New Roman" w:hAnsi="Times New Roman" w:eastAsia="宋体" w:cs="Times New Roman"/>
                <w:color w:val="auto"/>
                <w:sz w:val="21"/>
                <w:szCs w:val="21"/>
              </w:rPr>
              <w:t>pH≤9</w:t>
            </w:r>
            <w:r>
              <w:rPr>
                <w:rFonts w:hint="default" w:ascii="Times New Roman" w:hAnsi="Times New Roman" w:eastAsia="宋体" w:cs="Times New Roman"/>
                <w:color w:val="auto"/>
                <w:sz w:val="21"/>
                <w:szCs w:val="21"/>
                <w:lang w:val="en-US" w:eastAsia="zh-CN"/>
              </w:rPr>
              <w:t>.0</w:t>
            </w:r>
          </w:p>
        </w:tc>
        <w:tc>
          <w:tcPr>
            <w:tcW w:w="1601" w:type="dxa"/>
            <w:tcBorders>
              <w:tl2br w:val="nil"/>
              <w:tr2bl w:val="nil"/>
            </w:tcBorders>
            <w:vAlign w:val="center"/>
          </w:tcPr>
          <w:p w14:paraId="401E12B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pH＜5.5或pH＞9</w:t>
            </w:r>
            <w:r>
              <w:rPr>
                <w:rFonts w:hint="default" w:ascii="Times New Roman" w:hAnsi="Times New Roman" w:eastAsia="宋体" w:cs="Times New Roman"/>
                <w:color w:val="auto"/>
                <w:sz w:val="21"/>
                <w:szCs w:val="21"/>
                <w:lang w:val="en-US" w:eastAsia="zh-CN"/>
              </w:rPr>
              <w:t>.0</w:t>
            </w:r>
          </w:p>
        </w:tc>
      </w:tr>
      <w:tr w14:paraId="118E2F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2B1E0F9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883" w:type="dxa"/>
            <w:tcBorders>
              <w:tl2br w:val="nil"/>
              <w:tr2bl w:val="nil"/>
            </w:tcBorders>
            <w:vAlign w:val="center"/>
          </w:tcPr>
          <w:p w14:paraId="439A47F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bookmarkStart w:id="585" w:name="OLE_LINK115"/>
            <w:r>
              <w:rPr>
                <w:rFonts w:hint="default" w:ascii="Times New Roman" w:hAnsi="Times New Roman" w:eastAsia="宋体" w:cs="Times New Roman"/>
                <w:color w:val="auto"/>
                <w:sz w:val="21"/>
                <w:szCs w:val="21"/>
              </w:rPr>
              <w:t>总硬度</w:t>
            </w:r>
            <w:bookmarkEnd w:id="585"/>
          </w:p>
        </w:tc>
        <w:tc>
          <w:tcPr>
            <w:tcW w:w="921" w:type="dxa"/>
            <w:tcBorders>
              <w:tl2br w:val="nil"/>
              <w:tr2bl w:val="nil"/>
            </w:tcBorders>
            <w:vAlign w:val="center"/>
          </w:tcPr>
          <w:p w14:paraId="0E55494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1035" w:type="dxa"/>
            <w:tcBorders>
              <w:tl2br w:val="nil"/>
              <w:tr2bl w:val="nil"/>
            </w:tcBorders>
            <w:vAlign w:val="center"/>
          </w:tcPr>
          <w:p w14:paraId="5CF2817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888" w:type="dxa"/>
            <w:tcBorders>
              <w:tl2br w:val="nil"/>
              <w:tr2bl w:val="nil"/>
            </w:tcBorders>
            <w:vAlign w:val="center"/>
          </w:tcPr>
          <w:p w14:paraId="27C295A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≤450</w:t>
            </w:r>
          </w:p>
        </w:tc>
        <w:tc>
          <w:tcPr>
            <w:tcW w:w="1503" w:type="dxa"/>
            <w:tcBorders>
              <w:tl2br w:val="nil"/>
              <w:tr2bl w:val="nil"/>
            </w:tcBorders>
            <w:vAlign w:val="center"/>
          </w:tcPr>
          <w:p w14:paraId="12CE065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≤650</w:t>
            </w:r>
          </w:p>
        </w:tc>
        <w:tc>
          <w:tcPr>
            <w:tcW w:w="1601" w:type="dxa"/>
            <w:tcBorders>
              <w:tl2br w:val="nil"/>
              <w:tr2bl w:val="nil"/>
            </w:tcBorders>
            <w:vAlign w:val="center"/>
          </w:tcPr>
          <w:p w14:paraId="4BCFE37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&gt;</w:t>
            </w:r>
            <w:r>
              <w:rPr>
                <w:rFonts w:hint="default" w:ascii="Times New Roman" w:hAnsi="Times New Roman" w:eastAsia="宋体" w:cs="Times New Roman"/>
                <w:color w:val="auto"/>
                <w:sz w:val="21"/>
                <w:szCs w:val="21"/>
                <w:lang w:val="en-US" w:eastAsia="zh-CN"/>
              </w:rPr>
              <w:t>650</w:t>
            </w:r>
          </w:p>
        </w:tc>
      </w:tr>
      <w:tr w14:paraId="2444CE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32641A5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883" w:type="dxa"/>
            <w:tcBorders>
              <w:tl2br w:val="nil"/>
              <w:tr2bl w:val="nil"/>
            </w:tcBorders>
            <w:shd w:val="clear" w:color="auto" w:fill="auto"/>
            <w:vAlign w:val="center"/>
          </w:tcPr>
          <w:p w14:paraId="073BD30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rPr>
              <w:t>氨氮（以N计）</w:t>
            </w:r>
          </w:p>
        </w:tc>
        <w:tc>
          <w:tcPr>
            <w:tcW w:w="921" w:type="dxa"/>
            <w:tcBorders>
              <w:tl2br w:val="nil"/>
              <w:tr2bl w:val="nil"/>
            </w:tcBorders>
            <w:shd w:val="clear" w:color="auto" w:fill="auto"/>
            <w:vAlign w:val="center"/>
          </w:tcPr>
          <w:p w14:paraId="589B3B6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≤0.02</w:t>
            </w:r>
          </w:p>
        </w:tc>
        <w:tc>
          <w:tcPr>
            <w:tcW w:w="1035" w:type="dxa"/>
            <w:tcBorders>
              <w:tl2br w:val="nil"/>
              <w:tr2bl w:val="nil"/>
            </w:tcBorders>
            <w:shd w:val="clear" w:color="auto" w:fill="auto"/>
            <w:vAlign w:val="center"/>
          </w:tcPr>
          <w:p w14:paraId="2F20F15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≤0.1</w:t>
            </w:r>
          </w:p>
        </w:tc>
        <w:tc>
          <w:tcPr>
            <w:tcW w:w="888" w:type="dxa"/>
            <w:tcBorders>
              <w:tl2br w:val="nil"/>
              <w:tr2bl w:val="nil"/>
            </w:tcBorders>
            <w:shd w:val="clear" w:color="auto" w:fill="auto"/>
            <w:vAlign w:val="center"/>
          </w:tcPr>
          <w:p w14:paraId="1814B0C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≤0.5</w:t>
            </w:r>
          </w:p>
        </w:tc>
        <w:tc>
          <w:tcPr>
            <w:tcW w:w="1503" w:type="dxa"/>
            <w:tcBorders>
              <w:tl2br w:val="nil"/>
              <w:tr2bl w:val="nil"/>
            </w:tcBorders>
            <w:shd w:val="clear" w:color="auto" w:fill="auto"/>
            <w:vAlign w:val="center"/>
          </w:tcPr>
          <w:p w14:paraId="39FA886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≤1.5</w:t>
            </w:r>
          </w:p>
        </w:tc>
        <w:tc>
          <w:tcPr>
            <w:tcW w:w="1601" w:type="dxa"/>
            <w:tcBorders>
              <w:tl2br w:val="nil"/>
              <w:tr2bl w:val="nil"/>
            </w:tcBorders>
            <w:shd w:val="clear" w:color="auto" w:fill="auto"/>
            <w:vAlign w:val="center"/>
          </w:tcPr>
          <w:p w14:paraId="26046FA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&gt;1.5</w:t>
            </w:r>
          </w:p>
        </w:tc>
      </w:tr>
      <w:tr w14:paraId="23DF7D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491" w:type="dxa"/>
            <w:tcBorders>
              <w:tl2br w:val="nil"/>
              <w:tr2bl w:val="nil"/>
            </w:tcBorders>
            <w:vAlign w:val="center"/>
          </w:tcPr>
          <w:p w14:paraId="48EE740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883" w:type="dxa"/>
            <w:tcBorders>
              <w:tl2br w:val="nil"/>
              <w:tr2bl w:val="nil"/>
            </w:tcBorders>
            <w:shd w:val="clear" w:color="auto" w:fill="auto"/>
            <w:vAlign w:val="center"/>
          </w:tcPr>
          <w:p w14:paraId="6BBF937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溶解性总固体</w:t>
            </w:r>
          </w:p>
        </w:tc>
        <w:tc>
          <w:tcPr>
            <w:tcW w:w="921" w:type="dxa"/>
            <w:tcBorders>
              <w:tl2br w:val="nil"/>
              <w:tr2bl w:val="nil"/>
            </w:tcBorders>
            <w:shd w:val="clear" w:color="auto" w:fill="auto"/>
            <w:vAlign w:val="center"/>
          </w:tcPr>
          <w:p w14:paraId="29A19A2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≤300</w:t>
            </w:r>
          </w:p>
        </w:tc>
        <w:tc>
          <w:tcPr>
            <w:tcW w:w="1035" w:type="dxa"/>
            <w:tcBorders>
              <w:tl2br w:val="nil"/>
              <w:tr2bl w:val="nil"/>
            </w:tcBorders>
            <w:shd w:val="clear" w:color="auto" w:fill="auto"/>
            <w:vAlign w:val="center"/>
          </w:tcPr>
          <w:p w14:paraId="7C233EF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≤500</w:t>
            </w:r>
          </w:p>
        </w:tc>
        <w:tc>
          <w:tcPr>
            <w:tcW w:w="888" w:type="dxa"/>
            <w:tcBorders>
              <w:tl2br w:val="nil"/>
              <w:tr2bl w:val="nil"/>
            </w:tcBorders>
            <w:shd w:val="clear" w:color="auto" w:fill="auto"/>
            <w:vAlign w:val="center"/>
          </w:tcPr>
          <w:p w14:paraId="5C4EF15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≤1000</w:t>
            </w:r>
          </w:p>
        </w:tc>
        <w:tc>
          <w:tcPr>
            <w:tcW w:w="1503" w:type="dxa"/>
            <w:tcBorders>
              <w:tl2br w:val="nil"/>
              <w:tr2bl w:val="nil"/>
            </w:tcBorders>
            <w:shd w:val="clear" w:color="auto" w:fill="auto"/>
            <w:vAlign w:val="center"/>
          </w:tcPr>
          <w:p w14:paraId="0F8ECF5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≤2000</w:t>
            </w:r>
          </w:p>
        </w:tc>
        <w:tc>
          <w:tcPr>
            <w:tcW w:w="1601" w:type="dxa"/>
            <w:tcBorders>
              <w:tl2br w:val="nil"/>
              <w:tr2bl w:val="nil"/>
            </w:tcBorders>
            <w:shd w:val="clear" w:color="auto" w:fill="auto"/>
            <w:vAlign w:val="center"/>
          </w:tcPr>
          <w:p w14:paraId="5A3BF5A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2000</w:t>
            </w:r>
          </w:p>
        </w:tc>
      </w:tr>
      <w:tr w14:paraId="37869A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64AE8E7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883" w:type="dxa"/>
            <w:tcBorders>
              <w:tl2br w:val="nil"/>
              <w:tr2bl w:val="nil"/>
            </w:tcBorders>
            <w:shd w:val="clear" w:color="auto" w:fill="auto"/>
            <w:vAlign w:val="center"/>
          </w:tcPr>
          <w:p w14:paraId="7B82FC8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耗氧量（COD</w:t>
            </w:r>
            <w:r>
              <w:rPr>
                <w:rFonts w:hint="default" w:ascii="Times New Roman" w:hAnsi="Times New Roman" w:eastAsia="宋体" w:cs="Times New Roman"/>
                <w:color w:val="auto"/>
                <w:sz w:val="21"/>
                <w:szCs w:val="21"/>
                <w:vertAlign w:val="subscript"/>
              </w:rPr>
              <w:t>Mn</w:t>
            </w:r>
            <w:r>
              <w:rPr>
                <w:rFonts w:hint="default" w:ascii="Times New Roman" w:hAnsi="Times New Roman" w:eastAsia="宋体" w:cs="Times New Roman"/>
                <w:color w:val="auto"/>
                <w:sz w:val="21"/>
                <w:szCs w:val="21"/>
              </w:rPr>
              <w:t>法，以O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计）</w:t>
            </w:r>
          </w:p>
        </w:tc>
        <w:tc>
          <w:tcPr>
            <w:tcW w:w="921" w:type="dxa"/>
            <w:tcBorders>
              <w:tl2br w:val="nil"/>
              <w:tr2bl w:val="nil"/>
            </w:tcBorders>
            <w:shd w:val="clear" w:color="auto" w:fill="auto"/>
            <w:vAlign w:val="center"/>
          </w:tcPr>
          <w:p w14:paraId="4E56B26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≤1.0</w:t>
            </w:r>
          </w:p>
        </w:tc>
        <w:tc>
          <w:tcPr>
            <w:tcW w:w="1035" w:type="dxa"/>
            <w:tcBorders>
              <w:tl2br w:val="nil"/>
              <w:tr2bl w:val="nil"/>
            </w:tcBorders>
            <w:shd w:val="clear" w:color="auto" w:fill="auto"/>
            <w:vAlign w:val="center"/>
          </w:tcPr>
          <w:p w14:paraId="047D8F1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≤2.0</w:t>
            </w:r>
          </w:p>
        </w:tc>
        <w:tc>
          <w:tcPr>
            <w:tcW w:w="888" w:type="dxa"/>
            <w:tcBorders>
              <w:tl2br w:val="nil"/>
              <w:tr2bl w:val="nil"/>
            </w:tcBorders>
            <w:shd w:val="clear" w:color="auto" w:fill="auto"/>
            <w:vAlign w:val="center"/>
          </w:tcPr>
          <w:p w14:paraId="159F454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≤3.0</w:t>
            </w:r>
          </w:p>
        </w:tc>
        <w:tc>
          <w:tcPr>
            <w:tcW w:w="1503" w:type="dxa"/>
            <w:tcBorders>
              <w:tl2br w:val="nil"/>
              <w:tr2bl w:val="nil"/>
            </w:tcBorders>
            <w:shd w:val="clear" w:color="auto" w:fill="auto"/>
            <w:vAlign w:val="center"/>
          </w:tcPr>
          <w:p w14:paraId="7FF7EB7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≤10</w:t>
            </w:r>
          </w:p>
        </w:tc>
        <w:tc>
          <w:tcPr>
            <w:tcW w:w="1601" w:type="dxa"/>
            <w:tcBorders>
              <w:tl2br w:val="nil"/>
              <w:tr2bl w:val="nil"/>
            </w:tcBorders>
            <w:shd w:val="clear" w:color="auto" w:fill="auto"/>
            <w:vAlign w:val="center"/>
          </w:tcPr>
          <w:p w14:paraId="497A479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10</w:t>
            </w:r>
          </w:p>
        </w:tc>
      </w:tr>
      <w:tr w14:paraId="4785B7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491" w:type="dxa"/>
            <w:tcBorders>
              <w:tl2br w:val="nil"/>
              <w:tr2bl w:val="nil"/>
            </w:tcBorders>
            <w:vAlign w:val="center"/>
          </w:tcPr>
          <w:p w14:paraId="28BE558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883" w:type="dxa"/>
            <w:tcBorders>
              <w:tl2br w:val="nil"/>
              <w:tr2bl w:val="nil"/>
            </w:tcBorders>
            <w:shd w:val="clear" w:color="auto" w:fill="auto"/>
            <w:vAlign w:val="center"/>
          </w:tcPr>
          <w:p w14:paraId="5E20BF4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硝酸盐氮</w:t>
            </w:r>
          </w:p>
        </w:tc>
        <w:tc>
          <w:tcPr>
            <w:tcW w:w="921" w:type="dxa"/>
            <w:tcBorders>
              <w:tl2br w:val="nil"/>
              <w:tr2bl w:val="nil"/>
            </w:tcBorders>
            <w:shd w:val="clear" w:color="auto" w:fill="auto"/>
            <w:vAlign w:val="center"/>
          </w:tcPr>
          <w:p w14:paraId="6261046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≤2.0</w:t>
            </w:r>
          </w:p>
        </w:tc>
        <w:tc>
          <w:tcPr>
            <w:tcW w:w="1035" w:type="dxa"/>
            <w:tcBorders>
              <w:tl2br w:val="nil"/>
              <w:tr2bl w:val="nil"/>
            </w:tcBorders>
            <w:shd w:val="clear" w:color="auto" w:fill="auto"/>
            <w:vAlign w:val="center"/>
          </w:tcPr>
          <w:p w14:paraId="04D4FE8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≤5.0</w:t>
            </w:r>
          </w:p>
        </w:tc>
        <w:tc>
          <w:tcPr>
            <w:tcW w:w="888" w:type="dxa"/>
            <w:tcBorders>
              <w:tl2br w:val="nil"/>
              <w:tr2bl w:val="nil"/>
            </w:tcBorders>
            <w:shd w:val="clear" w:color="auto" w:fill="auto"/>
            <w:vAlign w:val="center"/>
          </w:tcPr>
          <w:p w14:paraId="7E4BF4E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≤20</w:t>
            </w:r>
          </w:p>
        </w:tc>
        <w:tc>
          <w:tcPr>
            <w:tcW w:w="1503" w:type="dxa"/>
            <w:tcBorders>
              <w:tl2br w:val="nil"/>
              <w:tr2bl w:val="nil"/>
            </w:tcBorders>
            <w:shd w:val="clear" w:color="auto" w:fill="auto"/>
            <w:vAlign w:val="center"/>
          </w:tcPr>
          <w:p w14:paraId="65FF0C8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≤30</w:t>
            </w:r>
          </w:p>
        </w:tc>
        <w:tc>
          <w:tcPr>
            <w:tcW w:w="1601" w:type="dxa"/>
            <w:tcBorders>
              <w:tl2br w:val="nil"/>
              <w:tr2bl w:val="nil"/>
            </w:tcBorders>
            <w:shd w:val="clear" w:color="auto" w:fill="auto"/>
            <w:vAlign w:val="center"/>
          </w:tcPr>
          <w:p w14:paraId="721A113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30</w:t>
            </w:r>
          </w:p>
        </w:tc>
      </w:tr>
      <w:tr w14:paraId="75856B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76AFF88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883" w:type="dxa"/>
            <w:tcBorders>
              <w:tl2br w:val="nil"/>
              <w:tr2bl w:val="nil"/>
            </w:tcBorders>
            <w:shd w:val="clear" w:color="auto" w:fill="auto"/>
            <w:vAlign w:val="center"/>
          </w:tcPr>
          <w:p w14:paraId="18B2B41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亚硝酸盐氮</w:t>
            </w:r>
          </w:p>
        </w:tc>
        <w:tc>
          <w:tcPr>
            <w:tcW w:w="921" w:type="dxa"/>
            <w:tcBorders>
              <w:tl2br w:val="nil"/>
              <w:tr2bl w:val="nil"/>
            </w:tcBorders>
            <w:shd w:val="clear" w:color="auto" w:fill="auto"/>
            <w:vAlign w:val="center"/>
          </w:tcPr>
          <w:p w14:paraId="1004D57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≤0.01</w:t>
            </w:r>
          </w:p>
        </w:tc>
        <w:tc>
          <w:tcPr>
            <w:tcW w:w="1035" w:type="dxa"/>
            <w:tcBorders>
              <w:tl2br w:val="nil"/>
              <w:tr2bl w:val="nil"/>
            </w:tcBorders>
            <w:shd w:val="clear" w:color="auto" w:fill="auto"/>
            <w:vAlign w:val="center"/>
          </w:tcPr>
          <w:p w14:paraId="282732B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≤0.1</w:t>
            </w:r>
          </w:p>
        </w:tc>
        <w:tc>
          <w:tcPr>
            <w:tcW w:w="888" w:type="dxa"/>
            <w:tcBorders>
              <w:tl2br w:val="nil"/>
              <w:tr2bl w:val="nil"/>
            </w:tcBorders>
            <w:shd w:val="clear" w:color="auto" w:fill="auto"/>
            <w:vAlign w:val="center"/>
          </w:tcPr>
          <w:p w14:paraId="1A09006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≤1.0</w:t>
            </w:r>
          </w:p>
        </w:tc>
        <w:tc>
          <w:tcPr>
            <w:tcW w:w="1503" w:type="dxa"/>
            <w:tcBorders>
              <w:tl2br w:val="nil"/>
              <w:tr2bl w:val="nil"/>
            </w:tcBorders>
            <w:shd w:val="clear" w:color="auto" w:fill="auto"/>
            <w:vAlign w:val="center"/>
          </w:tcPr>
          <w:p w14:paraId="09C23C4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≤4.8</w:t>
            </w:r>
          </w:p>
        </w:tc>
        <w:tc>
          <w:tcPr>
            <w:tcW w:w="1601" w:type="dxa"/>
            <w:tcBorders>
              <w:tl2br w:val="nil"/>
              <w:tr2bl w:val="nil"/>
            </w:tcBorders>
            <w:shd w:val="clear" w:color="auto" w:fill="auto"/>
            <w:vAlign w:val="center"/>
          </w:tcPr>
          <w:p w14:paraId="24C2D3F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4.8</w:t>
            </w:r>
          </w:p>
        </w:tc>
      </w:tr>
      <w:tr w14:paraId="47D5AE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60D1C6F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883" w:type="dxa"/>
            <w:tcBorders>
              <w:tl2br w:val="nil"/>
              <w:tr2bl w:val="nil"/>
            </w:tcBorders>
            <w:shd w:val="clear" w:color="auto" w:fill="auto"/>
            <w:vAlign w:val="center"/>
          </w:tcPr>
          <w:p w14:paraId="7486DAC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挥发性酚</w:t>
            </w:r>
          </w:p>
        </w:tc>
        <w:tc>
          <w:tcPr>
            <w:tcW w:w="921" w:type="dxa"/>
            <w:tcBorders>
              <w:tl2br w:val="nil"/>
              <w:tr2bl w:val="nil"/>
            </w:tcBorders>
            <w:shd w:val="clear" w:color="auto" w:fill="auto"/>
            <w:vAlign w:val="center"/>
          </w:tcPr>
          <w:p w14:paraId="7887AB4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≤0.001</w:t>
            </w:r>
          </w:p>
        </w:tc>
        <w:tc>
          <w:tcPr>
            <w:tcW w:w="1035" w:type="dxa"/>
            <w:tcBorders>
              <w:tl2br w:val="nil"/>
              <w:tr2bl w:val="nil"/>
            </w:tcBorders>
            <w:shd w:val="clear" w:color="auto" w:fill="auto"/>
            <w:vAlign w:val="center"/>
          </w:tcPr>
          <w:p w14:paraId="67ABE6F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≤0.001</w:t>
            </w:r>
          </w:p>
        </w:tc>
        <w:tc>
          <w:tcPr>
            <w:tcW w:w="888" w:type="dxa"/>
            <w:tcBorders>
              <w:tl2br w:val="nil"/>
              <w:tr2bl w:val="nil"/>
            </w:tcBorders>
            <w:shd w:val="clear" w:color="auto" w:fill="auto"/>
            <w:vAlign w:val="center"/>
          </w:tcPr>
          <w:p w14:paraId="24C747D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≤0.002</w:t>
            </w:r>
          </w:p>
        </w:tc>
        <w:tc>
          <w:tcPr>
            <w:tcW w:w="1503" w:type="dxa"/>
            <w:tcBorders>
              <w:tl2br w:val="nil"/>
              <w:tr2bl w:val="nil"/>
            </w:tcBorders>
            <w:shd w:val="clear" w:color="auto" w:fill="auto"/>
            <w:vAlign w:val="center"/>
          </w:tcPr>
          <w:p w14:paraId="4BC3FD7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≤0.01</w:t>
            </w:r>
          </w:p>
        </w:tc>
        <w:tc>
          <w:tcPr>
            <w:tcW w:w="1601" w:type="dxa"/>
            <w:tcBorders>
              <w:tl2br w:val="nil"/>
              <w:tr2bl w:val="nil"/>
            </w:tcBorders>
            <w:shd w:val="clear" w:color="auto" w:fill="auto"/>
            <w:vAlign w:val="center"/>
          </w:tcPr>
          <w:p w14:paraId="1BA2A97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0.01</w:t>
            </w:r>
          </w:p>
        </w:tc>
      </w:tr>
      <w:tr w14:paraId="45E041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132A9B0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883" w:type="dxa"/>
            <w:tcBorders>
              <w:tl2br w:val="nil"/>
              <w:tr2bl w:val="nil"/>
            </w:tcBorders>
            <w:shd w:val="clear" w:color="auto" w:fill="auto"/>
            <w:vAlign w:val="center"/>
          </w:tcPr>
          <w:p w14:paraId="5CBC6EC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氰化物</w:t>
            </w:r>
          </w:p>
        </w:tc>
        <w:tc>
          <w:tcPr>
            <w:tcW w:w="921" w:type="dxa"/>
            <w:tcBorders>
              <w:tl2br w:val="nil"/>
              <w:tr2bl w:val="nil"/>
            </w:tcBorders>
            <w:shd w:val="clear" w:color="auto" w:fill="auto"/>
            <w:vAlign w:val="center"/>
          </w:tcPr>
          <w:p w14:paraId="6CFD08A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≤0.001</w:t>
            </w:r>
          </w:p>
        </w:tc>
        <w:tc>
          <w:tcPr>
            <w:tcW w:w="1035" w:type="dxa"/>
            <w:tcBorders>
              <w:tl2br w:val="nil"/>
              <w:tr2bl w:val="nil"/>
            </w:tcBorders>
            <w:shd w:val="clear" w:color="auto" w:fill="auto"/>
            <w:vAlign w:val="center"/>
          </w:tcPr>
          <w:p w14:paraId="5C33EE2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≤0.01</w:t>
            </w:r>
          </w:p>
        </w:tc>
        <w:tc>
          <w:tcPr>
            <w:tcW w:w="888" w:type="dxa"/>
            <w:tcBorders>
              <w:tl2br w:val="nil"/>
              <w:tr2bl w:val="nil"/>
            </w:tcBorders>
            <w:shd w:val="clear" w:color="auto" w:fill="auto"/>
            <w:vAlign w:val="center"/>
          </w:tcPr>
          <w:p w14:paraId="0CE4670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≤0.05</w:t>
            </w:r>
          </w:p>
        </w:tc>
        <w:tc>
          <w:tcPr>
            <w:tcW w:w="1503" w:type="dxa"/>
            <w:tcBorders>
              <w:tl2br w:val="nil"/>
              <w:tr2bl w:val="nil"/>
            </w:tcBorders>
            <w:shd w:val="clear" w:color="auto" w:fill="auto"/>
            <w:vAlign w:val="center"/>
          </w:tcPr>
          <w:p w14:paraId="01AAE18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≤0.1</w:t>
            </w:r>
          </w:p>
        </w:tc>
        <w:tc>
          <w:tcPr>
            <w:tcW w:w="1601" w:type="dxa"/>
            <w:tcBorders>
              <w:tl2br w:val="nil"/>
              <w:tr2bl w:val="nil"/>
            </w:tcBorders>
            <w:shd w:val="clear" w:color="auto" w:fill="auto"/>
            <w:vAlign w:val="center"/>
          </w:tcPr>
          <w:p w14:paraId="40E78CF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0.1</w:t>
            </w:r>
          </w:p>
        </w:tc>
      </w:tr>
      <w:tr w14:paraId="74A368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491" w:type="dxa"/>
            <w:tcBorders>
              <w:tl2br w:val="nil"/>
              <w:tr2bl w:val="nil"/>
            </w:tcBorders>
            <w:vAlign w:val="center"/>
          </w:tcPr>
          <w:p w14:paraId="5C56F67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883" w:type="dxa"/>
            <w:tcBorders>
              <w:tl2br w:val="nil"/>
              <w:tr2bl w:val="nil"/>
            </w:tcBorders>
            <w:shd w:val="clear" w:color="auto" w:fill="auto"/>
            <w:vAlign w:val="center"/>
          </w:tcPr>
          <w:p w14:paraId="71E016D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硫酸盐</w:t>
            </w:r>
          </w:p>
        </w:tc>
        <w:tc>
          <w:tcPr>
            <w:tcW w:w="921" w:type="dxa"/>
            <w:tcBorders>
              <w:tl2br w:val="nil"/>
              <w:tr2bl w:val="nil"/>
            </w:tcBorders>
            <w:shd w:val="clear" w:color="auto" w:fill="auto"/>
            <w:vAlign w:val="center"/>
          </w:tcPr>
          <w:p w14:paraId="17FFBF4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≤50</w:t>
            </w:r>
          </w:p>
        </w:tc>
        <w:tc>
          <w:tcPr>
            <w:tcW w:w="1035" w:type="dxa"/>
            <w:tcBorders>
              <w:tl2br w:val="nil"/>
              <w:tr2bl w:val="nil"/>
            </w:tcBorders>
            <w:shd w:val="clear" w:color="auto" w:fill="auto"/>
            <w:vAlign w:val="center"/>
          </w:tcPr>
          <w:p w14:paraId="7001C7F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≤150</w:t>
            </w:r>
          </w:p>
        </w:tc>
        <w:tc>
          <w:tcPr>
            <w:tcW w:w="888" w:type="dxa"/>
            <w:tcBorders>
              <w:tl2br w:val="nil"/>
              <w:tr2bl w:val="nil"/>
            </w:tcBorders>
            <w:shd w:val="clear" w:color="auto" w:fill="auto"/>
            <w:vAlign w:val="center"/>
          </w:tcPr>
          <w:p w14:paraId="458E558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≤250</w:t>
            </w:r>
          </w:p>
        </w:tc>
        <w:tc>
          <w:tcPr>
            <w:tcW w:w="1503" w:type="dxa"/>
            <w:tcBorders>
              <w:tl2br w:val="nil"/>
              <w:tr2bl w:val="nil"/>
            </w:tcBorders>
            <w:shd w:val="clear" w:color="auto" w:fill="auto"/>
            <w:vAlign w:val="center"/>
          </w:tcPr>
          <w:p w14:paraId="5363A53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≤350</w:t>
            </w:r>
          </w:p>
        </w:tc>
        <w:tc>
          <w:tcPr>
            <w:tcW w:w="1601" w:type="dxa"/>
            <w:tcBorders>
              <w:tl2br w:val="nil"/>
              <w:tr2bl w:val="nil"/>
            </w:tcBorders>
            <w:shd w:val="clear" w:color="auto" w:fill="auto"/>
            <w:vAlign w:val="center"/>
          </w:tcPr>
          <w:p w14:paraId="2BD4D9E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350</w:t>
            </w:r>
          </w:p>
        </w:tc>
      </w:tr>
      <w:tr w14:paraId="0632F7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7C1B4A6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bookmarkStart w:id="586" w:name="OLE_LINK122" w:colFirst="1" w:colLast="1"/>
            <w:r>
              <w:rPr>
                <w:rFonts w:hint="default" w:ascii="Times New Roman" w:hAnsi="Times New Roman" w:eastAsia="宋体" w:cs="Times New Roman"/>
                <w:color w:val="auto"/>
                <w:sz w:val="21"/>
                <w:szCs w:val="21"/>
              </w:rPr>
              <w:t>11</w:t>
            </w:r>
          </w:p>
        </w:tc>
        <w:tc>
          <w:tcPr>
            <w:tcW w:w="1883" w:type="dxa"/>
            <w:tcBorders>
              <w:tl2br w:val="nil"/>
              <w:tr2bl w:val="nil"/>
            </w:tcBorders>
            <w:shd w:val="clear" w:color="auto" w:fill="auto"/>
            <w:vAlign w:val="center"/>
          </w:tcPr>
          <w:p w14:paraId="0882E1B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氯化物</w:t>
            </w:r>
          </w:p>
        </w:tc>
        <w:tc>
          <w:tcPr>
            <w:tcW w:w="921" w:type="dxa"/>
            <w:tcBorders>
              <w:tl2br w:val="nil"/>
              <w:tr2bl w:val="nil"/>
            </w:tcBorders>
            <w:shd w:val="clear" w:color="auto" w:fill="auto"/>
            <w:vAlign w:val="center"/>
          </w:tcPr>
          <w:p w14:paraId="409C104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≤50</w:t>
            </w:r>
          </w:p>
        </w:tc>
        <w:tc>
          <w:tcPr>
            <w:tcW w:w="1035" w:type="dxa"/>
            <w:tcBorders>
              <w:tl2br w:val="nil"/>
              <w:tr2bl w:val="nil"/>
            </w:tcBorders>
            <w:shd w:val="clear" w:color="auto" w:fill="auto"/>
            <w:vAlign w:val="center"/>
          </w:tcPr>
          <w:p w14:paraId="1F09D33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≤150</w:t>
            </w:r>
          </w:p>
        </w:tc>
        <w:tc>
          <w:tcPr>
            <w:tcW w:w="888" w:type="dxa"/>
            <w:tcBorders>
              <w:tl2br w:val="nil"/>
              <w:tr2bl w:val="nil"/>
            </w:tcBorders>
            <w:shd w:val="clear" w:color="auto" w:fill="auto"/>
            <w:vAlign w:val="center"/>
          </w:tcPr>
          <w:p w14:paraId="0CAE652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≤250</w:t>
            </w:r>
          </w:p>
        </w:tc>
        <w:tc>
          <w:tcPr>
            <w:tcW w:w="1503" w:type="dxa"/>
            <w:tcBorders>
              <w:tl2br w:val="nil"/>
              <w:tr2bl w:val="nil"/>
            </w:tcBorders>
            <w:shd w:val="clear" w:color="auto" w:fill="auto"/>
            <w:vAlign w:val="center"/>
          </w:tcPr>
          <w:p w14:paraId="1BDA27F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≤350</w:t>
            </w:r>
          </w:p>
        </w:tc>
        <w:tc>
          <w:tcPr>
            <w:tcW w:w="1601" w:type="dxa"/>
            <w:tcBorders>
              <w:tl2br w:val="nil"/>
              <w:tr2bl w:val="nil"/>
            </w:tcBorders>
            <w:shd w:val="clear" w:color="auto" w:fill="auto"/>
            <w:vAlign w:val="center"/>
          </w:tcPr>
          <w:p w14:paraId="7A7C7C1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350</w:t>
            </w:r>
          </w:p>
        </w:tc>
      </w:tr>
      <w:tr w14:paraId="16DDF4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3DD843E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883" w:type="dxa"/>
            <w:tcBorders>
              <w:tl2br w:val="nil"/>
              <w:tr2bl w:val="nil"/>
            </w:tcBorders>
            <w:shd w:val="clear" w:color="auto" w:fill="auto"/>
            <w:vAlign w:val="center"/>
          </w:tcPr>
          <w:p w14:paraId="0364202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氟化物</w:t>
            </w:r>
          </w:p>
        </w:tc>
        <w:tc>
          <w:tcPr>
            <w:tcW w:w="921" w:type="dxa"/>
            <w:tcBorders>
              <w:tl2br w:val="nil"/>
              <w:tr2bl w:val="nil"/>
            </w:tcBorders>
            <w:shd w:val="clear" w:color="auto" w:fill="auto"/>
            <w:vAlign w:val="center"/>
          </w:tcPr>
          <w:p w14:paraId="50C4EAD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≤1.0</w:t>
            </w:r>
          </w:p>
        </w:tc>
        <w:tc>
          <w:tcPr>
            <w:tcW w:w="1035" w:type="dxa"/>
            <w:tcBorders>
              <w:tl2br w:val="nil"/>
              <w:tr2bl w:val="nil"/>
            </w:tcBorders>
            <w:shd w:val="clear" w:color="auto" w:fill="auto"/>
            <w:vAlign w:val="center"/>
          </w:tcPr>
          <w:p w14:paraId="710266C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≤1.0</w:t>
            </w:r>
          </w:p>
        </w:tc>
        <w:tc>
          <w:tcPr>
            <w:tcW w:w="888" w:type="dxa"/>
            <w:tcBorders>
              <w:tl2br w:val="nil"/>
              <w:tr2bl w:val="nil"/>
            </w:tcBorders>
            <w:shd w:val="clear" w:color="auto" w:fill="auto"/>
            <w:vAlign w:val="center"/>
          </w:tcPr>
          <w:p w14:paraId="71411C7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≤1.0</w:t>
            </w:r>
          </w:p>
        </w:tc>
        <w:tc>
          <w:tcPr>
            <w:tcW w:w="1503" w:type="dxa"/>
            <w:tcBorders>
              <w:tl2br w:val="nil"/>
              <w:tr2bl w:val="nil"/>
            </w:tcBorders>
            <w:shd w:val="clear" w:color="auto" w:fill="auto"/>
            <w:vAlign w:val="center"/>
          </w:tcPr>
          <w:p w14:paraId="3497077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≤2.0</w:t>
            </w:r>
          </w:p>
        </w:tc>
        <w:tc>
          <w:tcPr>
            <w:tcW w:w="1601" w:type="dxa"/>
            <w:tcBorders>
              <w:tl2br w:val="nil"/>
              <w:tr2bl w:val="nil"/>
            </w:tcBorders>
            <w:shd w:val="clear" w:color="auto" w:fill="auto"/>
            <w:vAlign w:val="center"/>
          </w:tcPr>
          <w:p w14:paraId="2D3D5C3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2.0</w:t>
            </w:r>
          </w:p>
        </w:tc>
      </w:tr>
      <w:bookmarkEnd w:id="586"/>
      <w:tr w14:paraId="7D5982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491" w:type="dxa"/>
            <w:tcBorders>
              <w:tl2br w:val="nil"/>
              <w:tr2bl w:val="nil"/>
            </w:tcBorders>
            <w:vAlign w:val="center"/>
          </w:tcPr>
          <w:p w14:paraId="54B98A7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883" w:type="dxa"/>
            <w:tcBorders>
              <w:tl2br w:val="nil"/>
              <w:tr2bl w:val="nil"/>
            </w:tcBorders>
            <w:shd w:val="clear" w:color="auto" w:fill="auto"/>
            <w:vAlign w:val="center"/>
          </w:tcPr>
          <w:p w14:paraId="369B48E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铬（六价）</w:t>
            </w:r>
          </w:p>
        </w:tc>
        <w:tc>
          <w:tcPr>
            <w:tcW w:w="921" w:type="dxa"/>
            <w:tcBorders>
              <w:tl2br w:val="nil"/>
              <w:tr2bl w:val="nil"/>
            </w:tcBorders>
            <w:shd w:val="clear" w:color="auto" w:fill="auto"/>
            <w:vAlign w:val="center"/>
          </w:tcPr>
          <w:p w14:paraId="72F3CD4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≤0.005</w:t>
            </w:r>
          </w:p>
        </w:tc>
        <w:tc>
          <w:tcPr>
            <w:tcW w:w="1035" w:type="dxa"/>
            <w:tcBorders>
              <w:tl2br w:val="nil"/>
              <w:tr2bl w:val="nil"/>
            </w:tcBorders>
            <w:shd w:val="clear" w:color="auto" w:fill="auto"/>
            <w:vAlign w:val="center"/>
          </w:tcPr>
          <w:p w14:paraId="2334D53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≤0.01</w:t>
            </w:r>
          </w:p>
        </w:tc>
        <w:tc>
          <w:tcPr>
            <w:tcW w:w="888" w:type="dxa"/>
            <w:tcBorders>
              <w:tl2br w:val="nil"/>
              <w:tr2bl w:val="nil"/>
            </w:tcBorders>
            <w:shd w:val="clear" w:color="auto" w:fill="auto"/>
            <w:vAlign w:val="center"/>
          </w:tcPr>
          <w:p w14:paraId="721E163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≤0.05</w:t>
            </w:r>
          </w:p>
        </w:tc>
        <w:tc>
          <w:tcPr>
            <w:tcW w:w="1503" w:type="dxa"/>
            <w:tcBorders>
              <w:tl2br w:val="nil"/>
              <w:tr2bl w:val="nil"/>
            </w:tcBorders>
            <w:shd w:val="clear" w:color="auto" w:fill="auto"/>
            <w:vAlign w:val="center"/>
          </w:tcPr>
          <w:p w14:paraId="4170361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≤0.1</w:t>
            </w:r>
          </w:p>
        </w:tc>
        <w:tc>
          <w:tcPr>
            <w:tcW w:w="1601" w:type="dxa"/>
            <w:tcBorders>
              <w:tl2br w:val="nil"/>
              <w:tr2bl w:val="nil"/>
            </w:tcBorders>
            <w:shd w:val="clear" w:color="auto" w:fill="auto"/>
            <w:vAlign w:val="center"/>
          </w:tcPr>
          <w:p w14:paraId="441AA43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0.1</w:t>
            </w:r>
          </w:p>
        </w:tc>
      </w:tr>
      <w:tr w14:paraId="663753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225DC72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bookmarkStart w:id="587" w:name="OLE_LINK114" w:colFirst="1" w:colLast="1"/>
            <w:r>
              <w:rPr>
                <w:rFonts w:hint="default" w:ascii="Times New Roman" w:hAnsi="Times New Roman" w:eastAsia="宋体" w:cs="Times New Roman"/>
                <w:color w:val="auto"/>
                <w:sz w:val="21"/>
                <w:szCs w:val="21"/>
              </w:rPr>
              <w:t>14</w:t>
            </w:r>
          </w:p>
        </w:tc>
        <w:tc>
          <w:tcPr>
            <w:tcW w:w="1883" w:type="dxa"/>
            <w:tcBorders>
              <w:tl2br w:val="nil"/>
              <w:tr2bl w:val="nil"/>
            </w:tcBorders>
            <w:shd w:val="clear" w:color="auto" w:fill="auto"/>
            <w:vAlign w:val="center"/>
          </w:tcPr>
          <w:p w14:paraId="66F5037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铅</w:t>
            </w:r>
          </w:p>
        </w:tc>
        <w:tc>
          <w:tcPr>
            <w:tcW w:w="921" w:type="dxa"/>
            <w:tcBorders>
              <w:tl2br w:val="nil"/>
              <w:tr2bl w:val="nil"/>
            </w:tcBorders>
            <w:shd w:val="clear" w:color="auto" w:fill="auto"/>
            <w:vAlign w:val="center"/>
          </w:tcPr>
          <w:p w14:paraId="5ABDDD9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≤0.005</w:t>
            </w:r>
          </w:p>
        </w:tc>
        <w:tc>
          <w:tcPr>
            <w:tcW w:w="1035" w:type="dxa"/>
            <w:tcBorders>
              <w:tl2br w:val="nil"/>
              <w:tr2bl w:val="nil"/>
            </w:tcBorders>
            <w:shd w:val="clear" w:color="auto" w:fill="auto"/>
            <w:vAlign w:val="center"/>
          </w:tcPr>
          <w:p w14:paraId="7C995F6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≤0.005</w:t>
            </w:r>
          </w:p>
        </w:tc>
        <w:tc>
          <w:tcPr>
            <w:tcW w:w="888" w:type="dxa"/>
            <w:tcBorders>
              <w:tl2br w:val="nil"/>
              <w:tr2bl w:val="nil"/>
            </w:tcBorders>
            <w:shd w:val="clear" w:color="auto" w:fill="auto"/>
            <w:vAlign w:val="center"/>
          </w:tcPr>
          <w:p w14:paraId="395AAA6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≤0.01</w:t>
            </w:r>
          </w:p>
        </w:tc>
        <w:tc>
          <w:tcPr>
            <w:tcW w:w="1503" w:type="dxa"/>
            <w:tcBorders>
              <w:tl2br w:val="nil"/>
              <w:tr2bl w:val="nil"/>
            </w:tcBorders>
            <w:shd w:val="clear" w:color="auto" w:fill="auto"/>
            <w:vAlign w:val="center"/>
          </w:tcPr>
          <w:p w14:paraId="026373A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≤0.1</w:t>
            </w:r>
          </w:p>
        </w:tc>
        <w:tc>
          <w:tcPr>
            <w:tcW w:w="1601" w:type="dxa"/>
            <w:tcBorders>
              <w:tl2br w:val="nil"/>
              <w:tr2bl w:val="nil"/>
            </w:tcBorders>
            <w:shd w:val="clear" w:color="auto" w:fill="auto"/>
            <w:vAlign w:val="center"/>
          </w:tcPr>
          <w:p w14:paraId="7A784B3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0.1</w:t>
            </w:r>
          </w:p>
        </w:tc>
      </w:tr>
      <w:tr w14:paraId="40B8D3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427FE32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883" w:type="dxa"/>
            <w:tcBorders>
              <w:tl2br w:val="nil"/>
              <w:tr2bl w:val="nil"/>
            </w:tcBorders>
            <w:shd w:val="clear" w:color="auto" w:fill="auto"/>
            <w:vAlign w:val="center"/>
          </w:tcPr>
          <w:p w14:paraId="09065FB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汞</w:t>
            </w:r>
          </w:p>
        </w:tc>
        <w:tc>
          <w:tcPr>
            <w:tcW w:w="921" w:type="dxa"/>
            <w:tcBorders>
              <w:tl2br w:val="nil"/>
              <w:tr2bl w:val="nil"/>
            </w:tcBorders>
            <w:shd w:val="clear" w:color="auto" w:fill="auto"/>
            <w:vAlign w:val="center"/>
          </w:tcPr>
          <w:p w14:paraId="613E0C7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≤0.0001</w:t>
            </w:r>
          </w:p>
        </w:tc>
        <w:tc>
          <w:tcPr>
            <w:tcW w:w="1035" w:type="dxa"/>
            <w:tcBorders>
              <w:tl2br w:val="nil"/>
              <w:tr2bl w:val="nil"/>
            </w:tcBorders>
            <w:shd w:val="clear" w:color="auto" w:fill="auto"/>
            <w:vAlign w:val="center"/>
          </w:tcPr>
          <w:p w14:paraId="26C0327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≤0.0001</w:t>
            </w:r>
          </w:p>
        </w:tc>
        <w:tc>
          <w:tcPr>
            <w:tcW w:w="888" w:type="dxa"/>
            <w:tcBorders>
              <w:tl2br w:val="nil"/>
              <w:tr2bl w:val="nil"/>
            </w:tcBorders>
            <w:shd w:val="clear" w:color="auto" w:fill="auto"/>
            <w:vAlign w:val="center"/>
          </w:tcPr>
          <w:p w14:paraId="11B08D0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≤0.001</w:t>
            </w:r>
          </w:p>
        </w:tc>
        <w:tc>
          <w:tcPr>
            <w:tcW w:w="1503" w:type="dxa"/>
            <w:tcBorders>
              <w:tl2br w:val="nil"/>
              <w:tr2bl w:val="nil"/>
            </w:tcBorders>
            <w:shd w:val="clear" w:color="auto" w:fill="auto"/>
            <w:vAlign w:val="center"/>
          </w:tcPr>
          <w:p w14:paraId="142C884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≤0.002</w:t>
            </w:r>
          </w:p>
        </w:tc>
        <w:tc>
          <w:tcPr>
            <w:tcW w:w="1601" w:type="dxa"/>
            <w:tcBorders>
              <w:tl2br w:val="nil"/>
              <w:tr2bl w:val="nil"/>
            </w:tcBorders>
            <w:shd w:val="clear" w:color="auto" w:fill="auto"/>
            <w:vAlign w:val="center"/>
          </w:tcPr>
          <w:p w14:paraId="28F9F40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0.002</w:t>
            </w:r>
          </w:p>
        </w:tc>
      </w:tr>
      <w:bookmarkEnd w:id="587"/>
      <w:tr w14:paraId="3ED554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6B3F3B3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1883" w:type="dxa"/>
            <w:tcBorders>
              <w:tl2br w:val="nil"/>
              <w:tr2bl w:val="nil"/>
            </w:tcBorders>
            <w:shd w:val="clear" w:color="auto" w:fill="auto"/>
            <w:vAlign w:val="center"/>
          </w:tcPr>
          <w:p w14:paraId="326D022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砷</w:t>
            </w:r>
          </w:p>
        </w:tc>
        <w:tc>
          <w:tcPr>
            <w:tcW w:w="921" w:type="dxa"/>
            <w:tcBorders>
              <w:tl2br w:val="nil"/>
              <w:tr2bl w:val="nil"/>
            </w:tcBorders>
            <w:shd w:val="clear" w:color="auto" w:fill="auto"/>
            <w:vAlign w:val="center"/>
          </w:tcPr>
          <w:p w14:paraId="2D58E50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≤0.001</w:t>
            </w:r>
          </w:p>
        </w:tc>
        <w:tc>
          <w:tcPr>
            <w:tcW w:w="1035" w:type="dxa"/>
            <w:tcBorders>
              <w:tl2br w:val="nil"/>
              <w:tr2bl w:val="nil"/>
            </w:tcBorders>
            <w:shd w:val="clear" w:color="auto" w:fill="auto"/>
            <w:vAlign w:val="center"/>
          </w:tcPr>
          <w:p w14:paraId="1E9CF0C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≤0.001</w:t>
            </w:r>
          </w:p>
        </w:tc>
        <w:tc>
          <w:tcPr>
            <w:tcW w:w="888" w:type="dxa"/>
            <w:tcBorders>
              <w:tl2br w:val="nil"/>
              <w:tr2bl w:val="nil"/>
            </w:tcBorders>
            <w:shd w:val="clear" w:color="auto" w:fill="auto"/>
            <w:vAlign w:val="center"/>
          </w:tcPr>
          <w:p w14:paraId="480C5F3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≤0.01</w:t>
            </w:r>
          </w:p>
        </w:tc>
        <w:tc>
          <w:tcPr>
            <w:tcW w:w="1503" w:type="dxa"/>
            <w:tcBorders>
              <w:tl2br w:val="nil"/>
              <w:tr2bl w:val="nil"/>
            </w:tcBorders>
            <w:shd w:val="clear" w:color="auto" w:fill="auto"/>
            <w:vAlign w:val="center"/>
          </w:tcPr>
          <w:p w14:paraId="1BD8F3A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≤0.05</w:t>
            </w:r>
          </w:p>
        </w:tc>
        <w:tc>
          <w:tcPr>
            <w:tcW w:w="1601" w:type="dxa"/>
            <w:tcBorders>
              <w:tl2br w:val="nil"/>
              <w:tr2bl w:val="nil"/>
            </w:tcBorders>
            <w:shd w:val="clear" w:color="auto" w:fill="auto"/>
            <w:vAlign w:val="center"/>
          </w:tcPr>
          <w:p w14:paraId="5D6BF54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0.05</w:t>
            </w:r>
          </w:p>
        </w:tc>
      </w:tr>
      <w:tr w14:paraId="78DDCB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491" w:type="dxa"/>
            <w:tcBorders>
              <w:tl2br w:val="nil"/>
              <w:tr2bl w:val="nil"/>
            </w:tcBorders>
            <w:vAlign w:val="center"/>
          </w:tcPr>
          <w:p w14:paraId="75D7661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1883" w:type="dxa"/>
            <w:tcBorders>
              <w:tl2br w:val="nil"/>
              <w:tr2bl w:val="nil"/>
            </w:tcBorders>
            <w:shd w:val="clear" w:color="auto" w:fill="auto"/>
            <w:vAlign w:val="center"/>
          </w:tcPr>
          <w:p w14:paraId="72F72A9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铁</w:t>
            </w:r>
          </w:p>
        </w:tc>
        <w:tc>
          <w:tcPr>
            <w:tcW w:w="921" w:type="dxa"/>
            <w:tcBorders>
              <w:tl2br w:val="nil"/>
              <w:tr2bl w:val="nil"/>
            </w:tcBorders>
            <w:shd w:val="clear" w:color="auto" w:fill="auto"/>
            <w:vAlign w:val="center"/>
          </w:tcPr>
          <w:p w14:paraId="3FF8C33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≤0.1</w:t>
            </w:r>
          </w:p>
        </w:tc>
        <w:tc>
          <w:tcPr>
            <w:tcW w:w="1035" w:type="dxa"/>
            <w:tcBorders>
              <w:tl2br w:val="nil"/>
              <w:tr2bl w:val="nil"/>
            </w:tcBorders>
            <w:shd w:val="clear" w:color="auto" w:fill="auto"/>
            <w:vAlign w:val="center"/>
          </w:tcPr>
          <w:p w14:paraId="6292A8A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≤0.2</w:t>
            </w:r>
          </w:p>
        </w:tc>
        <w:tc>
          <w:tcPr>
            <w:tcW w:w="888" w:type="dxa"/>
            <w:tcBorders>
              <w:tl2br w:val="nil"/>
              <w:tr2bl w:val="nil"/>
            </w:tcBorders>
            <w:shd w:val="clear" w:color="auto" w:fill="auto"/>
            <w:vAlign w:val="center"/>
          </w:tcPr>
          <w:p w14:paraId="02AC27F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≤0.3</w:t>
            </w:r>
          </w:p>
        </w:tc>
        <w:tc>
          <w:tcPr>
            <w:tcW w:w="1503" w:type="dxa"/>
            <w:tcBorders>
              <w:tl2br w:val="nil"/>
              <w:tr2bl w:val="nil"/>
            </w:tcBorders>
            <w:shd w:val="clear" w:color="auto" w:fill="auto"/>
            <w:vAlign w:val="center"/>
          </w:tcPr>
          <w:p w14:paraId="403D1F8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≤2.0</w:t>
            </w:r>
          </w:p>
        </w:tc>
        <w:tc>
          <w:tcPr>
            <w:tcW w:w="1601" w:type="dxa"/>
            <w:tcBorders>
              <w:tl2br w:val="nil"/>
              <w:tr2bl w:val="nil"/>
            </w:tcBorders>
            <w:shd w:val="clear" w:color="auto" w:fill="auto"/>
            <w:vAlign w:val="center"/>
          </w:tcPr>
          <w:p w14:paraId="0DAAEAD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2.0</w:t>
            </w:r>
          </w:p>
        </w:tc>
      </w:tr>
      <w:tr w14:paraId="48571D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5D403D4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bookmarkStart w:id="588" w:name="OLE_LINK119" w:colFirst="1" w:colLast="1"/>
            <w:r>
              <w:rPr>
                <w:rFonts w:hint="default" w:ascii="Times New Roman" w:hAnsi="Times New Roman" w:eastAsia="宋体" w:cs="Times New Roman"/>
                <w:color w:val="auto"/>
                <w:sz w:val="21"/>
                <w:szCs w:val="21"/>
              </w:rPr>
              <w:t>18</w:t>
            </w:r>
          </w:p>
        </w:tc>
        <w:tc>
          <w:tcPr>
            <w:tcW w:w="1883" w:type="dxa"/>
            <w:tcBorders>
              <w:tl2br w:val="nil"/>
              <w:tr2bl w:val="nil"/>
            </w:tcBorders>
            <w:shd w:val="clear" w:color="auto" w:fill="auto"/>
            <w:vAlign w:val="center"/>
          </w:tcPr>
          <w:p w14:paraId="1A3858F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锰</w:t>
            </w:r>
          </w:p>
        </w:tc>
        <w:tc>
          <w:tcPr>
            <w:tcW w:w="921" w:type="dxa"/>
            <w:tcBorders>
              <w:tl2br w:val="nil"/>
              <w:tr2bl w:val="nil"/>
            </w:tcBorders>
            <w:shd w:val="clear" w:color="auto" w:fill="auto"/>
            <w:vAlign w:val="center"/>
          </w:tcPr>
          <w:p w14:paraId="44C61F4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≤0.05</w:t>
            </w:r>
          </w:p>
        </w:tc>
        <w:tc>
          <w:tcPr>
            <w:tcW w:w="1035" w:type="dxa"/>
            <w:tcBorders>
              <w:tl2br w:val="nil"/>
              <w:tr2bl w:val="nil"/>
            </w:tcBorders>
            <w:shd w:val="clear" w:color="auto" w:fill="auto"/>
            <w:vAlign w:val="center"/>
          </w:tcPr>
          <w:p w14:paraId="1C81A9C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≤0.05</w:t>
            </w:r>
          </w:p>
        </w:tc>
        <w:tc>
          <w:tcPr>
            <w:tcW w:w="888" w:type="dxa"/>
            <w:tcBorders>
              <w:tl2br w:val="nil"/>
              <w:tr2bl w:val="nil"/>
            </w:tcBorders>
            <w:shd w:val="clear" w:color="auto" w:fill="auto"/>
            <w:vAlign w:val="center"/>
          </w:tcPr>
          <w:p w14:paraId="39C305B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≤0.1</w:t>
            </w:r>
          </w:p>
        </w:tc>
        <w:tc>
          <w:tcPr>
            <w:tcW w:w="1503" w:type="dxa"/>
            <w:tcBorders>
              <w:tl2br w:val="nil"/>
              <w:tr2bl w:val="nil"/>
            </w:tcBorders>
            <w:shd w:val="clear" w:color="auto" w:fill="auto"/>
            <w:vAlign w:val="center"/>
          </w:tcPr>
          <w:p w14:paraId="7F35D12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≤1.5</w:t>
            </w:r>
          </w:p>
        </w:tc>
        <w:tc>
          <w:tcPr>
            <w:tcW w:w="1601" w:type="dxa"/>
            <w:tcBorders>
              <w:tl2br w:val="nil"/>
              <w:tr2bl w:val="nil"/>
            </w:tcBorders>
            <w:shd w:val="clear" w:color="auto" w:fill="auto"/>
            <w:vAlign w:val="center"/>
          </w:tcPr>
          <w:p w14:paraId="520035C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1.5</w:t>
            </w:r>
          </w:p>
        </w:tc>
      </w:tr>
      <w:tr w14:paraId="58DCD9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7829D7B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w:t>
            </w:r>
          </w:p>
        </w:tc>
        <w:tc>
          <w:tcPr>
            <w:tcW w:w="1883" w:type="dxa"/>
            <w:tcBorders>
              <w:tl2br w:val="nil"/>
              <w:tr2bl w:val="nil"/>
            </w:tcBorders>
            <w:shd w:val="clear" w:color="auto" w:fill="auto"/>
            <w:vAlign w:val="center"/>
          </w:tcPr>
          <w:p w14:paraId="31C0734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镉</w:t>
            </w:r>
          </w:p>
        </w:tc>
        <w:tc>
          <w:tcPr>
            <w:tcW w:w="921" w:type="dxa"/>
            <w:tcBorders>
              <w:tl2br w:val="nil"/>
              <w:tr2bl w:val="nil"/>
            </w:tcBorders>
            <w:shd w:val="clear" w:color="auto" w:fill="auto"/>
            <w:vAlign w:val="center"/>
          </w:tcPr>
          <w:p w14:paraId="5EEF625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≤0.0001</w:t>
            </w:r>
          </w:p>
        </w:tc>
        <w:tc>
          <w:tcPr>
            <w:tcW w:w="1035" w:type="dxa"/>
            <w:tcBorders>
              <w:tl2br w:val="nil"/>
              <w:tr2bl w:val="nil"/>
            </w:tcBorders>
            <w:shd w:val="clear" w:color="auto" w:fill="auto"/>
            <w:vAlign w:val="center"/>
          </w:tcPr>
          <w:p w14:paraId="1DC0234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≤0.001</w:t>
            </w:r>
          </w:p>
        </w:tc>
        <w:tc>
          <w:tcPr>
            <w:tcW w:w="888" w:type="dxa"/>
            <w:tcBorders>
              <w:tl2br w:val="nil"/>
              <w:tr2bl w:val="nil"/>
            </w:tcBorders>
            <w:shd w:val="clear" w:color="auto" w:fill="auto"/>
            <w:vAlign w:val="center"/>
          </w:tcPr>
          <w:p w14:paraId="660FF82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≤0.005</w:t>
            </w:r>
          </w:p>
        </w:tc>
        <w:tc>
          <w:tcPr>
            <w:tcW w:w="1503" w:type="dxa"/>
            <w:tcBorders>
              <w:tl2br w:val="nil"/>
              <w:tr2bl w:val="nil"/>
            </w:tcBorders>
            <w:shd w:val="clear" w:color="auto" w:fill="auto"/>
            <w:vAlign w:val="center"/>
          </w:tcPr>
          <w:p w14:paraId="56E4D51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≤0.01</w:t>
            </w:r>
          </w:p>
        </w:tc>
        <w:tc>
          <w:tcPr>
            <w:tcW w:w="1601" w:type="dxa"/>
            <w:tcBorders>
              <w:tl2br w:val="nil"/>
              <w:tr2bl w:val="nil"/>
            </w:tcBorders>
            <w:shd w:val="clear" w:color="auto" w:fill="auto"/>
            <w:vAlign w:val="center"/>
          </w:tcPr>
          <w:p w14:paraId="22D0F32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0.01</w:t>
            </w:r>
          </w:p>
        </w:tc>
      </w:tr>
      <w:bookmarkEnd w:id="588"/>
      <w:tr w14:paraId="5784AD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1C8D706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883" w:type="dxa"/>
            <w:tcBorders>
              <w:tl2br w:val="nil"/>
              <w:tr2bl w:val="nil"/>
            </w:tcBorders>
            <w:shd w:val="clear" w:color="auto" w:fill="auto"/>
            <w:vAlign w:val="center"/>
          </w:tcPr>
          <w:p w14:paraId="0A76062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钠</w:t>
            </w:r>
          </w:p>
        </w:tc>
        <w:tc>
          <w:tcPr>
            <w:tcW w:w="921" w:type="dxa"/>
            <w:tcBorders>
              <w:tl2br w:val="nil"/>
              <w:tr2bl w:val="nil"/>
            </w:tcBorders>
            <w:shd w:val="clear" w:color="auto" w:fill="auto"/>
            <w:vAlign w:val="center"/>
          </w:tcPr>
          <w:p w14:paraId="00E4DF3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≤100</w:t>
            </w:r>
          </w:p>
        </w:tc>
        <w:tc>
          <w:tcPr>
            <w:tcW w:w="1035" w:type="dxa"/>
            <w:tcBorders>
              <w:tl2br w:val="nil"/>
              <w:tr2bl w:val="nil"/>
            </w:tcBorders>
            <w:shd w:val="clear" w:color="auto" w:fill="auto"/>
            <w:vAlign w:val="center"/>
          </w:tcPr>
          <w:p w14:paraId="61AA460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≤150</w:t>
            </w:r>
          </w:p>
        </w:tc>
        <w:tc>
          <w:tcPr>
            <w:tcW w:w="888" w:type="dxa"/>
            <w:tcBorders>
              <w:tl2br w:val="nil"/>
              <w:tr2bl w:val="nil"/>
            </w:tcBorders>
            <w:shd w:val="clear" w:color="auto" w:fill="auto"/>
            <w:vAlign w:val="center"/>
          </w:tcPr>
          <w:p w14:paraId="2F1C5BD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≤200</w:t>
            </w:r>
          </w:p>
        </w:tc>
        <w:tc>
          <w:tcPr>
            <w:tcW w:w="1503" w:type="dxa"/>
            <w:tcBorders>
              <w:tl2br w:val="nil"/>
              <w:tr2bl w:val="nil"/>
            </w:tcBorders>
            <w:shd w:val="clear" w:color="auto" w:fill="auto"/>
            <w:vAlign w:val="center"/>
          </w:tcPr>
          <w:p w14:paraId="685184B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≤400</w:t>
            </w:r>
          </w:p>
        </w:tc>
        <w:tc>
          <w:tcPr>
            <w:tcW w:w="1601" w:type="dxa"/>
            <w:tcBorders>
              <w:tl2br w:val="nil"/>
              <w:tr2bl w:val="nil"/>
            </w:tcBorders>
            <w:shd w:val="clear" w:color="auto" w:fill="auto"/>
            <w:vAlign w:val="center"/>
          </w:tcPr>
          <w:p w14:paraId="74EEF70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400</w:t>
            </w:r>
          </w:p>
        </w:tc>
      </w:tr>
      <w:tr w14:paraId="59F481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491" w:type="dxa"/>
            <w:tcBorders>
              <w:tl2br w:val="nil"/>
              <w:tr2bl w:val="nil"/>
            </w:tcBorders>
            <w:vAlign w:val="center"/>
          </w:tcPr>
          <w:p w14:paraId="6B9AE7B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bookmarkStart w:id="589" w:name="OLE_LINK124" w:colFirst="1" w:colLast="6"/>
            <w:r>
              <w:rPr>
                <w:rFonts w:hint="default" w:ascii="Times New Roman" w:hAnsi="Times New Roman" w:eastAsia="宋体" w:cs="Times New Roman"/>
                <w:color w:val="auto"/>
                <w:sz w:val="21"/>
                <w:szCs w:val="21"/>
              </w:rPr>
              <w:t>21</w:t>
            </w:r>
          </w:p>
        </w:tc>
        <w:tc>
          <w:tcPr>
            <w:tcW w:w="1883" w:type="dxa"/>
            <w:tcBorders>
              <w:tl2br w:val="nil"/>
              <w:tr2bl w:val="nil"/>
            </w:tcBorders>
            <w:shd w:val="clear" w:color="auto" w:fill="auto"/>
            <w:vAlign w:val="center"/>
          </w:tcPr>
          <w:p w14:paraId="48DC528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总大肠菌群</w:t>
            </w:r>
          </w:p>
          <w:p w14:paraId="2C81B9B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MPN/100mL</w:t>
            </w:r>
            <w:r>
              <w:rPr>
                <w:rFonts w:hint="eastAsia" w:ascii="Times New Roman" w:hAnsi="Times New Roman" w:eastAsia="宋体" w:cs="Times New Roman"/>
                <w:color w:val="auto"/>
                <w:sz w:val="21"/>
                <w:szCs w:val="21"/>
                <w:lang w:eastAsia="zh-CN"/>
              </w:rPr>
              <w:t>）</w:t>
            </w:r>
          </w:p>
        </w:tc>
        <w:tc>
          <w:tcPr>
            <w:tcW w:w="921" w:type="dxa"/>
            <w:tcBorders>
              <w:tl2br w:val="nil"/>
              <w:tr2bl w:val="nil"/>
            </w:tcBorders>
            <w:shd w:val="clear" w:color="auto" w:fill="auto"/>
            <w:vAlign w:val="center"/>
          </w:tcPr>
          <w:p w14:paraId="230C6A9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≤3.0</w:t>
            </w:r>
          </w:p>
        </w:tc>
        <w:tc>
          <w:tcPr>
            <w:tcW w:w="1035" w:type="dxa"/>
            <w:tcBorders>
              <w:tl2br w:val="nil"/>
              <w:tr2bl w:val="nil"/>
            </w:tcBorders>
            <w:shd w:val="clear" w:color="auto" w:fill="auto"/>
            <w:vAlign w:val="center"/>
          </w:tcPr>
          <w:p w14:paraId="4A934D4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≤3.0</w:t>
            </w:r>
          </w:p>
        </w:tc>
        <w:tc>
          <w:tcPr>
            <w:tcW w:w="888" w:type="dxa"/>
            <w:tcBorders>
              <w:tl2br w:val="nil"/>
              <w:tr2bl w:val="nil"/>
            </w:tcBorders>
            <w:shd w:val="clear" w:color="auto" w:fill="auto"/>
            <w:vAlign w:val="center"/>
          </w:tcPr>
          <w:p w14:paraId="555BCAC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≤3.0</w:t>
            </w:r>
          </w:p>
        </w:tc>
        <w:tc>
          <w:tcPr>
            <w:tcW w:w="1503" w:type="dxa"/>
            <w:tcBorders>
              <w:tl2br w:val="nil"/>
              <w:tr2bl w:val="nil"/>
            </w:tcBorders>
            <w:shd w:val="clear" w:color="auto" w:fill="auto"/>
            <w:vAlign w:val="center"/>
          </w:tcPr>
          <w:p w14:paraId="12A30AB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≤100</w:t>
            </w:r>
          </w:p>
        </w:tc>
        <w:tc>
          <w:tcPr>
            <w:tcW w:w="1601" w:type="dxa"/>
            <w:tcBorders>
              <w:tl2br w:val="nil"/>
              <w:tr2bl w:val="nil"/>
            </w:tcBorders>
            <w:shd w:val="clear" w:color="auto" w:fill="auto"/>
            <w:vAlign w:val="center"/>
          </w:tcPr>
          <w:p w14:paraId="4A67786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100</w:t>
            </w:r>
          </w:p>
        </w:tc>
      </w:tr>
      <w:bookmarkEnd w:id="589"/>
      <w:tr w14:paraId="48C517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491" w:type="dxa"/>
            <w:tcBorders>
              <w:tl2br w:val="nil"/>
              <w:tr2bl w:val="nil"/>
            </w:tcBorders>
            <w:vAlign w:val="center"/>
          </w:tcPr>
          <w:p w14:paraId="5351A6E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bookmarkStart w:id="590" w:name="OLE_LINK126" w:colFirst="1" w:colLast="6"/>
            <w:r>
              <w:rPr>
                <w:rFonts w:hint="default" w:ascii="Times New Roman" w:hAnsi="Times New Roman" w:eastAsia="宋体" w:cs="Times New Roman"/>
                <w:color w:val="auto"/>
                <w:sz w:val="21"/>
                <w:szCs w:val="21"/>
              </w:rPr>
              <w:t>22</w:t>
            </w:r>
          </w:p>
        </w:tc>
        <w:tc>
          <w:tcPr>
            <w:tcW w:w="1883" w:type="dxa"/>
            <w:tcBorders>
              <w:tl2br w:val="nil"/>
              <w:tr2bl w:val="nil"/>
            </w:tcBorders>
            <w:shd w:val="clear" w:color="auto" w:fill="auto"/>
            <w:vAlign w:val="center"/>
          </w:tcPr>
          <w:p w14:paraId="2822B23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菌落</w:t>
            </w:r>
            <w:r>
              <w:rPr>
                <w:rFonts w:hint="default" w:ascii="Times New Roman" w:hAnsi="Times New Roman" w:eastAsia="宋体" w:cs="Times New Roman"/>
                <w:color w:val="auto"/>
                <w:sz w:val="21"/>
                <w:szCs w:val="21"/>
              </w:rPr>
              <w:t>总数</w:t>
            </w:r>
          </w:p>
          <w:p w14:paraId="55C9AD0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CFU/mL</w:t>
            </w:r>
            <w:r>
              <w:rPr>
                <w:rFonts w:hint="eastAsia" w:ascii="Times New Roman" w:hAnsi="Times New Roman" w:eastAsia="宋体" w:cs="Times New Roman"/>
                <w:color w:val="auto"/>
                <w:sz w:val="21"/>
                <w:szCs w:val="21"/>
                <w:lang w:eastAsia="zh-CN"/>
              </w:rPr>
              <w:t>)</w:t>
            </w:r>
          </w:p>
        </w:tc>
        <w:tc>
          <w:tcPr>
            <w:tcW w:w="921" w:type="dxa"/>
            <w:tcBorders>
              <w:tl2br w:val="nil"/>
              <w:tr2bl w:val="nil"/>
            </w:tcBorders>
            <w:shd w:val="clear" w:color="auto" w:fill="auto"/>
            <w:vAlign w:val="center"/>
          </w:tcPr>
          <w:p w14:paraId="6B1C580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≤100</w:t>
            </w:r>
          </w:p>
        </w:tc>
        <w:tc>
          <w:tcPr>
            <w:tcW w:w="1035" w:type="dxa"/>
            <w:tcBorders>
              <w:tl2br w:val="nil"/>
              <w:tr2bl w:val="nil"/>
            </w:tcBorders>
            <w:shd w:val="clear" w:color="auto" w:fill="auto"/>
            <w:vAlign w:val="center"/>
          </w:tcPr>
          <w:p w14:paraId="0A497E9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≤100</w:t>
            </w:r>
          </w:p>
        </w:tc>
        <w:tc>
          <w:tcPr>
            <w:tcW w:w="888" w:type="dxa"/>
            <w:tcBorders>
              <w:tl2br w:val="nil"/>
              <w:tr2bl w:val="nil"/>
            </w:tcBorders>
            <w:shd w:val="clear" w:color="auto" w:fill="auto"/>
            <w:vAlign w:val="center"/>
          </w:tcPr>
          <w:p w14:paraId="71DAE66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≤100</w:t>
            </w:r>
          </w:p>
        </w:tc>
        <w:tc>
          <w:tcPr>
            <w:tcW w:w="1503" w:type="dxa"/>
            <w:tcBorders>
              <w:tl2br w:val="nil"/>
              <w:tr2bl w:val="nil"/>
            </w:tcBorders>
            <w:shd w:val="clear" w:color="auto" w:fill="auto"/>
            <w:vAlign w:val="center"/>
          </w:tcPr>
          <w:p w14:paraId="60FBF46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≤1000</w:t>
            </w:r>
          </w:p>
        </w:tc>
        <w:tc>
          <w:tcPr>
            <w:tcW w:w="1601" w:type="dxa"/>
            <w:tcBorders>
              <w:tl2br w:val="nil"/>
              <w:tr2bl w:val="nil"/>
            </w:tcBorders>
            <w:shd w:val="clear" w:color="auto" w:fill="auto"/>
            <w:vAlign w:val="center"/>
          </w:tcPr>
          <w:p w14:paraId="5E7BEDB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color w:val="auto"/>
                <w:sz w:val="21"/>
                <w:szCs w:val="21"/>
                <w:lang w:eastAsia="zh-CN"/>
              </w:rPr>
              <w:t>&gt;</w:t>
            </w:r>
            <w:r>
              <w:rPr>
                <w:rFonts w:hint="default" w:ascii="Times New Roman" w:hAnsi="Times New Roman" w:eastAsia="宋体" w:cs="Times New Roman"/>
                <w:color w:val="auto"/>
                <w:sz w:val="21"/>
                <w:szCs w:val="21"/>
              </w:rPr>
              <w:t>1000</w:t>
            </w:r>
          </w:p>
        </w:tc>
      </w:tr>
      <w:bookmarkEnd w:id="590"/>
    </w:tbl>
    <w:p w14:paraId="53CF70B0">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9"/>
        <w:rPr>
          <w:rFonts w:hint="default" w:ascii="Times New Roman" w:hAnsi="Times New Roman" w:eastAsia="宋体" w:cs="Times New Roman"/>
          <w:b/>
          <w:bCs/>
          <w:color w:val="auto"/>
          <w:sz w:val="24"/>
          <w:szCs w:val="24"/>
        </w:rPr>
      </w:pPr>
      <w:bookmarkStart w:id="591" w:name="OLE_LINK120"/>
      <w:r>
        <w:rPr>
          <w:rFonts w:hint="default" w:ascii="Times New Roman" w:hAnsi="Times New Roman" w:eastAsia="宋体" w:cs="Times New Roman"/>
          <w:b/>
          <w:bCs/>
          <w:color w:val="auto"/>
          <w:sz w:val="24"/>
          <w:szCs w:val="24"/>
        </w:rPr>
        <w:t>3</w:t>
      </w:r>
      <w:r>
        <w:rPr>
          <w:rFonts w:hint="eastAsia" w:ascii="Times New Roman" w:hAnsi="Times New Roman" w:eastAsia="宋体" w:cs="Times New Roman"/>
          <w:b/>
          <w:bCs/>
          <w:color w:val="auto"/>
          <w:sz w:val="24"/>
          <w:szCs w:val="24"/>
          <w:lang w:val="en-US" w:eastAsia="zh-CN"/>
        </w:rPr>
        <w:t>.2.1</w:t>
      </w:r>
      <w:r>
        <w:rPr>
          <w:rFonts w:hint="default" w:ascii="Times New Roman" w:hAnsi="Times New Roman" w:eastAsia="宋体" w:cs="Times New Roman"/>
          <w:b/>
          <w:bCs/>
          <w:color w:val="auto"/>
          <w:sz w:val="24"/>
          <w:szCs w:val="24"/>
        </w:rPr>
        <w:t>.5土壤环境质量标准</w:t>
      </w:r>
      <w:bookmarkStart w:id="592" w:name="pindex930"/>
      <w:bookmarkEnd w:id="592"/>
    </w:p>
    <w:bookmarkEnd w:id="591"/>
    <w:p w14:paraId="437BAD4C">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土壤环境质量执行</w:t>
      </w:r>
      <w:bookmarkStart w:id="593" w:name="OLE_LINK106"/>
      <w:r>
        <w:rPr>
          <w:rFonts w:hint="default" w:ascii="Times New Roman" w:hAnsi="Times New Roman" w:eastAsia="宋体" w:cs="Times New Roman"/>
          <w:color w:val="auto"/>
          <w:sz w:val="24"/>
          <w:szCs w:val="24"/>
        </w:rPr>
        <w:t>《土壤环境质量</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建设用地土壤污染风险管控标准（试行）》（GB36600-2018）</w:t>
      </w:r>
      <w:bookmarkEnd w:id="593"/>
      <w:r>
        <w:rPr>
          <w:rFonts w:hint="default" w:ascii="Times New Roman" w:hAnsi="Times New Roman" w:eastAsia="宋体" w:cs="Times New Roman"/>
          <w:color w:val="auto"/>
          <w:sz w:val="24"/>
          <w:szCs w:val="24"/>
        </w:rPr>
        <w:t>和《土壤环境质量</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农用地土壤污染风险管控标准（试行）》（GB15618-2018），河流底泥参照执行</w:t>
      </w:r>
      <w:bookmarkStart w:id="594" w:name="OLE_LINK110"/>
      <w:r>
        <w:rPr>
          <w:rFonts w:hint="default" w:ascii="Times New Roman" w:hAnsi="Times New Roman" w:eastAsia="宋体" w:cs="Times New Roman"/>
          <w:color w:val="auto"/>
          <w:sz w:val="24"/>
          <w:szCs w:val="24"/>
        </w:rPr>
        <w:t>《土壤环境质量 农用地土壤污染风险管控标准（试行）》（GB15618-2018）</w:t>
      </w:r>
      <w:bookmarkEnd w:id="594"/>
      <w:r>
        <w:rPr>
          <w:rFonts w:hint="default" w:ascii="Times New Roman" w:hAnsi="Times New Roman" w:eastAsia="宋体" w:cs="Times New Roman"/>
          <w:color w:val="auto"/>
          <w:sz w:val="24"/>
          <w:szCs w:val="24"/>
        </w:rPr>
        <w:t>表1标准</w:t>
      </w:r>
      <w:r>
        <w:rPr>
          <w:rFonts w:hint="default" w:ascii="Times New Roman" w:hAnsi="Times New Roman" w:eastAsia="宋体" w:cs="Times New Roman"/>
          <w:color w:val="auto"/>
          <w:sz w:val="24"/>
          <w:szCs w:val="24"/>
          <w:lang w:eastAsia="zh-CN"/>
        </w:rPr>
        <w:t>。</w:t>
      </w:r>
    </w:p>
    <w:p w14:paraId="7D295EDC">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pacing w:val="-2"/>
          <w:sz w:val="24"/>
          <w:szCs w:val="24"/>
          <w:lang w:val="en-US" w:eastAsia="zh-CN"/>
        </w:rPr>
      </w:pPr>
      <w:r>
        <w:rPr>
          <w:rFonts w:hint="default" w:ascii="Times New Roman" w:hAnsi="Times New Roman" w:eastAsia="宋体" w:cs="Times New Roman"/>
          <w:b/>
          <w:bCs/>
          <w:color w:val="auto"/>
          <w:spacing w:val="-2"/>
          <w:sz w:val="24"/>
          <w:szCs w:val="24"/>
        </w:rPr>
        <w:t>表3.</w:t>
      </w:r>
      <w:r>
        <w:rPr>
          <w:rFonts w:hint="default" w:ascii="Times New Roman" w:hAnsi="Times New Roman" w:eastAsia="宋体" w:cs="Times New Roman"/>
          <w:b/>
          <w:bCs/>
          <w:color w:val="auto"/>
          <w:spacing w:val="-2"/>
          <w:sz w:val="24"/>
          <w:szCs w:val="24"/>
          <w:lang w:val="en-US" w:eastAsia="zh-CN"/>
        </w:rPr>
        <w:t>2</w:t>
      </w:r>
      <w:r>
        <w:rPr>
          <w:rFonts w:hint="default" w:ascii="Times New Roman" w:hAnsi="Times New Roman" w:eastAsia="宋体" w:cs="Times New Roman"/>
          <w:b/>
          <w:bCs/>
          <w:color w:val="auto"/>
          <w:spacing w:val="-2"/>
          <w:sz w:val="24"/>
          <w:szCs w:val="24"/>
        </w:rPr>
        <w:t>-</w:t>
      </w:r>
      <w:r>
        <w:rPr>
          <w:rFonts w:hint="default" w:ascii="Times New Roman" w:hAnsi="Times New Roman" w:eastAsia="宋体" w:cs="Times New Roman"/>
          <w:b/>
          <w:bCs/>
          <w:color w:val="auto"/>
          <w:spacing w:val="-2"/>
          <w:sz w:val="24"/>
          <w:szCs w:val="24"/>
          <w:lang w:val="en-US" w:eastAsia="zh-CN"/>
        </w:rPr>
        <w:t>5  建设用地土壤污染风险筛选值和管制值（mg/kg）</w:t>
      </w:r>
      <w:bookmarkStart w:id="595" w:name="pindex932"/>
      <w:bookmarkEnd w:id="595"/>
    </w:p>
    <w:tbl>
      <w:tblPr>
        <w:tblStyle w:val="19"/>
        <w:tblW w:w="884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8"/>
        <w:gridCol w:w="1579"/>
        <w:gridCol w:w="1380"/>
        <w:gridCol w:w="1290"/>
        <w:gridCol w:w="1380"/>
        <w:gridCol w:w="1329"/>
        <w:gridCol w:w="1365"/>
      </w:tblGrid>
      <w:tr w14:paraId="3C4AB0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18" w:type="dxa"/>
            <w:vMerge w:val="restart"/>
            <w:tcBorders>
              <w:top w:val="single" w:color="auto" w:sz="12" w:space="0"/>
            </w:tcBorders>
            <w:shd w:val="clear" w:color="auto" w:fill="auto"/>
            <w:vAlign w:val="center"/>
          </w:tcPr>
          <w:p w14:paraId="43370CE9">
            <w:pPr>
              <w:tabs>
                <w:tab w:val="left" w:pos="8789"/>
              </w:tabs>
              <w:adjustRightInd w:val="0"/>
              <w:snapToGrid w:val="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序号</w:t>
            </w:r>
          </w:p>
        </w:tc>
        <w:tc>
          <w:tcPr>
            <w:tcW w:w="1579" w:type="dxa"/>
            <w:vMerge w:val="restart"/>
            <w:tcBorders>
              <w:top w:val="single" w:color="auto" w:sz="12" w:space="0"/>
            </w:tcBorders>
            <w:shd w:val="clear" w:color="auto" w:fill="auto"/>
            <w:vAlign w:val="center"/>
          </w:tcPr>
          <w:p w14:paraId="31EC9163">
            <w:pPr>
              <w:tabs>
                <w:tab w:val="left" w:pos="8789"/>
              </w:tabs>
              <w:adjustRightInd w:val="0"/>
              <w:snapToGrid w:val="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污染物项目</w:t>
            </w:r>
          </w:p>
        </w:tc>
        <w:tc>
          <w:tcPr>
            <w:tcW w:w="1380" w:type="dxa"/>
            <w:vMerge w:val="restart"/>
            <w:tcBorders>
              <w:top w:val="single" w:color="auto" w:sz="12" w:space="0"/>
            </w:tcBorders>
            <w:shd w:val="clear" w:color="auto" w:fill="auto"/>
            <w:vAlign w:val="center"/>
          </w:tcPr>
          <w:p w14:paraId="78991A35">
            <w:pPr>
              <w:tabs>
                <w:tab w:val="left" w:pos="8789"/>
              </w:tabs>
              <w:adjustRightInd w:val="0"/>
              <w:snapToGrid w:val="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CAS编号</w:t>
            </w:r>
          </w:p>
        </w:tc>
        <w:tc>
          <w:tcPr>
            <w:tcW w:w="2670" w:type="dxa"/>
            <w:gridSpan w:val="2"/>
            <w:tcBorders>
              <w:top w:val="single" w:color="auto" w:sz="12" w:space="0"/>
            </w:tcBorders>
            <w:shd w:val="clear" w:color="auto" w:fill="auto"/>
            <w:vAlign w:val="center"/>
          </w:tcPr>
          <w:p w14:paraId="38B6D311">
            <w:pPr>
              <w:tabs>
                <w:tab w:val="left" w:pos="8789"/>
              </w:tabs>
              <w:adjustRightInd w:val="0"/>
              <w:snapToGrid w:val="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筛选值</w:t>
            </w:r>
          </w:p>
        </w:tc>
        <w:tc>
          <w:tcPr>
            <w:tcW w:w="2694" w:type="dxa"/>
            <w:gridSpan w:val="2"/>
            <w:tcBorders>
              <w:top w:val="single" w:color="auto" w:sz="12" w:space="0"/>
            </w:tcBorders>
            <w:shd w:val="clear" w:color="auto" w:fill="auto"/>
            <w:vAlign w:val="center"/>
          </w:tcPr>
          <w:p w14:paraId="6A4FFDC0">
            <w:pPr>
              <w:tabs>
                <w:tab w:val="left" w:pos="8789"/>
              </w:tabs>
              <w:adjustRightInd w:val="0"/>
              <w:snapToGrid w:val="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管制值</w:t>
            </w:r>
          </w:p>
        </w:tc>
      </w:tr>
      <w:tr w14:paraId="791DB2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18" w:type="dxa"/>
            <w:vMerge w:val="continue"/>
            <w:shd w:val="clear" w:color="auto" w:fill="auto"/>
            <w:vAlign w:val="center"/>
          </w:tcPr>
          <w:p w14:paraId="631AADD0">
            <w:pPr>
              <w:tabs>
                <w:tab w:val="left" w:pos="8789"/>
              </w:tabs>
              <w:adjustRightInd w:val="0"/>
              <w:snapToGrid w:val="0"/>
              <w:jc w:val="center"/>
              <w:rPr>
                <w:rFonts w:ascii="Times New Roman" w:hAnsi="Times New Roman" w:eastAsia="宋体" w:cs="Times New Roman"/>
                <w:b/>
                <w:bCs/>
                <w:color w:val="auto"/>
                <w:szCs w:val="21"/>
              </w:rPr>
            </w:pPr>
          </w:p>
        </w:tc>
        <w:tc>
          <w:tcPr>
            <w:tcW w:w="1579" w:type="dxa"/>
            <w:vMerge w:val="continue"/>
            <w:shd w:val="clear" w:color="auto" w:fill="auto"/>
            <w:vAlign w:val="center"/>
          </w:tcPr>
          <w:p w14:paraId="0E524E62">
            <w:pPr>
              <w:tabs>
                <w:tab w:val="left" w:pos="8789"/>
              </w:tabs>
              <w:adjustRightInd w:val="0"/>
              <w:snapToGrid w:val="0"/>
              <w:jc w:val="center"/>
              <w:rPr>
                <w:rFonts w:ascii="Times New Roman" w:hAnsi="Times New Roman" w:eastAsia="宋体" w:cs="Times New Roman"/>
                <w:b/>
                <w:bCs/>
                <w:color w:val="auto"/>
                <w:szCs w:val="21"/>
              </w:rPr>
            </w:pPr>
          </w:p>
        </w:tc>
        <w:tc>
          <w:tcPr>
            <w:tcW w:w="1380" w:type="dxa"/>
            <w:vMerge w:val="continue"/>
            <w:shd w:val="clear" w:color="auto" w:fill="auto"/>
            <w:vAlign w:val="center"/>
          </w:tcPr>
          <w:p w14:paraId="180E588D">
            <w:pPr>
              <w:tabs>
                <w:tab w:val="left" w:pos="8789"/>
              </w:tabs>
              <w:adjustRightInd w:val="0"/>
              <w:snapToGrid w:val="0"/>
              <w:jc w:val="center"/>
              <w:rPr>
                <w:rFonts w:ascii="Times New Roman" w:hAnsi="Times New Roman" w:eastAsia="宋体" w:cs="Times New Roman"/>
                <w:b/>
                <w:bCs/>
                <w:color w:val="auto"/>
                <w:szCs w:val="21"/>
              </w:rPr>
            </w:pPr>
          </w:p>
        </w:tc>
        <w:tc>
          <w:tcPr>
            <w:tcW w:w="1290" w:type="dxa"/>
            <w:shd w:val="clear" w:color="auto" w:fill="auto"/>
            <w:vAlign w:val="center"/>
          </w:tcPr>
          <w:p w14:paraId="0D5F1B71">
            <w:pPr>
              <w:tabs>
                <w:tab w:val="left" w:pos="8789"/>
              </w:tabs>
              <w:adjustRightInd w:val="0"/>
              <w:snapToGrid w:val="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第一类用地</w:t>
            </w:r>
          </w:p>
        </w:tc>
        <w:tc>
          <w:tcPr>
            <w:tcW w:w="1380" w:type="dxa"/>
            <w:shd w:val="clear" w:color="auto" w:fill="auto"/>
            <w:vAlign w:val="center"/>
          </w:tcPr>
          <w:p w14:paraId="3C7DE72E">
            <w:pPr>
              <w:tabs>
                <w:tab w:val="left" w:pos="8789"/>
              </w:tabs>
              <w:adjustRightInd w:val="0"/>
              <w:snapToGrid w:val="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第二类用地</w:t>
            </w:r>
          </w:p>
        </w:tc>
        <w:tc>
          <w:tcPr>
            <w:tcW w:w="1329" w:type="dxa"/>
            <w:shd w:val="clear" w:color="auto" w:fill="auto"/>
            <w:vAlign w:val="center"/>
          </w:tcPr>
          <w:p w14:paraId="3B006F2C">
            <w:pPr>
              <w:tabs>
                <w:tab w:val="left" w:pos="8789"/>
              </w:tabs>
              <w:adjustRightInd w:val="0"/>
              <w:snapToGrid w:val="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第一类用地</w:t>
            </w:r>
          </w:p>
        </w:tc>
        <w:tc>
          <w:tcPr>
            <w:tcW w:w="1365" w:type="dxa"/>
            <w:shd w:val="clear" w:color="auto" w:fill="auto"/>
            <w:vAlign w:val="center"/>
          </w:tcPr>
          <w:p w14:paraId="2298D5BC">
            <w:pPr>
              <w:tabs>
                <w:tab w:val="left" w:pos="8789"/>
              </w:tabs>
              <w:adjustRightInd w:val="0"/>
              <w:snapToGrid w:val="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第二类用地</w:t>
            </w:r>
          </w:p>
        </w:tc>
      </w:tr>
      <w:tr w14:paraId="69B776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41" w:type="dxa"/>
            <w:gridSpan w:val="7"/>
            <w:shd w:val="clear" w:color="auto" w:fill="auto"/>
            <w:vAlign w:val="center"/>
          </w:tcPr>
          <w:p w14:paraId="4BF1C6C1">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重金属和无机物</w:t>
            </w:r>
          </w:p>
        </w:tc>
      </w:tr>
      <w:tr w14:paraId="1656A9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23D50E6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w:t>
            </w:r>
          </w:p>
        </w:tc>
        <w:tc>
          <w:tcPr>
            <w:tcW w:w="1579" w:type="dxa"/>
            <w:shd w:val="clear" w:color="auto" w:fill="auto"/>
            <w:vAlign w:val="center"/>
          </w:tcPr>
          <w:p w14:paraId="3CE4A7F7">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砷</w:t>
            </w:r>
          </w:p>
        </w:tc>
        <w:tc>
          <w:tcPr>
            <w:tcW w:w="1380" w:type="dxa"/>
            <w:shd w:val="clear" w:color="auto" w:fill="auto"/>
            <w:vAlign w:val="center"/>
          </w:tcPr>
          <w:p w14:paraId="1C9FE28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7440-38-2</w:t>
            </w:r>
          </w:p>
        </w:tc>
        <w:tc>
          <w:tcPr>
            <w:tcW w:w="1290" w:type="dxa"/>
            <w:shd w:val="clear" w:color="auto" w:fill="auto"/>
            <w:vAlign w:val="center"/>
          </w:tcPr>
          <w:p w14:paraId="3C42901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w:t>
            </w:r>
          </w:p>
        </w:tc>
        <w:tc>
          <w:tcPr>
            <w:tcW w:w="1380" w:type="dxa"/>
            <w:shd w:val="clear" w:color="auto" w:fill="auto"/>
            <w:vAlign w:val="center"/>
          </w:tcPr>
          <w:p w14:paraId="7F8094F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60</w:t>
            </w:r>
          </w:p>
        </w:tc>
        <w:tc>
          <w:tcPr>
            <w:tcW w:w="1329" w:type="dxa"/>
            <w:shd w:val="clear" w:color="auto" w:fill="auto"/>
            <w:vAlign w:val="center"/>
          </w:tcPr>
          <w:p w14:paraId="3362B38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120</w:t>
            </w:r>
          </w:p>
        </w:tc>
        <w:tc>
          <w:tcPr>
            <w:tcW w:w="1365" w:type="dxa"/>
            <w:shd w:val="clear" w:color="auto" w:fill="auto"/>
            <w:vAlign w:val="center"/>
          </w:tcPr>
          <w:p w14:paraId="34BE1159">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140</w:t>
            </w:r>
          </w:p>
        </w:tc>
      </w:tr>
      <w:tr w14:paraId="702533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2C7CEB8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w:t>
            </w:r>
          </w:p>
        </w:tc>
        <w:tc>
          <w:tcPr>
            <w:tcW w:w="1579" w:type="dxa"/>
            <w:shd w:val="clear" w:color="auto" w:fill="auto"/>
            <w:vAlign w:val="center"/>
          </w:tcPr>
          <w:p w14:paraId="6D3E95E7">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镉</w:t>
            </w:r>
          </w:p>
        </w:tc>
        <w:tc>
          <w:tcPr>
            <w:tcW w:w="1380" w:type="dxa"/>
            <w:shd w:val="clear" w:color="auto" w:fill="auto"/>
            <w:vAlign w:val="center"/>
          </w:tcPr>
          <w:p w14:paraId="7614214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7440-43-9</w:t>
            </w:r>
          </w:p>
        </w:tc>
        <w:tc>
          <w:tcPr>
            <w:tcW w:w="1290" w:type="dxa"/>
            <w:shd w:val="clear" w:color="auto" w:fill="auto"/>
            <w:vAlign w:val="center"/>
          </w:tcPr>
          <w:p w14:paraId="4563650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w:t>
            </w:r>
          </w:p>
        </w:tc>
        <w:tc>
          <w:tcPr>
            <w:tcW w:w="1380" w:type="dxa"/>
            <w:shd w:val="clear" w:color="auto" w:fill="auto"/>
            <w:vAlign w:val="center"/>
          </w:tcPr>
          <w:p w14:paraId="0A2732D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65</w:t>
            </w:r>
          </w:p>
        </w:tc>
        <w:tc>
          <w:tcPr>
            <w:tcW w:w="1329" w:type="dxa"/>
            <w:shd w:val="clear" w:color="auto" w:fill="auto"/>
            <w:vAlign w:val="center"/>
          </w:tcPr>
          <w:p w14:paraId="0E0F2FE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47</w:t>
            </w:r>
          </w:p>
        </w:tc>
        <w:tc>
          <w:tcPr>
            <w:tcW w:w="1365" w:type="dxa"/>
            <w:shd w:val="clear" w:color="auto" w:fill="auto"/>
            <w:vAlign w:val="center"/>
          </w:tcPr>
          <w:p w14:paraId="1077F79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172</w:t>
            </w:r>
          </w:p>
        </w:tc>
      </w:tr>
      <w:tr w14:paraId="111CEA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1E0A7F4B">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w:t>
            </w:r>
          </w:p>
        </w:tc>
        <w:tc>
          <w:tcPr>
            <w:tcW w:w="1579" w:type="dxa"/>
            <w:shd w:val="clear" w:color="auto" w:fill="auto"/>
            <w:vAlign w:val="center"/>
          </w:tcPr>
          <w:p w14:paraId="608553D7">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铬（六价）</w:t>
            </w:r>
          </w:p>
        </w:tc>
        <w:tc>
          <w:tcPr>
            <w:tcW w:w="1380" w:type="dxa"/>
            <w:shd w:val="clear" w:color="auto" w:fill="auto"/>
            <w:vAlign w:val="center"/>
          </w:tcPr>
          <w:p w14:paraId="31745A5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18540-29-9</w:t>
            </w:r>
          </w:p>
        </w:tc>
        <w:tc>
          <w:tcPr>
            <w:tcW w:w="1290" w:type="dxa"/>
            <w:shd w:val="clear" w:color="auto" w:fill="auto"/>
            <w:vAlign w:val="center"/>
          </w:tcPr>
          <w:p w14:paraId="7D0735B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3.0</w:t>
            </w:r>
          </w:p>
        </w:tc>
        <w:tc>
          <w:tcPr>
            <w:tcW w:w="1380" w:type="dxa"/>
            <w:shd w:val="clear" w:color="auto" w:fill="auto"/>
            <w:vAlign w:val="center"/>
          </w:tcPr>
          <w:p w14:paraId="5550D53B">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5.7</w:t>
            </w:r>
          </w:p>
        </w:tc>
        <w:tc>
          <w:tcPr>
            <w:tcW w:w="1329" w:type="dxa"/>
            <w:shd w:val="clear" w:color="auto" w:fill="auto"/>
            <w:vAlign w:val="center"/>
          </w:tcPr>
          <w:p w14:paraId="4E4A8BC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30</w:t>
            </w:r>
          </w:p>
        </w:tc>
        <w:tc>
          <w:tcPr>
            <w:tcW w:w="1365" w:type="dxa"/>
            <w:shd w:val="clear" w:color="auto" w:fill="auto"/>
            <w:vAlign w:val="center"/>
          </w:tcPr>
          <w:p w14:paraId="04CA998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78</w:t>
            </w:r>
          </w:p>
        </w:tc>
      </w:tr>
      <w:tr w14:paraId="074661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2B6A7B3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w:t>
            </w:r>
          </w:p>
        </w:tc>
        <w:tc>
          <w:tcPr>
            <w:tcW w:w="1579" w:type="dxa"/>
            <w:shd w:val="clear" w:color="auto" w:fill="auto"/>
            <w:vAlign w:val="center"/>
          </w:tcPr>
          <w:p w14:paraId="2AF27D9D">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铜</w:t>
            </w:r>
          </w:p>
        </w:tc>
        <w:tc>
          <w:tcPr>
            <w:tcW w:w="1380" w:type="dxa"/>
            <w:shd w:val="clear" w:color="auto" w:fill="auto"/>
            <w:vAlign w:val="center"/>
          </w:tcPr>
          <w:p w14:paraId="6E43533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7440-50-8</w:t>
            </w:r>
          </w:p>
        </w:tc>
        <w:tc>
          <w:tcPr>
            <w:tcW w:w="1290" w:type="dxa"/>
            <w:shd w:val="clear" w:color="auto" w:fill="auto"/>
            <w:vAlign w:val="center"/>
          </w:tcPr>
          <w:p w14:paraId="3F4DCDAA">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2000</w:t>
            </w:r>
          </w:p>
        </w:tc>
        <w:tc>
          <w:tcPr>
            <w:tcW w:w="1380" w:type="dxa"/>
            <w:shd w:val="clear" w:color="auto" w:fill="auto"/>
            <w:vAlign w:val="center"/>
          </w:tcPr>
          <w:p w14:paraId="7D909A5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18000</w:t>
            </w:r>
          </w:p>
        </w:tc>
        <w:tc>
          <w:tcPr>
            <w:tcW w:w="1329" w:type="dxa"/>
            <w:shd w:val="clear" w:color="auto" w:fill="auto"/>
            <w:vAlign w:val="center"/>
          </w:tcPr>
          <w:p w14:paraId="231024A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8000</w:t>
            </w:r>
          </w:p>
        </w:tc>
        <w:tc>
          <w:tcPr>
            <w:tcW w:w="1365" w:type="dxa"/>
            <w:shd w:val="clear" w:color="auto" w:fill="auto"/>
            <w:vAlign w:val="center"/>
          </w:tcPr>
          <w:p w14:paraId="4956E54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36000</w:t>
            </w:r>
          </w:p>
        </w:tc>
      </w:tr>
      <w:tr w14:paraId="7F6B82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7795FA79">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w:t>
            </w:r>
          </w:p>
        </w:tc>
        <w:tc>
          <w:tcPr>
            <w:tcW w:w="1579" w:type="dxa"/>
            <w:shd w:val="clear" w:color="auto" w:fill="auto"/>
            <w:vAlign w:val="center"/>
          </w:tcPr>
          <w:p w14:paraId="0570BF93">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铅</w:t>
            </w:r>
          </w:p>
        </w:tc>
        <w:tc>
          <w:tcPr>
            <w:tcW w:w="1380" w:type="dxa"/>
            <w:shd w:val="clear" w:color="auto" w:fill="auto"/>
            <w:vAlign w:val="center"/>
          </w:tcPr>
          <w:p w14:paraId="2AEFB839">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7439-92-1</w:t>
            </w:r>
          </w:p>
        </w:tc>
        <w:tc>
          <w:tcPr>
            <w:tcW w:w="1290" w:type="dxa"/>
            <w:shd w:val="clear" w:color="auto" w:fill="auto"/>
            <w:vAlign w:val="center"/>
          </w:tcPr>
          <w:p w14:paraId="01CA2C2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400</w:t>
            </w:r>
          </w:p>
        </w:tc>
        <w:tc>
          <w:tcPr>
            <w:tcW w:w="1380" w:type="dxa"/>
            <w:shd w:val="clear" w:color="auto" w:fill="auto"/>
            <w:vAlign w:val="center"/>
          </w:tcPr>
          <w:p w14:paraId="708E286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800</w:t>
            </w:r>
          </w:p>
        </w:tc>
        <w:tc>
          <w:tcPr>
            <w:tcW w:w="1329" w:type="dxa"/>
            <w:shd w:val="clear" w:color="auto" w:fill="auto"/>
            <w:vAlign w:val="center"/>
          </w:tcPr>
          <w:p w14:paraId="1302FF3B">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800</w:t>
            </w:r>
          </w:p>
        </w:tc>
        <w:tc>
          <w:tcPr>
            <w:tcW w:w="1365" w:type="dxa"/>
            <w:shd w:val="clear" w:color="auto" w:fill="auto"/>
            <w:vAlign w:val="center"/>
          </w:tcPr>
          <w:p w14:paraId="7F6E268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2500</w:t>
            </w:r>
          </w:p>
        </w:tc>
      </w:tr>
      <w:tr w14:paraId="69DE53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526B139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w:t>
            </w:r>
          </w:p>
        </w:tc>
        <w:tc>
          <w:tcPr>
            <w:tcW w:w="1579" w:type="dxa"/>
            <w:shd w:val="clear" w:color="auto" w:fill="auto"/>
            <w:vAlign w:val="center"/>
          </w:tcPr>
          <w:p w14:paraId="19F883FB">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汞</w:t>
            </w:r>
          </w:p>
        </w:tc>
        <w:tc>
          <w:tcPr>
            <w:tcW w:w="1380" w:type="dxa"/>
            <w:shd w:val="clear" w:color="auto" w:fill="auto"/>
            <w:vAlign w:val="center"/>
          </w:tcPr>
          <w:p w14:paraId="6CA2C0C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7439-97-6</w:t>
            </w:r>
          </w:p>
        </w:tc>
        <w:tc>
          <w:tcPr>
            <w:tcW w:w="1290" w:type="dxa"/>
            <w:shd w:val="clear" w:color="auto" w:fill="auto"/>
            <w:vAlign w:val="center"/>
          </w:tcPr>
          <w:p w14:paraId="18E4B0E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w:t>
            </w:r>
          </w:p>
        </w:tc>
        <w:tc>
          <w:tcPr>
            <w:tcW w:w="1380" w:type="dxa"/>
            <w:shd w:val="clear" w:color="auto" w:fill="auto"/>
            <w:vAlign w:val="center"/>
          </w:tcPr>
          <w:p w14:paraId="3762742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38</w:t>
            </w:r>
          </w:p>
        </w:tc>
        <w:tc>
          <w:tcPr>
            <w:tcW w:w="1329" w:type="dxa"/>
            <w:shd w:val="clear" w:color="auto" w:fill="auto"/>
            <w:vAlign w:val="center"/>
          </w:tcPr>
          <w:p w14:paraId="27327EE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33</w:t>
            </w:r>
          </w:p>
        </w:tc>
        <w:tc>
          <w:tcPr>
            <w:tcW w:w="1365" w:type="dxa"/>
            <w:shd w:val="clear" w:color="auto" w:fill="auto"/>
            <w:vAlign w:val="center"/>
          </w:tcPr>
          <w:p w14:paraId="5B51304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82</w:t>
            </w:r>
          </w:p>
        </w:tc>
      </w:tr>
      <w:tr w14:paraId="1E2687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4057AF2B">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w:t>
            </w:r>
          </w:p>
        </w:tc>
        <w:tc>
          <w:tcPr>
            <w:tcW w:w="1579" w:type="dxa"/>
            <w:shd w:val="clear" w:color="auto" w:fill="auto"/>
            <w:vAlign w:val="center"/>
          </w:tcPr>
          <w:p w14:paraId="4286BBFA">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镍</w:t>
            </w:r>
          </w:p>
        </w:tc>
        <w:tc>
          <w:tcPr>
            <w:tcW w:w="1380" w:type="dxa"/>
            <w:shd w:val="clear" w:color="auto" w:fill="auto"/>
            <w:vAlign w:val="center"/>
          </w:tcPr>
          <w:p w14:paraId="441ADE7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7440-02-0</w:t>
            </w:r>
          </w:p>
        </w:tc>
        <w:tc>
          <w:tcPr>
            <w:tcW w:w="1290" w:type="dxa"/>
            <w:shd w:val="clear" w:color="auto" w:fill="auto"/>
            <w:vAlign w:val="center"/>
          </w:tcPr>
          <w:p w14:paraId="35E1B55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150</w:t>
            </w:r>
          </w:p>
        </w:tc>
        <w:tc>
          <w:tcPr>
            <w:tcW w:w="1380" w:type="dxa"/>
            <w:shd w:val="clear" w:color="auto" w:fill="auto"/>
            <w:vAlign w:val="center"/>
          </w:tcPr>
          <w:p w14:paraId="461BECF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900</w:t>
            </w:r>
          </w:p>
        </w:tc>
        <w:tc>
          <w:tcPr>
            <w:tcW w:w="1329" w:type="dxa"/>
            <w:shd w:val="clear" w:color="auto" w:fill="auto"/>
            <w:vAlign w:val="center"/>
          </w:tcPr>
          <w:p w14:paraId="016C748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600</w:t>
            </w:r>
          </w:p>
        </w:tc>
        <w:tc>
          <w:tcPr>
            <w:tcW w:w="1365" w:type="dxa"/>
            <w:shd w:val="clear" w:color="auto" w:fill="auto"/>
            <w:vAlign w:val="center"/>
          </w:tcPr>
          <w:p w14:paraId="47472F9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2000</w:t>
            </w:r>
          </w:p>
        </w:tc>
      </w:tr>
      <w:tr w14:paraId="0DE9A1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41" w:type="dxa"/>
            <w:gridSpan w:val="7"/>
            <w:shd w:val="clear" w:color="auto" w:fill="auto"/>
            <w:vAlign w:val="center"/>
          </w:tcPr>
          <w:p w14:paraId="3C4E1629">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挥发性有机物</w:t>
            </w:r>
          </w:p>
        </w:tc>
      </w:tr>
      <w:tr w14:paraId="7763B4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7345FF5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w:t>
            </w:r>
          </w:p>
        </w:tc>
        <w:tc>
          <w:tcPr>
            <w:tcW w:w="1579" w:type="dxa"/>
            <w:shd w:val="clear" w:color="auto" w:fill="auto"/>
            <w:vAlign w:val="center"/>
          </w:tcPr>
          <w:p w14:paraId="186C3C9A">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四氯化碳</w:t>
            </w:r>
          </w:p>
        </w:tc>
        <w:tc>
          <w:tcPr>
            <w:tcW w:w="1380" w:type="dxa"/>
            <w:shd w:val="clear" w:color="auto" w:fill="auto"/>
            <w:vAlign w:val="center"/>
          </w:tcPr>
          <w:p w14:paraId="73D45F4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56-23-5</w:t>
            </w:r>
          </w:p>
        </w:tc>
        <w:tc>
          <w:tcPr>
            <w:tcW w:w="1290" w:type="dxa"/>
            <w:shd w:val="clear" w:color="auto" w:fill="auto"/>
            <w:vAlign w:val="center"/>
          </w:tcPr>
          <w:p w14:paraId="6454832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0.9</w:t>
            </w:r>
          </w:p>
        </w:tc>
        <w:tc>
          <w:tcPr>
            <w:tcW w:w="1380" w:type="dxa"/>
            <w:shd w:val="clear" w:color="auto" w:fill="auto"/>
            <w:vAlign w:val="center"/>
          </w:tcPr>
          <w:p w14:paraId="0AF169C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2.8</w:t>
            </w:r>
          </w:p>
        </w:tc>
        <w:tc>
          <w:tcPr>
            <w:tcW w:w="1329" w:type="dxa"/>
            <w:shd w:val="clear" w:color="auto" w:fill="auto"/>
            <w:vAlign w:val="center"/>
          </w:tcPr>
          <w:p w14:paraId="0E27211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9</w:t>
            </w:r>
          </w:p>
        </w:tc>
        <w:tc>
          <w:tcPr>
            <w:tcW w:w="1365" w:type="dxa"/>
            <w:shd w:val="clear" w:color="auto" w:fill="auto"/>
            <w:vAlign w:val="center"/>
          </w:tcPr>
          <w:p w14:paraId="4BC6AEC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36</w:t>
            </w:r>
          </w:p>
        </w:tc>
      </w:tr>
      <w:tr w14:paraId="1F663A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1A5E315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9</w:t>
            </w:r>
          </w:p>
        </w:tc>
        <w:tc>
          <w:tcPr>
            <w:tcW w:w="1579" w:type="dxa"/>
            <w:shd w:val="clear" w:color="auto" w:fill="auto"/>
            <w:vAlign w:val="center"/>
          </w:tcPr>
          <w:p w14:paraId="005BDB5E">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氯仿</w:t>
            </w:r>
          </w:p>
        </w:tc>
        <w:tc>
          <w:tcPr>
            <w:tcW w:w="1380" w:type="dxa"/>
            <w:shd w:val="clear" w:color="auto" w:fill="auto"/>
            <w:vAlign w:val="center"/>
          </w:tcPr>
          <w:p w14:paraId="3C8E029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67-66-3</w:t>
            </w:r>
          </w:p>
        </w:tc>
        <w:tc>
          <w:tcPr>
            <w:tcW w:w="1290" w:type="dxa"/>
            <w:shd w:val="clear" w:color="auto" w:fill="auto"/>
            <w:vAlign w:val="center"/>
          </w:tcPr>
          <w:p w14:paraId="431B743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0.3</w:t>
            </w:r>
          </w:p>
        </w:tc>
        <w:tc>
          <w:tcPr>
            <w:tcW w:w="1380" w:type="dxa"/>
            <w:shd w:val="clear" w:color="auto" w:fill="auto"/>
            <w:vAlign w:val="center"/>
          </w:tcPr>
          <w:p w14:paraId="5E46DC7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0.9</w:t>
            </w:r>
          </w:p>
        </w:tc>
        <w:tc>
          <w:tcPr>
            <w:tcW w:w="1329" w:type="dxa"/>
            <w:shd w:val="clear" w:color="auto" w:fill="auto"/>
            <w:vAlign w:val="center"/>
          </w:tcPr>
          <w:p w14:paraId="5549E36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w:t>
            </w:r>
          </w:p>
        </w:tc>
        <w:tc>
          <w:tcPr>
            <w:tcW w:w="1365" w:type="dxa"/>
            <w:shd w:val="clear" w:color="auto" w:fill="auto"/>
            <w:vAlign w:val="center"/>
          </w:tcPr>
          <w:p w14:paraId="5A88F756">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w:t>
            </w:r>
          </w:p>
        </w:tc>
      </w:tr>
      <w:tr w14:paraId="7E6D53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0299AA9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w:t>
            </w:r>
          </w:p>
        </w:tc>
        <w:tc>
          <w:tcPr>
            <w:tcW w:w="1579" w:type="dxa"/>
            <w:shd w:val="clear" w:color="auto" w:fill="auto"/>
            <w:vAlign w:val="center"/>
          </w:tcPr>
          <w:p w14:paraId="09555671">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氯甲烷</w:t>
            </w:r>
          </w:p>
        </w:tc>
        <w:tc>
          <w:tcPr>
            <w:tcW w:w="1380" w:type="dxa"/>
            <w:shd w:val="clear" w:color="auto" w:fill="auto"/>
            <w:vAlign w:val="center"/>
          </w:tcPr>
          <w:p w14:paraId="42DB06E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74-87-3</w:t>
            </w:r>
          </w:p>
        </w:tc>
        <w:tc>
          <w:tcPr>
            <w:tcW w:w="1290" w:type="dxa"/>
            <w:shd w:val="clear" w:color="auto" w:fill="auto"/>
            <w:vAlign w:val="center"/>
          </w:tcPr>
          <w:p w14:paraId="16C1C3A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w:t>
            </w:r>
          </w:p>
        </w:tc>
        <w:tc>
          <w:tcPr>
            <w:tcW w:w="1380" w:type="dxa"/>
            <w:shd w:val="clear" w:color="auto" w:fill="auto"/>
            <w:vAlign w:val="center"/>
          </w:tcPr>
          <w:p w14:paraId="641675E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37</w:t>
            </w:r>
          </w:p>
        </w:tc>
        <w:tc>
          <w:tcPr>
            <w:tcW w:w="1329" w:type="dxa"/>
            <w:shd w:val="clear" w:color="auto" w:fill="auto"/>
            <w:vAlign w:val="center"/>
          </w:tcPr>
          <w:p w14:paraId="4F4F345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21</w:t>
            </w:r>
          </w:p>
        </w:tc>
        <w:tc>
          <w:tcPr>
            <w:tcW w:w="1365" w:type="dxa"/>
            <w:shd w:val="clear" w:color="auto" w:fill="auto"/>
            <w:vAlign w:val="center"/>
          </w:tcPr>
          <w:p w14:paraId="11D1E12B">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120</w:t>
            </w:r>
          </w:p>
        </w:tc>
      </w:tr>
      <w:tr w14:paraId="663A20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2CA8F78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11</w:t>
            </w:r>
          </w:p>
        </w:tc>
        <w:tc>
          <w:tcPr>
            <w:tcW w:w="1579" w:type="dxa"/>
            <w:shd w:val="clear" w:color="auto" w:fill="auto"/>
            <w:vAlign w:val="center"/>
          </w:tcPr>
          <w:p w14:paraId="2ED96919">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1,1-二氯乙烷</w:t>
            </w:r>
          </w:p>
        </w:tc>
        <w:tc>
          <w:tcPr>
            <w:tcW w:w="1380" w:type="dxa"/>
            <w:shd w:val="clear" w:color="auto" w:fill="auto"/>
            <w:vAlign w:val="center"/>
          </w:tcPr>
          <w:p w14:paraId="2260DA4A">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75-34-3</w:t>
            </w:r>
          </w:p>
        </w:tc>
        <w:tc>
          <w:tcPr>
            <w:tcW w:w="1290" w:type="dxa"/>
            <w:shd w:val="clear" w:color="auto" w:fill="auto"/>
            <w:vAlign w:val="center"/>
          </w:tcPr>
          <w:p w14:paraId="0EB8238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w:t>
            </w:r>
          </w:p>
        </w:tc>
        <w:tc>
          <w:tcPr>
            <w:tcW w:w="1380" w:type="dxa"/>
            <w:shd w:val="clear" w:color="auto" w:fill="auto"/>
            <w:vAlign w:val="center"/>
          </w:tcPr>
          <w:p w14:paraId="4527B16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9</w:t>
            </w:r>
          </w:p>
        </w:tc>
        <w:tc>
          <w:tcPr>
            <w:tcW w:w="1329" w:type="dxa"/>
            <w:shd w:val="clear" w:color="auto" w:fill="auto"/>
            <w:vAlign w:val="center"/>
          </w:tcPr>
          <w:p w14:paraId="07BF0EF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w:t>
            </w:r>
          </w:p>
        </w:tc>
        <w:tc>
          <w:tcPr>
            <w:tcW w:w="1365" w:type="dxa"/>
            <w:shd w:val="clear" w:color="auto" w:fill="auto"/>
            <w:vAlign w:val="center"/>
          </w:tcPr>
          <w:p w14:paraId="5FCE93A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100</w:t>
            </w:r>
          </w:p>
        </w:tc>
      </w:tr>
      <w:tr w14:paraId="560A4D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674FF1C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w:t>
            </w:r>
          </w:p>
        </w:tc>
        <w:tc>
          <w:tcPr>
            <w:tcW w:w="1579" w:type="dxa"/>
            <w:shd w:val="clear" w:color="auto" w:fill="auto"/>
            <w:vAlign w:val="center"/>
          </w:tcPr>
          <w:p w14:paraId="42A5DF36">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1,2-二氯乙烷</w:t>
            </w:r>
          </w:p>
        </w:tc>
        <w:tc>
          <w:tcPr>
            <w:tcW w:w="1380" w:type="dxa"/>
            <w:shd w:val="clear" w:color="auto" w:fill="auto"/>
            <w:vAlign w:val="center"/>
          </w:tcPr>
          <w:p w14:paraId="4A582D9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107-06-2</w:t>
            </w:r>
          </w:p>
        </w:tc>
        <w:tc>
          <w:tcPr>
            <w:tcW w:w="1290" w:type="dxa"/>
            <w:shd w:val="clear" w:color="auto" w:fill="auto"/>
            <w:vAlign w:val="center"/>
          </w:tcPr>
          <w:p w14:paraId="6CAB2D6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0.52</w:t>
            </w:r>
          </w:p>
        </w:tc>
        <w:tc>
          <w:tcPr>
            <w:tcW w:w="1380" w:type="dxa"/>
            <w:shd w:val="clear" w:color="auto" w:fill="auto"/>
            <w:vAlign w:val="center"/>
          </w:tcPr>
          <w:p w14:paraId="6A9B4BC6">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w:t>
            </w:r>
          </w:p>
        </w:tc>
        <w:tc>
          <w:tcPr>
            <w:tcW w:w="1329" w:type="dxa"/>
            <w:shd w:val="clear" w:color="auto" w:fill="auto"/>
            <w:vAlign w:val="center"/>
          </w:tcPr>
          <w:p w14:paraId="5B29B82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w:t>
            </w:r>
          </w:p>
        </w:tc>
        <w:tc>
          <w:tcPr>
            <w:tcW w:w="1365" w:type="dxa"/>
            <w:shd w:val="clear" w:color="auto" w:fill="auto"/>
            <w:vAlign w:val="center"/>
          </w:tcPr>
          <w:p w14:paraId="13AC390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21</w:t>
            </w:r>
          </w:p>
        </w:tc>
      </w:tr>
      <w:tr w14:paraId="35C440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204C581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13</w:t>
            </w:r>
          </w:p>
        </w:tc>
        <w:tc>
          <w:tcPr>
            <w:tcW w:w="1579" w:type="dxa"/>
            <w:shd w:val="clear" w:color="auto" w:fill="auto"/>
            <w:vAlign w:val="center"/>
          </w:tcPr>
          <w:p w14:paraId="115036AF">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1,1-二氯乙烯</w:t>
            </w:r>
          </w:p>
        </w:tc>
        <w:tc>
          <w:tcPr>
            <w:tcW w:w="1380" w:type="dxa"/>
            <w:shd w:val="clear" w:color="auto" w:fill="auto"/>
            <w:vAlign w:val="center"/>
          </w:tcPr>
          <w:p w14:paraId="55E4398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75-35-4</w:t>
            </w:r>
          </w:p>
        </w:tc>
        <w:tc>
          <w:tcPr>
            <w:tcW w:w="1290" w:type="dxa"/>
            <w:shd w:val="clear" w:color="auto" w:fill="auto"/>
            <w:vAlign w:val="center"/>
          </w:tcPr>
          <w:p w14:paraId="66AE540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w:t>
            </w:r>
          </w:p>
        </w:tc>
        <w:tc>
          <w:tcPr>
            <w:tcW w:w="1380" w:type="dxa"/>
            <w:shd w:val="clear" w:color="auto" w:fill="auto"/>
            <w:vAlign w:val="center"/>
          </w:tcPr>
          <w:p w14:paraId="0485FB9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66</w:t>
            </w:r>
          </w:p>
        </w:tc>
        <w:tc>
          <w:tcPr>
            <w:tcW w:w="1329" w:type="dxa"/>
            <w:shd w:val="clear" w:color="auto" w:fill="auto"/>
            <w:vAlign w:val="center"/>
          </w:tcPr>
          <w:p w14:paraId="79118CA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c>
          <w:tcPr>
            <w:tcW w:w="1365" w:type="dxa"/>
            <w:shd w:val="clear" w:color="auto" w:fill="auto"/>
            <w:vAlign w:val="center"/>
          </w:tcPr>
          <w:p w14:paraId="565D4F3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200</w:t>
            </w:r>
          </w:p>
        </w:tc>
      </w:tr>
      <w:tr w14:paraId="78F2AF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57B9421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14</w:t>
            </w:r>
          </w:p>
        </w:tc>
        <w:tc>
          <w:tcPr>
            <w:tcW w:w="1579" w:type="dxa"/>
            <w:shd w:val="clear" w:color="auto" w:fill="auto"/>
            <w:vAlign w:val="center"/>
          </w:tcPr>
          <w:p w14:paraId="6C81F931">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顺-1,1-二氯乙烯</w:t>
            </w:r>
          </w:p>
        </w:tc>
        <w:tc>
          <w:tcPr>
            <w:tcW w:w="1380" w:type="dxa"/>
            <w:shd w:val="clear" w:color="auto" w:fill="auto"/>
            <w:vAlign w:val="center"/>
          </w:tcPr>
          <w:p w14:paraId="294B1CC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156-59-2</w:t>
            </w:r>
          </w:p>
        </w:tc>
        <w:tc>
          <w:tcPr>
            <w:tcW w:w="1290" w:type="dxa"/>
            <w:shd w:val="clear" w:color="auto" w:fill="auto"/>
            <w:vAlign w:val="center"/>
          </w:tcPr>
          <w:p w14:paraId="7F2E680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66</w:t>
            </w:r>
          </w:p>
        </w:tc>
        <w:tc>
          <w:tcPr>
            <w:tcW w:w="1380" w:type="dxa"/>
            <w:shd w:val="clear" w:color="auto" w:fill="auto"/>
            <w:vAlign w:val="center"/>
          </w:tcPr>
          <w:p w14:paraId="2849EEA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596</w:t>
            </w:r>
          </w:p>
        </w:tc>
        <w:tc>
          <w:tcPr>
            <w:tcW w:w="1329" w:type="dxa"/>
            <w:shd w:val="clear" w:color="auto" w:fill="auto"/>
            <w:vAlign w:val="center"/>
          </w:tcPr>
          <w:p w14:paraId="30AB813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200</w:t>
            </w:r>
          </w:p>
        </w:tc>
        <w:tc>
          <w:tcPr>
            <w:tcW w:w="1365" w:type="dxa"/>
            <w:shd w:val="clear" w:color="auto" w:fill="auto"/>
            <w:vAlign w:val="center"/>
          </w:tcPr>
          <w:p w14:paraId="32824EE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2000</w:t>
            </w:r>
          </w:p>
        </w:tc>
      </w:tr>
      <w:tr w14:paraId="5F0611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62ABA2F6">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w:t>
            </w:r>
          </w:p>
        </w:tc>
        <w:tc>
          <w:tcPr>
            <w:tcW w:w="1579" w:type="dxa"/>
            <w:shd w:val="clear" w:color="auto" w:fill="auto"/>
            <w:vAlign w:val="center"/>
          </w:tcPr>
          <w:p w14:paraId="288D6EFE">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反-1,1-二氯乙烯</w:t>
            </w:r>
          </w:p>
        </w:tc>
        <w:tc>
          <w:tcPr>
            <w:tcW w:w="1380" w:type="dxa"/>
            <w:shd w:val="clear" w:color="auto" w:fill="auto"/>
            <w:vAlign w:val="center"/>
          </w:tcPr>
          <w:p w14:paraId="2B2251A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156-60-5</w:t>
            </w:r>
          </w:p>
        </w:tc>
        <w:tc>
          <w:tcPr>
            <w:tcW w:w="1290" w:type="dxa"/>
            <w:shd w:val="clear" w:color="auto" w:fill="auto"/>
            <w:vAlign w:val="center"/>
          </w:tcPr>
          <w:p w14:paraId="66F940D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w:t>
            </w:r>
          </w:p>
        </w:tc>
        <w:tc>
          <w:tcPr>
            <w:tcW w:w="1380" w:type="dxa"/>
            <w:shd w:val="clear" w:color="auto" w:fill="auto"/>
            <w:vAlign w:val="center"/>
          </w:tcPr>
          <w:p w14:paraId="078ADC6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54</w:t>
            </w:r>
          </w:p>
        </w:tc>
        <w:tc>
          <w:tcPr>
            <w:tcW w:w="1329" w:type="dxa"/>
            <w:shd w:val="clear" w:color="auto" w:fill="auto"/>
            <w:vAlign w:val="center"/>
          </w:tcPr>
          <w:p w14:paraId="31B08EF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31</w:t>
            </w:r>
          </w:p>
        </w:tc>
        <w:tc>
          <w:tcPr>
            <w:tcW w:w="1365" w:type="dxa"/>
            <w:shd w:val="clear" w:color="auto" w:fill="auto"/>
            <w:vAlign w:val="center"/>
          </w:tcPr>
          <w:p w14:paraId="71AE619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163</w:t>
            </w:r>
          </w:p>
        </w:tc>
      </w:tr>
      <w:tr w14:paraId="376859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7DA2C06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16</w:t>
            </w:r>
          </w:p>
        </w:tc>
        <w:tc>
          <w:tcPr>
            <w:tcW w:w="1579" w:type="dxa"/>
            <w:shd w:val="clear" w:color="auto" w:fill="auto"/>
            <w:vAlign w:val="center"/>
          </w:tcPr>
          <w:p w14:paraId="25ACA149">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二氯甲烷</w:t>
            </w:r>
          </w:p>
        </w:tc>
        <w:tc>
          <w:tcPr>
            <w:tcW w:w="1380" w:type="dxa"/>
            <w:shd w:val="clear" w:color="auto" w:fill="auto"/>
            <w:vAlign w:val="center"/>
          </w:tcPr>
          <w:p w14:paraId="2CE6A49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75-09-2</w:t>
            </w:r>
          </w:p>
        </w:tc>
        <w:tc>
          <w:tcPr>
            <w:tcW w:w="1290" w:type="dxa"/>
            <w:shd w:val="clear" w:color="auto" w:fill="auto"/>
            <w:vAlign w:val="center"/>
          </w:tcPr>
          <w:p w14:paraId="3884A47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94</w:t>
            </w:r>
          </w:p>
        </w:tc>
        <w:tc>
          <w:tcPr>
            <w:tcW w:w="1380" w:type="dxa"/>
            <w:shd w:val="clear" w:color="auto" w:fill="auto"/>
            <w:vAlign w:val="center"/>
          </w:tcPr>
          <w:p w14:paraId="33D008E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616</w:t>
            </w:r>
          </w:p>
        </w:tc>
        <w:tc>
          <w:tcPr>
            <w:tcW w:w="1329" w:type="dxa"/>
            <w:shd w:val="clear" w:color="auto" w:fill="auto"/>
            <w:vAlign w:val="center"/>
          </w:tcPr>
          <w:p w14:paraId="4319642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300</w:t>
            </w:r>
          </w:p>
        </w:tc>
        <w:tc>
          <w:tcPr>
            <w:tcW w:w="1365" w:type="dxa"/>
            <w:shd w:val="clear" w:color="auto" w:fill="auto"/>
            <w:vAlign w:val="center"/>
          </w:tcPr>
          <w:p w14:paraId="12101EB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2000</w:t>
            </w:r>
          </w:p>
        </w:tc>
      </w:tr>
      <w:tr w14:paraId="150E1E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6FCDCDA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17</w:t>
            </w:r>
          </w:p>
        </w:tc>
        <w:tc>
          <w:tcPr>
            <w:tcW w:w="1579" w:type="dxa"/>
            <w:shd w:val="clear" w:color="auto" w:fill="auto"/>
            <w:vAlign w:val="center"/>
          </w:tcPr>
          <w:p w14:paraId="4C4270BE">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1,2-二氯丙烷</w:t>
            </w:r>
          </w:p>
        </w:tc>
        <w:tc>
          <w:tcPr>
            <w:tcW w:w="1380" w:type="dxa"/>
            <w:shd w:val="clear" w:color="auto" w:fill="auto"/>
            <w:vAlign w:val="center"/>
          </w:tcPr>
          <w:p w14:paraId="7701365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78-87-5</w:t>
            </w:r>
          </w:p>
        </w:tc>
        <w:tc>
          <w:tcPr>
            <w:tcW w:w="1290" w:type="dxa"/>
            <w:shd w:val="clear" w:color="auto" w:fill="auto"/>
            <w:vAlign w:val="center"/>
          </w:tcPr>
          <w:p w14:paraId="4271510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w:t>
            </w:r>
          </w:p>
        </w:tc>
        <w:tc>
          <w:tcPr>
            <w:tcW w:w="1380" w:type="dxa"/>
            <w:shd w:val="clear" w:color="auto" w:fill="auto"/>
            <w:vAlign w:val="center"/>
          </w:tcPr>
          <w:p w14:paraId="3CF762AA">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w:t>
            </w:r>
          </w:p>
        </w:tc>
        <w:tc>
          <w:tcPr>
            <w:tcW w:w="1329" w:type="dxa"/>
            <w:shd w:val="clear" w:color="auto" w:fill="auto"/>
            <w:vAlign w:val="center"/>
          </w:tcPr>
          <w:p w14:paraId="778DD40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w:t>
            </w:r>
          </w:p>
        </w:tc>
        <w:tc>
          <w:tcPr>
            <w:tcW w:w="1365" w:type="dxa"/>
            <w:shd w:val="clear" w:color="auto" w:fill="auto"/>
            <w:vAlign w:val="center"/>
          </w:tcPr>
          <w:p w14:paraId="03769F66">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47</w:t>
            </w:r>
          </w:p>
        </w:tc>
      </w:tr>
      <w:tr w14:paraId="334815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59631C2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18</w:t>
            </w:r>
          </w:p>
        </w:tc>
        <w:tc>
          <w:tcPr>
            <w:tcW w:w="1579" w:type="dxa"/>
            <w:shd w:val="clear" w:color="auto" w:fill="auto"/>
            <w:vAlign w:val="center"/>
          </w:tcPr>
          <w:p w14:paraId="378AB6AB">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1,1,1,2-四氯乙烷</w:t>
            </w:r>
          </w:p>
        </w:tc>
        <w:tc>
          <w:tcPr>
            <w:tcW w:w="1380" w:type="dxa"/>
            <w:shd w:val="clear" w:color="auto" w:fill="auto"/>
            <w:vAlign w:val="center"/>
          </w:tcPr>
          <w:p w14:paraId="1A9E0BE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630-20-6</w:t>
            </w:r>
          </w:p>
        </w:tc>
        <w:tc>
          <w:tcPr>
            <w:tcW w:w="1290" w:type="dxa"/>
            <w:shd w:val="clear" w:color="auto" w:fill="auto"/>
            <w:vAlign w:val="center"/>
          </w:tcPr>
          <w:p w14:paraId="4D91807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2.6</w:t>
            </w:r>
          </w:p>
        </w:tc>
        <w:tc>
          <w:tcPr>
            <w:tcW w:w="1380" w:type="dxa"/>
            <w:shd w:val="clear" w:color="auto" w:fill="auto"/>
            <w:vAlign w:val="center"/>
          </w:tcPr>
          <w:p w14:paraId="7A49E4E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w:t>
            </w:r>
          </w:p>
        </w:tc>
        <w:tc>
          <w:tcPr>
            <w:tcW w:w="1329" w:type="dxa"/>
            <w:shd w:val="clear" w:color="auto" w:fill="auto"/>
            <w:vAlign w:val="center"/>
          </w:tcPr>
          <w:p w14:paraId="1F0A038A">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26</w:t>
            </w:r>
          </w:p>
        </w:tc>
        <w:tc>
          <w:tcPr>
            <w:tcW w:w="1365" w:type="dxa"/>
            <w:shd w:val="clear" w:color="auto" w:fill="auto"/>
            <w:vAlign w:val="center"/>
          </w:tcPr>
          <w:p w14:paraId="3C32CCEB">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100</w:t>
            </w:r>
          </w:p>
        </w:tc>
      </w:tr>
      <w:tr w14:paraId="4F1326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4B9F8C8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19</w:t>
            </w:r>
          </w:p>
        </w:tc>
        <w:tc>
          <w:tcPr>
            <w:tcW w:w="1579" w:type="dxa"/>
            <w:shd w:val="clear" w:color="auto" w:fill="auto"/>
            <w:vAlign w:val="center"/>
          </w:tcPr>
          <w:p w14:paraId="49D722E7">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1,1,2,2-四氯乙烷</w:t>
            </w:r>
          </w:p>
        </w:tc>
        <w:tc>
          <w:tcPr>
            <w:tcW w:w="1380" w:type="dxa"/>
            <w:shd w:val="clear" w:color="auto" w:fill="auto"/>
            <w:vAlign w:val="center"/>
          </w:tcPr>
          <w:p w14:paraId="134BF8F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79-34-5</w:t>
            </w:r>
          </w:p>
        </w:tc>
        <w:tc>
          <w:tcPr>
            <w:tcW w:w="1290" w:type="dxa"/>
            <w:shd w:val="clear" w:color="auto" w:fill="auto"/>
            <w:vAlign w:val="center"/>
          </w:tcPr>
          <w:p w14:paraId="7C6F5C46">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1.6</w:t>
            </w:r>
          </w:p>
        </w:tc>
        <w:tc>
          <w:tcPr>
            <w:tcW w:w="1380" w:type="dxa"/>
            <w:shd w:val="clear" w:color="auto" w:fill="auto"/>
            <w:vAlign w:val="center"/>
          </w:tcPr>
          <w:p w14:paraId="4377B43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6.8</w:t>
            </w:r>
          </w:p>
        </w:tc>
        <w:tc>
          <w:tcPr>
            <w:tcW w:w="1329" w:type="dxa"/>
            <w:shd w:val="clear" w:color="auto" w:fill="auto"/>
            <w:vAlign w:val="center"/>
          </w:tcPr>
          <w:p w14:paraId="2E017B4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14</w:t>
            </w:r>
          </w:p>
        </w:tc>
        <w:tc>
          <w:tcPr>
            <w:tcW w:w="1365" w:type="dxa"/>
            <w:shd w:val="clear" w:color="auto" w:fill="auto"/>
            <w:vAlign w:val="center"/>
          </w:tcPr>
          <w:p w14:paraId="0934411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50</w:t>
            </w:r>
          </w:p>
        </w:tc>
      </w:tr>
      <w:tr w14:paraId="346879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7D087F89">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w:t>
            </w:r>
          </w:p>
        </w:tc>
        <w:tc>
          <w:tcPr>
            <w:tcW w:w="1579" w:type="dxa"/>
            <w:shd w:val="clear" w:color="auto" w:fill="auto"/>
            <w:vAlign w:val="center"/>
          </w:tcPr>
          <w:p w14:paraId="0CAC7B2C">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四氯乙烯</w:t>
            </w:r>
          </w:p>
        </w:tc>
        <w:tc>
          <w:tcPr>
            <w:tcW w:w="1380" w:type="dxa"/>
            <w:shd w:val="clear" w:color="auto" w:fill="auto"/>
            <w:vAlign w:val="center"/>
          </w:tcPr>
          <w:p w14:paraId="22AECE3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127-18-4</w:t>
            </w:r>
          </w:p>
        </w:tc>
        <w:tc>
          <w:tcPr>
            <w:tcW w:w="1290" w:type="dxa"/>
            <w:shd w:val="clear" w:color="auto" w:fill="auto"/>
            <w:vAlign w:val="center"/>
          </w:tcPr>
          <w:p w14:paraId="234057E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11</w:t>
            </w:r>
          </w:p>
        </w:tc>
        <w:tc>
          <w:tcPr>
            <w:tcW w:w="1380" w:type="dxa"/>
            <w:shd w:val="clear" w:color="auto" w:fill="auto"/>
            <w:vAlign w:val="center"/>
          </w:tcPr>
          <w:p w14:paraId="20BDF19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53</w:t>
            </w:r>
          </w:p>
        </w:tc>
        <w:tc>
          <w:tcPr>
            <w:tcW w:w="1329" w:type="dxa"/>
            <w:shd w:val="clear" w:color="auto" w:fill="auto"/>
            <w:vAlign w:val="center"/>
          </w:tcPr>
          <w:p w14:paraId="723B8EB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34</w:t>
            </w:r>
          </w:p>
        </w:tc>
        <w:tc>
          <w:tcPr>
            <w:tcW w:w="1365" w:type="dxa"/>
            <w:shd w:val="clear" w:color="auto" w:fill="auto"/>
            <w:vAlign w:val="center"/>
          </w:tcPr>
          <w:p w14:paraId="75E9BA0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183</w:t>
            </w:r>
          </w:p>
        </w:tc>
      </w:tr>
      <w:tr w14:paraId="7545C9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3F022E6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21</w:t>
            </w:r>
          </w:p>
        </w:tc>
        <w:tc>
          <w:tcPr>
            <w:tcW w:w="1579" w:type="dxa"/>
            <w:shd w:val="clear" w:color="auto" w:fill="auto"/>
            <w:vAlign w:val="center"/>
          </w:tcPr>
          <w:p w14:paraId="4BF576A7">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1,1,1-三氯乙烷</w:t>
            </w:r>
          </w:p>
        </w:tc>
        <w:tc>
          <w:tcPr>
            <w:tcW w:w="1380" w:type="dxa"/>
            <w:shd w:val="clear" w:color="auto" w:fill="auto"/>
            <w:vAlign w:val="center"/>
          </w:tcPr>
          <w:p w14:paraId="1D8C4D06">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71-55-6</w:t>
            </w:r>
          </w:p>
        </w:tc>
        <w:tc>
          <w:tcPr>
            <w:tcW w:w="1290" w:type="dxa"/>
            <w:shd w:val="clear" w:color="auto" w:fill="auto"/>
            <w:vAlign w:val="center"/>
          </w:tcPr>
          <w:p w14:paraId="60AA3B2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701</w:t>
            </w:r>
          </w:p>
        </w:tc>
        <w:tc>
          <w:tcPr>
            <w:tcW w:w="1380" w:type="dxa"/>
            <w:shd w:val="clear" w:color="auto" w:fill="auto"/>
            <w:vAlign w:val="center"/>
          </w:tcPr>
          <w:p w14:paraId="46A47CDB">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840</w:t>
            </w:r>
          </w:p>
        </w:tc>
        <w:tc>
          <w:tcPr>
            <w:tcW w:w="1329" w:type="dxa"/>
            <w:shd w:val="clear" w:color="auto" w:fill="auto"/>
            <w:vAlign w:val="center"/>
          </w:tcPr>
          <w:p w14:paraId="4922B15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840</w:t>
            </w:r>
          </w:p>
        </w:tc>
        <w:tc>
          <w:tcPr>
            <w:tcW w:w="1365" w:type="dxa"/>
            <w:shd w:val="clear" w:color="auto" w:fill="auto"/>
            <w:vAlign w:val="center"/>
          </w:tcPr>
          <w:p w14:paraId="3F9BB15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840</w:t>
            </w:r>
          </w:p>
        </w:tc>
      </w:tr>
      <w:tr w14:paraId="5B62C8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2F00E47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22</w:t>
            </w:r>
          </w:p>
        </w:tc>
        <w:tc>
          <w:tcPr>
            <w:tcW w:w="1579" w:type="dxa"/>
            <w:shd w:val="clear" w:color="auto" w:fill="auto"/>
            <w:vAlign w:val="center"/>
          </w:tcPr>
          <w:p w14:paraId="5FB68B76">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1,1,2-三氯乙烷</w:t>
            </w:r>
          </w:p>
        </w:tc>
        <w:tc>
          <w:tcPr>
            <w:tcW w:w="1380" w:type="dxa"/>
            <w:shd w:val="clear" w:color="auto" w:fill="auto"/>
            <w:vAlign w:val="center"/>
          </w:tcPr>
          <w:p w14:paraId="61A2AC7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79-00-5</w:t>
            </w:r>
          </w:p>
        </w:tc>
        <w:tc>
          <w:tcPr>
            <w:tcW w:w="1290" w:type="dxa"/>
            <w:shd w:val="clear" w:color="auto" w:fill="auto"/>
            <w:vAlign w:val="center"/>
          </w:tcPr>
          <w:p w14:paraId="77DE19F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0.6</w:t>
            </w:r>
          </w:p>
        </w:tc>
        <w:tc>
          <w:tcPr>
            <w:tcW w:w="1380" w:type="dxa"/>
            <w:shd w:val="clear" w:color="auto" w:fill="auto"/>
            <w:vAlign w:val="center"/>
          </w:tcPr>
          <w:p w14:paraId="78CF0666">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2.8</w:t>
            </w:r>
          </w:p>
        </w:tc>
        <w:tc>
          <w:tcPr>
            <w:tcW w:w="1329" w:type="dxa"/>
            <w:shd w:val="clear" w:color="auto" w:fill="auto"/>
            <w:vAlign w:val="center"/>
          </w:tcPr>
          <w:p w14:paraId="2BA9281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w:t>
            </w:r>
          </w:p>
        </w:tc>
        <w:tc>
          <w:tcPr>
            <w:tcW w:w="1365" w:type="dxa"/>
            <w:shd w:val="clear" w:color="auto" w:fill="auto"/>
            <w:vAlign w:val="center"/>
          </w:tcPr>
          <w:p w14:paraId="616D270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w:t>
            </w:r>
          </w:p>
        </w:tc>
      </w:tr>
      <w:tr w14:paraId="184073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1A58C6B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23</w:t>
            </w:r>
          </w:p>
        </w:tc>
        <w:tc>
          <w:tcPr>
            <w:tcW w:w="1579" w:type="dxa"/>
            <w:shd w:val="clear" w:color="auto" w:fill="auto"/>
            <w:vAlign w:val="center"/>
          </w:tcPr>
          <w:p w14:paraId="0B83B9C5">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三氯乙烯</w:t>
            </w:r>
          </w:p>
        </w:tc>
        <w:tc>
          <w:tcPr>
            <w:tcW w:w="1380" w:type="dxa"/>
            <w:shd w:val="clear" w:color="auto" w:fill="auto"/>
            <w:vAlign w:val="center"/>
          </w:tcPr>
          <w:p w14:paraId="037602B9">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79-01-6</w:t>
            </w:r>
          </w:p>
        </w:tc>
        <w:tc>
          <w:tcPr>
            <w:tcW w:w="1290" w:type="dxa"/>
            <w:shd w:val="clear" w:color="auto" w:fill="auto"/>
            <w:vAlign w:val="center"/>
          </w:tcPr>
          <w:p w14:paraId="733AAAF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0.7</w:t>
            </w:r>
          </w:p>
        </w:tc>
        <w:tc>
          <w:tcPr>
            <w:tcW w:w="1380" w:type="dxa"/>
            <w:shd w:val="clear" w:color="auto" w:fill="auto"/>
            <w:vAlign w:val="center"/>
          </w:tcPr>
          <w:p w14:paraId="7A0A2E2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2.8</w:t>
            </w:r>
          </w:p>
        </w:tc>
        <w:tc>
          <w:tcPr>
            <w:tcW w:w="1329" w:type="dxa"/>
            <w:shd w:val="clear" w:color="auto" w:fill="auto"/>
            <w:vAlign w:val="center"/>
          </w:tcPr>
          <w:p w14:paraId="6C670B2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w:t>
            </w:r>
          </w:p>
        </w:tc>
        <w:tc>
          <w:tcPr>
            <w:tcW w:w="1365" w:type="dxa"/>
            <w:shd w:val="clear" w:color="auto" w:fill="auto"/>
            <w:vAlign w:val="center"/>
          </w:tcPr>
          <w:p w14:paraId="7AF0EC8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w:t>
            </w:r>
          </w:p>
        </w:tc>
      </w:tr>
      <w:tr w14:paraId="10E31E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78497216">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24</w:t>
            </w:r>
          </w:p>
        </w:tc>
        <w:tc>
          <w:tcPr>
            <w:tcW w:w="1579" w:type="dxa"/>
            <w:shd w:val="clear" w:color="auto" w:fill="auto"/>
            <w:vAlign w:val="center"/>
          </w:tcPr>
          <w:p w14:paraId="778CC0EE">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1,2,3-三氯丙烷</w:t>
            </w:r>
          </w:p>
        </w:tc>
        <w:tc>
          <w:tcPr>
            <w:tcW w:w="1380" w:type="dxa"/>
            <w:shd w:val="clear" w:color="auto" w:fill="auto"/>
            <w:vAlign w:val="center"/>
          </w:tcPr>
          <w:p w14:paraId="3BDD4F7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96-18-4</w:t>
            </w:r>
          </w:p>
        </w:tc>
        <w:tc>
          <w:tcPr>
            <w:tcW w:w="1290" w:type="dxa"/>
            <w:shd w:val="clear" w:color="auto" w:fill="auto"/>
            <w:vAlign w:val="center"/>
          </w:tcPr>
          <w:p w14:paraId="6DB1DB7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0.05</w:t>
            </w:r>
          </w:p>
        </w:tc>
        <w:tc>
          <w:tcPr>
            <w:tcW w:w="1380" w:type="dxa"/>
            <w:shd w:val="clear" w:color="auto" w:fill="auto"/>
            <w:vAlign w:val="center"/>
          </w:tcPr>
          <w:p w14:paraId="4806FA2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0.5</w:t>
            </w:r>
          </w:p>
        </w:tc>
        <w:tc>
          <w:tcPr>
            <w:tcW w:w="1329" w:type="dxa"/>
            <w:shd w:val="clear" w:color="auto" w:fill="auto"/>
            <w:vAlign w:val="center"/>
          </w:tcPr>
          <w:p w14:paraId="6DE3F31A">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0.5</w:t>
            </w:r>
          </w:p>
        </w:tc>
        <w:tc>
          <w:tcPr>
            <w:tcW w:w="1365" w:type="dxa"/>
            <w:shd w:val="clear" w:color="auto" w:fill="auto"/>
            <w:vAlign w:val="center"/>
          </w:tcPr>
          <w:p w14:paraId="764336EB">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w:t>
            </w:r>
          </w:p>
        </w:tc>
      </w:tr>
      <w:tr w14:paraId="1DD79D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37E637D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25</w:t>
            </w:r>
          </w:p>
        </w:tc>
        <w:tc>
          <w:tcPr>
            <w:tcW w:w="1579" w:type="dxa"/>
            <w:shd w:val="clear" w:color="auto" w:fill="auto"/>
            <w:vAlign w:val="center"/>
          </w:tcPr>
          <w:p w14:paraId="2738EDB6">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氯乙烯</w:t>
            </w:r>
          </w:p>
        </w:tc>
        <w:tc>
          <w:tcPr>
            <w:tcW w:w="1380" w:type="dxa"/>
            <w:shd w:val="clear" w:color="auto" w:fill="auto"/>
            <w:vAlign w:val="center"/>
          </w:tcPr>
          <w:p w14:paraId="74A19E1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75-01-4</w:t>
            </w:r>
          </w:p>
        </w:tc>
        <w:tc>
          <w:tcPr>
            <w:tcW w:w="1290" w:type="dxa"/>
            <w:shd w:val="clear" w:color="auto" w:fill="auto"/>
            <w:vAlign w:val="center"/>
          </w:tcPr>
          <w:p w14:paraId="3385BE4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0.12</w:t>
            </w:r>
          </w:p>
        </w:tc>
        <w:tc>
          <w:tcPr>
            <w:tcW w:w="1380" w:type="dxa"/>
            <w:shd w:val="clear" w:color="auto" w:fill="auto"/>
            <w:vAlign w:val="center"/>
          </w:tcPr>
          <w:p w14:paraId="34DFED2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0.43</w:t>
            </w:r>
          </w:p>
        </w:tc>
        <w:tc>
          <w:tcPr>
            <w:tcW w:w="1329" w:type="dxa"/>
            <w:shd w:val="clear" w:color="auto" w:fill="auto"/>
            <w:vAlign w:val="center"/>
          </w:tcPr>
          <w:p w14:paraId="4274245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w:t>
            </w:r>
          </w:p>
        </w:tc>
        <w:tc>
          <w:tcPr>
            <w:tcW w:w="1365" w:type="dxa"/>
            <w:shd w:val="clear" w:color="auto" w:fill="auto"/>
            <w:vAlign w:val="center"/>
          </w:tcPr>
          <w:p w14:paraId="333000E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4.3</w:t>
            </w:r>
          </w:p>
        </w:tc>
      </w:tr>
      <w:tr w14:paraId="2FEC89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7706C8E9">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26</w:t>
            </w:r>
          </w:p>
        </w:tc>
        <w:tc>
          <w:tcPr>
            <w:tcW w:w="1579" w:type="dxa"/>
            <w:shd w:val="clear" w:color="auto" w:fill="auto"/>
            <w:vAlign w:val="center"/>
          </w:tcPr>
          <w:p w14:paraId="3E743F52">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苯</w:t>
            </w:r>
          </w:p>
        </w:tc>
        <w:tc>
          <w:tcPr>
            <w:tcW w:w="1380" w:type="dxa"/>
            <w:shd w:val="clear" w:color="auto" w:fill="auto"/>
            <w:vAlign w:val="center"/>
          </w:tcPr>
          <w:p w14:paraId="30DDBB5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71-43-2</w:t>
            </w:r>
          </w:p>
        </w:tc>
        <w:tc>
          <w:tcPr>
            <w:tcW w:w="1290" w:type="dxa"/>
            <w:shd w:val="clear" w:color="auto" w:fill="auto"/>
            <w:vAlign w:val="center"/>
          </w:tcPr>
          <w:p w14:paraId="2C3AE8E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w:t>
            </w:r>
          </w:p>
        </w:tc>
        <w:tc>
          <w:tcPr>
            <w:tcW w:w="1380" w:type="dxa"/>
            <w:shd w:val="clear" w:color="auto" w:fill="auto"/>
            <w:vAlign w:val="center"/>
          </w:tcPr>
          <w:p w14:paraId="765E310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w:t>
            </w:r>
          </w:p>
        </w:tc>
        <w:tc>
          <w:tcPr>
            <w:tcW w:w="1329" w:type="dxa"/>
            <w:shd w:val="clear" w:color="auto" w:fill="auto"/>
            <w:vAlign w:val="center"/>
          </w:tcPr>
          <w:p w14:paraId="7D181E6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w:t>
            </w:r>
          </w:p>
        </w:tc>
        <w:tc>
          <w:tcPr>
            <w:tcW w:w="1365" w:type="dxa"/>
            <w:shd w:val="clear" w:color="auto" w:fill="auto"/>
            <w:vAlign w:val="center"/>
          </w:tcPr>
          <w:p w14:paraId="13C89A4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r>
      <w:tr w14:paraId="2EA491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29486E1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27</w:t>
            </w:r>
          </w:p>
        </w:tc>
        <w:tc>
          <w:tcPr>
            <w:tcW w:w="1579" w:type="dxa"/>
            <w:shd w:val="clear" w:color="auto" w:fill="auto"/>
            <w:vAlign w:val="center"/>
          </w:tcPr>
          <w:p w14:paraId="0A9B1FEB">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氯苯</w:t>
            </w:r>
          </w:p>
        </w:tc>
        <w:tc>
          <w:tcPr>
            <w:tcW w:w="1380" w:type="dxa"/>
            <w:shd w:val="clear" w:color="auto" w:fill="auto"/>
            <w:vAlign w:val="center"/>
          </w:tcPr>
          <w:p w14:paraId="079B31E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108-90-7</w:t>
            </w:r>
          </w:p>
        </w:tc>
        <w:tc>
          <w:tcPr>
            <w:tcW w:w="1290" w:type="dxa"/>
            <w:shd w:val="clear" w:color="auto" w:fill="auto"/>
            <w:vAlign w:val="center"/>
          </w:tcPr>
          <w:p w14:paraId="01C334C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68</w:t>
            </w:r>
          </w:p>
        </w:tc>
        <w:tc>
          <w:tcPr>
            <w:tcW w:w="1380" w:type="dxa"/>
            <w:shd w:val="clear" w:color="auto" w:fill="auto"/>
            <w:vAlign w:val="center"/>
          </w:tcPr>
          <w:p w14:paraId="24EB4BE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270</w:t>
            </w:r>
          </w:p>
        </w:tc>
        <w:tc>
          <w:tcPr>
            <w:tcW w:w="1329" w:type="dxa"/>
            <w:shd w:val="clear" w:color="auto" w:fill="auto"/>
            <w:vAlign w:val="center"/>
          </w:tcPr>
          <w:p w14:paraId="0F64F38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200</w:t>
            </w:r>
          </w:p>
        </w:tc>
        <w:tc>
          <w:tcPr>
            <w:tcW w:w="1365" w:type="dxa"/>
            <w:shd w:val="clear" w:color="auto" w:fill="auto"/>
            <w:vAlign w:val="center"/>
          </w:tcPr>
          <w:p w14:paraId="55B8E94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1000</w:t>
            </w:r>
          </w:p>
        </w:tc>
      </w:tr>
      <w:tr w14:paraId="4A127B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2C2AAE5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28</w:t>
            </w:r>
          </w:p>
        </w:tc>
        <w:tc>
          <w:tcPr>
            <w:tcW w:w="1579" w:type="dxa"/>
            <w:shd w:val="clear" w:color="auto" w:fill="auto"/>
            <w:vAlign w:val="center"/>
          </w:tcPr>
          <w:p w14:paraId="4DC353A5">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1,2-二氯苯</w:t>
            </w:r>
          </w:p>
        </w:tc>
        <w:tc>
          <w:tcPr>
            <w:tcW w:w="1380" w:type="dxa"/>
            <w:shd w:val="clear" w:color="auto" w:fill="auto"/>
            <w:vAlign w:val="center"/>
          </w:tcPr>
          <w:p w14:paraId="3230244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95-50-1</w:t>
            </w:r>
          </w:p>
        </w:tc>
        <w:tc>
          <w:tcPr>
            <w:tcW w:w="1290" w:type="dxa"/>
            <w:shd w:val="clear" w:color="auto" w:fill="auto"/>
            <w:vAlign w:val="center"/>
          </w:tcPr>
          <w:p w14:paraId="6D00753A">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560</w:t>
            </w:r>
          </w:p>
        </w:tc>
        <w:tc>
          <w:tcPr>
            <w:tcW w:w="1380" w:type="dxa"/>
            <w:shd w:val="clear" w:color="auto" w:fill="auto"/>
            <w:vAlign w:val="center"/>
          </w:tcPr>
          <w:p w14:paraId="595FBF1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560</w:t>
            </w:r>
          </w:p>
        </w:tc>
        <w:tc>
          <w:tcPr>
            <w:tcW w:w="1329" w:type="dxa"/>
            <w:shd w:val="clear" w:color="auto" w:fill="auto"/>
            <w:vAlign w:val="center"/>
          </w:tcPr>
          <w:p w14:paraId="35557E8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560</w:t>
            </w:r>
          </w:p>
        </w:tc>
        <w:tc>
          <w:tcPr>
            <w:tcW w:w="1365" w:type="dxa"/>
            <w:shd w:val="clear" w:color="auto" w:fill="auto"/>
            <w:vAlign w:val="center"/>
          </w:tcPr>
          <w:p w14:paraId="68D2F06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560</w:t>
            </w:r>
          </w:p>
        </w:tc>
      </w:tr>
      <w:tr w14:paraId="7917B2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4C0D83A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29</w:t>
            </w:r>
          </w:p>
        </w:tc>
        <w:tc>
          <w:tcPr>
            <w:tcW w:w="1579" w:type="dxa"/>
            <w:shd w:val="clear" w:color="auto" w:fill="auto"/>
            <w:vAlign w:val="center"/>
          </w:tcPr>
          <w:p w14:paraId="585DDCB7">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1,4-二氯苯</w:t>
            </w:r>
          </w:p>
        </w:tc>
        <w:tc>
          <w:tcPr>
            <w:tcW w:w="1380" w:type="dxa"/>
            <w:shd w:val="clear" w:color="auto" w:fill="auto"/>
            <w:vAlign w:val="center"/>
          </w:tcPr>
          <w:p w14:paraId="0787045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106-46-7</w:t>
            </w:r>
          </w:p>
        </w:tc>
        <w:tc>
          <w:tcPr>
            <w:tcW w:w="1290" w:type="dxa"/>
            <w:shd w:val="clear" w:color="auto" w:fill="auto"/>
            <w:vAlign w:val="center"/>
          </w:tcPr>
          <w:p w14:paraId="3107CC9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5.6</w:t>
            </w:r>
          </w:p>
        </w:tc>
        <w:tc>
          <w:tcPr>
            <w:tcW w:w="1380" w:type="dxa"/>
            <w:shd w:val="clear" w:color="auto" w:fill="auto"/>
            <w:vAlign w:val="center"/>
          </w:tcPr>
          <w:p w14:paraId="1CC4837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w:t>
            </w:r>
          </w:p>
        </w:tc>
        <w:tc>
          <w:tcPr>
            <w:tcW w:w="1329" w:type="dxa"/>
            <w:shd w:val="clear" w:color="auto" w:fill="auto"/>
            <w:vAlign w:val="center"/>
          </w:tcPr>
          <w:p w14:paraId="14FD098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56</w:t>
            </w:r>
          </w:p>
        </w:tc>
        <w:tc>
          <w:tcPr>
            <w:tcW w:w="1365" w:type="dxa"/>
            <w:shd w:val="clear" w:color="auto" w:fill="auto"/>
            <w:vAlign w:val="center"/>
          </w:tcPr>
          <w:p w14:paraId="3E70E6B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200</w:t>
            </w:r>
          </w:p>
        </w:tc>
      </w:tr>
      <w:tr w14:paraId="777D9F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27E9A9F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30</w:t>
            </w:r>
          </w:p>
        </w:tc>
        <w:tc>
          <w:tcPr>
            <w:tcW w:w="1579" w:type="dxa"/>
            <w:shd w:val="clear" w:color="auto" w:fill="auto"/>
            <w:vAlign w:val="center"/>
          </w:tcPr>
          <w:p w14:paraId="7DB70FE6">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乙苯</w:t>
            </w:r>
          </w:p>
        </w:tc>
        <w:tc>
          <w:tcPr>
            <w:tcW w:w="1380" w:type="dxa"/>
            <w:shd w:val="clear" w:color="auto" w:fill="auto"/>
            <w:vAlign w:val="center"/>
          </w:tcPr>
          <w:p w14:paraId="0FA24FBB">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100-41-4</w:t>
            </w:r>
          </w:p>
        </w:tc>
        <w:tc>
          <w:tcPr>
            <w:tcW w:w="1290" w:type="dxa"/>
            <w:shd w:val="clear" w:color="auto" w:fill="auto"/>
            <w:vAlign w:val="center"/>
          </w:tcPr>
          <w:p w14:paraId="10D9530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7.2</w:t>
            </w:r>
          </w:p>
        </w:tc>
        <w:tc>
          <w:tcPr>
            <w:tcW w:w="1380" w:type="dxa"/>
            <w:shd w:val="clear" w:color="auto" w:fill="auto"/>
            <w:vAlign w:val="center"/>
          </w:tcPr>
          <w:p w14:paraId="344E3E5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28</w:t>
            </w:r>
          </w:p>
        </w:tc>
        <w:tc>
          <w:tcPr>
            <w:tcW w:w="1329" w:type="dxa"/>
            <w:shd w:val="clear" w:color="auto" w:fill="auto"/>
            <w:vAlign w:val="center"/>
          </w:tcPr>
          <w:p w14:paraId="0FAD21B9">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72</w:t>
            </w:r>
          </w:p>
        </w:tc>
        <w:tc>
          <w:tcPr>
            <w:tcW w:w="1365" w:type="dxa"/>
            <w:shd w:val="clear" w:color="auto" w:fill="auto"/>
            <w:vAlign w:val="center"/>
          </w:tcPr>
          <w:p w14:paraId="17517FC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280</w:t>
            </w:r>
          </w:p>
        </w:tc>
      </w:tr>
      <w:tr w14:paraId="7EB5D4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6B6A717B">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31</w:t>
            </w:r>
          </w:p>
        </w:tc>
        <w:tc>
          <w:tcPr>
            <w:tcW w:w="1579" w:type="dxa"/>
            <w:shd w:val="clear" w:color="auto" w:fill="auto"/>
            <w:vAlign w:val="center"/>
          </w:tcPr>
          <w:p w14:paraId="129089A0">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苯乙烯</w:t>
            </w:r>
          </w:p>
        </w:tc>
        <w:tc>
          <w:tcPr>
            <w:tcW w:w="1380" w:type="dxa"/>
            <w:shd w:val="clear" w:color="auto" w:fill="auto"/>
            <w:vAlign w:val="center"/>
          </w:tcPr>
          <w:p w14:paraId="03734D9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100-42-5</w:t>
            </w:r>
          </w:p>
        </w:tc>
        <w:tc>
          <w:tcPr>
            <w:tcW w:w="1290" w:type="dxa"/>
            <w:shd w:val="clear" w:color="auto" w:fill="auto"/>
            <w:vAlign w:val="center"/>
          </w:tcPr>
          <w:p w14:paraId="17C703BB">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1290</w:t>
            </w:r>
          </w:p>
        </w:tc>
        <w:tc>
          <w:tcPr>
            <w:tcW w:w="1380" w:type="dxa"/>
            <w:shd w:val="clear" w:color="auto" w:fill="auto"/>
            <w:vAlign w:val="center"/>
          </w:tcPr>
          <w:p w14:paraId="290087A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1290</w:t>
            </w:r>
          </w:p>
        </w:tc>
        <w:tc>
          <w:tcPr>
            <w:tcW w:w="1329" w:type="dxa"/>
            <w:shd w:val="clear" w:color="auto" w:fill="auto"/>
            <w:vAlign w:val="center"/>
          </w:tcPr>
          <w:p w14:paraId="4A0E9CF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1290</w:t>
            </w:r>
          </w:p>
        </w:tc>
        <w:tc>
          <w:tcPr>
            <w:tcW w:w="1365" w:type="dxa"/>
            <w:shd w:val="clear" w:color="auto" w:fill="auto"/>
            <w:vAlign w:val="center"/>
          </w:tcPr>
          <w:p w14:paraId="41BC1C9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1290</w:t>
            </w:r>
          </w:p>
        </w:tc>
      </w:tr>
      <w:tr w14:paraId="686AF0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14263016">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32</w:t>
            </w:r>
          </w:p>
        </w:tc>
        <w:tc>
          <w:tcPr>
            <w:tcW w:w="1579" w:type="dxa"/>
            <w:shd w:val="clear" w:color="auto" w:fill="auto"/>
            <w:vAlign w:val="center"/>
          </w:tcPr>
          <w:p w14:paraId="1B882432">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甲苯</w:t>
            </w:r>
          </w:p>
        </w:tc>
        <w:tc>
          <w:tcPr>
            <w:tcW w:w="1380" w:type="dxa"/>
            <w:shd w:val="clear" w:color="auto" w:fill="auto"/>
            <w:vAlign w:val="center"/>
          </w:tcPr>
          <w:p w14:paraId="7E650A5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108-88-3</w:t>
            </w:r>
          </w:p>
        </w:tc>
        <w:tc>
          <w:tcPr>
            <w:tcW w:w="1290" w:type="dxa"/>
            <w:shd w:val="clear" w:color="auto" w:fill="auto"/>
            <w:vAlign w:val="center"/>
          </w:tcPr>
          <w:p w14:paraId="092B6E6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1200</w:t>
            </w:r>
          </w:p>
        </w:tc>
        <w:tc>
          <w:tcPr>
            <w:tcW w:w="1380" w:type="dxa"/>
            <w:shd w:val="clear" w:color="auto" w:fill="auto"/>
            <w:vAlign w:val="center"/>
          </w:tcPr>
          <w:p w14:paraId="050DFAB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1200</w:t>
            </w:r>
          </w:p>
        </w:tc>
        <w:tc>
          <w:tcPr>
            <w:tcW w:w="1329" w:type="dxa"/>
            <w:shd w:val="clear" w:color="auto" w:fill="auto"/>
            <w:vAlign w:val="center"/>
          </w:tcPr>
          <w:p w14:paraId="5509EE4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1200</w:t>
            </w:r>
          </w:p>
        </w:tc>
        <w:tc>
          <w:tcPr>
            <w:tcW w:w="1365" w:type="dxa"/>
            <w:shd w:val="clear" w:color="auto" w:fill="auto"/>
            <w:vAlign w:val="center"/>
          </w:tcPr>
          <w:p w14:paraId="0CD04AD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1200</w:t>
            </w:r>
          </w:p>
        </w:tc>
      </w:tr>
      <w:tr w14:paraId="4C210D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1FCAAC5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33</w:t>
            </w:r>
          </w:p>
        </w:tc>
        <w:tc>
          <w:tcPr>
            <w:tcW w:w="1579" w:type="dxa"/>
            <w:shd w:val="clear" w:color="auto" w:fill="auto"/>
            <w:vAlign w:val="center"/>
          </w:tcPr>
          <w:p w14:paraId="0427B99B">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间二甲苯+对二甲苯</w:t>
            </w:r>
          </w:p>
        </w:tc>
        <w:tc>
          <w:tcPr>
            <w:tcW w:w="1380" w:type="dxa"/>
            <w:shd w:val="clear" w:color="auto" w:fill="auto"/>
            <w:vAlign w:val="center"/>
          </w:tcPr>
          <w:p w14:paraId="723E22F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108-38-3,</w:t>
            </w:r>
          </w:p>
          <w:p w14:paraId="3B13404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106-42-3</w:t>
            </w:r>
          </w:p>
        </w:tc>
        <w:tc>
          <w:tcPr>
            <w:tcW w:w="1290" w:type="dxa"/>
            <w:shd w:val="clear" w:color="auto" w:fill="auto"/>
            <w:vAlign w:val="center"/>
          </w:tcPr>
          <w:p w14:paraId="03FB221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163</w:t>
            </w:r>
          </w:p>
        </w:tc>
        <w:tc>
          <w:tcPr>
            <w:tcW w:w="1380" w:type="dxa"/>
            <w:shd w:val="clear" w:color="auto" w:fill="auto"/>
            <w:vAlign w:val="center"/>
          </w:tcPr>
          <w:p w14:paraId="4ED9D8A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570</w:t>
            </w:r>
          </w:p>
        </w:tc>
        <w:tc>
          <w:tcPr>
            <w:tcW w:w="1329" w:type="dxa"/>
            <w:shd w:val="clear" w:color="auto" w:fill="auto"/>
            <w:vAlign w:val="center"/>
          </w:tcPr>
          <w:p w14:paraId="7800C679">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500</w:t>
            </w:r>
          </w:p>
        </w:tc>
        <w:tc>
          <w:tcPr>
            <w:tcW w:w="1365" w:type="dxa"/>
            <w:shd w:val="clear" w:color="auto" w:fill="auto"/>
            <w:vAlign w:val="center"/>
          </w:tcPr>
          <w:p w14:paraId="53A3248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570</w:t>
            </w:r>
          </w:p>
        </w:tc>
      </w:tr>
      <w:tr w14:paraId="2EB247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5F7CDDD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34</w:t>
            </w:r>
          </w:p>
        </w:tc>
        <w:tc>
          <w:tcPr>
            <w:tcW w:w="1579" w:type="dxa"/>
            <w:shd w:val="clear" w:color="auto" w:fill="auto"/>
            <w:vAlign w:val="center"/>
          </w:tcPr>
          <w:p w14:paraId="5743EAFA">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邻二甲苯</w:t>
            </w:r>
          </w:p>
        </w:tc>
        <w:tc>
          <w:tcPr>
            <w:tcW w:w="1380" w:type="dxa"/>
            <w:shd w:val="clear" w:color="auto" w:fill="auto"/>
            <w:vAlign w:val="center"/>
          </w:tcPr>
          <w:p w14:paraId="43B6247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95-47-6</w:t>
            </w:r>
          </w:p>
        </w:tc>
        <w:tc>
          <w:tcPr>
            <w:tcW w:w="1290" w:type="dxa"/>
            <w:shd w:val="clear" w:color="auto" w:fill="auto"/>
            <w:vAlign w:val="center"/>
          </w:tcPr>
          <w:p w14:paraId="57857D8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22</w:t>
            </w:r>
          </w:p>
        </w:tc>
        <w:tc>
          <w:tcPr>
            <w:tcW w:w="1380" w:type="dxa"/>
            <w:shd w:val="clear" w:color="auto" w:fill="auto"/>
            <w:vAlign w:val="center"/>
          </w:tcPr>
          <w:p w14:paraId="17174BE6">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640</w:t>
            </w:r>
          </w:p>
        </w:tc>
        <w:tc>
          <w:tcPr>
            <w:tcW w:w="1329" w:type="dxa"/>
            <w:shd w:val="clear" w:color="auto" w:fill="auto"/>
            <w:vAlign w:val="center"/>
          </w:tcPr>
          <w:p w14:paraId="56BD5DF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640</w:t>
            </w:r>
          </w:p>
        </w:tc>
        <w:tc>
          <w:tcPr>
            <w:tcW w:w="1365" w:type="dxa"/>
            <w:shd w:val="clear" w:color="auto" w:fill="auto"/>
            <w:vAlign w:val="center"/>
          </w:tcPr>
          <w:p w14:paraId="2C812ED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640</w:t>
            </w:r>
          </w:p>
        </w:tc>
      </w:tr>
      <w:tr w14:paraId="4C35CF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41" w:type="dxa"/>
            <w:gridSpan w:val="7"/>
            <w:shd w:val="clear" w:color="auto" w:fill="auto"/>
            <w:vAlign w:val="center"/>
          </w:tcPr>
          <w:p w14:paraId="5EAABCDB">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半挥发有机物</w:t>
            </w:r>
          </w:p>
        </w:tc>
      </w:tr>
      <w:tr w14:paraId="0DE544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4D4331FA">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35</w:t>
            </w:r>
          </w:p>
        </w:tc>
        <w:tc>
          <w:tcPr>
            <w:tcW w:w="1579" w:type="dxa"/>
            <w:shd w:val="clear" w:color="auto" w:fill="auto"/>
            <w:vAlign w:val="center"/>
          </w:tcPr>
          <w:p w14:paraId="25123F94">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硝基苯</w:t>
            </w:r>
          </w:p>
        </w:tc>
        <w:tc>
          <w:tcPr>
            <w:tcW w:w="1380" w:type="dxa"/>
            <w:shd w:val="clear" w:color="auto" w:fill="auto"/>
            <w:vAlign w:val="center"/>
          </w:tcPr>
          <w:p w14:paraId="70B1BCBA">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98-95-3</w:t>
            </w:r>
          </w:p>
        </w:tc>
        <w:tc>
          <w:tcPr>
            <w:tcW w:w="1290" w:type="dxa"/>
            <w:shd w:val="clear" w:color="auto" w:fill="auto"/>
            <w:vAlign w:val="center"/>
          </w:tcPr>
          <w:p w14:paraId="1E88AE2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34</w:t>
            </w:r>
          </w:p>
        </w:tc>
        <w:tc>
          <w:tcPr>
            <w:tcW w:w="1380" w:type="dxa"/>
            <w:shd w:val="clear" w:color="auto" w:fill="auto"/>
            <w:vAlign w:val="center"/>
          </w:tcPr>
          <w:p w14:paraId="69A7350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76</w:t>
            </w:r>
          </w:p>
        </w:tc>
        <w:tc>
          <w:tcPr>
            <w:tcW w:w="1329" w:type="dxa"/>
            <w:shd w:val="clear" w:color="auto" w:fill="auto"/>
            <w:vAlign w:val="center"/>
          </w:tcPr>
          <w:p w14:paraId="726578B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190</w:t>
            </w:r>
          </w:p>
        </w:tc>
        <w:tc>
          <w:tcPr>
            <w:tcW w:w="1365" w:type="dxa"/>
            <w:shd w:val="clear" w:color="auto" w:fill="auto"/>
            <w:vAlign w:val="center"/>
          </w:tcPr>
          <w:p w14:paraId="1B821E3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760</w:t>
            </w:r>
          </w:p>
        </w:tc>
      </w:tr>
      <w:tr w14:paraId="51AC12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706F8C2B">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36</w:t>
            </w:r>
          </w:p>
        </w:tc>
        <w:tc>
          <w:tcPr>
            <w:tcW w:w="1579" w:type="dxa"/>
            <w:shd w:val="clear" w:color="auto" w:fill="auto"/>
            <w:vAlign w:val="center"/>
          </w:tcPr>
          <w:p w14:paraId="25003A54">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苯胺</w:t>
            </w:r>
          </w:p>
        </w:tc>
        <w:tc>
          <w:tcPr>
            <w:tcW w:w="1380" w:type="dxa"/>
            <w:shd w:val="clear" w:color="auto" w:fill="auto"/>
            <w:vAlign w:val="center"/>
          </w:tcPr>
          <w:p w14:paraId="370A553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62-53-3</w:t>
            </w:r>
          </w:p>
        </w:tc>
        <w:tc>
          <w:tcPr>
            <w:tcW w:w="1290" w:type="dxa"/>
            <w:shd w:val="clear" w:color="auto" w:fill="auto"/>
            <w:vAlign w:val="center"/>
          </w:tcPr>
          <w:p w14:paraId="50D5E44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92</w:t>
            </w:r>
          </w:p>
        </w:tc>
        <w:tc>
          <w:tcPr>
            <w:tcW w:w="1380" w:type="dxa"/>
            <w:shd w:val="clear" w:color="auto" w:fill="auto"/>
            <w:vAlign w:val="center"/>
          </w:tcPr>
          <w:p w14:paraId="43702076">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260</w:t>
            </w:r>
          </w:p>
        </w:tc>
        <w:tc>
          <w:tcPr>
            <w:tcW w:w="1329" w:type="dxa"/>
            <w:shd w:val="clear" w:color="auto" w:fill="auto"/>
            <w:vAlign w:val="center"/>
          </w:tcPr>
          <w:p w14:paraId="71B13FC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211</w:t>
            </w:r>
          </w:p>
        </w:tc>
        <w:tc>
          <w:tcPr>
            <w:tcW w:w="1365" w:type="dxa"/>
            <w:shd w:val="clear" w:color="auto" w:fill="auto"/>
            <w:vAlign w:val="center"/>
          </w:tcPr>
          <w:p w14:paraId="7CA5754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663</w:t>
            </w:r>
          </w:p>
        </w:tc>
      </w:tr>
      <w:tr w14:paraId="2350BD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13521E5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37</w:t>
            </w:r>
          </w:p>
        </w:tc>
        <w:tc>
          <w:tcPr>
            <w:tcW w:w="1579" w:type="dxa"/>
            <w:shd w:val="clear" w:color="auto" w:fill="auto"/>
            <w:vAlign w:val="center"/>
          </w:tcPr>
          <w:p w14:paraId="72063232">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2-氯酚</w:t>
            </w:r>
          </w:p>
        </w:tc>
        <w:tc>
          <w:tcPr>
            <w:tcW w:w="1380" w:type="dxa"/>
            <w:shd w:val="clear" w:color="auto" w:fill="auto"/>
            <w:vAlign w:val="center"/>
          </w:tcPr>
          <w:p w14:paraId="759B85A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95-57-8</w:t>
            </w:r>
          </w:p>
        </w:tc>
        <w:tc>
          <w:tcPr>
            <w:tcW w:w="1290" w:type="dxa"/>
            <w:shd w:val="clear" w:color="auto" w:fill="auto"/>
            <w:vAlign w:val="center"/>
          </w:tcPr>
          <w:p w14:paraId="0178AB0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250</w:t>
            </w:r>
          </w:p>
        </w:tc>
        <w:tc>
          <w:tcPr>
            <w:tcW w:w="1380" w:type="dxa"/>
            <w:shd w:val="clear" w:color="auto" w:fill="auto"/>
            <w:vAlign w:val="center"/>
          </w:tcPr>
          <w:p w14:paraId="5F9319C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2256</w:t>
            </w:r>
          </w:p>
        </w:tc>
        <w:tc>
          <w:tcPr>
            <w:tcW w:w="1329" w:type="dxa"/>
            <w:shd w:val="clear" w:color="auto" w:fill="auto"/>
            <w:vAlign w:val="center"/>
          </w:tcPr>
          <w:p w14:paraId="0BB9D54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500</w:t>
            </w:r>
          </w:p>
        </w:tc>
        <w:tc>
          <w:tcPr>
            <w:tcW w:w="1365" w:type="dxa"/>
            <w:shd w:val="clear" w:color="auto" w:fill="auto"/>
            <w:vAlign w:val="center"/>
          </w:tcPr>
          <w:p w14:paraId="051D1A79">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4500</w:t>
            </w:r>
          </w:p>
        </w:tc>
      </w:tr>
      <w:tr w14:paraId="3EA5C3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277DF3F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38</w:t>
            </w:r>
          </w:p>
        </w:tc>
        <w:tc>
          <w:tcPr>
            <w:tcW w:w="1579" w:type="dxa"/>
            <w:shd w:val="clear" w:color="auto" w:fill="auto"/>
            <w:vAlign w:val="center"/>
          </w:tcPr>
          <w:p w14:paraId="02AC83C7">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苯并[a] 蒽</w:t>
            </w:r>
          </w:p>
        </w:tc>
        <w:tc>
          <w:tcPr>
            <w:tcW w:w="1380" w:type="dxa"/>
            <w:shd w:val="clear" w:color="auto" w:fill="auto"/>
            <w:vAlign w:val="center"/>
          </w:tcPr>
          <w:p w14:paraId="21A1E3A5">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56-55-3</w:t>
            </w:r>
          </w:p>
        </w:tc>
        <w:tc>
          <w:tcPr>
            <w:tcW w:w="1290" w:type="dxa"/>
            <w:shd w:val="clear" w:color="auto" w:fill="auto"/>
            <w:vAlign w:val="center"/>
          </w:tcPr>
          <w:p w14:paraId="4C302B2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1380" w:type="dxa"/>
            <w:shd w:val="clear" w:color="auto" w:fill="auto"/>
            <w:vAlign w:val="center"/>
          </w:tcPr>
          <w:p w14:paraId="46EFE549">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w:t>
            </w:r>
          </w:p>
        </w:tc>
        <w:tc>
          <w:tcPr>
            <w:tcW w:w="1329" w:type="dxa"/>
            <w:shd w:val="clear" w:color="auto" w:fill="auto"/>
            <w:vAlign w:val="center"/>
          </w:tcPr>
          <w:p w14:paraId="26F07F5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1365" w:type="dxa"/>
            <w:shd w:val="clear" w:color="auto" w:fill="auto"/>
            <w:vAlign w:val="center"/>
          </w:tcPr>
          <w:p w14:paraId="7034085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151</w:t>
            </w:r>
          </w:p>
        </w:tc>
      </w:tr>
      <w:tr w14:paraId="51A0FE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296A2C0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39</w:t>
            </w:r>
          </w:p>
        </w:tc>
        <w:tc>
          <w:tcPr>
            <w:tcW w:w="1579" w:type="dxa"/>
            <w:shd w:val="clear" w:color="auto" w:fill="auto"/>
            <w:vAlign w:val="center"/>
          </w:tcPr>
          <w:p w14:paraId="223D7803">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苯并[a]芘</w:t>
            </w:r>
          </w:p>
        </w:tc>
        <w:tc>
          <w:tcPr>
            <w:tcW w:w="1380" w:type="dxa"/>
            <w:shd w:val="clear" w:color="auto" w:fill="auto"/>
            <w:vAlign w:val="center"/>
          </w:tcPr>
          <w:p w14:paraId="790E7FC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50-32-8</w:t>
            </w:r>
          </w:p>
        </w:tc>
        <w:tc>
          <w:tcPr>
            <w:tcW w:w="1290" w:type="dxa"/>
            <w:shd w:val="clear" w:color="auto" w:fill="auto"/>
            <w:vAlign w:val="center"/>
          </w:tcPr>
          <w:p w14:paraId="6B70A76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0.55</w:t>
            </w:r>
          </w:p>
        </w:tc>
        <w:tc>
          <w:tcPr>
            <w:tcW w:w="1380" w:type="dxa"/>
            <w:shd w:val="clear" w:color="auto" w:fill="auto"/>
            <w:vAlign w:val="center"/>
          </w:tcPr>
          <w:p w14:paraId="6127CA1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w:t>
            </w:r>
          </w:p>
        </w:tc>
        <w:tc>
          <w:tcPr>
            <w:tcW w:w="1329" w:type="dxa"/>
            <w:shd w:val="clear" w:color="auto" w:fill="auto"/>
            <w:vAlign w:val="center"/>
          </w:tcPr>
          <w:p w14:paraId="7A005C9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1365" w:type="dxa"/>
            <w:shd w:val="clear" w:color="auto" w:fill="auto"/>
            <w:vAlign w:val="center"/>
          </w:tcPr>
          <w:p w14:paraId="5B554F09">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w:t>
            </w:r>
          </w:p>
        </w:tc>
      </w:tr>
      <w:tr w14:paraId="5CC43A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7DA4B7B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c>
          <w:tcPr>
            <w:tcW w:w="1579" w:type="dxa"/>
            <w:shd w:val="clear" w:color="auto" w:fill="auto"/>
            <w:vAlign w:val="center"/>
          </w:tcPr>
          <w:p w14:paraId="57444422">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苯并[b]荧蒽</w:t>
            </w:r>
          </w:p>
        </w:tc>
        <w:tc>
          <w:tcPr>
            <w:tcW w:w="1380" w:type="dxa"/>
            <w:shd w:val="clear" w:color="auto" w:fill="auto"/>
            <w:vAlign w:val="center"/>
          </w:tcPr>
          <w:p w14:paraId="72E2B32A">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205-99-2</w:t>
            </w:r>
          </w:p>
        </w:tc>
        <w:tc>
          <w:tcPr>
            <w:tcW w:w="1290" w:type="dxa"/>
            <w:shd w:val="clear" w:color="auto" w:fill="auto"/>
            <w:vAlign w:val="center"/>
          </w:tcPr>
          <w:p w14:paraId="38026CF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1380" w:type="dxa"/>
            <w:shd w:val="clear" w:color="auto" w:fill="auto"/>
            <w:vAlign w:val="center"/>
          </w:tcPr>
          <w:p w14:paraId="5618B47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w:t>
            </w:r>
          </w:p>
        </w:tc>
        <w:tc>
          <w:tcPr>
            <w:tcW w:w="1329" w:type="dxa"/>
            <w:shd w:val="clear" w:color="auto" w:fill="auto"/>
            <w:vAlign w:val="center"/>
          </w:tcPr>
          <w:p w14:paraId="4587C6F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1365" w:type="dxa"/>
            <w:shd w:val="clear" w:color="auto" w:fill="auto"/>
            <w:vAlign w:val="center"/>
          </w:tcPr>
          <w:p w14:paraId="7271C4B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151</w:t>
            </w:r>
          </w:p>
        </w:tc>
      </w:tr>
      <w:tr w14:paraId="11D126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01172E0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41</w:t>
            </w:r>
          </w:p>
        </w:tc>
        <w:tc>
          <w:tcPr>
            <w:tcW w:w="1579" w:type="dxa"/>
            <w:shd w:val="clear" w:color="auto" w:fill="auto"/>
            <w:vAlign w:val="center"/>
          </w:tcPr>
          <w:p w14:paraId="553CC976">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苯并[k]荧蒽</w:t>
            </w:r>
          </w:p>
        </w:tc>
        <w:tc>
          <w:tcPr>
            <w:tcW w:w="1380" w:type="dxa"/>
            <w:shd w:val="clear" w:color="auto" w:fill="auto"/>
            <w:vAlign w:val="center"/>
          </w:tcPr>
          <w:p w14:paraId="09674AAF">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207-08-9</w:t>
            </w:r>
          </w:p>
        </w:tc>
        <w:tc>
          <w:tcPr>
            <w:tcW w:w="1290" w:type="dxa"/>
            <w:shd w:val="clear" w:color="auto" w:fill="auto"/>
            <w:vAlign w:val="center"/>
          </w:tcPr>
          <w:p w14:paraId="7077074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1380" w:type="dxa"/>
            <w:shd w:val="clear" w:color="auto" w:fill="auto"/>
            <w:vAlign w:val="center"/>
          </w:tcPr>
          <w:p w14:paraId="5363DCB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151</w:t>
            </w:r>
          </w:p>
        </w:tc>
        <w:tc>
          <w:tcPr>
            <w:tcW w:w="1329" w:type="dxa"/>
            <w:shd w:val="clear" w:color="auto" w:fill="auto"/>
            <w:vAlign w:val="center"/>
          </w:tcPr>
          <w:p w14:paraId="46E8071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550</w:t>
            </w:r>
          </w:p>
        </w:tc>
        <w:tc>
          <w:tcPr>
            <w:tcW w:w="1365" w:type="dxa"/>
            <w:shd w:val="clear" w:color="auto" w:fill="auto"/>
            <w:vAlign w:val="center"/>
          </w:tcPr>
          <w:p w14:paraId="1BFD05DA">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1500</w:t>
            </w:r>
          </w:p>
        </w:tc>
      </w:tr>
      <w:tr w14:paraId="3722C7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7C4DECD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42</w:t>
            </w:r>
          </w:p>
        </w:tc>
        <w:tc>
          <w:tcPr>
            <w:tcW w:w="1579" w:type="dxa"/>
            <w:shd w:val="clear" w:color="auto" w:fill="auto"/>
            <w:vAlign w:val="center"/>
          </w:tcPr>
          <w:p w14:paraId="673B08DA">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䓛</w:t>
            </w:r>
          </w:p>
        </w:tc>
        <w:tc>
          <w:tcPr>
            <w:tcW w:w="1380" w:type="dxa"/>
            <w:shd w:val="clear" w:color="auto" w:fill="auto"/>
            <w:vAlign w:val="center"/>
          </w:tcPr>
          <w:p w14:paraId="04B1C51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218-01-9</w:t>
            </w:r>
          </w:p>
        </w:tc>
        <w:tc>
          <w:tcPr>
            <w:tcW w:w="1290" w:type="dxa"/>
            <w:shd w:val="clear" w:color="auto" w:fill="auto"/>
            <w:vAlign w:val="center"/>
          </w:tcPr>
          <w:p w14:paraId="3351FC6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490</w:t>
            </w:r>
          </w:p>
        </w:tc>
        <w:tc>
          <w:tcPr>
            <w:tcW w:w="1380" w:type="dxa"/>
            <w:shd w:val="clear" w:color="auto" w:fill="auto"/>
            <w:vAlign w:val="center"/>
          </w:tcPr>
          <w:p w14:paraId="5274352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1293</w:t>
            </w:r>
          </w:p>
        </w:tc>
        <w:tc>
          <w:tcPr>
            <w:tcW w:w="1329" w:type="dxa"/>
            <w:shd w:val="clear" w:color="auto" w:fill="auto"/>
            <w:vAlign w:val="center"/>
          </w:tcPr>
          <w:p w14:paraId="75077A4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4900</w:t>
            </w:r>
          </w:p>
        </w:tc>
        <w:tc>
          <w:tcPr>
            <w:tcW w:w="1365" w:type="dxa"/>
            <w:shd w:val="clear" w:color="auto" w:fill="auto"/>
            <w:vAlign w:val="center"/>
          </w:tcPr>
          <w:p w14:paraId="51E9F383">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12900</w:t>
            </w:r>
          </w:p>
        </w:tc>
      </w:tr>
      <w:tr w14:paraId="7F7B47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0FAD3F8D">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43</w:t>
            </w:r>
          </w:p>
        </w:tc>
        <w:tc>
          <w:tcPr>
            <w:tcW w:w="1579" w:type="dxa"/>
            <w:shd w:val="clear" w:color="auto" w:fill="auto"/>
            <w:vAlign w:val="center"/>
          </w:tcPr>
          <w:p w14:paraId="5C3279E7">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二苯并[a,h]蒽</w:t>
            </w:r>
          </w:p>
        </w:tc>
        <w:tc>
          <w:tcPr>
            <w:tcW w:w="1380" w:type="dxa"/>
            <w:shd w:val="clear" w:color="auto" w:fill="auto"/>
            <w:vAlign w:val="center"/>
          </w:tcPr>
          <w:p w14:paraId="5E1B3E7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53-70-3</w:t>
            </w:r>
          </w:p>
        </w:tc>
        <w:tc>
          <w:tcPr>
            <w:tcW w:w="1290" w:type="dxa"/>
            <w:shd w:val="clear" w:color="auto" w:fill="auto"/>
            <w:vAlign w:val="center"/>
          </w:tcPr>
          <w:p w14:paraId="58E79D1A">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0.55</w:t>
            </w:r>
          </w:p>
        </w:tc>
        <w:tc>
          <w:tcPr>
            <w:tcW w:w="1380" w:type="dxa"/>
            <w:shd w:val="clear" w:color="auto" w:fill="auto"/>
            <w:vAlign w:val="center"/>
          </w:tcPr>
          <w:p w14:paraId="5E346AF9">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w:t>
            </w:r>
          </w:p>
        </w:tc>
        <w:tc>
          <w:tcPr>
            <w:tcW w:w="1329" w:type="dxa"/>
            <w:shd w:val="clear" w:color="auto" w:fill="auto"/>
            <w:vAlign w:val="center"/>
          </w:tcPr>
          <w:p w14:paraId="56525A9E">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1365" w:type="dxa"/>
            <w:shd w:val="clear" w:color="auto" w:fill="auto"/>
            <w:vAlign w:val="center"/>
          </w:tcPr>
          <w:p w14:paraId="7857A761">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w:t>
            </w:r>
          </w:p>
        </w:tc>
      </w:tr>
      <w:tr w14:paraId="3FEB01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tcBorders>
              <w:bottom w:val="single" w:color="auto" w:sz="4" w:space="0"/>
            </w:tcBorders>
            <w:shd w:val="clear" w:color="auto" w:fill="auto"/>
            <w:vAlign w:val="center"/>
          </w:tcPr>
          <w:p w14:paraId="07DC39E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44</w:t>
            </w:r>
          </w:p>
        </w:tc>
        <w:tc>
          <w:tcPr>
            <w:tcW w:w="1579" w:type="dxa"/>
            <w:tcBorders>
              <w:bottom w:val="single" w:color="auto" w:sz="4" w:space="0"/>
            </w:tcBorders>
            <w:shd w:val="clear" w:color="auto" w:fill="auto"/>
            <w:vAlign w:val="center"/>
          </w:tcPr>
          <w:p w14:paraId="3C9AC249">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茚并[1,2,2-cd]芘</w:t>
            </w:r>
          </w:p>
        </w:tc>
        <w:tc>
          <w:tcPr>
            <w:tcW w:w="1380" w:type="dxa"/>
            <w:tcBorders>
              <w:bottom w:val="single" w:color="auto" w:sz="4" w:space="0"/>
            </w:tcBorders>
            <w:shd w:val="clear" w:color="auto" w:fill="auto"/>
            <w:vAlign w:val="center"/>
          </w:tcPr>
          <w:p w14:paraId="2317D59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193-39-5</w:t>
            </w:r>
          </w:p>
        </w:tc>
        <w:tc>
          <w:tcPr>
            <w:tcW w:w="1290" w:type="dxa"/>
            <w:tcBorders>
              <w:bottom w:val="single" w:color="auto" w:sz="4" w:space="0"/>
            </w:tcBorders>
            <w:shd w:val="clear" w:color="auto" w:fill="auto"/>
            <w:vAlign w:val="center"/>
          </w:tcPr>
          <w:p w14:paraId="2C5F9C54">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1380" w:type="dxa"/>
            <w:tcBorders>
              <w:bottom w:val="single" w:color="auto" w:sz="4" w:space="0"/>
            </w:tcBorders>
            <w:shd w:val="clear" w:color="auto" w:fill="auto"/>
            <w:vAlign w:val="center"/>
          </w:tcPr>
          <w:p w14:paraId="4F8CB107">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w:t>
            </w:r>
          </w:p>
        </w:tc>
        <w:tc>
          <w:tcPr>
            <w:tcW w:w="1329" w:type="dxa"/>
            <w:tcBorders>
              <w:bottom w:val="single" w:color="auto" w:sz="4" w:space="0"/>
            </w:tcBorders>
            <w:shd w:val="clear" w:color="auto" w:fill="auto"/>
            <w:vAlign w:val="center"/>
          </w:tcPr>
          <w:p w14:paraId="41A054A2">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1365" w:type="dxa"/>
            <w:tcBorders>
              <w:bottom w:val="single" w:color="auto" w:sz="4" w:space="0"/>
            </w:tcBorders>
            <w:shd w:val="clear" w:color="auto" w:fill="auto"/>
            <w:vAlign w:val="center"/>
          </w:tcPr>
          <w:p w14:paraId="2BA5D35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151</w:t>
            </w:r>
          </w:p>
        </w:tc>
      </w:tr>
      <w:tr w14:paraId="7C44C5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shd w:val="clear" w:color="auto" w:fill="auto"/>
            <w:vAlign w:val="center"/>
          </w:tcPr>
          <w:p w14:paraId="033FA73B">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45</w:t>
            </w:r>
          </w:p>
        </w:tc>
        <w:tc>
          <w:tcPr>
            <w:tcW w:w="1579" w:type="dxa"/>
            <w:shd w:val="clear" w:color="auto" w:fill="auto"/>
            <w:vAlign w:val="center"/>
          </w:tcPr>
          <w:p w14:paraId="35267F84">
            <w:pPr>
              <w:tabs>
                <w:tab w:val="left" w:pos="8789"/>
              </w:tabs>
              <w:adjustRightInd w:val="0"/>
              <w:snapToGrid w:val="0"/>
              <w:rPr>
                <w:rFonts w:ascii="Times New Roman" w:hAnsi="Times New Roman" w:eastAsia="宋体" w:cs="Times New Roman"/>
                <w:color w:val="auto"/>
                <w:szCs w:val="21"/>
              </w:rPr>
            </w:pPr>
            <w:r>
              <w:rPr>
                <w:rFonts w:ascii="Times New Roman" w:hAnsi="Times New Roman" w:eastAsia="宋体" w:cs="Times New Roman"/>
                <w:color w:val="auto"/>
                <w:szCs w:val="21"/>
              </w:rPr>
              <w:t>萘</w:t>
            </w:r>
          </w:p>
        </w:tc>
        <w:tc>
          <w:tcPr>
            <w:tcW w:w="1380" w:type="dxa"/>
            <w:shd w:val="clear" w:color="auto" w:fill="auto"/>
            <w:vAlign w:val="center"/>
          </w:tcPr>
          <w:p w14:paraId="49666F1A">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91-20-3</w:t>
            </w:r>
          </w:p>
        </w:tc>
        <w:tc>
          <w:tcPr>
            <w:tcW w:w="1290" w:type="dxa"/>
            <w:shd w:val="clear" w:color="auto" w:fill="auto"/>
            <w:vAlign w:val="center"/>
          </w:tcPr>
          <w:p w14:paraId="300E4F48">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25</w:t>
            </w:r>
          </w:p>
        </w:tc>
        <w:tc>
          <w:tcPr>
            <w:tcW w:w="1380" w:type="dxa"/>
            <w:shd w:val="clear" w:color="auto" w:fill="auto"/>
            <w:vAlign w:val="center"/>
          </w:tcPr>
          <w:p w14:paraId="474B23D0">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70</w:t>
            </w:r>
          </w:p>
        </w:tc>
        <w:tc>
          <w:tcPr>
            <w:tcW w:w="1329" w:type="dxa"/>
            <w:shd w:val="clear" w:color="auto" w:fill="auto"/>
            <w:vAlign w:val="center"/>
          </w:tcPr>
          <w:p w14:paraId="34C242A9">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255</w:t>
            </w:r>
          </w:p>
        </w:tc>
        <w:tc>
          <w:tcPr>
            <w:tcW w:w="1365" w:type="dxa"/>
            <w:shd w:val="clear" w:color="auto" w:fill="auto"/>
            <w:vAlign w:val="center"/>
          </w:tcPr>
          <w:p w14:paraId="401C5B0C">
            <w:pPr>
              <w:tabs>
                <w:tab w:val="left" w:pos="8789"/>
              </w:tabs>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700</w:t>
            </w:r>
          </w:p>
        </w:tc>
      </w:tr>
      <w:tr w14:paraId="5C5047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8" w:type="dxa"/>
            <w:tcBorders>
              <w:bottom w:val="single" w:color="auto" w:sz="12" w:space="0"/>
            </w:tcBorders>
            <w:shd w:val="clear" w:color="auto" w:fill="auto"/>
            <w:vAlign w:val="center"/>
          </w:tcPr>
          <w:p w14:paraId="17BCD1D3">
            <w:pPr>
              <w:tabs>
                <w:tab w:val="left" w:pos="8789"/>
              </w:tabs>
              <w:adjustRightInd w:val="0"/>
              <w:snapToGrid w:val="0"/>
              <w:jc w:val="center"/>
              <w:rPr>
                <w:rFonts w:hint="default" w:ascii="Times New Roman" w:hAnsi="Times New Roman" w:eastAsia="宋体" w:cs="Times New Roman"/>
                <w:color w:val="auto"/>
                <w:szCs w:val="21"/>
                <w:lang w:val="en-US" w:eastAsia="zh-CN"/>
              </w:rPr>
            </w:pPr>
            <w:bookmarkStart w:id="596" w:name="OLE_LINK109" w:colFirst="0" w:colLast="6"/>
            <w:r>
              <w:rPr>
                <w:rFonts w:hint="eastAsia" w:ascii="Times New Roman" w:hAnsi="Times New Roman" w:eastAsia="宋体" w:cs="Times New Roman"/>
                <w:color w:val="auto"/>
                <w:szCs w:val="21"/>
                <w:lang w:val="en-US" w:eastAsia="zh-CN"/>
              </w:rPr>
              <w:t>46</w:t>
            </w:r>
          </w:p>
        </w:tc>
        <w:tc>
          <w:tcPr>
            <w:tcW w:w="1579" w:type="dxa"/>
            <w:tcBorders>
              <w:bottom w:val="single" w:color="auto" w:sz="12" w:space="0"/>
            </w:tcBorders>
            <w:shd w:val="clear" w:color="auto" w:fill="auto"/>
            <w:vAlign w:val="center"/>
          </w:tcPr>
          <w:p w14:paraId="2E6E2E9E">
            <w:pPr>
              <w:tabs>
                <w:tab w:val="left" w:pos="8789"/>
              </w:tabs>
              <w:adjustRightInd w:val="0"/>
              <w:snapToGrid w:val="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石油烃</w:t>
            </w:r>
          </w:p>
          <w:p w14:paraId="29000EBB">
            <w:pPr>
              <w:tabs>
                <w:tab w:val="left" w:pos="8789"/>
              </w:tabs>
              <w:adjustRightInd w:val="0"/>
              <w:snapToGrid w:val="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C</w:t>
            </w:r>
            <w:bookmarkStart w:id="597" w:name="OLE_LINK107"/>
            <w:r>
              <w:rPr>
                <w:rFonts w:hint="eastAsia" w:ascii="Times New Roman" w:hAnsi="Times New Roman" w:eastAsia="宋体" w:cs="Times New Roman"/>
                <w:color w:val="auto"/>
                <w:szCs w:val="21"/>
                <w:vertAlign w:val="subscript"/>
                <w:lang w:val="en-US" w:eastAsia="zh-CN"/>
              </w:rPr>
              <w:t>10</w:t>
            </w:r>
            <w:bookmarkEnd w:id="597"/>
            <w:r>
              <w:rPr>
                <w:rFonts w:hint="eastAsia" w:ascii="Times New Roman" w:hAnsi="Times New Roman" w:eastAsia="宋体" w:cs="Times New Roman"/>
                <w:color w:val="auto"/>
                <w:szCs w:val="21"/>
                <w:lang w:val="en-US" w:eastAsia="zh-CN"/>
              </w:rPr>
              <w:t>-C</w:t>
            </w:r>
            <w:bookmarkStart w:id="598" w:name="OLE_LINK108"/>
            <w:r>
              <w:rPr>
                <w:rFonts w:hint="eastAsia" w:ascii="Times New Roman" w:hAnsi="Times New Roman" w:eastAsia="宋体" w:cs="Times New Roman"/>
                <w:color w:val="auto"/>
                <w:szCs w:val="21"/>
                <w:vertAlign w:val="subscript"/>
                <w:lang w:val="en-US" w:eastAsia="zh-CN"/>
              </w:rPr>
              <w:t>40</w:t>
            </w:r>
            <w:bookmarkEnd w:id="598"/>
          </w:p>
        </w:tc>
        <w:tc>
          <w:tcPr>
            <w:tcW w:w="1380" w:type="dxa"/>
            <w:tcBorders>
              <w:bottom w:val="single" w:color="auto" w:sz="12" w:space="0"/>
            </w:tcBorders>
            <w:shd w:val="clear" w:color="auto" w:fill="auto"/>
            <w:vAlign w:val="center"/>
          </w:tcPr>
          <w:p w14:paraId="503F0383">
            <w:pPr>
              <w:tabs>
                <w:tab w:val="left" w:pos="8789"/>
              </w:tabs>
              <w:adjustRightInd w:val="0"/>
              <w:snapToGrid w:val="0"/>
              <w:jc w:val="center"/>
              <w:rPr>
                <w:rFonts w:hint="default" w:ascii="Times New Roman" w:hAnsi="Times New Roman" w:eastAsia="宋体" w:cs="Times New Roman"/>
                <w:color w:val="auto"/>
                <w:szCs w:val="21"/>
                <w:lang w:val="en-US" w:eastAsia="zh-CN"/>
              </w:rPr>
            </w:pPr>
            <w:sdt>
              <w:sdtPr>
                <w:rPr>
                  <w:color w:val="auto"/>
                </w:rPr>
                <w:alias w:val="标点符号检查"/>
                <w:tag w:val="auto"/>
                <w:id w:val="3021624"/>
              </w:sdtPr>
              <w:sdtEndPr>
                <w:rPr>
                  <w:color w:val="auto"/>
                </w:rPr>
              </w:sdtEndPr>
              <w:sdtContent>
                <w:bookmarkStart w:id="599" w:name="bkReivew3021624"/>
                <w:r>
                  <w:rPr>
                    <w:rFonts w:hint="eastAsia" w:ascii="Times New Roman" w:hAnsi="Times New Roman" w:eastAsia="宋体" w:cs="Times New Roman"/>
                    <w:color w:val="auto"/>
                    <w:szCs w:val="21"/>
                    <w:lang w:val="en-US" w:eastAsia="zh-CN"/>
                  </w:rPr>
                  <w:t>-</w:t>
                </w:r>
                <w:bookmarkEnd w:id="599"/>
              </w:sdtContent>
            </w:sdt>
          </w:p>
        </w:tc>
        <w:tc>
          <w:tcPr>
            <w:tcW w:w="1290" w:type="dxa"/>
            <w:tcBorders>
              <w:bottom w:val="single" w:color="auto" w:sz="12" w:space="0"/>
            </w:tcBorders>
            <w:shd w:val="clear" w:color="auto" w:fill="auto"/>
            <w:vAlign w:val="center"/>
          </w:tcPr>
          <w:p w14:paraId="63FD5B11">
            <w:pPr>
              <w:tabs>
                <w:tab w:val="left" w:pos="8789"/>
              </w:tabs>
              <w:adjustRightInd w:val="0"/>
              <w:snapToGrid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Cs w:val="21"/>
                <w:lang w:val="en-US" w:eastAsia="zh-CN"/>
              </w:rPr>
              <w:t>826</w:t>
            </w:r>
          </w:p>
        </w:tc>
        <w:tc>
          <w:tcPr>
            <w:tcW w:w="1380" w:type="dxa"/>
            <w:tcBorders>
              <w:bottom w:val="single" w:color="auto" w:sz="12" w:space="0"/>
            </w:tcBorders>
            <w:shd w:val="clear" w:color="auto" w:fill="auto"/>
            <w:vAlign w:val="center"/>
          </w:tcPr>
          <w:p w14:paraId="59E058D6">
            <w:pPr>
              <w:tabs>
                <w:tab w:val="left" w:pos="8789"/>
              </w:tabs>
              <w:adjustRightInd w:val="0"/>
              <w:snapToGrid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Cs w:val="21"/>
                <w:lang w:val="en-US" w:eastAsia="zh-CN"/>
              </w:rPr>
              <w:t>4500</w:t>
            </w:r>
          </w:p>
        </w:tc>
        <w:tc>
          <w:tcPr>
            <w:tcW w:w="1329" w:type="dxa"/>
            <w:tcBorders>
              <w:bottom w:val="single" w:color="auto" w:sz="12" w:space="0"/>
            </w:tcBorders>
            <w:shd w:val="clear" w:color="auto" w:fill="auto"/>
            <w:vAlign w:val="center"/>
          </w:tcPr>
          <w:p w14:paraId="2A591CAE">
            <w:pPr>
              <w:tabs>
                <w:tab w:val="left" w:pos="8789"/>
              </w:tabs>
              <w:adjustRightInd w:val="0"/>
              <w:snapToGrid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Cs w:val="21"/>
                <w:lang w:val="en-US" w:eastAsia="zh-CN"/>
              </w:rPr>
              <w:t>5000</w:t>
            </w:r>
          </w:p>
        </w:tc>
        <w:tc>
          <w:tcPr>
            <w:tcW w:w="1365" w:type="dxa"/>
            <w:tcBorders>
              <w:bottom w:val="single" w:color="auto" w:sz="12" w:space="0"/>
            </w:tcBorders>
            <w:shd w:val="clear" w:color="auto" w:fill="auto"/>
            <w:vAlign w:val="center"/>
          </w:tcPr>
          <w:p w14:paraId="458C3E4F">
            <w:pPr>
              <w:tabs>
                <w:tab w:val="left" w:pos="8789"/>
              </w:tabs>
              <w:adjustRightInd w:val="0"/>
              <w:snapToGrid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Cs w:val="21"/>
                <w:lang w:val="en-US" w:eastAsia="zh-CN"/>
              </w:rPr>
              <w:t>9000</w:t>
            </w:r>
          </w:p>
        </w:tc>
      </w:tr>
      <w:bookmarkEnd w:id="596"/>
    </w:tbl>
    <w:p w14:paraId="0E6557AD">
      <w:pPr>
        <w:keepNext w:val="0"/>
        <w:keepLines w:val="0"/>
        <w:pageBreakBefore w:val="0"/>
        <w:widowControl/>
        <w:kinsoku w:val="0"/>
        <w:wordWrap/>
        <w:overflowPunct/>
        <w:topLinePunct w:val="0"/>
        <w:autoSpaceDE w:val="0"/>
        <w:autoSpaceDN w:val="0"/>
        <w:bidi w:val="0"/>
        <w:adjustRightInd w:val="0"/>
        <w:snapToGrid w:val="0"/>
        <w:spacing w:before="151" w:line="240" w:lineRule="auto"/>
        <w:ind w:left="2103"/>
        <w:textAlignment w:val="baseline"/>
        <w:rPr>
          <w:rFonts w:hint="default" w:ascii="宋体" w:hAnsi="宋体" w:eastAsia="宋体" w:cs="宋体"/>
          <w:color w:val="auto"/>
          <w:sz w:val="24"/>
          <w:szCs w:val="24"/>
          <w:lang w:val="en-US"/>
        </w:rPr>
      </w:pPr>
      <w:r>
        <w:rPr>
          <w:rFonts w:ascii="宋体" w:hAnsi="宋体" w:eastAsia="宋体" w:cs="宋体"/>
          <w:b/>
          <w:bCs/>
          <w:color w:val="auto"/>
          <w:spacing w:val="-2"/>
          <w:sz w:val="24"/>
          <w:szCs w:val="24"/>
        </w:rPr>
        <w:t>表</w:t>
      </w:r>
      <w:r>
        <w:rPr>
          <w:rFonts w:ascii="Times New Roman" w:hAnsi="Times New Roman" w:eastAsia="Times New Roman" w:cs="Times New Roman"/>
          <w:b/>
          <w:bCs/>
          <w:color w:val="auto"/>
          <w:spacing w:val="-2"/>
          <w:sz w:val="24"/>
          <w:szCs w:val="24"/>
        </w:rPr>
        <w:t>3.</w:t>
      </w:r>
      <w:r>
        <w:rPr>
          <w:rFonts w:hint="eastAsia" w:ascii="Times New Roman" w:hAnsi="Times New Roman" w:eastAsia="宋体" w:cs="Times New Roman"/>
          <w:b/>
          <w:bCs/>
          <w:color w:val="auto"/>
          <w:spacing w:val="-2"/>
          <w:sz w:val="24"/>
          <w:szCs w:val="24"/>
          <w:lang w:val="en-US" w:eastAsia="zh-CN"/>
        </w:rPr>
        <w:t>2</w:t>
      </w:r>
      <w:r>
        <w:rPr>
          <w:rFonts w:ascii="Times New Roman" w:hAnsi="Times New Roman" w:eastAsia="Times New Roman"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 xml:space="preserve">6（1）  </w:t>
      </w:r>
      <w:r>
        <w:rPr>
          <w:rFonts w:ascii="宋体" w:hAnsi="宋体" w:eastAsia="宋体" w:cs="宋体"/>
          <w:b/>
          <w:bCs/>
          <w:color w:val="auto"/>
          <w:spacing w:val="-2"/>
          <w:sz w:val="24"/>
          <w:szCs w:val="24"/>
        </w:rPr>
        <w:t>农用地土壤污染风险</w:t>
      </w:r>
      <w:bookmarkStart w:id="600" w:name="OLE_LINK112"/>
      <w:r>
        <w:rPr>
          <w:rFonts w:hint="eastAsia" w:ascii="宋体" w:hAnsi="宋体" w:eastAsia="宋体" w:cs="宋体"/>
          <w:b/>
          <w:bCs/>
          <w:color w:val="auto"/>
          <w:spacing w:val="-2"/>
          <w:sz w:val="24"/>
          <w:szCs w:val="24"/>
          <w:lang w:val="en-US" w:eastAsia="zh-CN"/>
        </w:rPr>
        <w:t>筛选值</w:t>
      </w:r>
      <w:bookmarkStart w:id="601" w:name="pindex1272"/>
      <w:bookmarkEnd w:id="601"/>
    </w:p>
    <w:bookmarkEnd w:id="600"/>
    <w:tbl>
      <w:tblPr>
        <w:tblStyle w:val="26"/>
        <w:tblW w:w="8919" w:type="dxa"/>
        <w:tblInd w:w="-245"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973"/>
        <w:gridCol w:w="875"/>
        <w:gridCol w:w="1697"/>
        <w:gridCol w:w="1891"/>
        <w:gridCol w:w="1891"/>
        <w:gridCol w:w="1592"/>
      </w:tblGrid>
      <w:tr w14:paraId="6A99681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70" w:hRule="atLeast"/>
        </w:trPr>
        <w:tc>
          <w:tcPr>
            <w:tcW w:w="1848" w:type="dxa"/>
            <w:gridSpan w:val="2"/>
            <w:vMerge w:val="restart"/>
            <w:tcBorders>
              <w:tl2br w:val="nil"/>
              <w:tr2bl w:val="nil"/>
            </w:tcBorders>
            <w:vAlign w:val="center"/>
          </w:tcPr>
          <w:p w14:paraId="5AC841CC">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7071" w:type="dxa"/>
            <w:gridSpan w:val="4"/>
            <w:tcBorders>
              <w:tl2br w:val="nil"/>
              <w:tr2bl w:val="nil"/>
            </w:tcBorders>
            <w:vAlign w:val="center"/>
          </w:tcPr>
          <w:p w14:paraId="33C625B0">
            <w:pPr>
              <w:bidi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风险筛选值</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mg/kg</w:t>
            </w:r>
            <w:r>
              <w:rPr>
                <w:rFonts w:hint="default" w:ascii="Times New Roman" w:hAnsi="Times New Roman" w:eastAsia="宋体" w:cs="Times New Roman"/>
                <w:b/>
                <w:bCs/>
                <w:color w:val="auto"/>
                <w:sz w:val="21"/>
                <w:szCs w:val="21"/>
                <w:lang w:eastAsia="zh-CN"/>
              </w:rPr>
              <w:t>）</w:t>
            </w:r>
          </w:p>
        </w:tc>
      </w:tr>
      <w:tr w14:paraId="7738A05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56" w:hRule="atLeast"/>
        </w:trPr>
        <w:tc>
          <w:tcPr>
            <w:tcW w:w="1848" w:type="dxa"/>
            <w:gridSpan w:val="2"/>
            <w:vMerge w:val="continue"/>
            <w:tcBorders>
              <w:tl2br w:val="nil"/>
              <w:tr2bl w:val="nil"/>
            </w:tcBorders>
            <w:vAlign w:val="center"/>
          </w:tcPr>
          <w:p w14:paraId="45F631ED">
            <w:pPr>
              <w:bidi w:val="0"/>
              <w:jc w:val="center"/>
              <w:rPr>
                <w:rFonts w:hint="default" w:ascii="Times New Roman" w:hAnsi="Times New Roman" w:eastAsia="宋体" w:cs="Times New Roman"/>
                <w:b/>
                <w:bCs/>
                <w:color w:val="auto"/>
                <w:sz w:val="21"/>
                <w:szCs w:val="21"/>
              </w:rPr>
            </w:pPr>
          </w:p>
        </w:tc>
        <w:tc>
          <w:tcPr>
            <w:tcW w:w="1697" w:type="dxa"/>
            <w:tcBorders>
              <w:tl2br w:val="nil"/>
              <w:tr2bl w:val="nil"/>
            </w:tcBorders>
            <w:vAlign w:val="center"/>
          </w:tcPr>
          <w:p w14:paraId="55DFF219">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pH≤5.5</w:t>
            </w:r>
          </w:p>
        </w:tc>
        <w:tc>
          <w:tcPr>
            <w:tcW w:w="1891" w:type="dxa"/>
            <w:tcBorders>
              <w:tl2br w:val="nil"/>
              <w:tr2bl w:val="nil"/>
            </w:tcBorders>
            <w:vAlign w:val="center"/>
          </w:tcPr>
          <w:p w14:paraId="36FEA86E">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5</w:t>
            </w:r>
            <w:r>
              <w:rPr>
                <w:rFonts w:hint="eastAsia" w:ascii="Times New Roman" w:hAnsi="Times New Roman" w:eastAsia="宋体" w:cs="Times New Roman"/>
                <w:b/>
                <w:bCs/>
                <w:color w:val="auto"/>
                <w:sz w:val="21"/>
                <w:szCs w:val="21"/>
                <w:lang w:val="en-US" w:eastAsia="zh-CN"/>
              </w:rPr>
              <w:t>.5&lt;</w:t>
            </w:r>
            <w:r>
              <w:rPr>
                <w:rFonts w:hint="default" w:ascii="Times New Roman" w:hAnsi="Times New Roman" w:eastAsia="宋体" w:cs="Times New Roman"/>
                <w:b/>
                <w:bCs/>
                <w:color w:val="auto"/>
                <w:sz w:val="21"/>
                <w:szCs w:val="21"/>
              </w:rPr>
              <w:t>pH≤6.5</w:t>
            </w:r>
          </w:p>
        </w:tc>
        <w:tc>
          <w:tcPr>
            <w:tcW w:w="1891" w:type="dxa"/>
            <w:tcBorders>
              <w:tl2br w:val="nil"/>
              <w:tr2bl w:val="nil"/>
            </w:tcBorders>
            <w:vAlign w:val="center"/>
          </w:tcPr>
          <w:p w14:paraId="764B6AE7">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6.5</w:t>
            </w:r>
            <w:r>
              <w:rPr>
                <w:rFonts w:hint="eastAsia" w:ascii="Times New Roman" w:hAnsi="Times New Roman" w:eastAsia="宋体" w:cs="Times New Roman"/>
                <w:b/>
                <w:bCs/>
                <w:color w:val="auto"/>
                <w:sz w:val="21"/>
                <w:szCs w:val="21"/>
                <w:lang w:eastAsia="zh-CN"/>
              </w:rPr>
              <w:t>&lt;</w:t>
            </w:r>
            <w:r>
              <w:rPr>
                <w:rFonts w:hint="default" w:ascii="Times New Roman" w:hAnsi="Times New Roman" w:eastAsia="宋体" w:cs="Times New Roman"/>
                <w:b/>
                <w:bCs/>
                <w:color w:val="auto"/>
                <w:sz w:val="21"/>
                <w:szCs w:val="21"/>
              </w:rPr>
              <w:t>pH≤7.5</w:t>
            </w:r>
          </w:p>
        </w:tc>
        <w:tc>
          <w:tcPr>
            <w:tcW w:w="1592" w:type="dxa"/>
            <w:tcBorders>
              <w:tl2br w:val="nil"/>
              <w:tr2bl w:val="nil"/>
            </w:tcBorders>
            <w:vAlign w:val="center"/>
          </w:tcPr>
          <w:p w14:paraId="6011AFC1">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pH</w:t>
            </w:r>
            <w:r>
              <w:rPr>
                <w:rFonts w:hint="eastAsia" w:ascii="Times New Roman" w:hAnsi="Times New Roman" w:eastAsia="宋体" w:cs="Times New Roman"/>
                <w:b/>
                <w:bCs/>
                <w:color w:val="auto"/>
                <w:sz w:val="21"/>
                <w:szCs w:val="21"/>
                <w:lang w:eastAsia="zh-CN"/>
              </w:rPr>
              <w:t>&gt;</w:t>
            </w:r>
            <w:r>
              <w:rPr>
                <w:rFonts w:hint="default" w:ascii="Times New Roman" w:hAnsi="Times New Roman" w:eastAsia="宋体" w:cs="Times New Roman"/>
                <w:b/>
                <w:bCs/>
                <w:color w:val="auto"/>
                <w:sz w:val="21"/>
                <w:szCs w:val="21"/>
              </w:rPr>
              <w:t>7.5</w:t>
            </w:r>
          </w:p>
        </w:tc>
      </w:tr>
      <w:tr w14:paraId="4B33F5F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2" w:hRule="atLeast"/>
        </w:trPr>
        <w:tc>
          <w:tcPr>
            <w:tcW w:w="973" w:type="dxa"/>
            <w:vMerge w:val="restart"/>
            <w:tcBorders>
              <w:tl2br w:val="nil"/>
              <w:tr2bl w:val="nil"/>
            </w:tcBorders>
            <w:vAlign w:val="center"/>
          </w:tcPr>
          <w:p w14:paraId="360CFC2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镉</w:t>
            </w:r>
          </w:p>
        </w:tc>
        <w:tc>
          <w:tcPr>
            <w:tcW w:w="875" w:type="dxa"/>
            <w:tcBorders>
              <w:tl2br w:val="nil"/>
              <w:tr2bl w:val="nil"/>
            </w:tcBorders>
            <w:vAlign w:val="center"/>
          </w:tcPr>
          <w:p w14:paraId="471BDB9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水田</w:t>
            </w:r>
          </w:p>
        </w:tc>
        <w:tc>
          <w:tcPr>
            <w:tcW w:w="1697" w:type="dxa"/>
            <w:tcBorders>
              <w:tl2br w:val="nil"/>
              <w:tr2bl w:val="nil"/>
            </w:tcBorders>
            <w:vAlign w:val="center"/>
          </w:tcPr>
          <w:p w14:paraId="2FE88BD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w:t>
            </w:r>
          </w:p>
        </w:tc>
        <w:tc>
          <w:tcPr>
            <w:tcW w:w="1891" w:type="dxa"/>
            <w:tcBorders>
              <w:tl2br w:val="nil"/>
              <w:tr2bl w:val="nil"/>
            </w:tcBorders>
            <w:vAlign w:val="center"/>
          </w:tcPr>
          <w:p w14:paraId="40648C2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0.4</w:t>
            </w:r>
          </w:p>
        </w:tc>
        <w:tc>
          <w:tcPr>
            <w:tcW w:w="1891" w:type="dxa"/>
            <w:tcBorders>
              <w:tl2br w:val="nil"/>
              <w:tr2bl w:val="nil"/>
            </w:tcBorders>
            <w:vAlign w:val="center"/>
          </w:tcPr>
          <w:p w14:paraId="574C5A7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592" w:type="dxa"/>
            <w:tcBorders>
              <w:tl2br w:val="nil"/>
              <w:tr2bl w:val="nil"/>
            </w:tcBorders>
            <w:vAlign w:val="center"/>
          </w:tcPr>
          <w:p w14:paraId="1268C40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r>
      <w:tr w14:paraId="2CFA0C2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4" w:hRule="atLeast"/>
        </w:trPr>
        <w:tc>
          <w:tcPr>
            <w:tcW w:w="973" w:type="dxa"/>
            <w:vMerge w:val="continue"/>
            <w:tcBorders>
              <w:tl2br w:val="nil"/>
              <w:tr2bl w:val="nil"/>
            </w:tcBorders>
            <w:vAlign w:val="center"/>
          </w:tcPr>
          <w:p w14:paraId="047A5CDF">
            <w:pPr>
              <w:bidi w:val="0"/>
              <w:jc w:val="center"/>
              <w:rPr>
                <w:rFonts w:hint="default" w:ascii="Times New Roman" w:hAnsi="Times New Roman" w:eastAsia="宋体" w:cs="Times New Roman"/>
                <w:color w:val="auto"/>
                <w:sz w:val="21"/>
                <w:szCs w:val="21"/>
              </w:rPr>
            </w:pPr>
          </w:p>
        </w:tc>
        <w:tc>
          <w:tcPr>
            <w:tcW w:w="875" w:type="dxa"/>
            <w:tcBorders>
              <w:tl2br w:val="nil"/>
              <w:tr2bl w:val="nil"/>
            </w:tcBorders>
            <w:vAlign w:val="center"/>
          </w:tcPr>
          <w:p w14:paraId="1060AC4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w:t>
            </w:r>
          </w:p>
        </w:tc>
        <w:tc>
          <w:tcPr>
            <w:tcW w:w="1697" w:type="dxa"/>
            <w:tcBorders>
              <w:tl2br w:val="nil"/>
              <w:tr2bl w:val="nil"/>
            </w:tcBorders>
            <w:vAlign w:val="center"/>
          </w:tcPr>
          <w:p w14:paraId="41DC9A4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w:t>
            </w:r>
          </w:p>
        </w:tc>
        <w:tc>
          <w:tcPr>
            <w:tcW w:w="1891" w:type="dxa"/>
            <w:tcBorders>
              <w:tl2br w:val="nil"/>
              <w:tr2bl w:val="nil"/>
            </w:tcBorders>
            <w:vAlign w:val="center"/>
          </w:tcPr>
          <w:p w14:paraId="392AEF0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w:t>
            </w:r>
          </w:p>
        </w:tc>
        <w:tc>
          <w:tcPr>
            <w:tcW w:w="1891" w:type="dxa"/>
            <w:tcBorders>
              <w:tl2br w:val="nil"/>
              <w:tr2bl w:val="nil"/>
            </w:tcBorders>
            <w:vAlign w:val="center"/>
          </w:tcPr>
          <w:p w14:paraId="003F5DB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w:t>
            </w:r>
          </w:p>
        </w:tc>
        <w:tc>
          <w:tcPr>
            <w:tcW w:w="1592" w:type="dxa"/>
            <w:tcBorders>
              <w:tl2br w:val="nil"/>
              <w:tr2bl w:val="nil"/>
            </w:tcBorders>
            <w:vAlign w:val="center"/>
          </w:tcPr>
          <w:p w14:paraId="2F346C2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r>
      <w:tr w14:paraId="1AD8479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973" w:type="dxa"/>
            <w:vMerge w:val="restart"/>
            <w:tcBorders>
              <w:tl2br w:val="nil"/>
              <w:tr2bl w:val="nil"/>
            </w:tcBorders>
            <w:vAlign w:val="center"/>
          </w:tcPr>
          <w:p w14:paraId="74568AD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汞</w:t>
            </w:r>
          </w:p>
        </w:tc>
        <w:tc>
          <w:tcPr>
            <w:tcW w:w="875" w:type="dxa"/>
            <w:tcBorders>
              <w:tl2br w:val="nil"/>
              <w:tr2bl w:val="nil"/>
            </w:tcBorders>
            <w:vAlign w:val="center"/>
          </w:tcPr>
          <w:p w14:paraId="68A2CBD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水田</w:t>
            </w:r>
          </w:p>
        </w:tc>
        <w:tc>
          <w:tcPr>
            <w:tcW w:w="1697" w:type="dxa"/>
            <w:tcBorders>
              <w:tl2br w:val="nil"/>
              <w:tr2bl w:val="nil"/>
            </w:tcBorders>
            <w:vAlign w:val="center"/>
          </w:tcPr>
          <w:p w14:paraId="419A321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891" w:type="dxa"/>
            <w:tcBorders>
              <w:tl2br w:val="nil"/>
              <w:tr2bl w:val="nil"/>
            </w:tcBorders>
            <w:vAlign w:val="center"/>
          </w:tcPr>
          <w:p w14:paraId="5CCEC09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891" w:type="dxa"/>
            <w:tcBorders>
              <w:tl2br w:val="nil"/>
              <w:tr2bl w:val="nil"/>
            </w:tcBorders>
            <w:vAlign w:val="center"/>
          </w:tcPr>
          <w:p w14:paraId="3DB9AF4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1592" w:type="dxa"/>
            <w:tcBorders>
              <w:tl2br w:val="nil"/>
              <w:tr2bl w:val="nil"/>
            </w:tcBorders>
            <w:vAlign w:val="center"/>
          </w:tcPr>
          <w:p w14:paraId="1B1E84B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r>
      <w:tr w14:paraId="62CD9FD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4" w:hRule="atLeast"/>
        </w:trPr>
        <w:tc>
          <w:tcPr>
            <w:tcW w:w="973" w:type="dxa"/>
            <w:vMerge w:val="continue"/>
            <w:tcBorders>
              <w:tl2br w:val="nil"/>
              <w:tr2bl w:val="nil"/>
            </w:tcBorders>
            <w:vAlign w:val="center"/>
          </w:tcPr>
          <w:p w14:paraId="2781985B">
            <w:pPr>
              <w:bidi w:val="0"/>
              <w:jc w:val="center"/>
              <w:rPr>
                <w:rFonts w:hint="default" w:ascii="Times New Roman" w:hAnsi="Times New Roman" w:eastAsia="宋体" w:cs="Times New Roman"/>
                <w:color w:val="auto"/>
                <w:sz w:val="21"/>
                <w:szCs w:val="21"/>
              </w:rPr>
            </w:pPr>
          </w:p>
        </w:tc>
        <w:tc>
          <w:tcPr>
            <w:tcW w:w="875" w:type="dxa"/>
            <w:tcBorders>
              <w:tl2br w:val="nil"/>
              <w:tr2bl w:val="nil"/>
            </w:tcBorders>
            <w:vAlign w:val="center"/>
          </w:tcPr>
          <w:p w14:paraId="1A2E728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w:t>
            </w:r>
          </w:p>
        </w:tc>
        <w:tc>
          <w:tcPr>
            <w:tcW w:w="1697" w:type="dxa"/>
            <w:tcBorders>
              <w:tl2br w:val="nil"/>
              <w:tr2bl w:val="nil"/>
            </w:tcBorders>
            <w:vAlign w:val="center"/>
          </w:tcPr>
          <w:p w14:paraId="26636F7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891" w:type="dxa"/>
            <w:tcBorders>
              <w:tl2br w:val="nil"/>
              <w:tr2bl w:val="nil"/>
            </w:tcBorders>
            <w:vAlign w:val="center"/>
          </w:tcPr>
          <w:p w14:paraId="199C5C6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891" w:type="dxa"/>
            <w:tcBorders>
              <w:tl2br w:val="nil"/>
              <w:tr2bl w:val="nil"/>
            </w:tcBorders>
            <w:vAlign w:val="center"/>
          </w:tcPr>
          <w:p w14:paraId="572F34A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1592" w:type="dxa"/>
            <w:tcBorders>
              <w:tl2br w:val="nil"/>
              <w:tr2bl w:val="nil"/>
            </w:tcBorders>
            <w:vAlign w:val="center"/>
          </w:tcPr>
          <w:p w14:paraId="6353405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r>
      <w:tr w14:paraId="4E41BC1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2" w:hRule="atLeast"/>
        </w:trPr>
        <w:tc>
          <w:tcPr>
            <w:tcW w:w="973" w:type="dxa"/>
            <w:vMerge w:val="restart"/>
            <w:tcBorders>
              <w:tl2br w:val="nil"/>
              <w:tr2bl w:val="nil"/>
            </w:tcBorders>
            <w:vAlign w:val="center"/>
          </w:tcPr>
          <w:p w14:paraId="382C3FB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w:t>
            </w:r>
          </w:p>
        </w:tc>
        <w:tc>
          <w:tcPr>
            <w:tcW w:w="875" w:type="dxa"/>
            <w:tcBorders>
              <w:tl2br w:val="nil"/>
              <w:tr2bl w:val="nil"/>
            </w:tcBorders>
            <w:vAlign w:val="center"/>
          </w:tcPr>
          <w:p w14:paraId="39EA5B4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水田</w:t>
            </w:r>
          </w:p>
        </w:tc>
        <w:tc>
          <w:tcPr>
            <w:tcW w:w="1697" w:type="dxa"/>
            <w:tcBorders>
              <w:tl2br w:val="nil"/>
              <w:tr2bl w:val="nil"/>
            </w:tcBorders>
            <w:vAlign w:val="center"/>
          </w:tcPr>
          <w:p w14:paraId="43DB596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1891" w:type="dxa"/>
            <w:tcBorders>
              <w:tl2br w:val="nil"/>
              <w:tr2bl w:val="nil"/>
            </w:tcBorders>
            <w:vAlign w:val="center"/>
          </w:tcPr>
          <w:p w14:paraId="50D8E6E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1891" w:type="dxa"/>
            <w:tcBorders>
              <w:tl2br w:val="nil"/>
              <w:tr2bl w:val="nil"/>
            </w:tcBorders>
            <w:vAlign w:val="center"/>
          </w:tcPr>
          <w:p w14:paraId="0150B6E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592" w:type="dxa"/>
            <w:tcBorders>
              <w:tl2br w:val="nil"/>
              <w:tr2bl w:val="nil"/>
            </w:tcBorders>
            <w:vAlign w:val="center"/>
          </w:tcPr>
          <w:p w14:paraId="1562F95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r>
      <w:tr w14:paraId="114C077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4" w:hRule="atLeast"/>
        </w:trPr>
        <w:tc>
          <w:tcPr>
            <w:tcW w:w="973" w:type="dxa"/>
            <w:vMerge w:val="continue"/>
            <w:tcBorders>
              <w:tl2br w:val="nil"/>
              <w:tr2bl w:val="nil"/>
            </w:tcBorders>
            <w:vAlign w:val="center"/>
          </w:tcPr>
          <w:p w14:paraId="50D2BFB7">
            <w:pPr>
              <w:bidi w:val="0"/>
              <w:jc w:val="center"/>
              <w:rPr>
                <w:rFonts w:hint="default" w:ascii="Times New Roman" w:hAnsi="Times New Roman" w:eastAsia="宋体" w:cs="Times New Roman"/>
                <w:color w:val="auto"/>
                <w:sz w:val="21"/>
                <w:szCs w:val="21"/>
              </w:rPr>
            </w:pPr>
          </w:p>
        </w:tc>
        <w:tc>
          <w:tcPr>
            <w:tcW w:w="875" w:type="dxa"/>
            <w:tcBorders>
              <w:tl2br w:val="nil"/>
              <w:tr2bl w:val="nil"/>
            </w:tcBorders>
            <w:vAlign w:val="center"/>
          </w:tcPr>
          <w:p w14:paraId="2CF955E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w:t>
            </w:r>
          </w:p>
        </w:tc>
        <w:tc>
          <w:tcPr>
            <w:tcW w:w="1697" w:type="dxa"/>
            <w:tcBorders>
              <w:tl2br w:val="nil"/>
              <w:tr2bl w:val="nil"/>
            </w:tcBorders>
            <w:vAlign w:val="center"/>
          </w:tcPr>
          <w:p w14:paraId="3EA2E46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c>
          <w:tcPr>
            <w:tcW w:w="1891" w:type="dxa"/>
            <w:tcBorders>
              <w:tl2br w:val="nil"/>
              <w:tr2bl w:val="nil"/>
            </w:tcBorders>
            <w:vAlign w:val="center"/>
          </w:tcPr>
          <w:p w14:paraId="73C0CC2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c>
          <w:tcPr>
            <w:tcW w:w="1891" w:type="dxa"/>
            <w:tcBorders>
              <w:tl2br w:val="nil"/>
              <w:tr2bl w:val="nil"/>
            </w:tcBorders>
            <w:vAlign w:val="center"/>
          </w:tcPr>
          <w:p w14:paraId="384B2E4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1592" w:type="dxa"/>
            <w:tcBorders>
              <w:tl2br w:val="nil"/>
              <w:tr2bl w:val="nil"/>
            </w:tcBorders>
            <w:vAlign w:val="center"/>
          </w:tcPr>
          <w:p w14:paraId="52C46C0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r>
      <w:tr w14:paraId="5A71996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973" w:type="dxa"/>
            <w:vMerge w:val="restart"/>
            <w:tcBorders>
              <w:tl2br w:val="nil"/>
              <w:tr2bl w:val="nil"/>
            </w:tcBorders>
            <w:vAlign w:val="center"/>
          </w:tcPr>
          <w:p w14:paraId="50F72CB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p>
        </w:tc>
        <w:tc>
          <w:tcPr>
            <w:tcW w:w="875" w:type="dxa"/>
            <w:tcBorders>
              <w:tl2br w:val="nil"/>
              <w:tr2bl w:val="nil"/>
            </w:tcBorders>
            <w:vAlign w:val="center"/>
          </w:tcPr>
          <w:p w14:paraId="62698A0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水田</w:t>
            </w:r>
          </w:p>
        </w:tc>
        <w:tc>
          <w:tcPr>
            <w:tcW w:w="1697" w:type="dxa"/>
            <w:tcBorders>
              <w:tl2br w:val="nil"/>
              <w:tr2bl w:val="nil"/>
            </w:tcBorders>
            <w:vAlign w:val="center"/>
          </w:tcPr>
          <w:p w14:paraId="604CD34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c>
          <w:tcPr>
            <w:tcW w:w="1891" w:type="dxa"/>
            <w:tcBorders>
              <w:tl2br w:val="nil"/>
              <w:tr2bl w:val="nil"/>
            </w:tcBorders>
            <w:vAlign w:val="center"/>
          </w:tcPr>
          <w:p w14:paraId="3102DBA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891" w:type="dxa"/>
            <w:tcBorders>
              <w:tl2br w:val="nil"/>
              <w:tr2bl w:val="nil"/>
            </w:tcBorders>
            <w:vAlign w:val="center"/>
          </w:tcPr>
          <w:p w14:paraId="64CFE20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w:t>
            </w:r>
          </w:p>
        </w:tc>
        <w:tc>
          <w:tcPr>
            <w:tcW w:w="1592" w:type="dxa"/>
            <w:tcBorders>
              <w:tl2br w:val="nil"/>
              <w:tr2bl w:val="nil"/>
            </w:tcBorders>
            <w:vAlign w:val="center"/>
          </w:tcPr>
          <w:p w14:paraId="5364D5F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240</w:t>
            </w:r>
          </w:p>
        </w:tc>
      </w:tr>
      <w:tr w14:paraId="6FB3B57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2" w:hRule="atLeast"/>
        </w:trPr>
        <w:tc>
          <w:tcPr>
            <w:tcW w:w="973" w:type="dxa"/>
            <w:vMerge w:val="continue"/>
            <w:tcBorders>
              <w:tl2br w:val="nil"/>
              <w:tr2bl w:val="nil"/>
            </w:tcBorders>
            <w:vAlign w:val="center"/>
          </w:tcPr>
          <w:p w14:paraId="34FAC8E0">
            <w:pPr>
              <w:bidi w:val="0"/>
              <w:jc w:val="center"/>
              <w:rPr>
                <w:rFonts w:hint="default" w:ascii="Times New Roman" w:hAnsi="Times New Roman" w:eastAsia="宋体" w:cs="Times New Roman"/>
                <w:color w:val="auto"/>
                <w:sz w:val="21"/>
                <w:szCs w:val="21"/>
              </w:rPr>
            </w:pPr>
          </w:p>
        </w:tc>
        <w:tc>
          <w:tcPr>
            <w:tcW w:w="875" w:type="dxa"/>
            <w:tcBorders>
              <w:tl2br w:val="nil"/>
              <w:tr2bl w:val="nil"/>
            </w:tcBorders>
            <w:vAlign w:val="center"/>
          </w:tcPr>
          <w:p w14:paraId="249A808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w:t>
            </w:r>
          </w:p>
        </w:tc>
        <w:tc>
          <w:tcPr>
            <w:tcW w:w="1697" w:type="dxa"/>
            <w:tcBorders>
              <w:tl2br w:val="nil"/>
              <w:tr2bl w:val="nil"/>
            </w:tcBorders>
            <w:vAlign w:val="center"/>
          </w:tcPr>
          <w:p w14:paraId="56B399D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1891" w:type="dxa"/>
            <w:tcBorders>
              <w:tl2br w:val="nil"/>
              <w:tr2bl w:val="nil"/>
            </w:tcBorders>
            <w:vAlign w:val="center"/>
          </w:tcPr>
          <w:p w14:paraId="16C5D81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w:t>
            </w:r>
          </w:p>
        </w:tc>
        <w:tc>
          <w:tcPr>
            <w:tcW w:w="1891" w:type="dxa"/>
            <w:tcBorders>
              <w:tl2br w:val="nil"/>
              <w:tr2bl w:val="nil"/>
            </w:tcBorders>
            <w:vAlign w:val="center"/>
          </w:tcPr>
          <w:p w14:paraId="3258224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w:t>
            </w:r>
          </w:p>
        </w:tc>
        <w:tc>
          <w:tcPr>
            <w:tcW w:w="1592" w:type="dxa"/>
            <w:tcBorders>
              <w:tl2br w:val="nil"/>
              <w:tr2bl w:val="nil"/>
            </w:tcBorders>
            <w:vAlign w:val="center"/>
          </w:tcPr>
          <w:p w14:paraId="6678D2C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170</w:t>
            </w:r>
          </w:p>
        </w:tc>
      </w:tr>
      <w:tr w14:paraId="6B7E92A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973" w:type="dxa"/>
            <w:vMerge w:val="restart"/>
            <w:tcBorders>
              <w:tl2br w:val="nil"/>
              <w:tr2bl w:val="nil"/>
            </w:tcBorders>
            <w:vAlign w:val="center"/>
          </w:tcPr>
          <w:p w14:paraId="224A6C8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铬</w:t>
            </w:r>
          </w:p>
        </w:tc>
        <w:tc>
          <w:tcPr>
            <w:tcW w:w="875" w:type="dxa"/>
            <w:tcBorders>
              <w:tl2br w:val="nil"/>
              <w:tr2bl w:val="nil"/>
            </w:tcBorders>
            <w:vAlign w:val="center"/>
          </w:tcPr>
          <w:p w14:paraId="55693D7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水田</w:t>
            </w:r>
          </w:p>
        </w:tc>
        <w:tc>
          <w:tcPr>
            <w:tcW w:w="1697" w:type="dxa"/>
            <w:tcBorders>
              <w:tl2br w:val="nil"/>
              <w:tr2bl w:val="nil"/>
            </w:tcBorders>
            <w:vAlign w:val="center"/>
          </w:tcPr>
          <w:p w14:paraId="26C1227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1891" w:type="dxa"/>
            <w:tcBorders>
              <w:tl2br w:val="nil"/>
              <w:tr2bl w:val="nil"/>
            </w:tcBorders>
            <w:vAlign w:val="center"/>
          </w:tcPr>
          <w:p w14:paraId="16DBCFA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1891" w:type="dxa"/>
            <w:tcBorders>
              <w:tl2br w:val="nil"/>
              <w:tr2bl w:val="nil"/>
            </w:tcBorders>
            <w:vAlign w:val="center"/>
          </w:tcPr>
          <w:p w14:paraId="61EC235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592" w:type="dxa"/>
            <w:tcBorders>
              <w:tl2br w:val="nil"/>
              <w:tr2bl w:val="nil"/>
            </w:tcBorders>
            <w:vAlign w:val="center"/>
          </w:tcPr>
          <w:p w14:paraId="50C43D7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350</w:t>
            </w:r>
          </w:p>
        </w:tc>
      </w:tr>
      <w:tr w14:paraId="52B2123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973" w:type="dxa"/>
            <w:vMerge w:val="continue"/>
            <w:tcBorders>
              <w:tl2br w:val="nil"/>
              <w:tr2bl w:val="nil"/>
            </w:tcBorders>
            <w:vAlign w:val="center"/>
          </w:tcPr>
          <w:p w14:paraId="04465495">
            <w:pPr>
              <w:bidi w:val="0"/>
              <w:jc w:val="center"/>
              <w:rPr>
                <w:rFonts w:hint="default" w:ascii="Times New Roman" w:hAnsi="Times New Roman" w:eastAsia="宋体" w:cs="Times New Roman"/>
                <w:color w:val="auto"/>
                <w:sz w:val="21"/>
                <w:szCs w:val="21"/>
              </w:rPr>
            </w:pPr>
          </w:p>
        </w:tc>
        <w:tc>
          <w:tcPr>
            <w:tcW w:w="875" w:type="dxa"/>
            <w:tcBorders>
              <w:tl2br w:val="nil"/>
              <w:tr2bl w:val="nil"/>
            </w:tcBorders>
            <w:vAlign w:val="center"/>
          </w:tcPr>
          <w:p w14:paraId="46C6889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w:t>
            </w:r>
          </w:p>
        </w:tc>
        <w:tc>
          <w:tcPr>
            <w:tcW w:w="1697" w:type="dxa"/>
            <w:tcBorders>
              <w:tl2br w:val="nil"/>
              <w:tr2bl w:val="nil"/>
            </w:tcBorders>
            <w:vAlign w:val="center"/>
          </w:tcPr>
          <w:p w14:paraId="36F7106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1891" w:type="dxa"/>
            <w:tcBorders>
              <w:tl2br w:val="nil"/>
              <w:tr2bl w:val="nil"/>
            </w:tcBorders>
            <w:vAlign w:val="center"/>
          </w:tcPr>
          <w:p w14:paraId="51C84CB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1891" w:type="dxa"/>
            <w:tcBorders>
              <w:tl2br w:val="nil"/>
              <w:tr2bl w:val="nil"/>
            </w:tcBorders>
            <w:vAlign w:val="center"/>
          </w:tcPr>
          <w:p w14:paraId="2F17AC4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592" w:type="dxa"/>
            <w:tcBorders>
              <w:tl2br w:val="nil"/>
              <w:tr2bl w:val="nil"/>
            </w:tcBorders>
            <w:vAlign w:val="center"/>
          </w:tcPr>
          <w:p w14:paraId="156FD4F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r>
      <w:tr w14:paraId="3B57C15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4" w:hRule="atLeast"/>
        </w:trPr>
        <w:tc>
          <w:tcPr>
            <w:tcW w:w="973" w:type="dxa"/>
            <w:vMerge w:val="restart"/>
            <w:tcBorders>
              <w:tl2br w:val="nil"/>
              <w:tr2bl w:val="nil"/>
            </w:tcBorders>
            <w:vAlign w:val="center"/>
          </w:tcPr>
          <w:p w14:paraId="4805502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铜</w:t>
            </w:r>
          </w:p>
        </w:tc>
        <w:tc>
          <w:tcPr>
            <w:tcW w:w="875" w:type="dxa"/>
            <w:tcBorders>
              <w:tl2br w:val="nil"/>
              <w:tr2bl w:val="nil"/>
            </w:tcBorders>
            <w:vAlign w:val="center"/>
          </w:tcPr>
          <w:p w14:paraId="3F833C6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水田</w:t>
            </w:r>
          </w:p>
        </w:tc>
        <w:tc>
          <w:tcPr>
            <w:tcW w:w="1697" w:type="dxa"/>
            <w:tcBorders>
              <w:tl2br w:val="nil"/>
              <w:tr2bl w:val="nil"/>
            </w:tcBorders>
            <w:vAlign w:val="center"/>
          </w:tcPr>
          <w:p w14:paraId="62D8F76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1891" w:type="dxa"/>
            <w:tcBorders>
              <w:tl2br w:val="nil"/>
              <w:tr2bl w:val="nil"/>
            </w:tcBorders>
            <w:vAlign w:val="center"/>
          </w:tcPr>
          <w:p w14:paraId="3005032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1891" w:type="dxa"/>
            <w:tcBorders>
              <w:tl2br w:val="nil"/>
              <w:tr2bl w:val="nil"/>
            </w:tcBorders>
            <w:vAlign w:val="center"/>
          </w:tcPr>
          <w:p w14:paraId="598C336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592" w:type="dxa"/>
            <w:tcBorders>
              <w:tl2br w:val="nil"/>
              <w:tr2bl w:val="nil"/>
            </w:tcBorders>
            <w:vAlign w:val="center"/>
          </w:tcPr>
          <w:p w14:paraId="34193B1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r>
      <w:tr w14:paraId="2C7B131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2" w:hRule="atLeast"/>
        </w:trPr>
        <w:tc>
          <w:tcPr>
            <w:tcW w:w="973" w:type="dxa"/>
            <w:vMerge w:val="continue"/>
            <w:tcBorders>
              <w:tl2br w:val="nil"/>
              <w:tr2bl w:val="nil"/>
            </w:tcBorders>
            <w:vAlign w:val="center"/>
          </w:tcPr>
          <w:p w14:paraId="5CC54D4F">
            <w:pPr>
              <w:bidi w:val="0"/>
              <w:jc w:val="center"/>
              <w:rPr>
                <w:rFonts w:hint="default" w:ascii="Times New Roman" w:hAnsi="Times New Roman" w:eastAsia="宋体" w:cs="Times New Roman"/>
                <w:color w:val="auto"/>
                <w:sz w:val="21"/>
                <w:szCs w:val="21"/>
              </w:rPr>
            </w:pPr>
          </w:p>
        </w:tc>
        <w:tc>
          <w:tcPr>
            <w:tcW w:w="875" w:type="dxa"/>
            <w:tcBorders>
              <w:tl2br w:val="nil"/>
              <w:tr2bl w:val="nil"/>
            </w:tcBorders>
            <w:vAlign w:val="center"/>
          </w:tcPr>
          <w:p w14:paraId="1023DD4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w:t>
            </w:r>
          </w:p>
        </w:tc>
        <w:tc>
          <w:tcPr>
            <w:tcW w:w="1697" w:type="dxa"/>
            <w:tcBorders>
              <w:tl2br w:val="nil"/>
              <w:tr2bl w:val="nil"/>
            </w:tcBorders>
            <w:vAlign w:val="center"/>
          </w:tcPr>
          <w:p w14:paraId="7D0BA49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891" w:type="dxa"/>
            <w:tcBorders>
              <w:tl2br w:val="nil"/>
              <w:tr2bl w:val="nil"/>
            </w:tcBorders>
            <w:vAlign w:val="center"/>
          </w:tcPr>
          <w:p w14:paraId="7BA906C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891" w:type="dxa"/>
            <w:tcBorders>
              <w:tl2br w:val="nil"/>
              <w:tr2bl w:val="nil"/>
            </w:tcBorders>
            <w:vAlign w:val="center"/>
          </w:tcPr>
          <w:p w14:paraId="101197F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592" w:type="dxa"/>
            <w:tcBorders>
              <w:tl2br w:val="nil"/>
              <w:tr2bl w:val="nil"/>
            </w:tcBorders>
            <w:vAlign w:val="center"/>
          </w:tcPr>
          <w:p w14:paraId="0CB1DB2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r>
      <w:tr w14:paraId="40305B8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3" w:hRule="atLeast"/>
        </w:trPr>
        <w:tc>
          <w:tcPr>
            <w:tcW w:w="1848" w:type="dxa"/>
            <w:gridSpan w:val="2"/>
            <w:tcBorders>
              <w:tl2br w:val="nil"/>
              <w:tr2bl w:val="nil"/>
            </w:tcBorders>
            <w:vAlign w:val="center"/>
          </w:tcPr>
          <w:p w14:paraId="3310031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镍</w:t>
            </w:r>
          </w:p>
        </w:tc>
        <w:tc>
          <w:tcPr>
            <w:tcW w:w="1697" w:type="dxa"/>
            <w:tcBorders>
              <w:tl2br w:val="nil"/>
              <w:tr2bl w:val="nil"/>
            </w:tcBorders>
            <w:vAlign w:val="center"/>
          </w:tcPr>
          <w:p w14:paraId="72DD24C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891" w:type="dxa"/>
            <w:tcBorders>
              <w:tl2br w:val="nil"/>
              <w:tr2bl w:val="nil"/>
            </w:tcBorders>
            <w:vAlign w:val="center"/>
          </w:tcPr>
          <w:p w14:paraId="5A256CA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1891" w:type="dxa"/>
            <w:tcBorders>
              <w:tl2br w:val="nil"/>
              <w:tr2bl w:val="nil"/>
            </w:tcBorders>
            <w:vAlign w:val="center"/>
          </w:tcPr>
          <w:p w14:paraId="45A88F0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592" w:type="dxa"/>
            <w:tcBorders>
              <w:tl2br w:val="nil"/>
              <w:tr2bl w:val="nil"/>
            </w:tcBorders>
            <w:vAlign w:val="center"/>
          </w:tcPr>
          <w:p w14:paraId="316E7D0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190</w:t>
            </w:r>
          </w:p>
        </w:tc>
      </w:tr>
      <w:tr w14:paraId="0C3DCCE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1848" w:type="dxa"/>
            <w:gridSpan w:val="2"/>
            <w:tcBorders>
              <w:tl2br w:val="nil"/>
              <w:tr2bl w:val="nil"/>
            </w:tcBorders>
            <w:vAlign w:val="center"/>
          </w:tcPr>
          <w:p w14:paraId="0CB0B10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锌</w:t>
            </w:r>
          </w:p>
        </w:tc>
        <w:tc>
          <w:tcPr>
            <w:tcW w:w="1697" w:type="dxa"/>
            <w:tcBorders>
              <w:tl2br w:val="nil"/>
              <w:tr2bl w:val="nil"/>
            </w:tcBorders>
            <w:vAlign w:val="center"/>
          </w:tcPr>
          <w:p w14:paraId="1670DA0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891" w:type="dxa"/>
            <w:tcBorders>
              <w:tl2br w:val="nil"/>
              <w:tr2bl w:val="nil"/>
            </w:tcBorders>
            <w:vAlign w:val="center"/>
          </w:tcPr>
          <w:p w14:paraId="40F8825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891" w:type="dxa"/>
            <w:tcBorders>
              <w:tl2br w:val="nil"/>
              <w:tr2bl w:val="nil"/>
            </w:tcBorders>
            <w:vAlign w:val="center"/>
          </w:tcPr>
          <w:p w14:paraId="5AA5D34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1592" w:type="dxa"/>
            <w:tcBorders>
              <w:tl2br w:val="nil"/>
              <w:tr2bl w:val="nil"/>
            </w:tcBorders>
            <w:vAlign w:val="center"/>
          </w:tcPr>
          <w:p w14:paraId="0D946CF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r>
      <w:tr w14:paraId="35CF043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8919" w:type="dxa"/>
            <w:gridSpan w:val="6"/>
            <w:tcBorders>
              <w:tl2br w:val="nil"/>
              <w:tr2bl w:val="nil"/>
            </w:tcBorders>
            <w:vAlign w:val="center"/>
          </w:tcPr>
          <w:p w14:paraId="41A4B084">
            <w:pPr>
              <w:bidi w:val="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注：①重金属和类金属砷按元素总量计。</w:t>
            </w:r>
          </w:p>
          <w:p w14:paraId="0ADC66DE">
            <w:pPr>
              <w:bidi w:val="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②对于水旱轮作地，采用其中较严格的风险筛选值。</w:t>
            </w:r>
          </w:p>
        </w:tc>
      </w:tr>
    </w:tbl>
    <w:p w14:paraId="6F0E6E65">
      <w:pPr>
        <w:keepNext w:val="0"/>
        <w:keepLines w:val="0"/>
        <w:pageBreakBefore w:val="0"/>
        <w:widowControl/>
        <w:kinsoku w:val="0"/>
        <w:wordWrap/>
        <w:overflowPunct/>
        <w:topLinePunct w:val="0"/>
        <w:autoSpaceDE w:val="0"/>
        <w:autoSpaceDN w:val="0"/>
        <w:bidi w:val="0"/>
        <w:adjustRightInd w:val="0"/>
        <w:snapToGrid w:val="0"/>
        <w:spacing w:before="151" w:line="240" w:lineRule="auto"/>
        <w:ind w:left="2103"/>
        <w:textAlignment w:val="baseline"/>
        <w:rPr>
          <w:rFonts w:hint="default" w:ascii="宋体" w:hAnsi="宋体" w:eastAsia="宋体" w:cs="宋体"/>
          <w:color w:val="auto"/>
          <w:sz w:val="24"/>
          <w:szCs w:val="24"/>
          <w:lang w:val="en-US"/>
        </w:rPr>
      </w:pPr>
      <w:bookmarkStart w:id="602" w:name="bookmark29"/>
      <w:bookmarkEnd w:id="602"/>
      <w:bookmarkStart w:id="603" w:name="OLE_LINK111"/>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3.</w:t>
      </w:r>
      <w:bookmarkStart w:id="604" w:name="OLE_LINK127"/>
      <w:r>
        <w:rPr>
          <w:rFonts w:hint="eastAsia" w:ascii="Times New Roman" w:hAnsi="Times New Roman" w:eastAsia="宋体" w:cs="Times New Roman"/>
          <w:b/>
          <w:bCs/>
          <w:color w:val="auto"/>
          <w:spacing w:val="-2"/>
          <w:sz w:val="24"/>
          <w:szCs w:val="24"/>
          <w:highlight w:val="none"/>
          <w:lang w:val="en-US" w:eastAsia="zh-CN"/>
        </w:rPr>
        <w:t>2</w:t>
      </w:r>
      <w:r>
        <w:rPr>
          <w:rFonts w:ascii="Times New Roman" w:hAnsi="Times New Roman" w:eastAsia="Times New Roman" w:cs="Times New Roman"/>
          <w:b/>
          <w:bCs/>
          <w:color w:val="auto"/>
          <w:spacing w:val="-2"/>
          <w:sz w:val="24"/>
          <w:szCs w:val="24"/>
          <w:highlight w:val="none"/>
        </w:rPr>
        <w:t>-</w:t>
      </w:r>
      <w:r>
        <w:rPr>
          <w:rFonts w:hint="eastAsia" w:ascii="Times New Roman" w:hAnsi="Times New Roman" w:eastAsia="宋体" w:cs="Times New Roman"/>
          <w:b/>
          <w:bCs/>
          <w:color w:val="auto"/>
          <w:spacing w:val="-2"/>
          <w:sz w:val="24"/>
          <w:szCs w:val="24"/>
          <w:highlight w:val="none"/>
          <w:lang w:val="en-US" w:eastAsia="zh-CN"/>
        </w:rPr>
        <w:t>6</w:t>
      </w:r>
      <w:bookmarkEnd w:id="604"/>
      <w:r>
        <w:rPr>
          <w:rFonts w:hint="eastAsia" w:ascii="Times New Roman" w:hAnsi="Times New Roman" w:eastAsia="宋体" w:cs="Times New Roman"/>
          <w:b/>
          <w:bCs/>
          <w:color w:val="auto"/>
          <w:spacing w:val="-2"/>
          <w:sz w:val="24"/>
          <w:szCs w:val="24"/>
          <w:highlight w:val="none"/>
          <w:lang w:val="en-US" w:eastAsia="zh-CN"/>
        </w:rPr>
        <w:t>（2）</w:t>
      </w:r>
      <w:r>
        <w:rPr>
          <w:rFonts w:hint="eastAsia" w:ascii="Times New Roman" w:hAnsi="Times New Roman" w:eastAsia="宋体" w:cs="Times New Roman"/>
          <w:b/>
          <w:bCs/>
          <w:color w:val="auto"/>
          <w:spacing w:val="-2"/>
          <w:sz w:val="24"/>
          <w:szCs w:val="24"/>
          <w:lang w:val="en-US" w:eastAsia="zh-CN"/>
        </w:rPr>
        <w:t xml:space="preserve">  </w:t>
      </w:r>
      <w:r>
        <w:rPr>
          <w:rFonts w:ascii="宋体" w:hAnsi="宋体" w:eastAsia="宋体" w:cs="宋体"/>
          <w:b/>
          <w:bCs/>
          <w:color w:val="auto"/>
          <w:spacing w:val="-2"/>
          <w:sz w:val="24"/>
          <w:szCs w:val="24"/>
        </w:rPr>
        <w:t>农用地土壤污</w:t>
      </w:r>
      <w:bookmarkStart w:id="605" w:name="OLE_LINK113"/>
      <w:r>
        <w:rPr>
          <w:rFonts w:ascii="宋体" w:hAnsi="宋体" w:eastAsia="宋体" w:cs="宋体"/>
          <w:b/>
          <w:bCs/>
          <w:color w:val="auto"/>
          <w:spacing w:val="-2"/>
          <w:sz w:val="24"/>
          <w:szCs w:val="24"/>
        </w:rPr>
        <w:t>染</w:t>
      </w:r>
      <w:bookmarkEnd w:id="605"/>
      <w:r>
        <w:rPr>
          <w:rFonts w:ascii="宋体" w:hAnsi="宋体" w:eastAsia="宋体" w:cs="宋体"/>
          <w:b/>
          <w:bCs/>
          <w:color w:val="auto"/>
          <w:spacing w:val="-2"/>
          <w:sz w:val="24"/>
          <w:szCs w:val="24"/>
        </w:rPr>
        <w:t>风险</w:t>
      </w:r>
      <w:r>
        <w:rPr>
          <w:rFonts w:hint="eastAsia" w:ascii="宋体" w:hAnsi="宋体" w:eastAsia="宋体" w:cs="宋体"/>
          <w:b/>
          <w:bCs/>
          <w:color w:val="auto"/>
          <w:spacing w:val="-2"/>
          <w:sz w:val="24"/>
          <w:szCs w:val="24"/>
          <w:lang w:val="en-US" w:eastAsia="zh-CN"/>
        </w:rPr>
        <w:t>管制值</w:t>
      </w:r>
      <w:bookmarkStart w:id="606" w:name="pindex1364"/>
      <w:bookmarkEnd w:id="606"/>
    </w:p>
    <w:bookmarkEnd w:id="603"/>
    <w:tbl>
      <w:tblPr>
        <w:tblStyle w:val="26"/>
        <w:tblW w:w="8919" w:type="dxa"/>
        <w:tblInd w:w="-245"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848"/>
        <w:gridCol w:w="1697"/>
        <w:gridCol w:w="1891"/>
        <w:gridCol w:w="1891"/>
        <w:gridCol w:w="1592"/>
      </w:tblGrid>
      <w:tr w14:paraId="44FB6F8B">
        <w:tblPrEx>
          <w:tblCellMar>
            <w:top w:w="0" w:type="dxa"/>
            <w:left w:w="0" w:type="dxa"/>
            <w:bottom w:w="0" w:type="dxa"/>
            <w:right w:w="0" w:type="dxa"/>
          </w:tblCellMar>
        </w:tblPrEx>
        <w:trPr>
          <w:trHeight w:val="170" w:hRule="atLeast"/>
        </w:trPr>
        <w:tc>
          <w:tcPr>
            <w:tcW w:w="1848" w:type="dxa"/>
            <w:vMerge w:val="restart"/>
            <w:tcBorders>
              <w:tl2br w:val="nil"/>
              <w:tr2bl w:val="nil"/>
            </w:tcBorders>
            <w:vAlign w:val="center"/>
          </w:tcPr>
          <w:p w14:paraId="1D52A5C4">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7071" w:type="dxa"/>
            <w:gridSpan w:val="4"/>
            <w:tcBorders>
              <w:tl2br w:val="nil"/>
              <w:tr2bl w:val="nil"/>
            </w:tcBorders>
            <w:vAlign w:val="center"/>
          </w:tcPr>
          <w:p w14:paraId="3C1A07B3">
            <w:pPr>
              <w:bidi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风险</w:t>
            </w:r>
            <w:r>
              <w:rPr>
                <w:rFonts w:hint="eastAsia" w:ascii="Times New Roman" w:hAnsi="Times New Roman" w:eastAsia="宋体" w:cs="Times New Roman"/>
                <w:b/>
                <w:bCs/>
                <w:color w:val="auto"/>
                <w:sz w:val="21"/>
                <w:szCs w:val="21"/>
                <w:lang w:val="en-US" w:eastAsia="zh-CN"/>
              </w:rPr>
              <w:t>管制</w:t>
            </w:r>
            <w:r>
              <w:rPr>
                <w:rFonts w:hint="default" w:ascii="Times New Roman" w:hAnsi="Times New Roman" w:eastAsia="宋体" w:cs="Times New Roman"/>
                <w:b/>
                <w:bCs/>
                <w:color w:val="auto"/>
                <w:sz w:val="21"/>
                <w:szCs w:val="21"/>
              </w:rPr>
              <w:t>值</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mg/kg</w:t>
            </w:r>
            <w:r>
              <w:rPr>
                <w:rFonts w:hint="default" w:ascii="Times New Roman" w:hAnsi="Times New Roman" w:eastAsia="宋体" w:cs="Times New Roman"/>
                <w:b/>
                <w:bCs/>
                <w:color w:val="auto"/>
                <w:sz w:val="21"/>
                <w:szCs w:val="21"/>
                <w:lang w:eastAsia="zh-CN"/>
              </w:rPr>
              <w:t>）</w:t>
            </w:r>
          </w:p>
        </w:tc>
      </w:tr>
      <w:tr w14:paraId="33B48B5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56" w:hRule="atLeast"/>
        </w:trPr>
        <w:tc>
          <w:tcPr>
            <w:tcW w:w="1848" w:type="dxa"/>
            <w:vMerge w:val="continue"/>
            <w:tcBorders>
              <w:tl2br w:val="nil"/>
              <w:tr2bl w:val="nil"/>
            </w:tcBorders>
            <w:vAlign w:val="center"/>
          </w:tcPr>
          <w:p w14:paraId="26FAF840">
            <w:pPr>
              <w:bidi w:val="0"/>
              <w:jc w:val="center"/>
              <w:rPr>
                <w:rFonts w:hint="default" w:ascii="Times New Roman" w:hAnsi="Times New Roman" w:eastAsia="宋体" w:cs="Times New Roman"/>
                <w:b/>
                <w:bCs/>
                <w:color w:val="auto"/>
                <w:sz w:val="21"/>
                <w:szCs w:val="21"/>
              </w:rPr>
            </w:pPr>
          </w:p>
        </w:tc>
        <w:tc>
          <w:tcPr>
            <w:tcW w:w="1697" w:type="dxa"/>
            <w:tcBorders>
              <w:tl2br w:val="nil"/>
              <w:tr2bl w:val="nil"/>
            </w:tcBorders>
            <w:vAlign w:val="center"/>
          </w:tcPr>
          <w:p w14:paraId="45CDA588">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pH≤5.5</w:t>
            </w:r>
          </w:p>
        </w:tc>
        <w:tc>
          <w:tcPr>
            <w:tcW w:w="1891" w:type="dxa"/>
            <w:tcBorders>
              <w:tl2br w:val="nil"/>
              <w:tr2bl w:val="nil"/>
            </w:tcBorders>
            <w:vAlign w:val="center"/>
          </w:tcPr>
          <w:p w14:paraId="77055909">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5</w:t>
            </w:r>
            <w:r>
              <w:rPr>
                <w:rFonts w:hint="eastAsia" w:ascii="Times New Roman" w:hAnsi="Times New Roman" w:eastAsia="宋体" w:cs="Times New Roman"/>
                <w:b/>
                <w:bCs/>
                <w:color w:val="auto"/>
                <w:sz w:val="21"/>
                <w:szCs w:val="21"/>
                <w:lang w:val="en-US" w:eastAsia="zh-CN"/>
              </w:rPr>
              <w:t>.5&lt;</w:t>
            </w:r>
            <w:r>
              <w:rPr>
                <w:rFonts w:hint="default" w:ascii="Times New Roman" w:hAnsi="Times New Roman" w:eastAsia="宋体" w:cs="Times New Roman"/>
                <w:b/>
                <w:bCs/>
                <w:color w:val="auto"/>
                <w:sz w:val="21"/>
                <w:szCs w:val="21"/>
              </w:rPr>
              <w:t>pH≤6.5</w:t>
            </w:r>
          </w:p>
        </w:tc>
        <w:tc>
          <w:tcPr>
            <w:tcW w:w="1891" w:type="dxa"/>
            <w:tcBorders>
              <w:tl2br w:val="nil"/>
              <w:tr2bl w:val="nil"/>
            </w:tcBorders>
            <w:vAlign w:val="center"/>
          </w:tcPr>
          <w:p w14:paraId="5AC189F1">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6.5</w:t>
            </w:r>
            <w:r>
              <w:rPr>
                <w:rFonts w:hint="eastAsia" w:ascii="Times New Roman" w:hAnsi="Times New Roman" w:eastAsia="宋体" w:cs="Times New Roman"/>
                <w:b/>
                <w:bCs/>
                <w:color w:val="auto"/>
                <w:sz w:val="21"/>
                <w:szCs w:val="21"/>
                <w:lang w:eastAsia="zh-CN"/>
              </w:rPr>
              <w:t>&lt;</w:t>
            </w:r>
            <w:r>
              <w:rPr>
                <w:rFonts w:hint="default" w:ascii="Times New Roman" w:hAnsi="Times New Roman" w:eastAsia="宋体" w:cs="Times New Roman"/>
                <w:b/>
                <w:bCs/>
                <w:color w:val="auto"/>
                <w:sz w:val="21"/>
                <w:szCs w:val="21"/>
              </w:rPr>
              <w:t>pH≤7.5</w:t>
            </w:r>
          </w:p>
        </w:tc>
        <w:tc>
          <w:tcPr>
            <w:tcW w:w="1592" w:type="dxa"/>
            <w:tcBorders>
              <w:tl2br w:val="nil"/>
              <w:tr2bl w:val="nil"/>
            </w:tcBorders>
            <w:vAlign w:val="center"/>
          </w:tcPr>
          <w:p w14:paraId="3722114E">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pH</w:t>
            </w:r>
            <w:r>
              <w:rPr>
                <w:rFonts w:hint="eastAsia" w:ascii="Times New Roman" w:hAnsi="Times New Roman" w:eastAsia="宋体" w:cs="Times New Roman"/>
                <w:b/>
                <w:bCs/>
                <w:color w:val="auto"/>
                <w:sz w:val="21"/>
                <w:szCs w:val="21"/>
                <w:lang w:eastAsia="zh-CN"/>
              </w:rPr>
              <w:t>&gt;</w:t>
            </w:r>
            <w:r>
              <w:rPr>
                <w:rFonts w:hint="default" w:ascii="Times New Roman" w:hAnsi="Times New Roman" w:eastAsia="宋体" w:cs="Times New Roman"/>
                <w:b/>
                <w:bCs/>
                <w:color w:val="auto"/>
                <w:sz w:val="21"/>
                <w:szCs w:val="21"/>
              </w:rPr>
              <w:t>7.5</w:t>
            </w:r>
          </w:p>
        </w:tc>
      </w:tr>
      <w:tr w14:paraId="6E3C142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2" w:hRule="atLeast"/>
        </w:trPr>
        <w:tc>
          <w:tcPr>
            <w:tcW w:w="1848" w:type="dxa"/>
            <w:tcBorders>
              <w:tl2br w:val="nil"/>
              <w:tr2bl w:val="nil"/>
            </w:tcBorders>
            <w:vAlign w:val="center"/>
          </w:tcPr>
          <w:p w14:paraId="4146B03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镉</w:t>
            </w:r>
          </w:p>
        </w:tc>
        <w:tc>
          <w:tcPr>
            <w:tcW w:w="1697" w:type="dxa"/>
            <w:tcBorders>
              <w:tl2br w:val="nil"/>
              <w:tr2bl w:val="nil"/>
            </w:tcBorders>
            <w:vAlign w:val="center"/>
          </w:tcPr>
          <w:p w14:paraId="531422EE">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c>
          <w:tcPr>
            <w:tcW w:w="1891" w:type="dxa"/>
            <w:tcBorders>
              <w:tl2br w:val="nil"/>
              <w:tr2bl w:val="nil"/>
            </w:tcBorders>
            <w:vAlign w:val="center"/>
          </w:tcPr>
          <w:p w14:paraId="756EEBE8">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1891" w:type="dxa"/>
            <w:tcBorders>
              <w:tl2br w:val="nil"/>
              <w:tr2bl w:val="nil"/>
            </w:tcBorders>
            <w:vAlign w:val="center"/>
          </w:tcPr>
          <w:p w14:paraId="651384C2">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w:t>
            </w:r>
          </w:p>
        </w:tc>
        <w:tc>
          <w:tcPr>
            <w:tcW w:w="1592" w:type="dxa"/>
            <w:tcBorders>
              <w:tl2br w:val="nil"/>
              <w:tr2bl w:val="nil"/>
            </w:tcBorders>
            <w:vAlign w:val="center"/>
          </w:tcPr>
          <w:p w14:paraId="1DA2BBAD">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r>
      <w:tr w14:paraId="3F3B937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1848" w:type="dxa"/>
            <w:tcBorders>
              <w:tl2br w:val="nil"/>
              <w:tr2bl w:val="nil"/>
            </w:tcBorders>
            <w:vAlign w:val="center"/>
          </w:tcPr>
          <w:p w14:paraId="2557D91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汞</w:t>
            </w:r>
          </w:p>
        </w:tc>
        <w:tc>
          <w:tcPr>
            <w:tcW w:w="1697" w:type="dxa"/>
            <w:tcBorders>
              <w:tl2br w:val="nil"/>
              <w:tr2bl w:val="nil"/>
            </w:tcBorders>
            <w:vAlign w:val="center"/>
          </w:tcPr>
          <w:p w14:paraId="7957469C">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1891" w:type="dxa"/>
            <w:tcBorders>
              <w:tl2br w:val="nil"/>
              <w:tr2bl w:val="nil"/>
            </w:tcBorders>
            <w:vAlign w:val="center"/>
          </w:tcPr>
          <w:p w14:paraId="79B36E7D">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w:t>
            </w:r>
          </w:p>
        </w:tc>
        <w:tc>
          <w:tcPr>
            <w:tcW w:w="1891" w:type="dxa"/>
            <w:tcBorders>
              <w:tl2br w:val="nil"/>
              <w:tr2bl w:val="nil"/>
            </w:tcBorders>
            <w:vAlign w:val="center"/>
          </w:tcPr>
          <w:p w14:paraId="51715567">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c>
          <w:tcPr>
            <w:tcW w:w="1592" w:type="dxa"/>
            <w:tcBorders>
              <w:tl2br w:val="nil"/>
              <w:tr2bl w:val="nil"/>
            </w:tcBorders>
            <w:vAlign w:val="center"/>
          </w:tcPr>
          <w:p w14:paraId="686D8DF6">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r>
      <w:tr w14:paraId="264BAEA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2" w:hRule="atLeast"/>
        </w:trPr>
        <w:tc>
          <w:tcPr>
            <w:tcW w:w="1848" w:type="dxa"/>
            <w:tcBorders>
              <w:tl2br w:val="nil"/>
              <w:tr2bl w:val="nil"/>
            </w:tcBorders>
            <w:vAlign w:val="center"/>
          </w:tcPr>
          <w:p w14:paraId="7915833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w:t>
            </w:r>
          </w:p>
        </w:tc>
        <w:tc>
          <w:tcPr>
            <w:tcW w:w="1697" w:type="dxa"/>
            <w:tcBorders>
              <w:tl2br w:val="nil"/>
              <w:tr2bl w:val="nil"/>
            </w:tcBorders>
            <w:vAlign w:val="center"/>
          </w:tcPr>
          <w:p w14:paraId="565935E0">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200</w:t>
            </w:r>
          </w:p>
        </w:tc>
        <w:tc>
          <w:tcPr>
            <w:tcW w:w="1891" w:type="dxa"/>
            <w:tcBorders>
              <w:tl2br w:val="nil"/>
              <w:tr2bl w:val="nil"/>
            </w:tcBorders>
            <w:vAlign w:val="center"/>
          </w:tcPr>
          <w:p w14:paraId="08CA0BA1">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w:t>
            </w:r>
          </w:p>
        </w:tc>
        <w:tc>
          <w:tcPr>
            <w:tcW w:w="1891" w:type="dxa"/>
            <w:tcBorders>
              <w:tl2br w:val="nil"/>
              <w:tr2bl w:val="nil"/>
            </w:tcBorders>
            <w:vAlign w:val="center"/>
          </w:tcPr>
          <w:p w14:paraId="4A2A4F9F">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120</w:t>
            </w:r>
          </w:p>
        </w:tc>
        <w:tc>
          <w:tcPr>
            <w:tcW w:w="1592" w:type="dxa"/>
            <w:tcBorders>
              <w:tl2br w:val="nil"/>
              <w:tr2bl w:val="nil"/>
            </w:tcBorders>
            <w:vAlign w:val="center"/>
          </w:tcPr>
          <w:p w14:paraId="47238BC8">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r>
      <w:tr w14:paraId="25722F4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1848" w:type="dxa"/>
            <w:tcBorders>
              <w:tl2br w:val="nil"/>
              <w:tr2bl w:val="nil"/>
            </w:tcBorders>
            <w:vAlign w:val="center"/>
          </w:tcPr>
          <w:p w14:paraId="423F018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p>
        </w:tc>
        <w:tc>
          <w:tcPr>
            <w:tcW w:w="1697" w:type="dxa"/>
            <w:tcBorders>
              <w:tl2br w:val="nil"/>
              <w:tr2bl w:val="nil"/>
            </w:tcBorders>
            <w:vAlign w:val="center"/>
          </w:tcPr>
          <w:p w14:paraId="2F8118F0">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400</w:t>
            </w:r>
          </w:p>
        </w:tc>
        <w:tc>
          <w:tcPr>
            <w:tcW w:w="1891" w:type="dxa"/>
            <w:tcBorders>
              <w:tl2br w:val="nil"/>
              <w:tr2bl w:val="nil"/>
            </w:tcBorders>
            <w:vAlign w:val="center"/>
          </w:tcPr>
          <w:p w14:paraId="3465D04A">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500</w:t>
            </w:r>
          </w:p>
        </w:tc>
        <w:tc>
          <w:tcPr>
            <w:tcW w:w="1891" w:type="dxa"/>
            <w:tcBorders>
              <w:tl2br w:val="nil"/>
              <w:tr2bl w:val="nil"/>
            </w:tcBorders>
            <w:vAlign w:val="center"/>
          </w:tcPr>
          <w:p w14:paraId="4675B4F6">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700</w:t>
            </w:r>
          </w:p>
        </w:tc>
        <w:tc>
          <w:tcPr>
            <w:tcW w:w="1592" w:type="dxa"/>
            <w:tcBorders>
              <w:tl2br w:val="nil"/>
              <w:tr2bl w:val="nil"/>
            </w:tcBorders>
            <w:vAlign w:val="center"/>
          </w:tcPr>
          <w:p w14:paraId="563DA8D4">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1000</w:t>
            </w:r>
          </w:p>
        </w:tc>
      </w:tr>
      <w:tr w14:paraId="3DA09F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1848" w:type="dxa"/>
            <w:tcBorders>
              <w:tl2br w:val="nil"/>
              <w:tr2bl w:val="nil"/>
            </w:tcBorders>
            <w:vAlign w:val="center"/>
          </w:tcPr>
          <w:p w14:paraId="4E4031A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铬</w:t>
            </w:r>
          </w:p>
        </w:tc>
        <w:tc>
          <w:tcPr>
            <w:tcW w:w="1697" w:type="dxa"/>
            <w:tcBorders>
              <w:tl2br w:val="nil"/>
              <w:tr2bl w:val="nil"/>
            </w:tcBorders>
            <w:vAlign w:val="center"/>
          </w:tcPr>
          <w:p w14:paraId="33F14174">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800</w:t>
            </w:r>
          </w:p>
        </w:tc>
        <w:tc>
          <w:tcPr>
            <w:tcW w:w="1891" w:type="dxa"/>
            <w:tcBorders>
              <w:tl2br w:val="nil"/>
              <w:tr2bl w:val="nil"/>
            </w:tcBorders>
            <w:vAlign w:val="center"/>
          </w:tcPr>
          <w:p w14:paraId="3752A552">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850</w:t>
            </w:r>
          </w:p>
        </w:tc>
        <w:tc>
          <w:tcPr>
            <w:tcW w:w="1891" w:type="dxa"/>
            <w:tcBorders>
              <w:tl2br w:val="nil"/>
              <w:tr2bl w:val="nil"/>
            </w:tcBorders>
            <w:vAlign w:val="center"/>
          </w:tcPr>
          <w:p w14:paraId="571CECAC">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1000</w:t>
            </w:r>
          </w:p>
        </w:tc>
        <w:tc>
          <w:tcPr>
            <w:tcW w:w="1592" w:type="dxa"/>
            <w:tcBorders>
              <w:tl2br w:val="nil"/>
              <w:tr2bl w:val="nil"/>
            </w:tcBorders>
            <w:vAlign w:val="center"/>
          </w:tcPr>
          <w:p w14:paraId="6730A7AC">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1300</w:t>
            </w:r>
          </w:p>
        </w:tc>
      </w:tr>
    </w:tbl>
    <w:p w14:paraId="68EC20C1">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2"/>
        <w:rPr>
          <w:rFonts w:ascii="Times New Roman" w:hAnsi="Times New Roman" w:eastAsia="Times New Roman" w:cs="Times New Roman"/>
          <w:b/>
          <w:bCs/>
          <w:color w:val="auto"/>
          <w:spacing w:val="-3"/>
          <w:sz w:val="24"/>
          <w:szCs w:val="24"/>
        </w:rPr>
      </w:pPr>
      <w:bookmarkStart w:id="607" w:name="_Toc16951"/>
      <w:bookmarkStart w:id="608" w:name="OLE_LINK123"/>
      <w:bookmarkStart w:id="609" w:name="OLE_LINK116"/>
      <w:r>
        <w:rPr>
          <w:rFonts w:ascii="Times New Roman" w:hAnsi="Times New Roman" w:eastAsia="Times New Roman" w:cs="Times New Roman"/>
          <w:b/>
          <w:bCs/>
          <w:color w:val="auto"/>
          <w:spacing w:val="-3"/>
          <w:sz w:val="24"/>
          <w:szCs w:val="24"/>
        </w:rPr>
        <w:t>3.</w:t>
      </w:r>
      <w:r>
        <w:rPr>
          <w:rFonts w:hint="eastAsia" w:ascii="Times New Roman" w:hAnsi="Times New Roman" w:eastAsia="宋体" w:cs="Times New Roman"/>
          <w:b/>
          <w:bCs/>
          <w:color w:val="auto"/>
          <w:spacing w:val="-3"/>
          <w:sz w:val="24"/>
          <w:szCs w:val="24"/>
          <w:lang w:val="en-US" w:eastAsia="zh-CN"/>
        </w:rPr>
        <w:t>2.2污染物排放</w:t>
      </w:r>
      <w:r>
        <w:rPr>
          <w:rFonts w:ascii="Times New Roman" w:hAnsi="Times New Roman" w:eastAsia="Times New Roman" w:cs="Times New Roman"/>
          <w:b/>
          <w:bCs/>
          <w:color w:val="auto"/>
          <w:spacing w:val="-3"/>
          <w:sz w:val="24"/>
          <w:szCs w:val="24"/>
        </w:rPr>
        <w:t>标准</w:t>
      </w:r>
      <w:bookmarkEnd w:id="607"/>
      <w:bookmarkEnd w:id="608"/>
      <w:bookmarkStart w:id="610" w:name="pindex1397"/>
      <w:bookmarkEnd w:id="610"/>
    </w:p>
    <w:bookmarkEnd w:id="609"/>
    <w:p w14:paraId="3D12C7CD">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9"/>
        <w:rPr>
          <w:rFonts w:hint="default" w:ascii="Times New Roman" w:hAnsi="Times New Roman" w:eastAsia="宋体" w:cs="Times New Roman"/>
          <w:b/>
          <w:bCs/>
          <w:color w:val="auto"/>
          <w:sz w:val="24"/>
          <w:szCs w:val="24"/>
        </w:rPr>
      </w:pPr>
      <w:bookmarkStart w:id="611" w:name="OLE_LINK125"/>
      <w:r>
        <w:rPr>
          <w:rFonts w:hint="default" w:ascii="Times New Roman" w:hAnsi="Times New Roman" w:eastAsia="宋体" w:cs="Times New Roman"/>
          <w:b/>
          <w:bCs/>
          <w:color w:val="auto"/>
          <w:sz w:val="24"/>
          <w:szCs w:val="24"/>
        </w:rPr>
        <w:t>3.</w:t>
      </w:r>
      <w:r>
        <w:rPr>
          <w:rFonts w:hint="eastAsia" w:ascii="Times New Roman" w:hAnsi="Times New Roman" w:eastAsia="宋体" w:cs="Times New Roman"/>
          <w:b/>
          <w:bCs/>
          <w:color w:val="auto"/>
          <w:sz w:val="24"/>
          <w:szCs w:val="24"/>
          <w:lang w:val="en-US" w:eastAsia="zh-CN"/>
        </w:rPr>
        <w:t>2.2</w:t>
      </w:r>
      <w:r>
        <w:rPr>
          <w:rFonts w:hint="default" w:ascii="Times New Roman" w:hAnsi="Times New Roman" w:eastAsia="宋体" w:cs="Times New Roman"/>
          <w:b/>
          <w:bCs/>
          <w:color w:val="auto"/>
          <w:sz w:val="24"/>
          <w:szCs w:val="24"/>
        </w:rPr>
        <w:t>.1</w:t>
      </w:r>
      <w:bookmarkEnd w:id="611"/>
      <w:r>
        <w:rPr>
          <w:rFonts w:hint="default" w:ascii="Times New Roman" w:hAnsi="Times New Roman" w:eastAsia="宋体" w:cs="Times New Roman"/>
          <w:b/>
          <w:bCs/>
          <w:color w:val="auto"/>
          <w:sz w:val="24"/>
          <w:szCs w:val="24"/>
        </w:rPr>
        <w:t>大气污染物排放标准</w:t>
      </w:r>
      <w:bookmarkStart w:id="612" w:name="pindex1398"/>
      <w:bookmarkEnd w:id="612"/>
    </w:p>
    <w:p w14:paraId="626D6384">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72" w:firstLineChars="200"/>
        <w:jc w:val="both"/>
        <w:textAlignment w:val="baseline"/>
        <w:outlineLvl w:val="9"/>
        <w:rPr>
          <w:rFonts w:hint="default" w:ascii="Times New Roman" w:hAnsi="Times New Roman" w:eastAsia="宋体" w:cs="Times New Roman"/>
          <w:color w:val="auto"/>
          <w:spacing w:val="-2"/>
          <w:sz w:val="24"/>
          <w:szCs w:val="24"/>
          <w:highlight w:val="none"/>
          <w:lang w:val="en-US" w:eastAsia="zh-CN"/>
        </w:rPr>
      </w:pPr>
      <w:bookmarkStart w:id="613" w:name="OLE_LINK128"/>
      <w:r>
        <w:rPr>
          <w:rFonts w:hint="eastAsia" w:ascii="Times New Roman" w:hAnsi="Times New Roman" w:eastAsia="宋体" w:cs="Times New Roman"/>
          <w:color w:val="auto"/>
          <w:spacing w:val="-2"/>
          <w:sz w:val="24"/>
          <w:szCs w:val="24"/>
          <w:lang w:val="en-US" w:eastAsia="zh-CN"/>
        </w:rPr>
        <w:t>1、施工标准</w:t>
      </w:r>
      <w:bookmarkStart w:id="614" w:name="pindex1399"/>
      <w:bookmarkEnd w:id="614"/>
    </w:p>
    <w:bookmarkEnd w:id="613"/>
    <w:p w14:paraId="636D56CD">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72" w:firstLineChars="200"/>
        <w:jc w:val="both"/>
        <w:textAlignment w:val="baseline"/>
        <w:rPr>
          <w:rFonts w:hint="default" w:ascii="Times New Roman" w:hAnsi="Times New Roman" w:eastAsia="宋体" w:cs="Times New Roman"/>
          <w:color w:val="auto"/>
          <w:spacing w:val="-2"/>
          <w:sz w:val="24"/>
          <w:szCs w:val="24"/>
          <w:highlight w:val="none"/>
          <w:lang w:val="en-US" w:eastAsia="zh-CN"/>
        </w:rPr>
      </w:pPr>
      <w:r>
        <w:rPr>
          <w:rFonts w:hint="eastAsia" w:ascii="Times New Roman" w:hAnsi="Times New Roman" w:eastAsia="宋体" w:cs="Times New Roman"/>
          <w:color w:val="auto"/>
          <w:spacing w:val="-2"/>
          <w:sz w:val="24"/>
          <w:szCs w:val="24"/>
          <w:highlight w:val="none"/>
          <w:lang w:val="en-US" w:eastAsia="zh-CN"/>
        </w:rPr>
        <w:t>施工作业时，施工场地执行《施工场地扬尘排放标准》（DB32/4437-2022）表1标准。</w:t>
      </w:r>
    </w:p>
    <w:p w14:paraId="10CB0DF8">
      <w:pPr>
        <w:keepNext w:val="0"/>
        <w:keepLines w:val="0"/>
        <w:pageBreakBefore w:val="0"/>
        <w:widowControl/>
        <w:kinsoku w:val="0"/>
        <w:wordWrap/>
        <w:overflowPunct/>
        <w:topLinePunct w:val="0"/>
        <w:autoSpaceDE w:val="0"/>
        <w:autoSpaceDN w:val="0"/>
        <w:bidi w:val="0"/>
        <w:adjustRightInd w:val="0"/>
        <w:snapToGrid w:val="0"/>
        <w:spacing w:before="82" w:line="240" w:lineRule="auto"/>
        <w:jc w:val="center"/>
        <w:textAlignment w:val="baseline"/>
        <w:rPr>
          <w:rFonts w:hint="default" w:eastAsia="宋体"/>
          <w:color w:val="auto"/>
          <w:highlight w:val="none"/>
          <w:lang w:val="en-US" w:eastAsia="zh-CN"/>
        </w:rPr>
      </w:pPr>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3.</w:t>
      </w:r>
      <w:r>
        <w:rPr>
          <w:rFonts w:hint="eastAsia" w:ascii="Times New Roman" w:hAnsi="Times New Roman" w:eastAsia="宋体" w:cs="Times New Roman"/>
          <w:b/>
          <w:bCs/>
          <w:color w:val="auto"/>
          <w:spacing w:val="-2"/>
          <w:sz w:val="24"/>
          <w:szCs w:val="24"/>
          <w:highlight w:val="none"/>
          <w:lang w:val="en-US" w:eastAsia="zh-CN"/>
        </w:rPr>
        <w:t xml:space="preserve">2-7  </w:t>
      </w:r>
      <w:r>
        <w:rPr>
          <w:rFonts w:hint="eastAsia" w:ascii="宋体" w:hAnsi="宋体" w:eastAsia="宋体" w:cs="宋体"/>
          <w:b/>
          <w:bCs/>
          <w:color w:val="auto"/>
          <w:spacing w:val="-2"/>
          <w:sz w:val="24"/>
          <w:szCs w:val="24"/>
          <w:highlight w:val="none"/>
          <w:lang w:val="en-US" w:eastAsia="zh-CN"/>
        </w:rPr>
        <w:t>施工场地扬尘排放浓度限值</w:t>
      </w:r>
      <w:bookmarkStart w:id="615" w:name="pindex1401"/>
      <w:bookmarkEnd w:id="615"/>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84"/>
        <w:gridCol w:w="4291"/>
      </w:tblGrid>
      <w:tr w14:paraId="56530E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25" w:type="dxa"/>
            <w:tcBorders>
              <w:tl2br w:val="nil"/>
              <w:tr2bl w:val="nil"/>
            </w:tcBorders>
            <w:vAlign w:val="center"/>
          </w:tcPr>
          <w:p w14:paraId="4A212441">
            <w:pPr>
              <w:keepNext w:val="0"/>
              <w:keepLines w:val="0"/>
              <w:pageBreakBefore w:val="0"/>
              <w:widowControl/>
              <w:kinsoku w:val="0"/>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eastAsia="宋体" w:cs="Times New Roman"/>
                <w:b/>
                <w:bCs/>
                <w:color w:val="auto"/>
                <w:spacing w:val="-2"/>
                <w:sz w:val="21"/>
                <w:szCs w:val="21"/>
                <w:highlight w:val="none"/>
                <w:vertAlign w:val="baseline"/>
                <w:lang w:val="en-US" w:eastAsia="zh-CN"/>
              </w:rPr>
            </w:pPr>
            <w:r>
              <w:rPr>
                <w:rFonts w:hint="default" w:ascii="Times New Roman" w:hAnsi="Times New Roman" w:eastAsia="宋体" w:cs="Times New Roman"/>
                <w:b/>
                <w:bCs/>
                <w:color w:val="auto"/>
                <w:spacing w:val="-2"/>
                <w:sz w:val="21"/>
                <w:szCs w:val="21"/>
                <w:highlight w:val="none"/>
                <w:vertAlign w:val="baseline"/>
                <w:lang w:val="en-US" w:eastAsia="zh-CN"/>
              </w:rPr>
              <w:t>监测项目</w:t>
            </w:r>
          </w:p>
        </w:tc>
        <w:tc>
          <w:tcPr>
            <w:tcW w:w="4326" w:type="dxa"/>
            <w:tcBorders>
              <w:tl2br w:val="nil"/>
              <w:tr2bl w:val="nil"/>
            </w:tcBorders>
            <w:vAlign w:val="center"/>
          </w:tcPr>
          <w:p w14:paraId="591D9F26">
            <w:pPr>
              <w:keepNext w:val="0"/>
              <w:keepLines w:val="0"/>
              <w:pageBreakBefore w:val="0"/>
              <w:widowControl/>
              <w:kinsoku w:val="0"/>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eastAsia="宋体" w:cs="Times New Roman"/>
                <w:b/>
                <w:bCs/>
                <w:color w:val="auto"/>
                <w:spacing w:val="-2"/>
                <w:sz w:val="21"/>
                <w:szCs w:val="21"/>
                <w:highlight w:val="none"/>
                <w:vertAlign w:val="baseline"/>
                <w:lang w:val="en-US" w:eastAsia="zh-CN"/>
              </w:rPr>
            </w:pPr>
            <w:r>
              <w:rPr>
                <w:rFonts w:hint="default" w:ascii="Times New Roman" w:hAnsi="Times New Roman" w:eastAsia="宋体" w:cs="Times New Roman"/>
                <w:b/>
                <w:bCs/>
                <w:color w:val="auto"/>
                <w:spacing w:val="-2"/>
                <w:sz w:val="21"/>
                <w:szCs w:val="21"/>
                <w:highlight w:val="none"/>
                <w:vertAlign w:val="baseline"/>
                <w:lang w:val="en-US" w:eastAsia="zh-CN"/>
              </w:rPr>
              <w:t>浓度限值/（</w:t>
            </w:r>
            <w:r>
              <w:rPr>
                <w:rFonts w:hint="default" w:ascii="Times New Roman" w:hAnsi="Times New Roman" w:eastAsia="宋体" w:cs="Times New Roman"/>
                <w:b/>
                <w:bCs/>
                <w:color w:val="auto"/>
                <w:spacing w:val="4"/>
                <w:sz w:val="21"/>
                <w:szCs w:val="21"/>
                <w:highlight w:val="none"/>
              </w:rPr>
              <w:t>μg/m³</w:t>
            </w:r>
            <w:r>
              <w:rPr>
                <w:rFonts w:hint="default" w:ascii="Times New Roman" w:hAnsi="Times New Roman" w:eastAsia="宋体" w:cs="Times New Roman"/>
                <w:b/>
                <w:bCs/>
                <w:color w:val="auto"/>
                <w:spacing w:val="-2"/>
                <w:sz w:val="21"/>
                <w:szCs w:val="21"/>
                <w:highlight w:val="none"/>
                <w:vertAlign w:val="baseline"/>
                <w:lang w:val="en-US" w:eastAsia="zh-CN"/>
              </w:rPr>
              <w:t>）</w:t>
            </w:r>
          </w:p>
        </w:tc>
      </w:tr>
      <w:tr w14:paraId="0179F4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25" w:type="dxa"/>
            <w:tcBorders>
              <w:tl2br w:val="nil"/>
              <w:tr2bl w:val="nil"/>
            </w:tcBorders>
            <w:vAlign w:val="center"/>
          </w:tcPr>
          <w:p w14:paraId="3635DB8D">
            <w:pPr>
              <w:keepNext w:val="0"/>
              <w:keepLines w:val="0"/>
              <w:pageBreakBefore w:val="0"/>
              <w:widowControl/>
              <w:kinsoku w:val="0"/>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spacing w:val="-2"/>
                <w:sz w:val="21"/>
                <w:szCs w:val="21"/>
                <w:highlight w:val="none"/>
                <w:vertAlign w:val="baseline"/>
                <w:lang w:val="en-US" w:eastAsia="zh-CN"/>
              </w:rPr>
              <w:t>TSP</w:t>
            </w:r>
            <w:r>
              <w:rPr>
                <w:rFonts w:hint="default" w:ascii="Times New Roman" w:hAnsi="Times New Roman" w:eastAsia="宋体" w:cs="Times New Roman"/>
                <w:color w:val="auto"/>
                <w:spacing w:val="-2"/>
                <w:sz w:val="21"/>
                <w:szCs w:val="21"/>
                <w:highlight w:val="none"/>
                <w:vertAlign w:val="superscript"/>
                <w:lang w:val="en-US" w:eastAsia="zh-CN"/>
              </w:rPr>
              <w:t>a</w:t>
            </w:r>
          </w:p>
        </w:tc>
        <w:tc>
          <w:tcPr>
            <w:tcW w:w="4326" w:type="dxa"/>
            <w:tcBorders>
              <w:tl2br w:val="nil"/>
              <w:tr2bl w:val="nil"/>
            </w:tcBorders>
            <w:vAlign w:val="center"/>
          </w:tcPr>
          <w:p w14:paraId="25DE04FA">
            <w:pPr>
              <w:keepNext w:val="0"/>
              <w:keepLines w:val="0"/>
              <w:pageBreakBefore w:val="0"/>
              <w:widowControl/>
              <w:kinsoku w:val="0"/>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spacing w:val="-2"/>
                <w:sz w:val="21"/>
                <w:szCs w:val="21"/>
                <w:highlight w:val="none"/>
                <w:vertAlign w:val="baseline"/>
                <w:lang w:val="en-US" w:eastAsia="zh-CN"/>
              </w:rPr>
              <w:t>500</w:t>
            </w:r>
          </w:p>
        </w:tc>
      </w:tr>
      <w:tr w14:paraId="1A49AE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25" w:type="dxa"/>
            <w:tcBorders>
              <w:tl2br w:val="nil"/>
              <w:tr2bl w:val="nil"/>
            </w:tcBorders>
            <w:vAlign w:val="center"/>
          </w:tcPr>
          <w:p w14:paraId="34914056">
            <w:pPr>
              <w:keepNext w:val="0"/>
              <w:keepLines w:val="0"/>
              <w:pageBreakBefore w:val="0"/>
              <w:widowControl/>
              <w:kinsoku w:val="0"/>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spacing w:val="-2"/>
                <w:sz w:val="21"/>
                <w:szCs w:val="21"/>
                <w:highlight w:val="none"/>
                <w:vertAlign w:val="baseline"/>
                <w:lang w:val="en-US" w:eastAsia="zh-CN"/>
              </w:rPr>
              <w:t>PM</w:t>
            </w:r>
            <w:r>
              <w:rPr>
                <w:rFonts w:hint="default" w:ascii="Times New Roman" w:hAnsi="Times New Roman" w:eastAsia="宋体" w:cs="Times New Roman"/>
                <w:color w:val="auto"/>
                <w:spacing w:val="-2"/>
                <w:sz w:val="21"/>
                <w:szCs w:val="21"/>
                <w:highlight w:val="none"/>
                <w:vertAlign w:val="subscript"/>
                <w:lang w:val="en-US" w:eastAsia="zh-CN"/>
              </w:rPr>
              <w:t>10</w:t>
            </w:r>
            <w:r>
              <w:rPr>
                <w:rFonts w:hint="default" w:ascii="Times New Roman" w:hAnsi="Times New Roman" w:eastAsia="宋体" w:cs="Times New Roman"/>
                <w:color w:val="auto"/>
                <w:spacing w:val="-2"/>
                <w:sz w:val="21"/>
                <w:szCs w:val="21"/>
                <w:highlight w:val="none"/>
                <w:vertAlign w:val="superscript"/>
                <w:lang w:val="en-US" w:eastAsia="zh-CN"/>
              </w:rPr>
              <w:t>b</w:t>
            </w:r>
          </w:p>
        </w:tc>
        <w:tc>
          <w:tcPr>
            <w:tcW w:w="4326" w:type="dxa"/>
            <w:tcBorders>
              <w:tl2br w:val="nil"/>
              <w:tr2bl w:val="nil"/>
            </w:tcBorders>
            <w:vAlign w:val="center"/>
          </w:tcPr>
          <w:p w14:paraId="6877459E">
            <w:pPr>
              <w:keepNext w:val="0"/>
              <w:keepLines w:val="0"/>
              <w:pageBreakBefore w:val="0"/>
              <w:widowControl/>
              <w:kinsoku w:val="0"/>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spacing w:val="-2"/>
                <w:sz w:val="21"/>
                <w:szCs w:val="21"/>
                <w:highlight w:val="none"/>
                <w:vertAlign w:val="baseline"/>
                <w:lang w:val="en-US" w:eastAsia="zh-CN"/>
              </w:rPr>
              <w:t>80</w:t>
            </w:r>
          </w:p>
        </w:tc>
      </w:tr>
      <w:tr w14:paraId="5D1F25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51" w:type="dxa"/>
            <w:gridSpan w:val="2"/>
            <w:tcBorders>
              <w:tl2br w:val="nil"/>
              <w:tr2bl w:val="nil"/>
            </w:tcBorders>
          </w:tcPr>
          <w:p w14:paraId="7CAE986C">
            <w:pPr>
              <w:keepNext w:val="0"/>
              <w:keepLines w:val="0"/>
              <w:pageBreakBefore w:val="0"/>
              <w:widowControl/>
              <w:kinsoku w:val="0"/>
              <w:wordWrap/>
              <w:overflowPunct/>
              <w:topLinePunct w:val="0"/>
              <w:autoSpaceDE w:val="0"/>
              <w:autoSpaceDN w:val="0"/>
              <w:bidi w:val="0"/>
              <w:adjustRightInd w:val="0"/>
              <w:snapToGrid w:val="0"/>
              <w:spacing w:before="33" w:line="240" w:lineRule="auto"/>
              <w:ind w:right="136"/>
              <w:jc w:val="both"/>
              <w:textAlignment w:val="baseline"/>
              <w:rPr>
                <w:rFonts w:hint="default" w:ascii="Times New Roman" w:hAnsi="Times New Roman" w:eastAsia="宋体" w:cs="Times New Roman"/>
                <w:color w:val="auto"/>
                <w:spacing w:val="-2"/>
                <w:sz w:val="21"/>
                <w:szCs w:val="21"/>
                <w:highlight w:val="none"/>
                <w:vertAlign w:val="superscript"/>
                <w:lang w:val="en-US" w:eastAsia="zh-CN"/>
              </w:rPr>
            </w:pPr>
            <w:r>
              <w:rPr>
                <w:rFonts w:hint="default" w:ascii="Times New Roman" w:hAnsi="Times New Roman" w:eastAsia="宋体" w:cs="Times New Roman"/>
                <w:color w:val="auto"/>
                <w:spacing w:val="-2"/>
                <w:sz w:val="21"/>
                <w:szCs w:val="21"/>
                <w:highlight w:val="none"/>
                <w:vertAlign w:val="superscript"/>
                <w:lang w:val="en-US" w:eastAsia="zh-CN"/>
              </w:rPr>
              <w:t xml:space="preserve">a  </w:t>
            </w:r>
            <w:r>
              <w:rPr>
                <w:rFonts w:hint="default" w:ascii="Times New Roman" w:hAnsi="Times New Roman" w:eastAsia="宋体" w:cs="Times New Roman"/>
                <w:color w:val="auto"/>
                <w:spacing w:val="-2"/>
                <w:sz w:val="21"/>
                <w:szCs w:val="21"/>
                <w:highlight w:val="none"/>
                <w:vertAlign w:val="baseline"/>
                <w:lang w:val="en-US" w:eastAsia="zh-CN"/>
              </w:rPr>
              <w:t>任一监控点（TSP自动监测）自整时起依次顺延15min的总悬浮颗粒物浓度平均值不应超过的限值。根据HJ633判定设区市AQI在200~300之间且首要污染物为PM</w:t>
            </w:r>
            <w:r>
              <w:rPr>
                <w:rFonts w:hint="default" w:ascii="Times New Roman" w:hAnsi="Times New Roman" w:eastAsia="宋体" w:cs="Times New Roman"/>
                <w:color w:val="auto"/>
                <w:spacing w:val="-2"/>
                <w:sz w:val="21"/>
                <w:szCs w:val="21"/>
                <w:highlight w:val="none"/>
                <w:vertAlign w:val="subscript"/>
                <w:lang w:val="en-US" w:eastAsia="zh-CN"/>
              </w:rPr>
              <w:t>10</w:t>
            </w:r>
            <w:r>
              <w:rPr>
                <w:rFonts w:hint="default" w:ascii="Times New Roman" w:hAnsi="Times New Roman" w:eastAsia="宋体" w:cs="Times New Roman"/>
                <w:color w:val="auto"/>
                <w:spacing w:val="-2"/>
                <w:sz w:val="21"/>
                <w:szCs w:val="21"/>
                <w:highlight w:val="none"/>
                <w:vertAlign w:val="baseline"/>
                <w:lang w:val="en-US" w:eastAsia="zh-CN"/>
              </w:rPr>
              <w:t>或PM</w:t>
            </w:r>
            <w:r>
              <w:rPr>
                <w:rFonts w:hint="default" w:ascii="Times New Roman" w:hAnsi="Times New Roman" w:eastAsia="宋体" w:cs="Times New Roman"/>
                <w:color w:val="auto"/>
                <w:spacing w:val="-2"/>
                <w:sz w:val="21"/>
                <w:szCs w:val="21"/>
                <w:highlight w:val="none"/>
                <w:vertAlign w:val="subscript"/>
                <w:lang w:val="en-US" w:eastAsia="zh-CN"/>
              </w:rPr>
              <w:t>2.5</w:t>
            </w:r>
            <w:r>
              <w:rPr>
                <w:rFonts w:hint="default" w:ascii="Times New Roman" w:hAnsi="Times New Roman" w:eastAsia="宋体" w:cs="Times New Roman"/>
                <w:color w:val="auto"/>
                <w:spacing w:val="-2"/>
                <w:sz w:val="21"/>
                <w:szCs w:val="21"/>
                <w:highlight w:val="none"/>
                <w:vertAlign w:val="baseline"/>
                <w:lang w:val="en-US" w:eastAsia="zh-CN"/>
              </w:rPr>
              <w:t>时，TSP实测值扣除200</w:t>
            </w:r>
            <w:r>
              <w:rPr>
                <w:rFonts w:hint="default" w:ascii="Times New Roman" w:hAnsi="Times New Roman" w:eastAsia="宋体" w:cs="Times New Roman"/>
                <w:b w:val="0"/>
                <w:bCs w:val="0"/>
                <w:color w:val="auto"/>
                <w:spacing w:val="4"/>
                <w:sz w:val="21"/>
                <w:szCs w:val="21"/>
                <w:highlight w:val="none"/>
              </w:rPr>
              <w:t>μg/m³</w:t>
            </w:r>
            <w:r>
              <w:rPr>
                <w:rFonts w:hint="default" w:ascii="Times New Roman" w:hAnsi="Times New Roman" w:eastAsia="宋体" w:cs="Times New Roman"/>
                <w:color w:val="auto"/>
                <w:spacing w:val="-2"/>
                <w:sz w:val="21"/>
                <w:szCs w:val="21"/>
                <w:highlight w:val="none"/>
                <w:vertAlign w:val="baseline"/>
                <w:lang w:val="en-US" w:eastAsia="zh-CN"/>
              </w:rPr>
              <w:t>后再进行评价。</w:t>
            </w:r>
          </w:p>
          <w:p w14:paraId="7B156AC5">
            <w:pPr>
              <w:keepNext w:val="0"/>
              <w:keepLines w:val="0"/>
              <w:pageBreakBefore w:val="0"/>
              <w:widowControl/>
              <w:kinsoku w:val="0"/>
              <w:wordWrap/>
              <w:overflowPunct/>
              <w:topLinePunct w:val="0"/>
              <w:autoSpaceDE w:val="0"/>
              <w:autoSpaceDN w:val="0"/>
              <w:bidi w:val="0"/>
              <w:adjustRightInd w:val="0"/>
              <w:snapToGrid w:val="0"/>
              <w:spacing w:before="33" w:line="240" w:lineRule="auto"/>
              <w:ind w:right="136"/>
              <w:jc w:val="both"/>
              <w:textAlignment w:val="baseline"/>
              <w:rPr>
                <w:rFonts w:hint="default" w:ascii="Times New Roman" w:hAnsi="Times New Roman" w:eastAsia="宋体" w:cs="Times New Roman"/>
                <w:color w:val="auto"/>
                <w:spacing w:val="-2"/>
                <w:sz w:val="21"/>
                <w:szCs w:val="21"/>
                <w:highlight w:val="none"/>
                <w:vertAlign w:val="superscript"/>
                <w:lang w:val="en-US" w:eastAsia="zh-CN"/>
              </w:rPr>
            </w:pPr>
            <w:r>
              <w:rPr>
                <w:rFonts w:hint="default" w:ascii="Times New Roman" w:hAnsi="Times New Roman" w:eastAsia="宋体" w:cs="Times New Roman"/>
                <w:color w:val="auto"/>
                <w:spacing w:val="-2"/>
                <w:sz w:val="21"/>
                <w:szCs w:val="21"/>
                <w:highlight w:val="none"/>
                <w:vertAlign w:val="superscript"/>
                <w:lang w:val="en-US" w:eastAsia="zh-CN"/>
              </w:rPr>
              <w:t xml:space="preserve">b  </w:t>
            </w:r>
            <w:r>
              <w:rPr>
                <w:rFonts w:hint="default" w:ascii="Times New Roman" w:hAnsi="Times New Roman" w:eastAsia="宋体" w:cs="Times New Roman"/>
                <w:color w:val="auto"/>
                <w:spacing w:val="-2"/>
                <w:sz w:val="21"/>
                <w:szCs w:val="21"/>
                <w:highlight w:val="none"/>
                <w:vertAlign w:val="baseline"/>
                <w:lang w:val="en-US" w:eastAsia="zh-CN"/>
              </w:rPr>
              <w:t>任一监控点（PM</w:t>
            </w:r>
            <w:r>
              <w:rPr>
                <w:rFonts w:hint="default" w:ascii="Times New Roman" w:hAnsi="Times New Roman" w:eastAsia="宋体" w:cs="Times New Roman"/>
                <w:color w:val="auto"/>
                <w:spacing w:val="-2"/>
                <w:sz w:val="21"/>
                <w:szCs w:val="21"/>
                <w:highlight w:val="none"/>
                <w:vertAlign w:val="subscript"/>
                <w:lang w:val="en-US" w:eastAsia="zh-CN"/>
              </w:rPr>
              <w:t>10</w:t>
            </w:r>
            <w:r>
              <w:rPr>
                <w:rFonts w:hint="default" w:ascii="Times New Roman" w:hAnsi="Times New Roman" w:eastAsia="宋体" w:cs="Times New Roman"/>
                <w:color w:val="auto"/>
                <w:spacing w:val="-2"/>
                <w:sz w:val="21"/>
                <w:szCs w:val="21"/>
                <w:highlight w:val="none"/>
                <w:vertAlign w:val="baseline"/>
                <w:lang w:val="en-US" w:eastAsia="zh-CN"/>
              </w:rPr>
              <w:t>自动监测）自整时起依次顺延1h的PM</w:t>
            </w:r>
            <w:r>
              <w:rPr>
                <w:rFonts w:hint="default" w:ascii="Times New Roman" w:hAnsi="Times New Roman" w:eastAsia="宋体" w:cs="Times New Roman"/>
                <w:color w:val="auto"/>
                <w:spacing w:val="-2"/>
                <w:sz w:val="21"/>
                <w:szCs w:val="21"/>
                <w:highlight w:val="none"/>
                <w:vertAlign w:val="subscript"/>
                <w:lang w:val="en-US" w:eastAsia="zh-CN"/>
              </w:rPr>
              <w:t>10</w:t>
            </w:r>
            <w:r>
              <w:rPr>
                <w:rFonts w:hint="default" w:ascii="Times New Roman" w:hAnsi="Times New Roman" w:eastAsia="宋体" w:cs="Times New Roman"/>
                <w:color w:val="auto"/>
                <w:spacing w:val="-2"/>
                <w:sz w:val="21"/>
                <w:szCs w:val="21"/>
                <w:highlight w:val="none"/>
                <w:vertAlign w:val="baseline"/>
                <w:lang w:val="en-US" w:eastAsia="zh-CN"/>
              </w:rPr>
              <w:t>浓度平均值与同时段所属设区市PM</w:t>
            </w:r>
            <w:r>
              <w:rPr>
                <w:rFonts w:hint="default" w:ascii="Times New Roman" w:hAnsi="Times New Roman" w:eastAsia="宋体" w:cs="Times New Roman"/>
                <w:color w:val="auto"/>
                <w:spacing w:val="-2"/>
                <w:sz w:val="21"/>
                <w:szCs w:val="21"/>
                <w:highlight w:val="none"/>
                <w:vertAlign w:val="subscript"/>
                <w:lang w:val="en-US" w:eastAsia="zh-CN"/>
              </w:rPr>
              <w:t>10</w:t>
            </w:r>
            <w:r>
              <w:rPr>
                <w:rFonts w:hint="default" w:ascii="Times New Roman" w:hAnsi="Times New Roman" w:eastAsia="宋体" w:cs="Times New Roman"/>
                <w:color w:val="auto"/>
                <w:spacing w:val="-2"/>
                <w:sz w:val="21"/>
                <w:szCs w:val="21"/>
                <w:highlight w:val="none"/>
                <w:vertAlign w:val="baseline"/>
                <w:lang w:val="en-US" w:eastAsia="zh-CN"/>
              </w:rPr>
              <w:t>小时平均浓度的差值不应</w:t>
            </w:r>
            <w:r>
              <w:rPr>
                <w:rFonts w:hint="eastAsia" w:ascii="Times New Roman" w:hAnsi="Times New Roman" w:eastAsia="宋体" w:cs="Times New Roman"/>
                <w:color w:val="auto"/>
                <w:spacing w:val="-2"/>
                <w:sz w:val="21"/>
                <w:szCs w:val="21"/>
                <w:highlight w:val="none"/>
                <w:vertAlign w:val="baseline"/>
                <w:lang w:val="en-US" w:eastAsia="zh-CN"/>
              </w:rPr>
              <w:t>超过</w:t>
            </w:r>
            <w:r>
              <w:rPr>
                <w:rFonts w:hint="default" w:ascii="Times New Roman" w:hAnsi="Times New Roman" w:eastAsia="宋体" w:cs="Times New Roman"/>
                <w:color w:val="auto"/>
                <w:spacing w:val="-2"/>
                <w:sz w:val="21"/>
                <w:szCs w:val="21"/>
                <w:highlight w:val="none"/>
                <w:vertAlign w:val="baseline"/>
                <w:lang w:val="en-US" w:eastAsia="zh-CN"/>
              </w:rPr>
              <w:t>限值。</w:t>
            </w:r>
          </w:p>
        </w:tc>
      </w:tr>
    </w:tbl>
    <w:p w14:paraId="2D1EEE55">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72" w:firstLineChars="200"/>
        <w:jc w:val="both"/>
        <w:textAlignment w:val="baseline"/>
        <w:outlineLvl w:val="9"/>
        <w:rPr>
          <w:rFonts w:hint="default" w:ascii="Times New Roman" w:hAnsi="Times New Roman" w:eastAsia="宋体" w:cs="Times New Roman"/>
          <w:color w:val="auto"/>
          <w:spacing w:val="-2"/>
          <w:sz w:val="24"/>
          <w:szCs w:val="24"/>
          <w:highlight w:val="none"/>
          <w:lang w:val="en-US" w:eastAsia="zh-CN"/>
        </w:rPr>
      </w:pPr>
      <w:bookmarkStart w:id="616" w:name="OLE_LINK129"/>
      <w:r>
        <w:rPr>
          <w:rFonts w:hint="eastAsia" w:ascii="Times New Roman" w:hAnsi="Times New Roman" w:eastAsia="宋体" w:cs="Times New Roman"/>
          <w:color w:val="auto"/>
          <w:spacing w:val="-2"/>
          <w:sz w:val="24"/>
          <w:szCs w:val="24"/>
          <w:highlight w:val="none"/>
          <w:lang w:val="en-US" w:eastAsia="zh-CN"/>
        </w:rPr>
        <w:t>2、综合性排放标准</w:t>
      </w:r>
      <w:bookmarkStart w:id="617" w:name="pindex1410"/>
      <w:bookmarkEnd w:id="617"/>
    </w:p>
    <w:bookmarkEnd w:id="616"/>
    <w:p w14:paraId="6C3DE3BC">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rPr>
          <w:rFonts w:hint="eastAsia" w:ascii="Times New Roman" w:hAnsi="Times New Roman" w:eastAsia="宋体" w:cs="Times New Roman"/>
          <w:color w:val="auto"/>
          <w:spacing w:val="-2"/>
          <w:sz w:val="24"/>
          <w:szCs w:val="24"/>
          <w:highlight w:val="none"/>
          <w:lang w:val="en-US" w:eastAsia="zh-CN"/>
        </w:rPr>
      </w:pPr>
      <w:bookmarkStart w:id="618" w:name="sys1411084"/>
      <w:r>
        <w:rPr>
          <w:rFonts w:hint="default" w:ascii="Times New Roman" w:hAnsi="Times New Roman" w:eastAsia="宋体" w:cs="Times New Roman"/>
          <w:color w:val="auto"/>
          <w:spacing w:val="-2"/>
          <w:sz w:val="24"/>
          <w:szCs w:val="24"/>
          <w:highlight w:val="none"/>
          <w:lang w:val="en-US" w:eastAsia="zh-CN"/>
        </w:rPr>
        <w:t>开发区企业大气污染物优先执行行业标准，全面执行大气特别排放限值，</w:t>
      </w:r>
      <w:bookmarkStart w:id="619" w:name="OLE_LINK740"/>
      <w:r>
        <w:rPr>
          <w:rFonts w:hint="default" w:ascii="Times New Roman" w:hAnsi="Times New Roman" w:eastAsia="宋体" w:cs="Times New Roman"/>
          <w:color w:val="auto"/>
          <w:spacing w:val="-2"/>
          <w:sz w:val="24"/>
          <w:szCs w:val="24"/>
          <w:highlight w:val="none"/>
          <w:lang w:val="en-US" w:eastAsia="zh-CN"/>
        </w:rPr>
        <w:t>无行业标准的污染物排放执行《大气污染物综合排放标准》</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DB32/4041-2021</w:t>
      </w:r>
      <w:r>
        <w:rPr>
          <w:rFonts w:hint="eastAsia" w:ascii="Times New Roman" w:hAnsi="Times New Roman" w:eastAsia="宋体" w:cs="Times New Roman"/>
          <w:color w:val="auto"/>
          <w:spacing w:val="-2"/>
          <w:sz w:val="24"/>
          <w:szCs w:val="24"/>
          <w:highlight w:val="none"/>
          <w:lang w:val="en-US" w:eastAsia="zh-CN"/>
        </w:rPr>
        <w:t>）中相关标准相关要求；</w:t>
      </w:r>
      <w:bookmarkEnd w:id="618"/>
      <w:bookmarkStart w:id="620" w:name="sys14118455"/>
      <w:bookmarkStart w:id="621" w:name="OLE_LINK117"/>
      <w:r>
        <w:rPr>
          <w:rFonts w:hint="default" w:ascii="Times New Roman" w:hAnsi="Times New Roman" w:eastAsia="宋体" w:cs="Times New Roman"/>
          <w:color w:val="auto"/>
          <w:spacing w:val="-2"/>
          <w:sz w:val="24"/>
          <w:szCs w:val="24"/>
          <w:highlight w:val="none"/>
          <w:lang w:val="en-US" w:eastAsia="zh-CN"/>
        </w:rPr>
        <w:t>企业厂区内VOCs无组织排放监控点浓度执行</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挥发性有机物无组织排放控制标准</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GB37822-2019</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要求</w:t>
      </w:r>
      <w:r>
        <w:rPr>
          <w:rFonts w:hint="eastAsia" w:ascii="Times New Roman" w:hAnsi="Times New Roman" w:eastAsia="宋体" w:cs="Times New Roman"/>
          <w:color w:val="auto"/>
          <w:spacing w:val="-2"/>
          <w:sz w:val="24"/>
          <w:szCs w:val="24"/>
          <w:highlight w:val="none"/>
          <w:lang w:val="en-US" w:eastAsia="zh-CN"/>
        </w:rPr>
        <w:t>；</w:t>
      </w:r>
      <w:bookmarkEnd w:id="620"/>
      <w:bookmarkStart w:id="622" w:name="sys141113938"/>
      <w:r>
        <w:rPr>
          <w:rFonts w:hint="default" w:ascii="Times New Roman" w:hAnsi="Times New Roman" w:eastAsia="宋体" w:cs="Times New Roman"/>
          <w:color w:val="auto"/>
          <w:spacing w:val="-2"/>
          <w:sz w:val="24"/>
          <w:szCs w:val="24"/>
          <w:highlight w:val="none"/>
          <w:lang w:val="en-US" w:eastAsia="zh-CN"/>
        </w:rPr>
        <w:t>区内恶臭废气排放执行《恶臭污染物排放标准》</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GB14554-93</w:t>
      </w:r>
      <w:r>
        <w:rPr>
          <w:rFonts w:hint="eastAsia" w:ascii="Times New Roman" w:hAnsi="Times New Roman" w:eastAsia="宋体" w:cs="Times New Roman"/>
          <w:color w:val="auto"/>
          <w:spacing w:val="-2"/>
          <w:sz w:val="24"/>
          <w:szCs w:val="24"/>
          <w:highlight w:val="none"/>
          <w:lang w:val="en-US" w:eastAsia="zh-CN"/>
        </w:rPr>
        <w:t>）</w:t>
      </w:r>
      <w:r>
        <w:rPr>
          <w:rFonts w:hint="eastAsia"/>
          <w:color w:val="auto"/>
          <w:sz w:val="24"/>
          <w:szCs w:val="24"/>
          <w:highlight w:val="none"/>
          <w:lang w:val="zh-CN"/>
        </w:rPr>
        <w:t>二级标准</w:t>
      </w:r>
      <w:bookmarkEnd w:id="619"/>
      <w:r>
        <w:rPr>
          <w:rFonts w:hint="eastAsia"/>
          <w:color w:val="auto"/>
          <w:sz w:val="24"/>
          <w:szCs w:val="24"/>
          <w:highlight w:val="none"/>
          <w:lang w:val="zh-CN"/>
        </w:rPr>
        <w:t>。</w:t>
      </w:r>
      <w:bookmarkEnd w:id="622"/>
    </w:p>
    <w:p w14:paraId="63A2935C">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4"/>
          <w:szCs w:val="24"/>
          <w:highlight w:val="none"/>
          <w:lang w:val="en-US" w:eastAsia="zh-CN"/>
        </w:rPr>
      </w:pPr>
      <w:bookmarkStart w:id="623" w:name="OLE_LINK170"/>
      <w:r>
        <w:rPr>
          <w:rFonts w:hint="default" w:ascii="Times New Roman" w:hAnsi="Times New Roman" w:eastAsia="宋体" w:cs="Times New Roman"/>
          <w:b/>
          <w:bCs/>
          <w:color w:val="auto"/>
          <w:spacing w:val="-4"/>
          <w:sz w:val="24"/>
          <w:szCs w:val="24"/>
          <w:highlight w:val="none"/>
          <w:lang w:val="en-US" w:eastAsia="zh-CN"/>
        </w:rPr>
        <w:t>表3.</w:t>
      </w:r>
      <w:bookmarkEnd w:id="623"/>
      <w:r>
        <w:rPr>
          <w:rFonts w:hint="eastAsia" w:ascii="Times New Roman" w:hAnsi="Times New Roman" w:eastAsia="宋体" w:cs="Times New Roman"/>
          <w:b/>
          <w:bCs/>
          <w:color w:val="auto"/>
          <w:spacing w:val="-4"/>
          <w:sz w:val="24"/>
          <w:szCs w:val="24"/>
          <w:highlight w:val="none"/>
          <w:lang w:val="en-US" w:eastAsia="zh-CN"/>
        </w:rPr>
        <w:t>2-8</w:t>
      </w:r>
      <w:r>
        <w:rPr>
          <w:rFonts w:hint="default" w:ascii="Times New Roman" w:hAnsi="Times New Roman" w:eastAsia="宋体" w:cs="Times New Roman"/>
          <w:b/>
          <w:bCs/>
          <w:color w:val="auto"/>
          <w:spacing w:val="-4"/>
          <w:sz w:val="24"/>
          <w:szCs w:val="24"/>
          <w:highlight w:val="none"/>
          <w:lang w:val="en-US" w:eastAsia="zh-CN"/>
        </w:rPr>
        <w:t xml:space="preserve">  大</w:t>
      </w:r>
      <w:r>
        <w:rPr>
          <w:rFonts w:hint="eastAsia" w:ascii="宋体" w:hAnsi="宋体" w:eastAsia="宋体" w:cs="宋体"/>
          <w:b/>
          <w:bCs/>
          <w:color w:val="auto"/>
          <w:spacing w:val="-4"/>
          <w:sz w:val="24"/>
          <w:szCs w:val="24"/>
          <w:highlight w:val="none"/>
          <w:lang w:val="en-US" w:eastAsia="zh-CN"/>
        </w:rPr>
        <w:t>气污染物综合排放标准</w:t>
      </w:r>
      <w:bookmarkStart w:id="624" w:name="pindex1412"/>
      <w:bookmarkEnd w:id="624"/>
    </w:p>
    <w:tbl>
      <w:tblPr>
        <w:tblStyle w:val="20"/>
        <w:tblW w:w="865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0"/>
        <w:gridCol w:w="975"/>
        <w:gridCol w:w="2280"/>
        <w:gridCol w:w="1652"/>
        <w:gridCol w:w="1663"/>
        <w:gridCol w:w="1221"/>
      </w:tblGrid>
      <w:tr w14:paraId="6FB84E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tcBorders>
              <w:tl2br w:val="nil"/>
              <w:tr2bl w:val="nil"/>
            </w:tcBorders>
            <w:vAlign w:val="center"/>
          </w:tcPr>
          <w:p w14:paraId="5BA75CF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序号</w:t>
            </w:r>
          </w:p>
        </w:tc>
        <w:tc>
          <w:tcPr>
            <w:tcW w:w="3255" w:type="dxa"/>
            <w:gridSpan w:val="2"/>
            <w:tcBorders>
              <w:tl2br w:val="nil"/>
              <w:tr2bl w:val="nil"/>
            </w:tcBorders>
            <w:vAlign w:val="center"/>
          </w:tcPr>
          <w:p w14:paraId="3C29D05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污染物</w:t>
            </w:r>
          </w:p>
        </w:tc>
        <w:tc>
          <w:tcPr>
            <w:tcW w:w="1652" w:type="dxa"/>
            <w:tcBorders>
              <w:tl2br w:val="nil"/>
              <w:tr2bl w:val="nil"/>
            </w:tcBorders>
            <w:vAlign w:val="center"/>
          </w:tcPr>
          <w:p w14:paraId="4C5E819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最高允许排放浓度（</w:t>
            </w:r>
            <w:r>
              <w:rPr>
                <w:rFonts w:ascii="Times New Roman" w:hAnsi="Times New Roman" w:eastAsia="宋体" w:cs="Times New Roman"/>
                <w:b/>
                <w:color w:val="auto"/>
                <w:highlight w:val="none"/>
              </w:rPr>
              <w:t>mg/m</w:t>
            </w:r>
            <w:r>
              <w:rPr>
                <w:rFonts w:ascii="Times New Roman" w:hAnsi="Times New Roman" w:eastAsia="宋体" w:cs="Times New Roman"/>
                <w:b/>
                <w:color w:val="auto"/>
                <w:highlight w:val="none"/>
                <w:vertAlign w:val="superscript"/>
              </w:rPr>
              <w:t>3</w:t>
            </w:r>
            <w:r>
              <w:rPr>
                <w:rFonts w:hint="eastAsia" w:ascii="Times New Roman" w:hAnsi="Times New Roman" w:eastAsia="宋体" w:cs="Times New Roman"/>
                <w:b/>
                <w:color w:val="auto"/>
                <w:highlight w:val="none"/>
                <w:lang w:eastAsia="zh-CN"/>
              </w:rPr>
              <w:t>）</w:t>
            </w:r>
          </w:p>
        </w:tc>
        <w:tc>
          <w:tcPr>
            <w:tcW w:w="1663" w:type="dxa"/>
            <w:tcBorders>
              <w:tl2br w:val="nil"/>
              <w:tr2bl w:val="nil"/>
            </w:tcBorders>
            <w:vAlign w:val="center"/>
          </w:tcPr>
          <w:p w14:paraId="675E1DA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最高允许排放速率</w:t>
            </w:r>
            <w:r>
              <w:rPr>
                <w:rFonts w:ascii="Times New Roman" w:hAnsi="Times New Roman" w:eastAsia="宋体" w:cs="Times New Roman"/>
                <w:b/>
                <w:color w:val="auto"/>
                <w:highlight w:val="none"/>
              </w:rPr>
              <w:t>（kg/h）</w:t>
            </w:r>
          </w:p>
        </w:tc>
        <w:tc>
          <w:tcPr>
            <w:tcW w:w="1221" w:type="dxa"/>
            <w:tcBorders>
              <w:tl2br w:val="nil"/>
              <w:tr2bl w:val="nil"/>
            </w:tcBorders>
            <w:vAlign w:val="center"/>
          </w:tcPr>
          <w:p w14:paraId="3512ADD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标准来源</w:t>
            </w:r>
          </w:p>
        </w:tc>
      </w:tr>
      <w:tr w14:paraId="41019D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vMerge w:val="restart"/>
            <w:tcBorders>
              <w:tl2br w:val="nil"/>
              <w:tr2bl w:val="nil"/>
            </w:tcBorders>
            <w:vAlign w:val="center"/>
          </w:tcPr>
          <w:p w14:paraId="0C07F9B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w:t>
            </w:r>
          </w:p>
        </w:tc>
        <w:tc>
          <w:tcPr>
            <w:tcW w:w="975" w:type="dxa"/>
            <w:vMerge w:val="restart"/>
            <w:tcBorders>
              <w:tl2br w:val="nil"/>
              <w:tr2bl w:val="nil"/>
            </w:tcBorders>
            <w:vAlign w:val="center"/>
          </w:tcPr>
          <w:p w14:paraId="0ED7723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ascii="Times New Roman" w:hAnsi="Times New Roman" w:eastAsia="宋体" w:cs="Times New Roman"/>
                <w:b w:val="0"/>
                <w:bCs w:val="0"/>
                <w:color w:val="auto"/>
                <w:highlight w:val="none"/>
              </w:rPr>
              <w:t>SO</w:t>
            </w:r>
            <w:r>
              <w:rPr>
                <w:rFonts w:ascii="Times New Roman" w:hAnsi="Times New Roman" w:eastAsia="宋体" w:cs="Times New Roman"/>
                <w:b w:val="0"/>
                <w:bCs w:val="0"/>
                <w:color w:val="auto"/>
                <w:highlight w:val="none"/>
                <w:vertAlign w:val="subscript"/>
              </w:rPr>
              <w:t>2</w:t>
            </w:r>
          </w:p>
        </w:tc>
        <w:tc>
          <w:tcPr>
            <w:tcW w:w="2280" w:type="dxa"/>
            <w:tcBorders>
              <w:tl2br w:val="nil"/>
              <w:tr2bl w:val="nil"/>
            </w:tcBorders>
            <w:vAlign w:val="center"/>
          </w:tcPr>
          <w:p w14:paraId="5687D4F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燃烧（焚烧、氧化）装置、固定式内燃机、发动机制造测试工艺</w:t>
            </w:r>
          </w:p>
        </w:tc>
        <w:tc>
          <w:tcPr>
            <w:tcW w:w="1652" w:type="dxa"/>
            <w:tcBorders>
              <w:tl2br w:val="nil"/>
              <w:tr2bl w:val="nil"/>
            </w:tcBorders>
            <w:vAlign w:val="center"/>
          </w:tcPr>
          <w:p w14:paraId="292535F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200</w:t>
            </w:r>
          </w:p>
        </w:tc>
        <w:tc>
          <w:tcPr>
            <w:tcW w:w="1663" w:type="dxa"/>
            <w:tcBorders>
              <w:tl2br w:val="nil"/>
              <w:tr2bl w:val="nil"/>
            </w:tcBorders>
            <w:vAlign w:val="center"/>
          </w:tcPr>
          <w:p w14:paraId="5E9BCC2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w:t>
            </w:r>
          </w:p>
        </w:tc>
        <w:tc>
          <w:tcPr>
            <w:tcW w:w="1221" w:type="dxa"/>
            <w:vMerge w:val="restart"/>
            <w:tcBorders>
              <w:tl2br w:val="nil"/>
              <w:tr2bl w:val="nil"/>
            </w:tcBorders>
            <w:vAlign w:val="center"/>
          </w:tcPr>
          <w:p w14:paraId="0D2DF1D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《大气污染物综合排放标准》（DB32/4041-2021）</w:t>
            </w:r>
          </w:p>
        </w:tc>
      </w:tr>
      <w:tr w14:paraId="565421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vMerge w:val="continue"/>
            <w:tcBorders>
              <w:tl2br w:val="nil"/>
              <w:tr2bl w:val="nil"/>
            </w:tcBorders>
            <w:vAlign w:val="center"/>
          </w:tcPr>
          <w:p w14:paraId="3CDC108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975" w:type="dxa"/>
            <w:vMerge w:val="continue"/>
            <w:tcBorders>
              <w:tl2br w:val="nil"/>
              <w:tr2bl w:val="nil"/>
            </w:tcBorders>
            <w:vAlign w:val="center"/>
          </w:tcPr>
          <w:p w14:paraId="6F0B954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2280" w:type="dxa"/>
            <w:tcBorders>
              <w:tl2br w:val="nil"/>
              <w:tr2bl w:val="nil"/>
            </w:tcBorders>
            <w:vAlign w:val="center"/>
          </w:tcPr>
          <w:p w14:paraId="32DC796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其他</w:t>
            </w:r>
          </w:p>
        </w:tc>
        <w:tc>
          <w:tcPr>
            <w:tcW w:w="1652" w:type="dxa"/>
            <w:tcBorders>
              <w:tl2br w:val="nil"/>
              <w:tr2bl w:val="nil"/>
            </w:tcBorders>
            <w:vAlign w:val="center"/>
          </w:tcPr>
          <w:p w14:paraId="2D8E9DD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200</w:t>
            </w:r>
          </w:p>
        </w:tc>
        <w:tc>
          <w:tcPr>
            <w:tcW w:w="1663" w:type="dxa"/>
            <w:tcBorders>
              <w:tl2br w:val="nil"/>
              <w:tr2bl w:val="nil"/>
            </w:tcBorders>
            <w:vAlign w:val="center"/>
          </w:tcPr>
          <w:p w14:paraId="3ECAD2F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1.4</w:t>
            </w:r>
          </w:p>
        </w:tc>
        <w:tc>
          <w:tcPr>
            <w:tcW w:w="1221" w:type="dxa"/>
            <w:vMerge w:val="continue"/>
            <w:tcBorders>
              <w:tl2br w:val="nil"/>
              <w:tr2bl w:val="nil"/>
            </w:tcBorders>
            <w:vAlign w:val="center"/>
          </w:tcPr>
          <w:p w14:paraId="47323F9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4D3D12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vMerge w:val="restart"/>
            <w:tcBorders>
              <w:tl2br w:val="nil"/>
              <w:tr2bl w:val="nil"/>
            </w:tcBorders>
            <w:vAlign w:val="center"/>
          </w:tcPr>
          <w:p w14:paraId="23E6859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w:t>
            </w:r>
          </w:p>
        </w:tc>
        <w:tc>
          <w:tcPr>
            <w:tcW w:w="975" w:type="dxa"/>
            <w:vMerge w:val="restart"/>
            <w:tcBorders>
              <w:tl2br w:val="nil"/>
              <w:tr2bl w:val="nil"/>
            </w:tcBorders>
            <w:vAlign w:val="center"/>
          </w:tcPr>
          <w:p w14:paraId="0099FA8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NOx（以NO</w:t>
            </w:r>
            <w:r>
              <w:rPr>
                <w:rFonts w:hint="eastAsia" w:ascii="Times New Roman" w:hAnsi="Times New Roman" w:eastAsia="宋体" w:cs="Times New Roman"/>
                <w:b w:val="0"/>
                <w:bCs w:val="0"/>
                <w:color w:val="auto"/>
                <w:spacing w:val="-4"/>
                <w:sz w:val="21"/>
                <w:szCs w:val="21"/>
                <w:highlight w:val="none"/>
                <w:vertAlign w:val="subscript"/>
                <w:lang w:val="en-US" w:eastAsia="zh-CN"/>
              </w:rPr>
              <w:t>2</w:t>
            </w:r>
            <w:r>
              <w:rPr>
                <w:rFonts w:hint="eastAsia" w:ascii="Times New Roman" w:hAnsi="Times New Roman" w:eastAsia="宋体" w:cs="Times New Roman"/>
                <w:b w:val="0"/>
                <w:bCs w:val="0"/>
                <w:color w:val="auto"/>
                <w:spacing w:val="-4"/>
                <w:sz w:val="21"/>
                <w:szCs w:val="21"/>
                <w:highlight w:val="none"/>
                <w:vertAlign w:val="baseline"/>
                <w:lang w:val="en-US" w:eastAsia="zh-CN"/>
              </w:rPr>
              <w:t>计）</w:t>
            </w:r>
          </w:p>
        </w:tc>
        <w:tc>
          <w:tcPr>
            <w:tcW w:w="2280" w:type="dxa"/>
            <w:tcBorders>
              <w:tl2br w:val="nil"/>
              <w:tr2bl w:val="nil"/>
            </w:tcBorders>
            <w:vAlign w:val="center"/>
          </w:tcPr>
          <w:p w14:paraId="17497B1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燃烧（焚烧、氧化）装置、固定式内燃机、发动机制造测试工艺</w:t>
            </w:r>
          </w:p>
        </w:tc>
        <w:tc>
          <w:tcPr>
            <w:tcW w:w="1652" w:type="dxa"/>
            <w:tcBorders>
              <w:tl2br w:val="nil"/>
              <w:tr2bl w:val="nil"/>
            </w:tcBorders>
            <w:vAlign w:val="center"/>
          </w:tcPr>
          <w:p w14:paraId="20C4705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200</w:t>
            </w:r>
          </w:p>
        </w:tc>
        <w:tc>
          <w:tcPr>
            <w:tcW w:w="1663" w:type="dxa"/>
            <w:tcBorders>
              <w:tl2br w:val="nil"/>
              <w:tr2bl w:val="nil"/>
            </w:tcBorders>
            <w:vAlign w:val="center"/>
          </w:tcPr>
          <w:p w14:paraId="20B4C93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w:t>
            </w:r>
          </w:p>
        </w:tc>
        <w:tc>
          <w:tcPr>
            <w:tcW w:w="1221" w:type="dxa"/>
            <w:vMerge w:val="continue"/>
            <w:tcBorders>
              <w:tl2br w:val="nil"/>
              <w:tr2bl w:val="nil"/>
            </w:tcBorders>
            <w:vAlign w:val="center"/>
          </w:tcPr>
          <w:p w14:paraId="52E04EE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241145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vMerge w:val="continue"/>
            <w:tcBorders>
              <w:tl2br w:val="nil"/>
              <w:tr2bl w:val="nil"/>
            </w:tcBorders>
            <w:vAlign w:val="center"/>
          </w:tcPr>
          <w:p w14:paraId="3EF6A0A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975" w:type="dxa"/>
            <w:vMerge w:val="continue"/>
            <w:tcBorders>
              <w:tl2br w:val="nil"/>
              <w:tr2bl w:val="nil"/>
            </w:tcBorders>
            <w:vAlign w:val="center"/>
          </w:tcPr>
          <w:p w14:paraId="0534DB8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2280" w:type="dxa"/>
            <w:tcBorders>
              <w:tl2br w:val="nil"/>
              <w:tr2bl w:val="nil"/>
            </w:tcBorders>
            <w:vAlign w:val="center"/>
          </w:tcPr>
          <w:p w14:paraId="47F8D8A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其他</w:t>
            </w:r>
          </w:p>
        </w:tc>
        <w:tc>
          <w:tcPr>
            <w:tcW w:w="1652" w:type="dxa"/>
            <w:tcBorders>
              <w:tl2br w:val="nil"/>
              <w:tr2bl w:val="nil"/>
            </w:tcBorders>
            <w:vAlign w:val="center"/>
          </w:tcPr>
          <w:p w14:paraId="43DE2D5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100</w:t>
            </w:r>
          </w:p>
        </w:tc>
        <w:tc>
          <w:tcPr>
            <w:tcW w:w="1663" w:type="dxa"/>
            <w:tcBorders>
              <w:tl2br w:val="nil"/>
              <w:tr2bl w:val="nil"/>
            </w:tcBorders>
            <w:vAlign w:val="center"/>
          </w:tcPr>
          <w:p w14:paraId="0FDE4BC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0.47</w:t>
            </w:r>
          </w:p>
        </w:tc>
        <w:tc>
          <w:tcPr>
            <w:tcW w:w="1221" w:type="dxa"/>
            <w:vMerge w:val="continue"/>
            <w:tcBorders>
              <w:tl2br w:val="nil"/>
              <w:tr2bl w:val="nil"/>
            </w:tcBorders>
            <w:vAlign w:val="center"/>
          </w:tcPr>
          <w:p w14:paraId="62570C5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70DB79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vMerge w:val="restart"/>
            <w:tcBorders>
              <w:tl2br w:val="nil"/>
              <w:tr2bl w:val="nil"/>
            </w:tcBorders>
            <w:vAlign w:val="center"/>
          </w:tcPr>
          <w:p w14:paraId="7F06557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w:t>
            </w:r>
          </w:p>
        </w:tc>
        <w:tc>
          <w:tcPr>
            <w:tcW w:w="975" w:type="dxa"/>
            <w:vMerge w:val="restart"/>
            <w:tcBorders>
              <w:tl2br w:val="nil"/>
              <w:tr2bl w:val="nil"/>
            </w:tcBorders>
            <w:vAlign w:val="center"/>
          </w:tcPr>
          <w:p w14:paraId="0A0D727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颗粒物</w:t>
            </w:r>
          </w:p>
        </w:tc>
        <w:tc>
          <w:tcPr>
            <w:tcW w:w="2280" w:type="dxa"/>
            <w:tcBorders>
              <w:tl2br w:val="nil"/>
              <w:tr2bl w:val="nil"/>
            </w:tcBorders>
            <w:vAlign w:val="center"/>
          </w:tcPr>
          <w:p w14:paraId="1249AB5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石棉纤维及粉尘</w:t>
            </w:r>
          </w:p>
        </w:tc>
        <w:tc>
          <w:tcPr>
            <w:tcW w:w="1652" w:type="dxa"/>
            <w:tcBorders>
              <w:tl2br w:val="nil"/>
              <w:tr2bl w:val="nil"/>
            </w:tcBorders>
            <w:vAlign w:val="center"/>
          </w:tcPr>
          <w:p w14:paraId="5783FDC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1.0或者1根纤维/cm</w:t>
            </w:r>
            <w:r>
              <w:rPr>
                <w:rFonts w:hint="eastAsia" w:ascii="Times New Roman" w:hAnsi="Times New Roman" w:eastAsia="宋体" w:cs="Times New Roman"/>
                <w:b w:val="0"/>
                <w:bCs w:val="0"/>
                <w:color w:val="auto"/>
                <w:spacing w:val="-4"/>
                <w:sz w:val="21"/>
                <w:szCs w:val="21"/>
                <w:highlight w:val="none"/>
                <w:vertAlign w:val="superscript"/>
                <w:lang w:val="en-US" w:eastAsia="zh-CN"/>
              </w:rPr>
              <w:t>3</w:t>
            </w:r>
          </w:p>
        </w:tc>
        <w:tc>
          <w:tcPr>
            <w:tcW w:w="1663" w:type="dxa"/>
            <w:tcBorders>
              <w:tl2br w:val="nil"/>
              <w:tr2bl w:val="nil"/>
            </w:tcBorders>
            <w:vAlign w:val="center"/>
          </w:tcPr>
          <w:p w14:paraId="6BBDABF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0.36</w:t>
            </w:r>
          </w:p>
        </w:tc>
        <w:tc>
          <w:tcPr>
            <w:tcW w:w="1221" w:type="dxa"/>
            <w:vMerge w:val="continue"/>
            <w:tcBorders>
              <w:tl2br w:val="nil"/>
              <w:tr2bl w:val="nil"/>
            </w:tcBorders>
            <w:vAlign w:val="center"/>
          </w:tcPr>
          <w:p w14:paraId="23BE1A5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5265FD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vMerge w:val="continue"/>
            <w:tcBorders>
              <w:tl2br w:val="nil"/>
              <w:tr2bl w:val="nil"/>
            </w:tcBorders>
            <w:vAlign w:val="center"/>
          </w:tcPr>
          <w:p w14:paraId="3C070EF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975" w:type="dxa"/>
            <w:vMerge w:val="continue"/>
            <w:tcBorders>
              <w:tl2br w:val="nil"/>
              <w:tr2bl w:val="nil"/>
            </w:tcBorders>
            <w:vAlign w:val="center"/>
          </w:tcPr>
          <w:p w14:paraId="584BF8A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2280" w:type="dxa"/>
            <w:tcBorders>
              <w:tl2br w:val="nil"/>
              <w:tr2bl w:val="nil"/>
            </w:tcBorders>
            <w:vAlign w:val="center"/>
          </w:tcPr>
          <w:p w14:paraId="64E3040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沥青烟</w:t>
            </w:r>
          </w:p>
        </w:tc>
        <w:tc>
          <w:tcPr>
            <w:tcW w:w="1652" w:type="dxa"/>
            <w:tcBorders>
              <w:tl2br w:val="nil"/>
              <w:tr2bl w:val="nil"/>
            </w:tcBorders>
            <w:vAlign w:val="center"/>
          </w:tcPr>
          <w:p w14:paraId="5E81385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w:t>
            </w:r>
          </w:p>
        </w:tc>
        <w:tc>
          <w:tcPr>
            <w:tcW w:w="1663" w:type="dxa"/>
            <w:tcBorders>
              <w:tl2br w:val="nil"/>
              <w:tr2bl w:val="nil"/>
            </w:tcBorders>
            <w:vAlign w:val="center"/>
          </w:tcPr>
          <w:p w14:paraId="2C38242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0.11</w:t>
            </w:r>
          </w:p>
        </w:tc>
        <w:tc>
          <w:tcPr>
            <w:tcW w:w="1221" w:type="dxa"/>
            <w:vMerge w:val="continue"/>
            <w:tcBorders>
              <w:tl2br w:val="nil"/>
              <w:tr2bl w:val="nil"/>
            </w:tcBorders>
            <w:vAlign w:val="center"/>
          </w:tcPr>
          <w:p w14:paraId="07DDBC1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26F15F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vMerge w:val="continue"/>
            <w:tcBorders>
              <w:tl2br w:val="nil"/>
              <w:tr2bl w:val="nil"/>
            </w:tcBorders>
            <w:vAlign w:val="center"/>
          </w:tcPr>
          <w:p w14:paraId="22E9568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975" w:type="dxa"/>
            <w:vMerge w:val="continue"/>
            <w:tcBorders>
              <w:tl2br w:val="nil"/>
              <w:tr2bl w:val="nil"/>
            </w:tcBorders>
            <w:vAlign w:val="center"/>
          </w:tcPr>
          <w:p w14:paraId="6B1DA85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2280" w:type="dxa"/>
            <w:tcBorders>
              <w:tl2br w:val="nil"/>
              <w:tr2bl w:val="nil"/>
            </w:tcBorders>
            <w:vAlign w:val="center"/>
          </w:tcPr>
          <w:p w14:paraId="71EB3C1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碳黑尘、</w:t>
            </w:r>
            <w:sdt>
              <w:sdtPr>
                <w:rPr>
                  <w:color w:val="auto"/>
                  <w:highlight w:val="none"/>
                </w:rPr>
                <w:alias w:val="易错词检查"/>
                <w:tag w:val="auto"/>
                <w:id w:val="141734"/>
              </w:sdtPr>
              <w:sdtEndPr>
                <w:rPr>
                  <w:color w:val="auto"/>
                  <w:highlight w:val="none"/>
                </w:rPr>
              </w:sdtEndPr>
              <w:sdtContent>
                <w:bookmarkStart w:id="625" w:name="bkReivew141734"/>
                <w:r>
                  <w:rPr>
                    <w:rFonts w:hint="eastAsia" w:ascii="Times New Roman" w:hAnsi="Times New Roman" w:eastAsia="宋体" w:cs="Times New Roman"/>
                    <w:b w:val="0"/>
                    <w:bCs w:val="0"/>
                    <w:color w:val="auto"/>
                    <w:spacing w:val="-4"/>
                    <w:sz w:val="21"/>
                    <w:szCs w:val="21"/>
                    <w:highlight w:val="none"/>
                    <w:vertAlign w:val="baseline"/>
                    <w:lang w:val="en-US" w:eastAsia="zh-CN"/>
                  </w:rPr>
                  <w:t>染料</w:t>
                </w:r>
                <w:bookmarkEnd w:id="625"/>
              </w:sdtContent>
            </w:sdt>
            <w:r>
              <w:rPr>
                <w:rFonts w:hint="eastAsia" w:ascii="Times New Roman" w:hAnsi="Times New Roman" w:eastAsia="宋体" w:cs="Times New Roman"/>
                <w:b w:val="0"/>
                <w:bCs w:val="0"/>
                <w:color w:val="auto"/>
                <w:spacing w:val="-4"/>
                <w:sz w:val="21"/>
                <w:szCs w:val="21"/>
                <w:highlight w:val="none"/>
                <w:vertAlign w:val="baseline"/>
                <w:lang w:val="en-US" w:eastAsia="zh-CN"/>
              </w:rPr>
              <w:t>尘</w:t>
            </w:r>
          </w:p>
        </w:tc>
        <w:tc>
          <w:tcPr>
            <w:tcW w:w="1652" w:type="dxa"/>
            <w:tcBorders>
              <w:tl2br w:val="nil"/>
              <w:tr2bl w:val="nil"/>
            </w:tcBorders>
            <w:vAlign w:val="center"/>
          </w:tcPr>
          <w:p w14:paraId="25EB94D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15</w:t>
            </w:r>
          </w:p>
        </w:tc>
        <w:tc>
          <w:tcPr>
            <w:tcW w:w="1663" w:type="dxa"/>
            <w:tcBorders>
              <w:tl2br w:val="nil"/>
              <w:tr2bl w:val="nil"/>
            </w:tcBorders>
            <w:vAlign w:val="center"/>
          </w:tcPr>
          <w:p w14:paraId="68F61D0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0.51</w:t>
            </w:r>
          </w:p>
        </w:tc>
        <w:tc>
          <w:tcPr>
            <w:tcW w:w="1221" w:type="dxa"/>
            <w:vMerge w:val="continue"/>
            <w:tcBorders>
              <w:tl2br w:val="nil"/>
              <w:tr2bl w:val="nil"/>
            </w:tcBorders>
            <w:vAlign w:val="center"/>
          </w:tcPr>
          <w:p w14:paraId="0C34A2B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7E11E7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vMerge w:val="continue"/>
            <w:tcBorders>
              <w:tl2br w:val="nil"/>
              <w:tr2bl w:val="nil"/>
            </w:tcBorders>
            <w:vAlign w:val="center"/>
          </w:tcPr>
          <w:p w14:paraId="1D0E8D5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975" w:type="dxa"/>
            <w:vMerge w:val="continue"/>
            <w:tcBorders>
              <w:tl2br w:val="nil"/>
              <w:tr2bl w:val="nil"/>
            </w:tcBorders>
            <w:vAlign w:val="center"/>
          </w:tcPr>
          <w:p w14:paraId="6C5F5BF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2280" w:type="dxa"/>
            <w:tcBorders>
              <w:tl2br w:val="nil"/>
              <w:tr2bl w:val="nil"/>
            </w:tcBorders>
            <w:vAlign w:val="center"/>
          </w:tcPr>
          <w:p w14:paraId="726B194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其他</w:t>
            </w:r>
          </w:p>
        </w:tc>
        <w:tc>
          <w:tcPr>
            <w:tcW w:w="1652" w:type="dxa"/>
            <w:tcBorders>
              <w:tl2br w:val="nil"/>
              <w:tr2bl w:val="nil"/>
            </w:tcBorders>
            <w:vAlign w:val="center"/>
          </w:tcPr>
          <w:p w14:paraId="5C54DCE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w:t>
            </w:r>
          </w:p>
        </w:tc>
        <w:tc>
          <w:tcPr>
            <w:tcW w:w="1663" w:type="dxa"/>
            <w:tcBorders>
              <w:tl2br w:val="nil"/>
              <w:tr2bl w:val="nil"/>
            </w:tcBorders>
            <w:vAlign w:val="center"/>
          </w:tcPr>
          <w:p w14:paraId="08A51B8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w:t>
            </w:r>
          </w:p>
        </w:tc>
        <w:tc>
          <w:tcPr>
            <w:tcW w:w="1221" w:type="dxa"/>
            <w:vMerge w:val="continue"/>
            <w:tcBorders>
              <w:tl2br w:val="nil"/>
              <w:tr2bl w:val="nil"/>
            </w:tcBorders>
            <w:vAlign w:val="center"/>
          </w:tcPr>
          <w:p w14:paraId="77F1142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586F5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tcBorders>
              <w:tl2br w:val="nil"/>
              <w:tr2bl w:val="nil"/>
            </w:tcBorders>
            <w:vAlign w:val="center"/>
          </w:tcPr>
          <w:p w14:paraId="2A9B90B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w:t>
            </w:r>
          </w:p>
        </w:tc>
        <w:tc>
          <w:tcPr>
            <w:tcW w:w="3255" w:type="dxa"/>
            <w:gridSpan w:val="2"/>
            <w:tcBorders>
              <w:tl2br w:val="nil"/>
              <w:tr2bl w:val="nil"/>
            </w:tcBorders>
            <w:vAlign w:val="center"/>
          </w:tcPr>
          <w:p w14:paraId="2534EC6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苯</w:t>
            </w:r>
          </w:p>
        </w:tc>
        <w:tc>
          <w:tcPr>
            <w:tcW w:w="1652" w:type="dxa"/>
            <w:tcBorders>
              <w:tl2br w:val="nil"/>
              <w:tr2bl w:val="nil"/>
            </w:tcBorders>
            <w:vAlign w:val="center"/>
          </w:tcPr>
          <w:p w14:paraId="589924E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w:t>
            </w:r>
          </w:p>
        </w:tc>
        <w:tc>
          <w:tcPr>
            <w:tcW w:w="1663" w:type="dxa"/>
            <w:tcBorders>
              <w:tl2br w:val="nil"/>
              <w:tr2bl w:val="nil"/>
            </w:tcBorders>
            <w:vAlign w:val="center"/>
          </w:tcPr>
          <w:p w14:paraId="4354F6F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0.1</w:t>
            </w:r>
          </w:p>
        </w:tc>
        <w:tc>
          <w:tcPr>
            <w:tcW w:w="1221" w:type="dxa"/>
            <w:vMerge w:val="continue"/>
            <w:tcBorders>
              <w:tl2br w:val="nil"/>
              <w:tr2bl w:val="nil"/>
            </w:tcBorders>
            <w:vAlign w:val="center"/>
          </w:tcPr>
          <w:p w14:paraId="011A532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299685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860" w:type="dxa"/>
            <w:tcBorders>
              <w:tl2br w:val="nil"/>
              <w:tr2bl w:val="nil"/>
            </w:tcBorders>
            <w:vAlign w:val="center"/>
          </w:tcPr>
          <w:p w14:paraId="1B66271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w:t>
            </w:r>
          </w:p>
        </w:tc>
        <w:tc>
          <w:tcPr>
            <w:tcW w:w="3255" w:type="dxa"/>
            <w:gridSpan w:val="2"/>
            <w:tcBorders>
              <w:tl2br w:val="nil"/>
              <w:tr2bl w:val="nil"/>
            </w:tcBorders>
            <w:vAlign w:val="center"/>
          </w:tcPr>
          <w:p w14:paraId="646C0AE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甲苯</w:t>
            </w:r>
          </w:p>
        </w:tc>
        <w:tc>
          <w:tcPr>
            <w:tcW w:w="1652" w:type="dxa"/>
            <w:tcBorders>
              <w:tl2br w:val="nil"/>
              <w:tr2bl w:val="nil"/>
            </w:tcBorders>
            <w:vAlign w:val="center"/>
          </w:tcPr>
          <w:p w14:paraId="1D5E173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w:t>
            </w:r>
          </w:p>
        </w:tc>
        <w:tc>
          <w:tcPr>
            <w:tcW w:w="1663" w:type="dxa"/>
            <w:tcBorders>
              <w:tl2br w:val="nil"/>
              <w:tr2bl w:val="nil"/>
            </w:tcBorders>
            <w:vAlign w:val="center"/>
          </w:tcPr>
          <w:p w14:paraId="3011B9D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0.2</w:t>
            </w:r>
          </w:p>
        </w:tc>
        <w:tc>
          <w:tcPr>
            <w:tcW w:w="1221" w:type="dxa"/>
            <w:vMerge w:val="continue"/>
            <w:tcBorders>
              <w:tl2br w:val="nil"/>
              <w:tr2bl w:val="nil"/>
            </w:tcBorders>
            <w:vAlign w:val="center"/>
          </w:tcPr>
          <w:p w14:paraId="63E0D22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185CE2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tcBorders>
              <w:tl2br w:val="nil"/>
              <w:tr2bl w:val="nil"/>
            </w:tcBorders>
            <w:vAlign w:val="center"/>
          </w:tcPr>
          <w:p w14:paraId="505AA0C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6</w:t>
            </w:r>
          </w:p>
        </w:tc>
        <w:tc>
          <w:tcPr>
            <w:tcW w:w="3255" w:type="dxa"/>
            <w:gridSpan w:val="2"/>
            <w:tcBorders>
              <w:tl2br w:val="nil"/>
              <w:tr2bl w:val="nil"/>
            </w:tcBorders>
            <w:vAlign w:val="center"/>
          </w:tcPr>
          <w:p w14:paraId="1B56396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二甲苯</w:t>
            </w:r>
          </w:p>
        </w:tc>
        <w:tc>
          <w:tcPr>
            <w:tcW w:w="1652" w:type="dxa"/>
            <w:tcBorders>
              <w:tl2br w:val="nil"/>
              <w:tr2bl w:val="nil"/>
            </w:tcBorders>
            <w:vAlign w:val="center"/>
          </w:tcPr>
          <w:p w14:paraId="33C37D3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w:t>
            </w:r>
          </w:p>
        </w:tc>
        <w:tc>
          <w:tcPr>
            <w:tcW w:w="1663" w:type="dxa"/>
            <w:tcBorders>
              <w:tl2br w:val="nil"/>
              <w:tr2bl w:val="nil"/>
            </w:tcBorders>
            <w:vAlign w:val="center"/>
          </w:tcPr>
          <w:p w14:paraId="16970C2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0.72</w:t>
            </w:r>
          </w:p>
        </w:tc>
        <w:tc>
          <w:tcPr>
            <w:tcW w:w="1221" w:type="dxa"/>
            <w:vMerge w:val="continue"/>
            <w:tcBorders>
              <w:tl2br w:val="nil"/>
              <w:tr2bl w:val="nil"/>
            </w:tcBorders>
            <w:vAlign w:val="center"/>
          </w:tcPr>
          <w:p w14:paraId="7761A5F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73834C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tcBorders>
              <w:tl2br w:val="nil"/>
              <w:tr2bl w:val="nil"/>
            </w:tcBorders>
            <w:vAlign w:val="center"/>
          </w:tcPr>
          <w:p w14:paraId="7BA8731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7</w:t>
            </w:r>
          </w:p>
        </w:tc>
        <w:tc>
          <w:tcPr>
            <w:tcW w:w="3255" w:type="dxa"/>
            <w:gridSpan w:val="2"/>
            <w:tcBorders>
              <w:tl2br w:val="nil"/>
              <w:tr2bl w:val="nil"/>
            </w:tcBorders>
            <w:vAlign w:val="center"/>
          </w:tcPr>
          <w:p w14:paraId="6E94CBD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硫酸雾</w:t>
            </w:r>
          </w:p>
        </w:tc>
        <w:tc>
          <w:tcPr>
            <w:tcW w:w="1652" w:type="dxa"/>
            <w:tcBorders>
              <w:tl2br w:val="nil"/>
              <w:tr2bl w:val="nil"/>
            </w:tcBorders>
            <w:vAlign w:val="center"/>
          </w:tcPr>
          <w:p w14:paraId="10C16B1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w:t>
            </w:r>
          </w:p>
        </w:tc>
        <w:tc>
          <w:tcPr>
            <w:tcW w:w="1663" w:type="dxa"/>
            <w:tcBorders>
              <w:tl2br w:val="nil"/>
              <w:tr2bl w:val="nil"/>
            </w:tcBorders>
            <w:vAlign w:val="center"/>
          </w:tcPr>
          <w:p w14:paraId="31E5606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1.1</w:t>
            </w:r>
          </w:p>
        </w:tc>
        <w:tc>
          <w:tcPr>
            <w:tcW w:w="1221" w:type="dxa"/>
            <w:vMerge w:val="continue"/>
            <w:tcBorders>
              <w:tl2br w:val="nil"/>
              <w:tr2bl w:val="nil"/>
            </w:tcBorders>
            <w:vAlign w:val="center"/>
          </w:tcPr>
          <w:p w14:paraId="64465AE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0CA89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tcBorders>
              <w:tl2br w:val="nil"/>
              <w:tr2bl w:val="nil"/>
            </w:tcBorders>
            <w:vAlign w:val="center"/>
          </w:tcPr>
          <w:p w14:paraId="3F91222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8</w:t>
            </w:r>
          </w:p>
        </w:tc>
        <w:tc>
          <w:tcPr>
            <w:tcW w:w="3255" w:type="dxa"/>
            <w:gridSpan w:val="2"/>
            <w:tcBorders>
              <w:tl2br w:val="nil"/>
              <w:tr2bl w:val="nil"/>
            </w:tcBorders>
            <w:vAlign w:val="center"/>
          </w:tcPr>
          <w:p w14:paraId="10BDC52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氯化氢</w:t>
            </w:r>
          </w:p>
        </w:tc>
        <w:tc>
          <w:tcPr>
            <w:tcW w:w="1652" w:type="dxa"/>
            <w:tcBorders>
              <w:tl2br w:val="nil"/>
              <w:tr2bl w:val="nil"/>
            </w:tcBorders>
            <w:vAlign w:val="center"/>
          </w:tcPr>
          <w:p w14:paraId="6332D5D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w:t>
            </w:r>
          </w:p>
        </w:tc>
        <w:tc>
          <w:tcPr>
            <w:tcW w:w="1663" w:type="dxa"/>
            <w:tcBorders>
              <w:tl2br w:val="nil"/>
              <w:tr2bl w:val="nil"/>
            </w:tcBorders>
            <w:vAlign w:val="center"/>
          </w:tcPr>
          <w:p w14:paraId="01979B5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0.18</w:t>
            </w:r>
          </w:p>
        </w:tc>
        <w:tc>
          <w:tcPr>
            <w:tcW w:w="1221" w:type="dxa"/>
            <w:vMerge w:val="continue"/>
            <w:tcBorders>
              <w:tl2br w:val="nil"/>
              <w:tr2bl w:val="nil"/>
            </w:tcBorders>
            <w:vAlign w:val="center"/>
          </w:tcPr>
          <w:p w14:paraId="30AAFAB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39C18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tcBorders>
              <w:tl2br w:val="nil"/>
              <w:tr2bl w:val="nil"/>
            </w:tcBorders>
            <w:vAlign w:val="center"/>
          </w:tcPr>
          <w:p w14:paraId="5EBE99E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9</w:t>
            </w:r>
          </w:p>
        </w:tc>
        <w:tc>
          <w:tcPr>
            <w:tcW w:w="3255" w:type="dxa"/>
            <w:gridSpan w:val="2"/>
            <w:tcBorders>
              <w:tl2br w:val="nil"/>
              <w:tr2bl w:val="nil"/>
            </w:tcBorders>
            <w:vAlign w:val="center"/>
          </w:tcPr>
          <w:p w14:paraId="2D182B1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氟化物</w:t>
            </w:r>
          </w:p>
        </w:tc>
        <w:tc>
          <w:tcPr>
            <w:tcW w:w="1652" w:type="dxa"/>
            <w:tcBorders>
              <w:tl2br w:val="nil"/>
              <w:tr2bl w:val="nil"/>
            </w:tcBorders>
            <w:vAlign w:val="center"/>
          </w:tcPr>
          <w:p w14:paraId="4D34A30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w:t>
            </w:r>
          </w:p>
        </w:tc>
        <w:tc>
          <w:tcPr>
            <w:tcW w:w="1663" w:type="dxa"/>
            <w:tcBorders>
              <w:tl2br w:val="nil"/>
              <w:tr2bl w:val="nil"/>
            </w:tcBorders>
            <w:vAlign w:val="center"/>
          </w:tcPr>
          <w:p w14:paraId="4F1C58E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0.072</w:t>
            </w:r>
          </w:p>
        </w:tc>
        <w:tc>
          <w:tcPr>
            <w:tcW w:w="1221" w:type="dxa"/>
            <w:vMerge w:val="continue"/>
            <w:tcBorders>
              <w:tl2br w:val="nil"/>
              <w:tr2bl w:val="nil"/>
            </w:tcBorders>
            <w:vAlign w:val="center"/>
          </w:tcPr>
          <w:p w14:paraId="2D90B9B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56A01A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tcBorders>
              <w:tl2br w:val="nil"/>
              <w:tr2bl w:val="nil"/>
            </w:tcBorders>
            <w:vAlign w:val="center"/>
          </w:tcPr>
          <w:p w14:paraId="57E61B4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w:t>
            </w:r>
          </w:p>
        </w:tc>
        <w:tc>
          <w:tcPr>
            <w:tcW w:w="3255" w:type="dxa"/>
            <w:gridSpan w:val="2"/>
            <w:tcBorders>
              <w:tl2br w:val="nil"/>
              <w:tr2bl w:val="nil"/>
            </w:tcBorders>
            <w:vAlign w:val="center"/>
          </w:tcPr>
          <w:p w14:paraId="1F3268B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甲醇</w:t>
            </w:r>
          </w:p>
        </w:tc>
        <w:tc>
          <w:tcPr>
            <w:tcW w:w="1652" w:type="dxa"/>
            <w:tcBorders>
              <w:tl2br w:val="nil"/>
              <w:tr2bl w:val="nil"/>
            </w:tcBorders>
            <w:vAlign w:val="center"/>
          </w:tcPr>
          <w:p w14:paraId="4F09010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50</w:t>
            </w:r>
          </w:p>
        </w:tc>
        <w:tc>
          <w:tcPr>
            <w:tcW w:w="1663" w:type="dxa"/>
            <w:tcBorders>
              <w:tl2br w:val="nil"/>
              <w:tr2bl w:val="nil"/>
            </w:tcBorders>
            <w:vAlign w:val="center"/>
          </w:tcPr>
          <w:p w14:paraId="0BBC8E1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1.8</w:t>
            </w:r>
          </w:p>
        </w:tc>
        <w:tc>
          <w:tcPr>
            <w:tcW w:w="1221" w:type="dxa"/>
            <w:vMerge w:val="continue"/>
            <w:tcBorders>
              <w:tl2br w:val="nil"/>
              <w:tr2bl w:val="nil"/>
            </w:tcBorders>
            <w:vAlign w:val="center"/>
          </w:tcPr>
          <w:p w14:paraId="0B1CEA6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3C53F5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0" w:type="dxa"/>
            <w:tcBorders>
              <w:tl2br w:val="nil"/>
              <w:tr2bl w:val="nil"/>
            </w:tcBorders>
            <w:vAlign w:val="center"/>
          </w:tcPr>
          <w:p w14:paraId="3BDADE3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11</w:t>
            </w:r>
          </w:p>
        </w:tc>
        <w:tc>
          <w:tcPr>
            <w:tcW w:w="3255" w:type="dxa"/>
            <w:gridSpan w:val="2"/>
            <w:tcBorders>
              <w:tl2br w:val="nil"/>
              <w:tr2bl w:val="nil"/>
            </w:tcBorders>
            <w:vAlign w:val="center"/>
          </w:tcPr>
          <w:p w14:paraId="5A775AF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非甲烷总烃</w:t>
            </w:r>
          </w:p>
        </w:tc>
        <w:tc>
          <w:tcPr>
            <w:tcW w:w="1652" w:type="dxa"/>
            <w:tcBorders>
              <w:tl2br w:val="nil"/>
              <w:tr2bl w:val="nil"/>
            </w:tcBorders>
            <w:vAlign w:val="center"/>
          </w:tcPr>
          <w:p w14:paraId="6FAFDE3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60</w:t>
            </w:r>
          </w:p>
        </w:tc>
        <w:tc>
          <w:tcPr>
            <w:tcW w:w="1663" w:type="dxa"/>
            <w:tcBorders>
              <w:tl2br w:val="nil"/>
              <w:tr2bl w:val="nil"/>
            </w:tcBorders>
            <w:vAlign w:val="center"/>
          </w:tcPr>
          <w:p w14:paraId="727F3BD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w:t>
            </w:r>
          </w:p>
        </w:tc>
        <w:tc>
          <w:tcPr>
            <w:tcW w:w="1221" w:type="dxa"/>
            <w:vMerge w:val="continue"/>
            <w:tcBorders>
              <w:tl2br w:val="nil"/>
              <w:tr2bl w:val="nil"/>
            </w:tcBorders>
            <w:vAlign w:val="center"/>
          </w:tcPr>
          <w:p w14:paraId="571E351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bl>
    <w:p w14:paraId="1ADA3760">
      <w:pPr>
        <w:spacing w:before="35" w:line="220" w:lineRule="auto"/>
        <w:jc w:val="both"/>
        <w:rPr>
          <w:rFonts w:hint="default" w:ascii="Times New Roman" w:hAnsi="Times New Roman" w:eastAsia="宋体" w:cs="Times New Roman"/>
          <w:b w:val="0"/>
          <w:bCs w:val="0"/>
          <w:color w:val="auto"/>
          <w:spacing w:val="-4"/>
          <w:sz w:val="21"/>
          <w:szCs w:val="21"/>
          <w:highlight w:val="none"/>
          <w:lang w:val="en-US" w:eastAsia="zh-CN"/>
        </w:rPr>
      </w:pPr>
      <w:r>
        <w:rPr>
          <w:rFonts w:hint="eastAsia" w:ascii="Times New Roman" w:hAnsi="Times New Roman" w:eastAsia="宋体" w:cs="Times New Roman"/>
          <w:b w:val="0"/>
          <w:bCs w:val="0"/>
          <w:color w:val="auto"/>
          <w:spacing w:val="-4"/>
          <w:sz w:val="21"/>
          <w:szCs w:val="21"/>
          <w:highlight w:val="none"/>
          <w:lang w:val="en-US" w:eastAsia="zh-CN"/>
        </w:rPr>
        <w:t>注：非甲烷总烃污染物控制设施总去除效率≥90%时，等同于满足最高允许排放速率限制要求。</w:t>
      </w:r>
    </w:p>
    <w:p w14:paraId="16DB5382">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b/>
          <w:bCs/>
          <w:color w:val="auto"/>
          <w:spacing w:val="-4"/>
          <w:sz w:val="24"/>
          <w:szCs w:val="24"/>
          <w:highlight w:val="none"/>
          <w:lang w:val="en-US" w:eastAsia="zh-CN"/>
        </w:rPr>
      </w:pPr>
      <w:bookmarkStart w:id="626" w:name="OLE_LINK168"/>
      <w:bookmarkStart w:id="627" w:name="sys1507031"/>
      <w:r>
        <w:rPr>
          <w:rFonts w:hint="default" w:ascii="Times New Roman" w:hAnsi="Times New Roman" w:eastAsia="宋体" w:cs="Times New Roman"/>
          <w:b/>
          <w:bCs/>
          <w:color w:val="auto"/>
          <w:spacing w:val="-4"/>
          <w:sz w:val="24"/>
          <w:szCs w:val="24"/>
          <w:highlight w:val="none"/>
          <w:lang w:val="en-US" w:eastAsia="zh-CN"/>
        </w:rPr>
        <w:t>表3.</w:t>
      </w:r>
      <w:bookmarkEnd w:id="626"/>
      <w:r>
        <w:rPr>
          <w:rFonts w:hint="eastAsia" w:ascii="Times New Roman" w:hAnsi="Times New Roman" w:eastAsia="宋体" w:cs="Times New Roman"/>
          <w:b/>
          <w:bCs/>
          <w:color w:val="auto"/>
          <w:spacing w:val="-4"/>
          <w:sz w:val="24"/>
          <w:szCs w:val="24"/>
          <w:highlight w:val="none"/>
          <w:lang w:val="en-US" w:eastAsia="zh-CN"/>
        </w:rPr>
        <w:t>2-9</w:t>
      </w:r>
      <w:r>
        <w:rPr>
          <w:rFonts w:hint="default" w:ascii="Times New Roman" w:hAnsi="Times New Roman" w:eastAsia="宋体" w:cs="Times New Roman"/>
          <w:b/>
          <w:bCs/>
          <w:color w:val="auto"/>
          <w:spacing w:val="-4"/>
          <w:sz w:val="24"/>
          <w:szCs w:val="24"/>
          <w:highlight w:val="none"/>
          <w:lang w:val="en-US" w:eastAsia="zh-CN"/>
        </w:rPr>
        <w:t xml:space="preserve"> </w:t>
      </w:r>
      <w:r>
        <w:rPr>
          <w:rFonts w:hint="eastAsia" w:ascii="Times New Roman" w:hAnsi="Times New Roman" w:eastAsia="宋体" w:cs="Times New Roman"/>
          <w:b/>
          <w:bCs/>
          <w:color w:val="auto"/>
          <w:spacing w:val="-4"/>
          <w:sz w:val="24"/>
          <w:szCs w:val="24"/>
          <w:highlight w:val="none"/>
          <w:lang w:val="en-US" w:eastAsia="zh-CN"/>
        </w:rPr>
        <w:t xml:space="preserve"> 企业厂区内VOCs无组织排放限值（mg/m</w:t>
      </w:r>
      <w:r>
        <w:rPr>
          <w:rFonts w:hint="eastAsia" w:ascii="Times New Roman" w:hAnsi="Times New Roman" w:eastAsia="宋体" w:cs="Times New Roman"/>
          <w:b/>
          <w:bCs/>
          <w:color w:val="auto"/>
          <w:spacing w:val="-4"/>
          <w:sz w:val="24"/>
          <w:szCs w:val="24"/>
          <w:highlight w:val="none"/>
          <w:vertAlign w:val="superscript"/>
          <w:lang w:val="en-US" w:eastAsia="zh-CN"/>
        </w:rPr>
        <w:t>3</w:t>
      </w:r>
      <w:r>
        <w:rPr>
          <w:rFonts w:hint="eastAsia" w:ascii="Times New Roman" w:hAnsi="Times New Roman" w:eastAsia="宋体" w:cs="Times New Roman"/>
          <w:b/>
          <w:bCs/>
          <w:color w:val="auto"/>
          <w:spacing w:val="-4"/>
          <w:sz w:val="24"/>
          <w:szCs w:val="24"/>
          <w:highlight w:val="none"/>
          <w:lang w:val="en-US" w:eastAsia="zh-CN"/>
        </w:rPr>
        <w:t>）</w:t>
      </w:r>
      <w:bookmarkEnd w:id="627"/>
      <w:bookmarkStart w:id="628" w:name="pindex1507"/>
      <w:bookmarkEnd w:id="628"/>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2"/>
        <w:gridCol w:w="1439"/>
        <w:gridCol w:w="2484"/>
        <w:gridCol w:w="1300"/>
        <w:gridCol w:w="2130"/>
      </w:tblGrid>
      <w:tr w14:paraId="4CC3B2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2" w:type="dxa"/>
            <w:tcBorders>
              <w:tl2br w:val="nil"/>
              <w:tr2bl w:val="nil"/>
            </w:tcBorders>
            <w:vAlign w:val="center"/>
          </w:tcPr>
          <w:p w14:paraId="5B04C8B0">
            <w:pPr>
              <w:widowControl w:val="0"/>
              <w:spacing w:before="35" w:line="220" w:lineRule="auto"/>
              <w:jc w:val="center"/>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污染物</w:t>
            </w:r>
          </w:p>
        </w:tc>
        <w:tc>
          <w:tcPr>
            <w:tcW w:w="1440" w:type="dxa"/>
            <w:tcBorders>
              <w:tl2br w:val="nil"/>
              <w:tr2bl w:val="nil"/>
            </w:tcBorders>
            <w:vAlign w:val="center"/>
          </w:tcPr>
          <w:p w14:paraId="2217EC60">
            <w:pPr>
              <w:widowControl w:val="0"/>
              <w:spacing w:before="35" w:line="220" w:lineRule="auto"/>
              <w:jc w:val="center"/>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排放限值</w:t>
            </w:r>
          </w:p>
        </w:tc>
        <w:tc>
          <w:tcPr>
            <w:tcW w:w="2486" w:type="dxa"/>
            <w:tcBorders>
              <w:tl2br w:val="nil"/>
              <w:tr2bl w:val="nil"/>
            </w:tcBorders>
            <w:vAlign w:val="center"/>
          </w:tcPr>
          <w:p w14:paraId="21DEB516">
            <w:pPr>
              <w:widowControl w:val="0"/>
              <w:spacing w:before="35" w:line="220" w:lineRule="auto"/>
              <w:jc w:val="center"/>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限值含义</w:t>
            </w:r>
          </w:p>
        </w:tc>
        <w:tc>
          <w:tcPr>
            <w:tcW w:w="1301" w:type="dxa"/>
            <w:tcBorders>
              <w:tl2br w:val="nil"/>
              <w:tr2bl w:val="nil"/>
            </w:tcBorders>
            <w:vAlign w:val="center"/>
          </w:tcPr>
          <w:p w14:paraId="7070A7F3">
            <w:pPr>
              <w:widowControl w:val="0"/>
              <w:spacing w:before="35" w:line="220" w:lineRule="auto"/>
              <w:jc w:val="center"/>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无组织排放监控位置</w:t>
            </w:r>
          </w:p>
        </w:tc>
        <w:tc>
          <w:tcPr>
            <w:tcW w:w="2131" w:type="dxa"/>
            <w:tcBorders>
              <w:tl2br w:val="nil"/>
              <w:tr2bl w:val="nil"/>
            </w:tcBorders>
            <w:vAlign w:val="center"/>
          </w:tcPr>
          <w:p w14:paraId="3C59B9CE">
            <w:pPr>
              <w:widowControl w:val="0"/>
              <w:spacing w:before="35" w:line="220" w:lineRule="auto"/>
              <w:jc w:val="center"/>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标准来源</w:t>
            </w:r>
          </w:p>
        </w:tc>
      </w:tr>
      <w:tr w14:paraId="2C4AA5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222" w:type="dxa"/>
            <w:vMerge w:val="restart"/>
            <w:tcBorders>
              <w:tl2br w:val="nil"/>
              <w:tr2bl w:val="nil"/>
            </w:tcBorders>
            <w:vAlign w:val="center"/>
          </w:tcPr>
          <w:p w14:paraId="645138FB">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NMHC</w:t>
            </w:r>
          </w:p>
        </w:tc>
        <w:tc>
          <w:tcPr>
            <w:tcW w:w="1440" w:type="dxa"/>
            <w:tcBorders>
              <w:tl2br w:val="nil"/>
              <w:tr2bl w:val="nil"/>
            </w:tcBorders>
            <w:vAlign w:val="center"/>
          </w:tcPr>
          <w:p w14:paraId="55D7DB14">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6</w:t>
            </w:r>
          </w:p>
        </w:tc>
        <w:tc>
          <w:tcPr>
            <w:tcW w:w="2486" w:type="dxa"/>
            <w:tcBorders>
              <w:tl2br w:val="nil"/>
              <w:tr2bl w:val="nil"/>
            </w:tcBorders>
            <w:vAlign w:val="center"/>
          </w:tcPr>
          <w:p w14:paraId="63F384F7">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监控点处1h平均浓度值</w:t>
            </w:r>
          </w:p>
        </w:tc>
        <w:tc>
          <w:tcPr>
            <w:tcW w:w="1301" w:type="dxa"/>
            <w:vMerge w:val="restart"/>
            <w:tcBorders>
              <w:tl2br w:val="nil"/>
              <w:tr2bl w:val="nil"/>
            </w:tcBorders>
            <w:vAlign w:val="center"/>
          </w:tcPr>
          <w:p w14:paraId="47E55338">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在厂房外设置监控点</w:t>
            </w:r>
          </w:p>
        </w:tc>
        <w:tc>
          <w:tcPr>
            <w:tcW w:w="2131" w:type="dxa"/>
            <w:vMerge w:val="restart"/>
            <w:tcBorders>
              <w:tl2br w:val="nil"/>
              <w:tr2bl w:val="nil"/>
            </w:tcBorders>
            <w:vAlign w:val="center"/>
          </w:tcPr>
          <w:p w14:paraId="477C8EE1">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《挥发性有机物无组织排放控制标准》（GB37822-2019）</w:t>
            </w:r>
          </w:p>
        </w:tc>
      </w:tr>
      <w:tr w14:paraId="553B07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2" w:type="dxa"/>
            <w:vMerge w:val="continue"/>
            <w:tcBorders>
              <w:tl2br w:val="nil"/>
              <w:tr2bl w:val="nil"/>
            </w:tcBorders>
            <w:vAlign w:val="center"/>
          </w:tcPr>
          <w:p w14:paraId="5D396E40">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40" w:type="dxa"/>
            <w:tcBorders>
              <w:tl2br w:val="nil"/>
              <w:tr2bl w:val="nil"/>
            </w:tcBorders>
            <w:vAlign w:val="center"/>
          </w:tcPr>
          <w:p w14:paraId="23430FF9">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w:t>
            </w:r>
          </w:p>
        </w:tc>
        <w:tc>
          <w:tcPr>
            <w:tcW w:w="2486" w:type="dxa"/>
            <w:tcBorders>
              <w:tl2br w:val="nil"/>
              <w:tr2bl w:val="nil"/>
            </w:tcBorders>
            <w:vAlign w:val="center"/>
          </w:tcPr>
          <w:p w14:paraId="10E76E7D">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监控点处任意一次浓度值</w:t>
            </w:r>
          </w:p>
        </w:tc>
        <w:tc>
          <w:tcPr>
            <w:tcW w:w="1301" w:type="dxa"/>
            <w:vMerge w:val="continue"/>
            <w:tcBorders>
              <w:tl2br w:val="nil"/>
              <w:tr2bl w:val="nil"/>
            </w:tcBorders>
            <w:vAlign w:val="center"/>
          </w:tcPr>
          <w:p w14:paraId="29D036AF">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2131" w:type="dxa"/>
            <w:vMerge w:val="continue"/>
            <w:tcBorders>
              <w:tl2br w:val="nil"/>
              <w:tr2bl w:val="nil"/>
            </w:tcBorders>
            <w:vAlign w:val="center"/>
          </w:tcPr>
          <w:p w14:paraId="1AA07376">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p>
        </w:tc>
      </w:tr>
    </w:tbl>
    <w:p w14:paraId="5E2CDD50">
      <w:pPr>
        <w:keepNext w:val="0"/>
        <w:keepLines w:val="0"/>
        <w:pageBreakBefore w:val="0"/>
        <w:widowControl/>
        <w:kinsoku w:val="0"/>
        <w:wordWrap/>
        <w:overflowPunct/>
        <w:topLinePunct w:val="0"/>
        <w:autoSpaceDE w:val="0"/>
        <w:autoSpaceDN w:val="0"/>
        <w:bidi w:val="0"/>
        <w:adjustRightInd w:val="0"/>
        <w:snapToGrid w:val="0"/>
        <w:spacing w:before="35" w:line="240" w:lineRule="auto"/>
        <w:ind w:left="34"/>
        <w:jc w:val="center"/>
        <w:textAlignment w:val="baseline"/>
        <w:rPr>
          <w:rFonts w:ascii="Times New Roman" w:hAnsi="Times New Roman" w:eastAsia="Times New Roman" w:cs="Times New Roman"/>
          <w:b/>
          <w:bCs/>
          <w:color w:val="auto"/>
          <w:spacing w:val="-2"/>
          <w:sz w:val="24"/>
          <w:szCs w:val="24"/>
          <w:highlight w:val="none"/>
        </w:rPr>
      </w:pPr>
      <w:bookmarkStart w:id="629" w:name="OLE_LINK169"/>
      <w:bookmarkStart w:id="630" w:name="OLE_LINK846"/>
      <w:r>
        <w:rPr>
          <w:rFonts w:hint="default" w:ascii="Times New Roman" w:hAnsi="Times New Roman" w:eastAsia="宋体" w:cs="Times New Roman"/>
          <w:b/>
          <w:bCs/>
          <w:color w:val="auto"/>
          <w:spacing w:val="-4"/>
          <w:sz w:val="24"/>
          <w:szCs w:val="24"/>
          <w:highlight w:val="none"/>
          <w:lang w:val="en-US" w:eastAsia="zh-CN"/>
        </w:rPr>
        <w:t>表3.</w:t>
      </w:r>
      <w:bookmarkEnd w:id="629"/>
      <w:r>
        <w:rPr>
          <w:rFonts w:hint="eastAsia" w:ascii="Times New Roman" w:hAnsi="Times New Roman" w:eastAsia="宋体" w:cs="Times New Roman"/>
          <w:b/>
          <w:bCs/>
          <w:color w:val="auto"/>
          <w:spacing w:val="-4"/>
          <w:sz w:val="24"/>
          <w:szCs w:val="24"/>
          <w:highlight w:val="none"/>
          <w:lang w:val="en-US" w:eastAsia="zh-CN"/>
        </w:rPr>
        <w:t>2-10</w:t>
      </w:r>
      <w:bookmarkEnd w:id="630"/>
      <w:bookmarkStart w:id="631" w:name="OLE_LINK847"/>
      <w:r>
        <w:rPr>
          <w:rFonts w:hint="eastAsia" w:ascii="Times New Roman" w:hAnsi="Times New Roman" w:eastAsia="宋体" w:cs="Times New Roman"/>
          <w:b/>
          <w:bCs/>
          <w:color w:val="auto"/>
          <w:spacing w:val="-4"/>
          <w:sz w:val="24"/>
          <w:szCs w:val="24"/>
          <w:highlight w:val="none"/>
          <w:lang w:val="en-US" w:eastAsia="zh-CN"/>
        </w:rPr>
        <w:t xml:space="preserve"> </w:t>
      </w:r>
      <w:r>
        <w:rPr>
          <w:rFonts w:hint="default" w:ascii="Times New Roman" w:hAnsi="Times New Roman" w:eastAsia="宋体" w:cs="Times New Roman"/>
          <w:b/>
          <w:bCs/>
          <w:color w:val="auto"/>
          <w:spacing w:val="-4"/>
          <w:sz w:val="24"/>
          <w:szCs w:val="24"/>
          <w:highlight w:val="none"/>
          <w:lang w:val="en-US" w:eastAsia="zh-CN"/>
        </w:rPr>
        <w:t xml:space="preserve"> </w:t>
      </w:r>
      <w:bookmarkEnd w:id="631"/>
      <w:r>
        <w:rPr>
          <w:rFonts w:hint="eastAsia" w:ascii="Times New Roman" w:hAnsi="Times New Roman" w:eastAsia="宋体" w:cs="Times New Roman"/>
          <w:b/>
          <w:bCs/>
          <w:color w:val="auto"/>
          <w:spacing w:val="-4"/>
          <w:sz w:val="24"/>
          <w:szCs w:val="24"/>
          <w:highlight w:val="none"/>
          <w:lang w:val="en-US" w:eastAsia="zh-CN"/>
        </w:rPr>
        <w:t>恶臭污染物排放标准（GB14554-93）</w:t>
      </w:r>
      <w:bookmarkStart w:id="632" w:name="pindex1523"/>
      <w:bookmarkEnd w:id="632"/>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1251"/>
        <w:gridCol w:w="1722"/>
        <w:gridCol w:w="1693"/>
        <w:gridCol w:w="1686"/>
        <w:gridCol w:w="1449"/>
      </w:tblGrid>
      <w:tr w14:paraId="4A4002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83" w:type="dxa"/>
            <w:tcBorders>
              <w:tl2br w:val="nil"/>
              <w:tr2bl w:val="nil"/>
            </w:tcBorders>
            <w:vAlign w:val="center"/>
          </w:tcPr>
          <w:p w14:paraId="3C1579EF">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eastAsia" w:ascii="Times New Roman" w:hAnsi="Times New Roman" w:eastAsia="宋体" w:cs="Times New Roman"/>
                <w:b/>
                <w:bCs/>
                <w:color w:val="auto"/>
                <w:spacing w:val="-2"/>
                <w:sz w:val="21"/>
                <w:szCs w:val="21"/>
                <w:highlight w:val="none"/>
                <w:vertAlign w:val="baseline"/>
                <w:lang w:val="en-US" w:eastAsia="zh-CN"/>
              </w:rPr>
            </w:pPr>
            <w:r>
              <w:rPr>
                <w:rFonts w:hint="eastAsia" w:ascii="Times New Roman" w:hAnsi="Times New Roman" w:eastAsia="宋体" w:cs="Times New Roman"/>
                <w:b/>
                <w:bCs/>
                <w:color w:val="auto"/>
                <w:spacing w:val="-2"/>
                <w:sz w:val="21"/>
                <w:szCs w:val="21"/>
                <w:highlight w:val="none"/>
                <w:vertAlign w:val="baseline"/>
                <w:lang w:val="en-US" w:eastAsia="zh-CN"/>
              </w:rPr>
              <w:t>序号</w:t>
            </w:r>
          </w:p>
        </w:tc>
        <w:tc>
          <w:tcPr>
            <w:tcW w:w="1269" w:type="dxa"/>
            <w:tcBorders>
              <w:tl2br w:val="nil"/>
              <w:tr2bl w:val="nil"/>
            </w:tcBorders>
            <w:vAlign w:val="center"/>
          </w:tcPr>
          <w:p w14:paraId="6C8B901C">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eastAsia" w:ascii="Times New Roman" w:hAnsi="Times New Roman" w:eastAsia="宋体" w:cs="Times New Roman"/>
                <w:b/>
                <w:bCs/>
                <w:color w:val="auto"/>
                <w:spacing w:val="-2"/>
                <w:sz w:val="21"/>
                <w:szCs w:val="21"/>
                <w:highlight w:val="none"/>
                <w:vertAlign w:val="baseline"/>
                <w:lang w:val="en-US" w:eastAsia="zh-CN"/>
              </w:rPr>
            </w:pPr>
            <w:r>
              <w:rPr>
                <w:rFonts w:hint="eastAsia" w:ascii="Times New Roman" w:hAnsi="Times New Roman" w:eastAsia="宋体" w:cs="Times New Roman"/>
                <w:b/>
                <w:bCs/>
                <w:color w:val="auto"/>
                <w:spacing w:val="-2"/>
                <w:sz w:val="21"/>
                <w:szCs w:val="21"/>
                <w:highlight w:val="none"/>
                <w:vertAlign w:val="baseline"/>
                <w:lang w:val="en-US" w:eastAsia="zh-CN"/>
              </w:rPr>
              <w:t>污染物</w:t>
            </w:r>
          </w:p>
        </w:tc>
        <w:tc>
          <w:tcPr>
            <w:tcW w:w="1742" w:type="dxa"/>
            <w:tcBorders>
              <w:tl2br w:val="nil"/>
              <w:tr2bl w:val="nil"/>
            </w:tcBorders>
            <w:vAlign w:val="center"/>
          </w:tcPr>
          <w:p w14:paraId="2B27EF29">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eastAsia" w:ascii="Times New Roman" w:hAnsi="Times New Roman" w:eastAsia="宋体" w:cs="Times New Roman"/>
                <w:b/>
                <w:bCs/>
                <w:color w:val="auto"/>
                <w:spacing w:val="-2"/>
                <w:sz w:val="21"/>
                <w:szCs w:val="21"/>
                <w:highlight w:val="none"/>
                <w:vertAlign w:val="baseline"/>
                <w:lang w:val="en-US" w:eastAsia="zh-CN"/>
              </w:rPr>
            </w:pPr>
            <w:r>
              <w:rPr>
                <w:rFonts w:hint="eastAsia" w:ascii="Times New Roman" w:hAnsi="Times New Roman" w:eastAsia="宋体" w:cs="Times New Roman"/>
                <w:b/>
                <w:bCs/>
                <w:color w:val="auto"/>
                <w:spacing w:val="-2"/>
                <w:sz w:val="21"/>
                <w:szCs w:val="21"/>
                <w:highlight w:val="none"/>
                <w:vertAlign w:val="baseline"/>
                <w:lang w:val="en-US" w:eastAsia="zh-CN"/>
              </w:rPr>
              <w:t>排气筒高度</w:t>
            </w:r>
          </w:p>
          <w:p w14:paraId="365249B8">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bCs/>
                <w:color w:val="auto"/>
                <w:spacing w:val="-2"/>
                <w:sz w:val="21"/>
                <w:szCs w:val="21"/>
                <w:highlight w:val="none"/>
                <w:vertAlign w:val="baseline"/>
                <w:lang w:val="en-US" w:eastAsia="zh-CN"/>
              </w:rPr>
            </w:pPr>
            <w:r>
              <w:rPr>
                <w:rFonts w:hint="eastAsia" w:ascii="Times New Roman" w:hAnsi="Times New Roman" w:eastAsia="宋体" w:cs="Times New Roman"/>
                <w:b/>
                <w:bCs/>
                <w:color w:val="auto"/>
                <w:spacing w:val="-2"/>
                <w:sz w:val="21"/>
                <w:szCs w:val="21"/>
                <w:highlight w:val="none"/>
                <w:vertAlign w:val="baseline"/>
                <w:lang w:val="en-US" w:eastAsia="zh-CN"/>
              </w:rPr>
              <w:t>（m）</w:t>
            </w:r>
          </w:p>
        </w:tc>
        <w:tc>
          <w:tcPr>
            <w:tcW w:w="1708" w:type="dxa"/>
            <w:tcBorders>
              <w:tl2br w:val="nil"/>
              <w:tr2bl w:val="nil"/>
            </w:tcBorders>
            <w:vAlign w:val="center"/>
          </w:tcPr>
          <w:p w14:paraId="093D649C">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bCs/>
                <w:color w:val="auto"/>
                <w:spacing w:val="-2"/>
                <w:sz w:val="21"/>
                <w:szCs w:val="21"/>
                <w:highlight w:val="none"/>
                <w:vertAlign w:val="baseline"/>
                <w:lang w:val="en-US" w:eastAsia="zh-CN"/>
              </w:rPr>
            </w:pPr>
            <w:r>
              <w:rPr>
                <w:rFonts w:hint="eastAsia" w:ascii="Times New Roman" w:hAnsi="Times New Roman" w:eastAsia="宋体" w:cs="Times New Roman"/>
                <w:b/>
                <w:bCs/>
                <w:color w:val="auto"/>
                <w:spacing w:val="-2"/>
                <w:sz w:val="21"/>
                <w:szCs w:val="21"/>
                <w:highlight w:val="none"/>
                <w:vertAlign w:val="baseline"/>
                <w:lang w:val="en-US" w:eastAsia="zh-CN"/>
              </w:rPr>
              <w:t>最高允许排放速率</w:t>
            </w:r>
            <w:r>
              <w:rPr>
                <w:rFonts w:hint="eastAsia" w:ascii="Times New Roman" w:hAnsi="Times New Roman" w:eastAsia="宋体" w:cs="Times New Roman"/>
                <w:b/>
                <w:bCs/>
                <w:color w:val="auto"/>
                <w:spacing w:val="-4"/>
                <w:sz w:val="21"/>
                <w:szCs w:val="21"/>
                <w:highlight w:val="none"/>
                <w:vertAlign w:val="baseline"/>
                <w:lang w:val="en-US" w:eastAsia="zh-CN"/>
              </w:rPr>
              <w:t>（kg/h）</w:t>
            </w:r>
          </w:p>
        </w:tc>
        <w:tc>
          <w:tcPr>
            <w:tcW w:w="1697" w:type="dxa"/>
            <w:tcBorders>
              <w:tl2br w:val="nil"/>
              <w:tr2bl w:val="nil"/>
            </w:tcBorders>
            <w:vAlign w:val="center"/>
          </w:tcPr>
          <w:p w14:paraId="617AC310">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eastAsia" w:ascii="Times New Roman" w:hAnsi="Times New Roman" w:eastAsia="宋体" w:cs="Times New Roman"/>
                <w:b/>
                <w:bCs/>
                <w:color w:val="auto"/>
                <w:spacing w:val="-2"/>
                <w:sz w:val="21"/>
                <w:szCs w:val="21"/>
                <w:highlight w:val="none"/>
                <w:vertAlign w:val="baseline"/>
                <w:lang w:val="en-US" w:eastAsia="zh-CN"/>
              </w:rPr>
            </w:pPr>
            <w:r>
              <w:rPr>
                <w:rFonts w:hint="eastAsia" w:ascii="Times New Roman" w:hAnsi="Times New Roman" w:eastAsia="宋体" w:cs="Times New Roman"/>
                <w:b/>
                <w:bCs/>
                <w:color w:val="auto"/>
                <w:spacing w:val="-2"/>
                <w:sz w:val="21"/>
                <w:szCs w:val="21"/>
                <w:highlight w:val="none"/>
                <w:vertAlign w:val="baseline"/>
                <w:lang w:val="en-US" w:eastAsia="zh-CN"/>
              </w:rPr>
              <w:t>厂界限值</w:t>
            </w:r>
          </w:p>
          <w:p w14:paraId="376F1447">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bCs/>
                <w:color w:val="auto"/>
                <w:spacing w:val="-2"/>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lang w:val="en-US" w:eastAsia="zh-CN"/>
              </w:rPr>
              <w:t>（mg/m</w:t>
            </w:r>
            <w:r>
              <w:rPr>
                <w:rFonts w:hint="eastAsia" w:ascii="Times New Roman" w:hAnsi="Times New Roman" w:eastAsia="宋体" w:cs="Times New Roman"/>
                <w:b/>
                <w:bCs/>
                <w:color w:val="auto"/>
                <w:spacing w:val="-4"/>
                <w:sz w:val="21"/>
                <w:szCs w:val="21"/>
                <w:highlight w:val="none"/>
                <w:vertAlign w:val="superscript"/>
                <w:lang w:val="en-US" w:eastAsia="zh-CN"/>
              </w:rPr>
              <w:t>3</w:t>
            </w:r>
            <w:r>
              <w:rPr>
                <w:rFonts w:hint="eastAsia" w:ascii="Times New Roman" w:hAnsi="Times New Roman" w:eastAsia="宋体" w:cs="Times New Roman"/>
                <w:b/>
                <w:bCs/>
                <w:color w:val="auto"/>
                <w:spacing w:val="-4"/>
                <w:sz w:val="21"/>
                <w:szCs w:val="21"/>
                <w:highlight w:val="none"/>
                <w:lang w:val="en-US" w:eastAsia="zh-CN"/>
              </w:rPr>
              <w:t>）</w:t>
            </w:r>
          </w:p>
        </w:tc>
        <w:tc>
          <w:tcPr>
            <w:tcW w:w="1452" w:type="dxa"/>
            <w:tcBorders>
              <w:tl2br w:val="nil"/>
              <w:tr2bl w:val="nil"/>
            </w:tcBorders>
            <w:vAlign w:val="center"/>
          </w:tcPr>
          <w:p w14:paraId="4C6672A2">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bCs/>
                <w:color w:val="auto"/>
                <w:spacing w:val="-2"/>
                <w:sz w:val="21"/>
                <w:szCs w:val="21"/>
                <w:highlight w:val="none"/>
                <w:vertAlign w:val="baseline"/>
                <w:lang w:val="en-US" w:eastAsia="zh-CN"/>
              </w:rPr>
            </w:pPr>
            <w:r>
              <w:rPr>
                <w:rFonts w:hint="eastAsia" w:ascii="Times New Roman" w:hAnsi="Times New Roman" w:eastAsia="宋体" w:cs="Times New Roman"/>
                <w:b/>
                <w:bCs/>
                <w:color w:val="auto"/>
                <w:spacing w:val="-2"/>
                <w:sz w:val="21"/>
                <w:szCs w:val="21"/>
                <w:highlight w:val="none"/>
                <w:vertAlign w:val="baseline"/>
                <w:lang w:val="en-US" w:eastAsia="zh-CN"/>
              </w:rPr>
              <w:t>标准来源</w:t>
            </w:r>
          </w:p>
        </w:tc>
      </w:tr>
      <w:tr w14:paraId="77FDB9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restart"/>
            <w:tcBorders>
              <w:tl2br w:val="nil"/>
              <w:tr2bl w:val="nil"/>
            </w:tcBorders>
            <w:vAlign w:val="center"/>
          </w:tcPr>
          <w:p w14:paraId="0DC30B83">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eastAsia"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1</w:t>
            </w:r>
          </w:p>
        </w:tc>
        <w:tc>
          <w:tcPr>
            <w:tcW w:w="1269" w:type="dxa"/>
            <w:vMerge w:val="restart"/>
            <w:tcBorders>
              <w:tl2br w:val="nil"/>
              <w:tr2bl w:val="nil"/>
            </w:tcBorders>
            <w:vAlign w:val="center"/>
          </w:tcPr>
          <w:p w14:paraId="1EFD6094">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eastAsia"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氨</w:t>
            </w:r>
          </w:p>
        </w:tc>
        <w:tc>
          <w:tcPr>
            <w:tcW w:w="1742" w:type="dxa"/>
            <w:tcBorders>
              <w:tl2br w:val="nil"/>
              <w:tr2bl w:val="nil"/>
            </w:tcBorders>
            <w:vAlign w:val="center"/>
          </w:tcPr>
          <w:p w14:paraId="00860E6F">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15</w:t>
            </w:r>
          </w:p>
        </w:tc>
        <w:tc>
          <w:tcPr>
            <w:tcW w:w="1708" w:type="dxa"/>
            <w:tcBorders>
              <w:tl2br w:val="nil"/>
              <w:tr2bl w:val="nil"/>
            </w:tcBorders>
            <w:vAlign w:val="center"/>
          </w:tcPr>
          <w:p w14:paraId="5F15E846">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4.9</w:t>
            </w:r>
          </w:p>
        </w:tc>
        <w:tc>
          <w:tcPr>
            <w:tcW w:w="1697" w:type="dxa"/>
            <w:vMerge w:val="restart"/>
            <w:tcBorders>
              <w:tl2br w:val="nil"/>
              <w:tr2bl w:val="nil"/>
            </w:tcBorders>
            <w:vAlign w:val="center"/>
          </w:tcPr>
          <w:p w14:paraId="33BF8C25">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1.5</w:t>
            </w:r>
          </w:p>
        </w:tc>
        <w:tc>
          <w:tcPr>
            <w:tcW w:w="1452" w:type="dxa"/>
            <w:vMerge w:val="restart"/>
            <w:tcBorders>
              <w:tl2br w:val="nil"/>
              <w:tr2bl w:val="nil"/>
            </w:tcBorders>
            <w:vAlign w:val="center"/>
          </w:tcPr>
          <w:p w14:paraId="5B761B14">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eastAsia="zh-CN"/>
              </w:rPr>
              <w:t>《</w:t>
            </w:r>
            <w:r>
              <w:rPr>
                <w:rFonts w:hint="eastAsia" w:ascii="Times New Roman" w:hAnsi="Times New Roman" w:eastAsia="宋体" w:cs="Times New Roman"/>
                <w:b w:val="0"/>
                <w:bCs w:val="0"/>
                <w:color w:val="auto"/>
                <w:spacing w:val="-2"/>
                <w:sz w:val="21"/>
                <w:szCs w:val="21"/>
                <w:highlight w:val="none"/>
                <w:vertAlign w:val="baseline"/>
                <w:lang w:val="en-US" w:eastAsia="zh-CN"/>
              </w:rPr>
              <w:t>恶臭污染物排放标准》（GB14554-93）</w:t>
            </w:r>
          </w:p>
        </w:tc>
      </w:tr>
      <w:tr w14:paraId="30401C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7469450B">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269" w:type="dxa"/>
            <w:vMerge w:val="continue"/>
            <w:tcBorders>
              <w:tl2br w:val="nil"/>
              <w:tr2bl w:val="nil"/>
            </w:tcBorders>
            <w:vAlign w:val="center"/>
          </w:tcPr>
          <w:p w14:paraId="508EF9F9">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742" w:type="dxa"/>
            <w:tcBorders>
              <w:tl2br w:val="nil"/>
              <w:tr2bl w:val="nil"/>
            </w:tcBorders>
            <w:vAlign w:val="center"/>
          </w:tcPr>
          <w:p w14:paraId="10AB0B02">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20</w:t>
            </w:r>
          </w:p>
        </w:tc>
        <w:tc>
          <w:tcPr>
            <w:tcW w:w="1708" w:type="dxa"/>
            <w:tcBorders>
              <w:tl2br w:val="nil"/>
              <w:tr2bl w:val="nil"/>
            </w:tcBorders>
            <w:vAlign w:val="center"/>
          </w:tcPr>
          <w:p w14:paraId="26875C2D">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8.7</w:t>
            </w:r>
          </w:p>
        </w:tc>
        <w:tc>
          <w:tcPr>
            <w:tcW w:w="1697" w:type="dxa"/>
            <w:vMerge w:val="continue"/>
            <w:tcBorders>
              <w:tl2br w:val="nil"/>
              <w:tr2bl w:val="nil"/>
            </w:tcBorders>
            <w:vAlign w:val="center"/>
          </w:tcPr>
          <w:p w14:paraId="4881C085">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452" w:type="dxa"/>
            <w:vMerge w:val="continue"/>
            <w:tcBorders>
              <w:tl2br w:val="nil"/>
              <w:tr2bl w:val="nil"/>
            </w:tcBorders>
            <w:vAlign w:val="center"/>
          </w:tcPr>
          <w:p w14:paraId="613E715E">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3D293B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396D4173">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269" w:type="dxa"/>
            <w:vMerge w:val="continue"/>
            <w:tcBorders>
              <w:tl2br w:val="nil"/>
              <w:tr2bl w:val="nil"/>
            </w:tcBorders>
            <w:vAlign w:val="center"/>
          </w:tcPr>
          <w:p w14:paraId="71253C9D">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742" w:type="dxa"/>
            <w:tcBorders>
              <w:tl2br w:val="nil"/>
              <w:tr2bl w:val="nil"/>
            </w:tcBorders>
            <w:vAlign w:val="center"/>
          </w:tcPr>
          <w:p w14:paraId="192FC24E">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30</w:t>
            </w:r>
          </w:p>
        </w:tc>
        <w:tc>
          <w:tcPr>
            <w:tcW w:w="1708" w:type="dxa"/>
            <w:tcBorders>
              <w:tl2br w:val="nil"/>
              <w:tr2bl w:val="nil"/>
            </w:tcBorders>
            <w:vAlign w:val="center"/>
          </w:tcPr>
          <w:p w14:paraId="12E121A0">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20</w:t>
            </w:r>
          </w:p>
        </w:tc>
        <w:tc>
          <w:tcPr>
            <w:tcW w:w="1697" w:type="dxa"/>
            <w:vMerge w:val="continue"/>
            <w:tcBorders>
              <w:tl2br w:val="nil"/>
              <w:tr2bl w:val="nil"/>
            </w:tcBorders>
            <w:vAlign w:val="center"/>
          </w:tcPr>
          <w:p w14:paraId="6FB81B6F">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452" w:type="dxa"/>
            <w:vMerge w:val="continue"/>
            <w:tcBorders>
              <w:tl2br w:val="nil"/>
              <w:tr2bl w:val="nil"/>
            </w:tcBorders>
            <w:vAlign w:val="center"/>
          </w:tcPr>
          <w:p w14:paraId="35F84567">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5125D2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83" w:type="dxa"/>
            <w:vMerge w:val="continue"/>
            <w:tcBorders>
              <w:tl2br w:val="nil"/>
              <w:tr2bl w:val="nil"/>
            </w:tcBorders>
            <w:vAlign w:val="center"/>
          </w:tcPr>
          <w:p w14:paraId="262ABD89">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269" w:type="dxa"/>
            <w:vMerge w:val="continue"/>
            <w:tcBorders>
              <w:tl2br w:val="nil"/>
              <w:tr2bl w:val="nil"/>
            </w:tcBorders>
            <w:vAlign w:val="center"/>
          </w:tcPr>
          <w:p w14:paraId="15B62ACE">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742" w:type="dxa"/>
            <w:tcBorders>
              <w:tl2br w:val="nil"/>
              <w:tr2bl w:val="nil"/>
            </w:tcBorders>
            <w:vAlign w:val="center"/>
          </w:tcPr>
          <w:p w14:paraId="168DB8E2">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40</w:t>
            </w:r>
          </w:p>
        </w:tc>
        <w:tc>
          <w:tcPr>
            <w:tcW w:w="1708" w:type="dxa"/>
            <w:tcBorders>
              <w:tl2br w:val="nil"/>
              <w:tr2bl w:val="nil"/>
            </w:tcBorders>
            <w:vAlign w:val="center"/>
          </w:tcPr>
          <w:p w14:paraId="7CEE6150">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35</w:t>
            </w:r>
          </w:p>
        </w:tc>
        <w:tc>
          <w:tcPr>
            <w:tcW w:w="1697" w:type="dxa"/>
            <w:vMerge w:val="continue"/>
            <w:tcBorders>
              <w:tl2br w:val="nil"/>
              <w:tr2bl w:val="nil"/>
            </w:tcBorders>
            <w:vAlign w:val="center"/>
          </w:tcPr>
          <w:p w14:paraId="5AB6F9E5">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452" w:type="dxa"/>
            <w:vMerge w:val="continue"/>
            <w:tcBorders>
              <w:tl2br w:val="nil"/>
              <w:tr2bl w:val="nil"/>
            </w:tcBorders>
            <w:vAlign w:val="center"/>
          </w:tcPr>
          <w:p w14:paraId="2D673D45">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1761E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003ECFC8">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269" w:type="dxa"/>
            <w:vMerge w:val="continue"/>
            <w:tcBorders>
              <w:tl2br w:val="nil"/>
              <w:tr2bl w:val="nil"/>
            </w:tcBorders>
            <w:vAlign w:val="center"/>
          </w:tcPr>
          <w:p w14:paraId="6402BC6C">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742" w:type="dxa"/>
            <w:tcBorders>
              <w:tl2br w:val="nil"/>
              <w:tr2bl w:val="nil"/>
            </w:tcBorders>
            <w:vAlign w:val="center"/>
          </w:tcPr>
          <w:p w14:paraId="7497760C">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60</w:t>
            </w:r>
          </w:p>
        </w:tc>
        <w:tc>
          <w:tcPr>
            <w:tcW w:w="1708" w:type="dxa"/>
            <w:tcBorders>
              <w:tl2br w:val="nil"/>
              <w:tr2bl w:val="nil"/>
            </w:tcBorders>
            <w:vAlign w:val="center"/>
          </w:tcPr>
          <w:p w14:paraId="229BEBDC">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75</w:t>
            </w:r>
          </w:p>
        </w:tc>
        <w:tc>
          <w:tcPr>
            <w:tcW w:w="1697" w:type="dxa"/>
            <w:vMerge w:val="continue"/>
            <w:tcBorders>
              <w:tl2br w:val="nil"/>
              <w:tr2bl w:val="nil"/>
            </w:tcBorders>
            <w:vAlign w:val="center"/>
          </w:tcPr>
          <w:p w14:paraId="75630E54">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452" w:type="dxa"/>
            <w:vMerge w:val="continue"/>
            <w:tcBorders>
              <w:tl2br w:val="nil"/>
              <w:tr2bl w:val="nil"/>
            </w:tcBorders>
            <w:vAlign w:val="center"/>
          </w:tcPr>
          <w:p w14:paraId="18F2F7E6">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109A84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restart"/>
            <w:tcBorders>
              <w:tl2br w:val="nil"/>
              <w:tr2bl w:val="nil"/>
            </w:tcBorders>
            <w:vAlign w:val="center"/>
          </w:tcPr>
          <w:p w14:paraId="3B628216">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eastAsia"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2</w:t>
            </w:r>
          </w:p>
        </w:tc>
        <w:tc>
          <w:tcPr>
            <w:tcW w:w="1269" w:type="dxa"/>
            <w:vMerge w:val="restart"/>
            <w:tcBorders>
              <w:tl2br w:val="nil"/>
              <w:tr2bl w:val="nil"/>
            </w:tcBorders>
            <w:vAlign w:val="center"/>
          </w:tcPr>
          <w:p w14:paraId="43052881">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eastAsia"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硫化氢</w:t>
            </w:r>
          </w:p>
        </w:tc>
        <w:tc>
          <w:tcPr>
            <w:tcW w:w="1742" w:type="dxa"/>
            <w:tcBorders>
              <w:tl2br w:val="nil"/>
              <w:tr2bl w:val="nil"/>
            </w:tcBorders>
            <w:vAlign w:val="center"/>
          </w:tcPr>
          <w:p w14:paraId="50697B77">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15</w:t>
            </w:r>
          </w:p>
        </w:tc>
        <w:tc>
          <w:tcPr>
            <w:tcW w:w="1708" w:type="dxa"/>
            <w:tcBorders>
              <w:tl2br w:val="nil"/>
              <w:tr2bl w:val="nil"/>
            </w:tcBorders>
            <w:vAlign w:val="center"/>
          </w:tcPr>
          <w:p w14:paraId="17FAB605">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0.33</w:t>
            </w:r>
          </w:p>
        </w:tc>
        <w:tc>
          <w:tcPr>
            <w:tcW w:w="1697" w:type="dxa"/>
            <w:vMerge w:val="restart"/>
            <w:tcBorders>
              <w:tl2br w:val="nil"/>
              <w:tr2bl w:val="nil"/>
            </w:tcBorders>
            <w:vAlign w:val="center"/>
          </w:tcPr>
          <w:p w14:paraId="6B79157C">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0.06</w:t>
            </w:r>
          </w:p>
        </w:tc>
        <w:tc>
          <w:tcPr>
            <w:tcW w:w="1452" w:type="dxa"/>
            <w:vMerge w:val="continue"/>
            <w:tcBorders>
              <w:tl2br w:val="nil"/>
              <w:tr2bl w:val="nil"/>
            </w:tcBorders>
            <w:vAlign w:val="center"/>
          </w:tcPr>
          <w:p w14:paraId="33E7D69D">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78F7A2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59440CF8">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269" w:type="dxa"/>
            <w:vMerge w:val="continue"/>
            <w:tcBorders>
              <w:tl2br w:val="nil"/>
              <w:tr2bl w:val="nil"/>
            </w:tcBorders>
            <w:vAlign w:val="center"/>
          </w:tcPr>
          <w:p w14:paraId="51BB7840">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742" w:type="dxa"/>
            <w:tcBorders>
              <w:tl2br w:val="nil"/>
              <w:tr2bl w:val="nil"/>
            </w:tcBorders>
            <w:vAlign w:val="center"/>
          </w:tcPr>
          <w:p w14:paraId="11656882">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20</w:t>
            </w:r>
          </w:p>
        </w:tc>
        <w:tc>
          <w:tcPr>
            <w:tcW w:w="1708" w:type="dxa"/>
            <w:tcBorders>
              <w:tl2br w:val="nil"/>
              <w:tr2bl w:val="nil"/>
            </w:tcBorders>
            <w:vAlign w:val="center"/>
          </w:tcPr>
          <w:p w14:paraId="66378D7E">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0.58</w:t>
            </w:r>
          </w:p>
        </w:tc>
        <w:tc>
          <w:tcPr>
            <w:tcW w:w="1697" w:type="dxa"/>
            <w:vMerge w:val="continue"/>
            <w:tcBorders>
              <w:tl2br w:val="nil"/>
              <w:tr2bl w:val="nil"/>
            </w:tcBorders>
            <w:vAlign w:val="center"/>
          </w:tcPr>
          <w:p w14:paraId="582E6C19">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452" w:type="dxa"/>
            <w:vMerge w:val="continue"/>
            <w:tcBorders>
              <w:tl2br w:val="nil"/>
              <w:tr2bl w:val="nil"/>
            </w:tcBorders>
            <w:vAlign w:val="center"/>
          </w:tcPr>
          <w:p w14:paraId="0931097F">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02A922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3E4164AC">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269" w:type="dxa"/>
            <w:vMerge w:val="continue"/>
            <w:tcBorders>
              <w:tl2br w:val="nil"/>
              <w:tr2bl w:val="nil"/>
            </w:tcBorders>
            <w:vAlign w:val="center"/>
          </w:tcPr>
          <w:p w14:paraId="6060D58F">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742" w:type="dxa"/>
            <w:tcBorders>
              <w:tl2br w:val="nil"/>
              <w:tr2bl w:val="nil"/>
            </w:tcBorders>
            <w:vAlign w:val="center"/>
          </w:tcPr>
          <w:p w14:paraId="2B67D41B">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30</w:t>
            </w:r>
          </w:p>
        </w:tc>
        <w:tc>
          <w:tcPr>
            <w:tcW w:w="1708" w:type="dxa"/>
            <w:tcBorders>
              <w:tl2br w:val="nil"/>
              <w:tr2bl w:val="nil"/>
            </w:tcBorders>
            <w:vAlign w:val="center"/>
          </w:tcPr>
          <w:p w14:paraId="1B5328CB">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1.3</w:t>
            </w:r>
          </w:p>
        </w:tc>
        <w:tc>
          <w:tcPr>
            <w:tcW w:w="1697" w:type="dxa"/>
            <w:vMerge w:val="continue"/>
            <w:tcBorders>
              <w:tl2br w:val="nil"/>
              <w:tr2bl w:val="nil"/>
            </w:tcBorders>
            <w:vAlign w:val="center"/>
          </w:tcPr>
          <w:p w14:paraId="682CE8F8">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452" w:type="dxa"/>
            <w:vMerge w:val="continue"/>
            <w:tcBorders>
              <w:tl2br w:val="nil"/>
              <w:tr2bl w:val="nil"/>
            </w:tcBorders>
            <w:vAlign w:val="center"/>
          </w:tcPr>
          <w:p w14:paraId="65E601FC">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5528D5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53218F5D">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269" w:type="dxa"/>
            <w:vMerge w:val="continue"/>
            <w:tcBorders>
              <w:tl2br w:val="nil"/>
              <w:tr2bl w:val="nil"/>
            </w:tcBorders>
            <w:vAlign w:val="center"/>
          </w:tcPr>
          <w:p w14:paraId="007C436A">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742" w:type="dxa"/>
            <w:tcBorders>
              <w:tl2br w:val="nil"/>
              <w:tr2bl w:val="nil"/>
            </w:tcBorders>
            <w:vAlign w:val="center"/>
          </w:tcPr>
          <w:p w14:paraId="77859C54">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40</w:t>
            </w:r>
          </w:p>
        </w:tc>
        <w:tc>
          <w:tcPr>
            <w:tcW w:w="1708" w:type="dxa"/>
            <w:tcBorders>
              <w:tl2br w:val="nil"/>
              <w:tr2bl w:val="nil"/>
            </w:tcBorders>
            <w:vAlign w:val="center"/>
          </w:tcPr>
          <w:p w14:paraId="1D1BB053">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2.3</w:t>
            </w:r>
          </w:p>
        </w:tc>
        <w:tc>
          <w:tcPr>
            <w:tcW w:w="1697" w:type="dxa"/>
            <w:vMerge w:val="continue"/>
            <w:tcBorders>
              <w:tl2br w:val="nil"/>
              <w:tr2bl w:val="nil"/>
            </w:tcBorders>
            <w:vAlign w:val="center"/>
          </w:tcPr>
          <w:p w14:paraId="20B5022D">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452" w:type="dxa"/>
            <w:vMerge w:val="continue"/>
            <w:tcBorders>
              <w:tl2br w:val="nil"/>
              <w:tr2bl w:val="nil"/>
            </w:tcBorders>
            <w:vAlign w:val="center"/>
          </w:tcPr>
          <w:p w14:paraId="78BB737E">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640970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57F5A4CD">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269" w:type="dxa"/>
            <w:vMerge w:val="continue"/>
            <w:tcBorders>
              <w:tl2br w:val="nil"/>
              <w:tr2bl w:val="nil"/>
            </w:tcBorders>
            <w:vAlign w:val="center"/>
          </w:tcPr>
          <w:p w14:paraId="6DB0E2C8">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742" w:type="dxa"/>
            <w:tcBorders>
              <w:tl2br w:val="nil"/>
              <w:tr2bl w:val="nil"/>
            </w:tcBorders>
            <w:vAlign w:val="center"/>
          </w:tcPr>
          <w:p w14:paraId="249FDC9B">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80</w:t>
            </w:r>
          </w:p>
        </w:tc>
        <w:tc>
          <w:tcPr>
            <w:tcW w:w="1708" w:type="dxa"/>
            <w:tcBorders>
              <w:tl2br w:val="nil"/>
              <w:tr2bl w:val="nil"/>
            </w:tcBorders>
            <w:vAlign w:val="center"/>
          </w:tcPr>
          <w:p w14:paraId="4AEAB0CD">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9.3</w:t>
            </w:r>
          </w:p>
        </w:tc>
        <w:tc>
          <w:tcPr>
            <w:tcW w:w="1697" w:type="dxa"/>
            <w:vMerge w:val="continue"/>
            <w:tcBorders>
              <w:tl2br w:val="nil"/>
              <w:tr2bl w:val="nil"/>
            </w:tcBorders>
            <w:vAlign w:val="center"/>
          </w:tcPr>
          <w:p w14:paraId="55CB31F4">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452" w:type="dxa"/>
            <w:vMerge w:val="continue"/>
            <w:tcBorders>
              <w:tl2br w:val="nil"/>
              <w:tr2bl w:val="nil"/>
            </w:tcBorders>
            <w:vAlign w:val="center"/>
          </w:tcPr>
          <w:p w14:paraId="429A0FB4">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3C428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restart"/>
            <w:tcBorders>
              <w:tl2br w:val="nil"/>
              <w:tr2bl w:val="nil"/>
            </w:tcBorders>
            <w:vAlign w:val="center"/>
          </w:tcPr>
          <w:p w14:paraId="1F86A16B">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eastAsia"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3</w:t>
            </w:r>
          </w:p>
        </w:tc>
        <w:tc>
          <w:tcPr>
            <w:tcW w:w="1269" w:type="dxa"/>
            <w:vMerge w:val="restart"/>
            <w:tcBorders>
              <w:tl2br w:val="nil"/>
              <w:tr2bl w:val="nil"/>
            </w:tcBorders>
            <w:vAlign w:val="center"/>
          </w:tcPr>
          <w:p w14:paraId="16245E2D">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eastAsia"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臭气浓度</w:t>
            </w:r>
          </w:p>
        </w:tc>
        <w:tc>
          <w:tcPr>
            <w:tcW w:w="1742" w:type="dxa"/>
            <w:tcBorders>
              <w:tl2br w:val="nil"/>
              <w:tr2bl w:val="nil"/>
            </w:tcBorders>
            <w:vAlign w:val="center"/>
          </w:tcPr>
          <w:p w14:paraId="370CC3FC">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15</w:t>
            </w:r>
          </w:p>
        </w:tc>
        <w:tc>
          <w:tcPr>
            <w:tcW w:w="1708" w:type="dxa"/>
            <w:tcBorders>
              <w:tl2br w:val="nil"/>
              <w:tr2bl w:val="nil"/>
            </w:tcBorders>
            <w:vAlign w:val="center"/>
          </w:tcPr>
          <w:p w14:paraId="6036BC25">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2000</w:t>
            </w:r>
          </w:p>
        </w:tc>
        <w:tc>
          <w:tcPr>
            <w:tcW w:w="1697" w:type="dxa"/>
            <w:vMerge w:val="restart"/>
            <w:tcBorders>
              <w:tl2br w:val="nil"/>
              <w:tr2bl w:val="nil"/>
            </w:tcBorders>
            <w:vAlign w:val="center"/>
          </w:tcPr>
          <w:p w14:paraId="757A2355">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20（无量纲）</w:t>
            </w:r>
          </w:p>
        </w:tc>
        <w:tc>
          <w:tcPr>
            <w:tcW w:w="1452" w:type="dxa"/>
            <w:vMerge w:val="continue"/>
            <w:tcBorders>
              <w:tl2br w:val="nil"/>
              <w:tr2bl w:val="nil"/>
            </w:tcBorders>
            <w:vAlign w:val="center"/>
          </w:tcPr>
          <w:p w14:paraId="761F6D8D">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4D424C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6C1E905C">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269" w:type="dxa"/>
            <w:vMerge w:val="continue"/>
            <w:tcBorders>
              <w:tl2br w:val="nil"/>
              <w:tr2bl w:val="nil"/>
            </w:tcBorders>
            <w:vAlign w:val="center"/>
          </w:tcPr>
          <w:p w14:paraId="7B2FD46B">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742" w:type="dxa"/>
            <w:tcBorders>
              <w:tl2br w:val="nil"/>
              <w:tr2bl w:val="nil"/>
            </w:tcBorders>
            <w:vAlign w:val="center"/>
          </w:tcPr>
          <w:p w14:paraId="77E9F497">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25</w:t>
            </w:r>
          </w:p>
        </w:tc>
        <w:tc>
          <w:tcPr>
            <w:tcW w:w="1708" w:type="dxa"/>
            <w:tcBorders>
              <w:tl2br w:val="nil"/>
              <w:tr2bl w:val="nil"/>
            </w:tcBorders>
            <w:vAlign w:val="center"/>
          </w:tcPr>
          <w:p w14:paraId="5AD47868">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6000</w:t>
            </w:r>
          </w:p>
        </w:tc>
        <w:tc>
          <w:tcPr>
            <w:tcW w:w="1697" w:type="dxa"/>
            <w:vMerge w:val="continue"/>
            <w:tcBorders>
              <w:tl2br w:val="nil"/>
              <w:tr2bl w:val="nil"/>
            </w:tcBorders>
            <w:vAlign w:val="center"/>
          </w:tcPr>
          <w:p w14:paraId="06632143">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452" w:type="dxa"/>
            <w:vMerge w:val="continue"/>
            <w:tcBorders>
              <w:tl2br w:val="nil"/>
              <w:tr2bl w:val="nil"/>
            </w:tcBorders>
            <w:vAlign w:val="center"/>
          </w:tcPr>
          <w:p w14:paraId="10432BEC">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4A00B3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368CFF65">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269" w:type="dxa"/>
            <w:vMerge w:val="continue"/>
            <w:tcBorders>
              <w:tl2br w:val="nil"/>
              <w:tr2bl w:val="nil"/>
            </w:tcBorders>
            <w:vAlign w:val="center"/>
          </w:tcPr>
          <w:p w14:paraId="00E65315">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742" w:type="dxa"/>
            <w:tcBorders>
              <w:tl2br w:val="nil"/>
              <w:tr2bl w:val="nil"/>
            </w:tcBorders>
            <w:vAlign w:val="center"/>
          </w:tcPr>
          <w:p w14:paraId="2ED7206D">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35</w:t>
            </w:r>
          </w:p>
        </w:tc>
        <w:tc>
          <w:tcPr>
            <w:tcW w:w="1708" w:type="dxa"/>
            <w:tcBorders>
              <w:tl2br w:val="nil"/>
              <w:tr2bl w:val="nil"/>
            </w:tcBorders>
            <w:vAlign w:val="center"/>
          </w:tcPr>
          <w:p w14:paraId="0861986B">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15000</w:t>
            </w:r>
          </w:p>
        </w:tc>
        <w:tc>
          <w:tcPr>
            <w:tcW w:w="1697" w:type="dxa"/>
            <w:vMerge w:val="continue"/>
            <w:tcBorders>
              <w:tl2br w:val="nil"/>
              <w:tr2bl w:val="nil"/>
            </w:tcBorders>
            <w:vAlign w:val="center"/>
          </w:tcPr>
          <w:p w14:paraId="22EF0284">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452" w:type="dxa"/>
            <w:vMerge w:val="continue"/>
            <w:tcBorders>
              <w:tl2br w:val="nil"/>
              <w:tr2bl w:val="nil"/>
            </w:tcBorders>
            <w:vAlign w:val="center"/>
          </w:tcPr>
          <w:p w14:paraId="19D11049">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391910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2D1629BE">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269" w:type="dxa"/>
            <w:vMerge w:val="continue"/>
            <w:tcBorders>
              <w:tl2br w:val="nil"/>
              <w:tr2bl w:val="nil"/>
            </w:tcBorders>
            <w:vAlign w:val="center"/>
          </w:tcPr>
          <w:p w14:paraId="33779FFE">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742" w:type="dxa"/>
            <w:tcBorders>
              <w:tl2br w:val="nil"/>
              <w:tr2bl w:val="nil"/>
            </w:tcBorders>
            <w:vAlign w:val="center"/>
          </w:tcPr>
          <w:p w14:paraId="263CD154">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40</w:t>
            </w:r>
          </w:p>
        </w:tc>
        <w:tc>
          <w:tcPr>
            <w:tcW w:w="1708" w:type="dxa"/>
            <w:tcBorders>
              <w:tl2br w:val="nil"/>
              <w:tr2bl w:val="nil"/>
            </w:tcBorders>
            <w:vAlign w:val="center"/>
          </w:tcPr>
          <w:p w14:paraId="2F4B9B75">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20000</w:t>
            </w:r>
          </w:p>
        </w:tc>
        <w:tc>
          <w:tcPr>
            <w:tcW w:w="1697" w:type="dxa"/>
            <w:vMerge w:val="continue"/>
            <w:tcBorders>
              <w:tl2br w:val="nil"/>
              <w:tr2bl w:val="nil"/>
            </w:tcBorders>
            <w:vAlign w:val="center"/>
          </w:tcPr>
          <w:p w14:paraId="15F52673">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452" w:type="dxa"/>
            <w:vMerge w:val="continue"/>
            <w:tcBorders>
              <w:tl2br w:val="nil"/>
              <w:tr2bl w:val="nil"/>
            </w:tcBorders>
            <w:vAlign w:val="center"/>
          </w:tcPr>
          <w:p w14:paraId="4A456E9C">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75012E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5C61BDE6">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269" w:type="dxa"/>
            <w:vMerge w:val="continue"/>
            <w:tcBorders>
              <w:tl2br w:val="nil"/>
              <w:tr2bl w:val="nil"/>
            </w:tcBorders>
            <w:vAlign w:val="center"/>
          </w:tcPr>
          <w:p w14:paraId="47BFE035">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742" w:type="dxa"/>
            <w:tcBorders>
              <w:tl2br w:val="nil"/>
              <w:tr2bl w:val="nil"/>
            </w:tcBorders>
            <w:vAlign w:val="center"/>
          </w:tcPr>
          <w:p w14:paraId="3ED8BEBF">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50</w:t>
            </w:r>
          </w:p>
        </w:tc>
        <w:tc>
          <w:tcPr>
            <w:tcW w:w="1708" w:type="dxa"/>
            <w:tcBorders>
              <w:tl2br w:val="nil"/>
              <w:tr2bl w:val="nil"/>
            </w:tcBorders>
            <w:vAlign w:val="center"/>
          </w:tcPr>
          <w:p w14:paraId="4650E56D">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40000</w:t>
            </w:r>
          </w:p>
        </w:tc>
        <w:tc>
          <w:tcPr>
            <w:tcW w:w="1697" w:type="dxa"/>
            <w:vMerge w:val="continue"/>
            <w:tcBorders>
              <w:tl2br w:val="nil"/>
              <w:tr2bl w:val="nil"/>
            </w:tcBorders>
            <w:vAlign w:val="center"/>
          </w:tcPr>
          <w:p w14:paraId="222221C9">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452" w:type="dxa"/>
            <w:vMerge w:val="continue"/>
            <w:tcBorders>
              <w:tl2br w:val="nil"/>
              <w:tr2bl w:val="nil"/>
            </w:tcBorders>
            <w:vAlign w:val="center"/>
          </w:tcPr>
          <w:p w14:paraId="27464A63">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r w14:paraId="4ABBD8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3FCE0115">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269" w:type="dxa"/>
            <w:vMerge w:val="continue"/>
            <w:tcBorders>
              <w:tl2br w:val="nil"/>
              <w:tr2bl w:val="nil"/>
            </w:tcBorders>
            <w:vAlign w:val="center"/>
          </w:tcPr>
          <w:p w14:paraId="0E1A7D5A">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742" w:type="dxa"/>
            <w:tcBorders>
              <w:tl2br w:val="nil"/>
              <w:tr2bl w:val="nil"/>
            </w:tcBorders>
            <w:vAlign w:val="center"/>
          </w:tcPr>
          <w:p w14:paraId="5CC2DCC9">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≥60</w:t>
            </w:r>
          </w:p>
        </w:tc>
        <w:tc>
          <w:tcPr>
            <w:tcW w:w="1708" w:type="dxa"/>
            <w:tcBorders>
              <w:tl2br w:val="nil"/>
              <w:tr2bl w:val="nil"/>
            </w:tcBorders>
            <w:vAlign w:val="center"/>
          </w:tcPr>
          <w:p w14:paraId="2274BCAC">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60000</w:t>
            </w:r>
          </w:p>
        </w:tc>
        <w:tc>
          <w:tcPr>
            <w:tcW w:w="1697" w:type="dxa"/>
            <w:vMerge w:val="continue"/>
            <w:tcBorders>
              <w:tl2br w:val="nil"/>
              <w:tr2bl w:val="nil"/>
            </w:tcBorders>
            <w:vAlign w:val="center"/>
          </w:tcPr>
          <w:p w14:paraId="2910677B">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c>
          <w:tcPr>
            <w:tcW w:w="1452" w:type="dxa"/>
            <w:vMerge w:val="continue"/>
            <w:tcBorders>
              <w:tl2br w:val="nil"/>
              <w:tr2bl w:val="nil"/>
            </w:tcBorders>
            <w:vAlign w:val="center"/>
          </w:tcPr>
          <w:p w14:paraId="4E0903EA">
            <w:pPr>
              <w:keepNext w:val="0"/>
              <w:keepLines w:val="0"/>
              <w:pageBreakBefore w:val="0"/>
              <w:widowControl/>
              <w:kinsoku w:val="0"/>
              <w:wordWrap/>
              <w:overflowPunct/>
              <w:topLinePunct w:val="0"/>
              <w:autoSpaceDE w:val="0"/>
              <w:autoSpaceDN w:val="0"/>
              <w:bidi w:val="0"/>
              <w:adjustRightInd w:val="0"/>
              <w:snapToGrid w:val="0"/>
              <w:spacing w:before="35" w:line="240" w:lineRule="exact"/>
              <w:jc w:val="center"/>
              <w:textAlignment w:val="baseline"/>
              <w:rPr>
                <w:rFonts w:ascii="Times New Roman" w:hAnsi="Times New Roman" w:eastAsia="Times New Roman" w:cs="Times New Roman"/>
                <w:b w:val="0"/>
                <w:bCs w:val="0"/>
                <w:color w:val="auto"/>
                <w:spacing w:val="-2"/>
                <w:sz w:val="21"/>
                <w:szCs w:val="21"/>
                <w:highlight w:val="none"/>
                <w:vertAlign w:val="baseline"/>
              </w:rPr>
            </w:pPr>
          </w:p>
        </w:tc>
      </w:tr>
    </w:tbl>
    <w:p w14:paraId="3A93E3FE">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72" w:firstLineChars="200"/>
        <w:jc w:val="both"/>
        <w:textAlignment w:val="baseline"/>
        <w:outlineLvl w:val="9"/>
        <w:rPr>
          <w:rFonts w:hint="default" w:ascii="Times New Roman" w:hAnsi="Times New Roman" w:eastAsia="宋体" w:cs="Times New Roman"/>
          <w:color w:val="auto"/>
          <w:spacing w:val="-2"/>
          <w:sz w:val="24"/>
          <w:szCs w:val="24"/>
          <w:highlight w:val="none"/>
          <w:lang w:val="en-US" w:eastAsia="zh-CN"/>
        </w:rPr>
      </w:pPr>
      <w:r>
        <w:rPr>
          <w:rFonts w:hint="eastAsia" w:ascii="Times New Roman" w:hAnsi="Times New Roman" w:eastAsia="宋体" w:cs="Times New Roman"/>
          <w:color w:val="auto"/>
          <w:spacing w:val="-2"/>
          <w:sz w:val="24"/>
          <w:szCs w:val="24"/>
          <w:highlight w:val="none"/>
          <w:lang w:val="en-US" w:eastAsia="zh-CN"/>
        </w:rPr>
        <w:t>3、行业排放标准</w:t>
      </w:r>
      <w:bookmarkStart w:id="633" w:name="pindex1628"/>
      <w:bookmarkEnd w:id="633"/>
    </w:p>
    <w:p w14:paraId="14D90938">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82" w:firstLineChars="200"/>
        <w:jc w:val="both"/>
        <w:textAlignment w:val="baseline"/>
        <w:rPr>
          <w:rFonts w:ascii="宋体" w:hAnsi="宋体" w:eastAsia="宋体" w:cs="宋体"/>
          <w:b/>
          <w:bCs/>
          <w:color w:val="auto"/>
          <w:spacing w:val="-2"/>
          <w:sz w:val="24"/>
          <w:szCs w:val="24"/>
          <w:highlight w:val="none"/>
        </w:rPr>
      </w:pPr>
      <w:bookmarkStart w:id="634" w:name="OLE_LINK289"/>
      <w:bookmarkStart w:id="635" w:name="OLE_LINK742"/>
      <w:bookmarkStart w:id="636" w:name="sys1629050"/>
      <w:r>
        <w:rPr>
          <w:rFonts w:hint="eastAsia" w:eastAsia="宋体"/>
          <w:b/>
          <w:bCs/>
          <w:color w:val="auto"/>
          <w:sz w:val="24"/>
          <w:szCs w:val="24"/>
          <w:highlight w:val="none"/>
          <w:lang w:val="en-US" w:eastAsia="zh-CN"/>
        </w:rPr>
        <w:t>开发区评估范围</w:t>
      </w:r>
      <w:r>
        <w:rPr>
          <w:rFonts w:hint="eastAsia"/>
          <w:b/>
          <w:bCs/>
          <w:color w:val="auto"/>
          <w:sz w:val="24"/>
          <w:szCs w:val="24"/>
          <w:highlight w:val="none"/>
        </w:rPr>
        <w:t>内</w:t>
      </w:r>
      <w:bookmarkEnd w:id="634"/>
      <w:r>
        <w:rPr>
          <w:rFonts w:hint="eastAsia"/>
          <w:b/>
          <w:bCs/>
          <w:color w:val="auto"/>
          <w:sz w:val="24"/>
          <w:szCs w:val="24"/>
          <w:highlight w:val="none"/>
        </w:rPr>
        <w:t>工业企业大气污染物排放标准有行业标准和地方标准的，优先执行相应的行业标准和地方标准。</w:t>
      </w:r>
      <w:bookmarkEnd w:id="635"/>
      <w:bookmarkEnd w:id="636"/>
      <w:r>
        <w:rPr>
          <w:rFonts w:hint="eastAsia" w:eastAsia="宋体"/>
          <w:b/>
          <w:bCs/>
          <w:color w:val="auto"/>
          <w:sz w:val="24"/>
          <w:szCs w:val="24"/>
          <w:highlight w:val="none"/>
          <w:lang w:val="en-US" w:eastAsia="zh-CN"/>
        </w:rPr>
        <w:t>评估范围内涉及行业及相应排放标准主要如下表所示：</w:t>
      </w:r>
      <w:bookmarkStart w:id="637" w:name="OLE_LINK288"/>
    </w:p>
    <w:p w14:paraId="4694C41D">
      <w:pPr>
        <w:keepNext w:val="0"/>
        <w:keepLines w:val="0"/>
        <w:pageBreakBefore w:val="0"/>
        <w:widowControl/>
        <w:kinsoku w:val="0"/>
        <w:wordWrap/>
        <w:overflowPunct/>
        <w:topLinePunct w:val="0"/>
        <w:autoSpaceDE w:val="0"/>
        <w:autoSpaceDN w:val="0"/>
        <w:bidi w:val="0"/>
        <w:adjustRightInd w:val="0"/>
        <w:snapToGrid w:val="0"/>
        <w:spacing w:before="82" w:line="240" w:lineRule="auto"/>
        <w:jc w:val="center"/>
        <w:textAlignment w:val="baseline"/>
        <w:rPr>
          <w:color w:val="auto"/>
          <w:highlight w:val="none"/>
        </w:rPr>
      </w:pPr>
      <w:bookmarkStart w:id="638" w:name="OLE_LINK848"/>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3.</w:t>
      </w:r>
      <w:r>
        <w:rPr>
          <w:rFonts w:hint="eastAsia" w:ascii="Times New Roman" w:hAnsi="Times New Roman" w:eastAsia="宋体" w:cs="Times New Roman"/>
          <w:b/>
          <w:bCs/>
          <w:color w:val="auto"/>
          <w:spacing w:val="-2"/>
          <w:sz w:val="24"/>
          <w:szCs w:val="24"/>
          <w:highlight w:val="none"/>
          <w:lang w:val="en-US" w:eastAsia="zh-CN"/>
        </w:rPr>
        <w:t xml:space="preserve">2-11 </w:t>
      </w:r>
      <w:bookmarkEnd w:id="638"/>
      <w:r>
        <w:rPr>
          <w:rFonts w:hint="eastAsia" w:ascii="Times New Roman" w:hAnsi="Times New Roman" w:eastAsia="宋体" w:cs="Times New Roman"/>
          <w:b/>
          <w:bCs/>
          <w:color w:val="auto"/>
          <w:spacing w:val="-2"/>
          <w:sz w:val="24"/>
          <w:szCs w:val="24"/>
          <w:highlight w:val="none"/>
          <w:lang w:val="en-US" w:eastAsia="zh-CN"/>
        </w:rPr>
        <w:t xml:space="preserve"> </w:t>
      </w:r>
      <w:r>
        <w:rPr>
          <w:rFonts w:ascii="宋体" w:hAnsi="宋体" w:eastAsia="宋体" w:cs="宋体"/>
          <w:b/>
          <w:bCs/>
          <w:color w:val="auto"/>
          <w:spacing w:val="-2"/>
          <w:sz w:val="24"/>
          <w:szCs w:val="24"/>
          <w:highlight w:val="none"/>
        </w:rPr>
        <w:t>开发区各行业涉及的主要大气污染物排放标准清单</w:t>
      </w:r>
      <w:bookmarkStart w:id="639" w:name="pindex1630"/>
      <w:bookmarkEnd w:id="639"/>
    </w:p>
    <w:tbl>
      <w:tblPr>
        <w:tblStyle w:val="26"/>
        <w:tblW w:w="8458" w:type="dxa"/>
        <w:tblInd w:w="14"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614"/>
        <w:gridCol w:w="3917"/>
        <w:gridCol w:w="2183"/>
        <w:gridCol w:w="1744"/>
      </w:tblGrid>
      <w:tr w14:paraId="17426C8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614" w:type="dxa"/>
            <w:tcBorders>
              <w:tl2br w:val="nil"/>
              <w:tr2bl w:val="nil"/>
            </w:tcBorders>
            <w:vAlign w:val="center"/>
          </w:tcPr>
          <w:p w14:paraId="4C8A01F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3917" w:type="dxa"/>
            <w:tcBorders>
              <w:tl2br w:val="nil"/>
              <w:tr2bl w:val="nil"/>
            </w:tcBorders>
            <w:vAlign w:val="center"/>
          </w:tcPr>
          <w:p w14:paraId="49E9EA6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标准名称</w:t>
            </w:r>
          </w:p>
        </w:tc>
        <w:tc>
          <w:tcPr>
            <w:tcW w:w="2183" w:type="dxa"/>
            <w:tcBorders>
              <w:tl2br w:val="nil"/>
              <w:tr2bl w:val="nil"/>
            </w:tcBorders>
            <w:vAlign w:val="center"/>
          </w:tcPr>
          <w:p w14:paraId="4434D18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标准号</w:t>
            </w:r>
          </w:p>
        </w:tc>
        <w:tc>
          <w:tcPr>
            <w:tcW w:w="1744" w:type="dxa"/>
            <w:tcBorders>
              <w:tl2br w:val="nil"/>
              <w:tr2bl w:val="nil"/>
            </w:tcBorders>
            <w:vAlign w:val="center"/>
          </w:tcPr>
          <w:p w14:paraId="0B8BB3F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行业</w:t>
            </w:r>
          </w:p>
        </w:tc>
      </w:tr>
      <w:tr w14:paraId="02DC198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614" w:type="dxa"/>
            <w:tcBorders>
              <w:tl2br w:val="nil"/>
              <w:tr2bl w:val="nil"/>
            </w:tcBorders>
            <w:vAlign w:val="center"/>
          </w:tcPr>
          <w:p w14:paraId="226772A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bookmarkStart w:id="640" w:name="OLE_LINK171" w:colFirst="1" w:colLast="3"/>
            <w:bookmarkStart w:id="641" w:name="OLE_LINK172" w:colFirst="1" w:colLast="3"/>
            <w:r>
              <w:rPr>
                <w:rFonts w:hint="default" w:ascii="Times New Roman" w:hAnsi="Times New Roman" w:eastAsia="宋体" w:cs="Times New Roman"/>
                <w:color w:val="auto"/>
                <w:sz w:val="21"/>
                <w:szCs w:val="21"/>
                <w:highlight w:val="none"/>
              </w:rPr>
              <w:t>1</w:t>
            </w:r>
          </w:p>
        </w:tc>
        <w:tc>
          <w:tcPr>
            <w:tcW w:w="3917" w:type="dxa"/>
            <w:tcBorders>
              <w:tl2br w:val="nil"/>
              <w:tr2bl w:val="nil"/>
            </w:tcBorders>
            <w:shd w:val="clear" w:color="auto" w:fill="auto"/>
            <w:vAlign w:val="center"/>
          </w:tcPr>
          <w:p w14:paraId="781A235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HYPERLINK "https://www.eiacloud.com/hpyzs/lawsRegulations/searchDetail?id=251df966530b47c38832db69b9d4f4f1&amp;modelName=%E9%A6%96%E9%A1%B5"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表面涂装（汽车零部件）大气污染物排放标</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HYPERLINK "https://www.eiacloud.com/hpyzs/lawsRegulations/searchDetail?id=251df966530b47c38832db69b9d4f4f1&amp;modelName=%E9%A6%96%E9%A1%B5"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准</w:t>
            </w:r>
            <w:r>
              <w:rPr>
                <w:rFonts w:hint="default" w:ascii="Times New Roman" w:hAnsi="Times New Roman" w:eastAsia="宋体" w:cs="Times New Roman"/>
                <w:color w:val="auto"/>
                <w:sz w:val="21"/>
                <w:szCs w:val="21"/>
                <w:highlight w:val="none"/>
              </w:rPr>
              <w:fldChar w:fldCharType="end"/>
            </w:r>
            <w:r>
              <w:rPr>
                <w:rFonts w:hint="eastAsia" w:eastAsia="宋体"/>
                <w:color w:val="auto"/>
                <w:highlight w:val="none"/>
                <w:lang w:eastAsia="zh-CN"/>
              </w:rPr>
              <w:t>》</w:t>
            </w:r>
          </w:p>
        </w:tc>
        <w:tc>
          <w:tcPr>
            <w:tcW w:w="2183" w:type="dxa"/>
            <w:tcBorders>
              <w:tl2br w:val="nil"/>
              <w:tr2bl w:val="nil"/>
            </w:tcBorders>
            <w:shd w:val="clear" w:color="auto" w:fill="auto"/>
            <w:vAlign w:val="center"/>
          </w:tcPr>
          <w:p w14:paraId="36067DB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DB32/3966-2021</w:t>
            </w:r>
            <w:r>
              <w:rPr>
                <w:rFonts w:hint="eastAsia" w:ascii="Times New Roman" w:hAnsi="Times New Roman" w:eastAsia="宋体" w:cs="Times New Roman"/>
                <w:color w:val="auto"/>
                <w:sz w:val="21"/>
                <w:szCs w:val="21"/>
                <w:highlight w:val="none"/>
                <w:lang w:eastAsia="zh-CN"/>
              </w:rPr>
              <w:t>）</w:t>
            </w:r>
          </w:p>
        </w:tc>
        <w:tc>
          <w:tcPr>
            <w:tcW w:w="1744" w:type="dxa"/>
            <w:tcBorders>
              <w:tl2br w:val="nil"/>
              <w:tr2bl w:val="nil"/>
            </w:tcBorders>
            <w:shd w:val="clear" w:color="auto" w:fill="auto"/>
            <w:vAlign w:val="center"/>
          </w:tcPr>
          <w:p w14:paraId="53F71E1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表面涂装</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汽车零部件</w:t>
            </w:r>
            <w:r>
              <w:rPr>
                <w:rFonts w:hint="eastAsia" w:ascii="Times New Roman" w:hAnsi="Times New Roman" w:eastAsia="宋体" w:cs="Times New Roman"/>
                <w:color w:val="auto"/>
                <w:sz w:val="21"/>
                <w:szCs w:val="21"/>
                <w:highlight w:val="none"/>
                <w:lang w:eastAsia="zh-CN"/>
              </w:rPr>
              <w:t>）</w:t>
            </w:r>
          </w:p>
        </w:tc>
      </w:tr>
      <w:bookmarkEnd w:id="640"/>
      <w:tr w14:paraId="543519A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614" w:type="dxa"/>
            <w:tcBorders>
              <w:tl2br w:val="nil"/>
              <w:tr2bl w:val="nil"/>
            </w:tcBorders>
            <w:vAlign w:val="center"/>
          </w:tcPr>
          <w:p w14:paraId="27AA821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3917" w:type="dxa"/>
            <w:tcBorders>
              <w:tl2br w:val="nil"/>
              <w:tr2bl w:val="nil"/>
            </w:tcBorders>
            <w:shd w:val="clear" w:color="auto" w:fill="auto"/>
            <w:vAlign w:val="center"/>
          </w:tcPr>
          <w:p w14:paraId="6D9F26C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表面涂装（汽车制造业）挥发性有机物排放标准》</w:t>
            </w:r>
          </w:p>
        </w:tc>
        <w:tc>
          <w:tcPr>
            <w:tcW w:w="2183" w:type="dxa"/>
            <w:tcBorders>
              <w:tl2br w:val="nil"/>
              <w:tr2bl w:val="nil"/>
            </w:tcBorders>
            <w:shd w:val="clear" w:color="auto" w:fill="auto"/>
            <w:vAlign w:val="center"/>
          </w:tcPr>
          <w:p w14:paraId="7646617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DB32/2862-2016</w:t>
            </w:r>
            <w:r>
              <w:rPr>
                <w:rFonts w:hint="eastAsia" w:ascii="Times New Roman" w:hAnsi="Times New Roman" w:eastAsia="宋体" w:cs="Times New Roman"/>
                <w:color w:val="auto"/>
                <w:sz w:val="21"/>
                <w:szCs w:val="21"/>
                <w:highlight w:val="none"/>
                <w:lang w:eastAsia="zh-CN"/>
              </w:rPr>
              <w:t>）</w:t>
            </w:r>
          </w:p>
        </w:tc>
        <w:tc>
          <w:tcPr>
            <w:tcW w:w="1744" w:type="dxa"/>
            <w:tcBorders>
              <w:tl2br w:val="nil"/>
              <w:tr2bl w:val="nil"/>
            </w:tcBorders>
            <w:shd w:val="clear" w:color="auto" w:fill="auto"/>
            <w:vAlign w:val="center"/>
          </w:tcPr>
          <w:p w14:paraId="501C74E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color w:val="auto"/>
                <w:sz w:val="21"/>
                <w:szCs w:val="21"/>
                <w:highlight w:val="none"/>
                <w:lang w:val="en-US" w:eastAsia="zh-CN"/>
              </w:rPr>
              <w:t>表面涂装（汽车制造业）</w:t>
            </w:r>
          </w:p>
        </w:tc>
      </w:tr>
      <w:tr w14:paraId="6C76174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4" w:type="dxa"/>
            <w:tcBorders>
              <w:tl2br w:val="nil"/>
              <w:tr2bl w:val="nil"/>
            </w:tcBorders>
            <w:vAlign w:val="center"/>
          </w:tcPr>
          <w:p w14:paraId="0FE9C59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3917" w:type="dxa"/>
            <w:tcBorders>
              <w:tl2br w:val="nil"/>
              <w:tr2bl w:val="nil"/>
            </w:tcBorders>
            <w:shd w:val="clear" w:color="auto" w:fill="auto"/>
            <w:vAlign w:val="center"/>
          </w:tcPr>
          <w:p w14:paraId="4CC8E35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《表面涂装（工程机械和钢结构行业）大气污染物排放标准》</w:t>
            </w:r>
          </w:p>
        </w:tc>
        <w:tc>
          <w:tcPr>
            <w:tcW w:w="2183" w:type="dxa"/>
            <w:tcBorders>
              <w:tl2br w:val="nil"/>
              <w:tr2bl w:val="nil"/>
            </w:tcBorders>
            <w:shd w:val="clear" w:color="auto" w:fill="auto"/>
            <w:vAlign w:val="center"/>
          </w:tcPr>
          <w:p w14:paraId="102B5BD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（DB</w:t>
            </w:r>
            <w:r>
              <w:rPr>
                <w:rFonts w:hint="eastAsia" w:ascii="Times New Roman" w:hAnsi="Times New Roman" w:eastAsia="宋体" w:cs="Times New Roman"/>
                <w:color w:val="auto"/>
                <w:sz w:val="21"/>
                <w:szCs w:val="21"/>
                <w:highlight w:val="none"/>
                <w:lang w:val="en-US" w:eastAsia="zh-CN"/>
              </w:rPr>
              <w:t>32</w:t>
            </w:r>
            <w:r>
              <w:rPr>
                <w:rFonts w:hint="eastAsia" w:ascii="Times New Roman" w:hAnsi="Times New Roman" w:eastAsia="宋体" w:cs="Times New Roman"/>
                <w:color w:val="auto"/>
                <w:sz w:val="21"/>
                <w:szCs w:val="21"/>
                <w:highlight w:val="none"/>
                <w:lang w:eastAsia="zh-CN"/>
              </w:rPr>
              <w:t>/4147—2021）</w:t>
            </w:r>
          </w:p>
        </w:tc>
        <w:tc>
          <w:tcPr>
            <w:tcW w:w="1744" w:type="dxa"/>
            <w:tcBorders>
              <w:tl2br w:val="nil"/>
              <w:tr2bl w:val="nil"/>
            </w:tcBorders>
            <w:shd w:val="clear" w:color="auto" w:fill="auto"/>
            <w:vAlign w:val="center"/>
          </w:tcPr>
          <w:p w14:paraId="28A1073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表面涂装（工程机械和钢结构行业）</w:t>
            </w:r>
          </w:p>
        </w:tc>
      </w:tr>
      <w:bookmarkEnd w:id="641"/>
      <w:tr w14:paraId="66AB3C5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614" w:type="dxa"/>
            <w:tcBorders>
              <w:tl2br w:val="nil"/>
              <w:tr2bl w:val="nil"/>
            </w:tcBorders>
            <w:vAlign w:val="center"/>
          </w:tcPr>
          <w:p w14:paraId="107D8C1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3917" w:type="dxa"/>
            <w:tcBorders>
              <w:tl2br w:val="nil"/>
              <w:tr2bl w:val="nil"/>
            </w:tcBorders>
            <w:shd w:val="clear" w:color="auto" w:fill="auto"/>
            <w:vAlign w:val="center"/>
          </w:tcPr>
          <w:p w14:paraId="2971202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《表面涂装（家具制造业）挥发性有机物排放标准》</w:t>
            </w:r>
          </w:p>
        </w:tc>
        <w:tc>
          <w:tcPr>
            <w:tcW w:w="2183" w:type="dxa"/>
            <w:tcBorders>
              <w:tl2br w:val="nil"/>
              <w:tr2bl w:val="nil"/>
            </w:tcBorders>
            <w:shd w:val="clear" w:color="auto" w:fill="auto"/>
            <w:vAlign w:val="center"/>
          </w:tcPr>
          <w:p w14:paraId="028413F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（DB32/3152-2016）</w:t>
            </w:r>
          </w:p>
        </w:tc>
        <w:tc>
          <w:tcPr>
            <w:tcW w:w="1744" w:type="dxa"/>
            <w:tcBorders>
              <w:tl2br w:val="nil"/>
              <w:tr2bl w:val="nil"/>
            </w:tcBorders>
            <w:shd w:val="clear" w:color="auto" w:fill="auto"/>
            <w:vAlign w:val="center"/>
          </w:tcPr>
          <w:p w14:paraId="45869A2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color w:val="auto"/>
                <w:sz w:val="21"/>
                <w:szCs w:val="21"/>
                <w:highlight w:val="none"/>
                <w:lang w:val="en-US" w:eastAsia="zh-CN"/>
              </w:rPr>
              <w:t>表面涂装（家具制造业）</w:t>
            </w:r>
          </w:p>
        </w:tc>
      </w:tr>
      <w:tr w14:paraId="7F9C806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614" w:type="dxa"/>
            <w:tcBorders>
              <w:tl2br w:val="nil"/>
              <w:tr2bl w:val="nil"/>
            </w:tcBorders>
            <w:shd w:val="clear" w:color="auto" w:fill="auto"/>
            <w:vAlign w:val="center"/>
          </w:tcPr>
          <w:p w14:paraId="0FC9D53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bookmarkStart w:id="642" w:name="OLE_LINK133" w:colFirst="1" w:colLast="3"/>
            <w:r>
              <w:rPr>
                <w:rFonts w:hint="eastAsia" w:ascii="Times New Roman" w:hAnsi="Times New Roman" w:eastAsia="宋体" w:cs="Times New Roman"/>
                <w:color w:val="auto"/>
                <w:sz w:val="21"/>
                <w:szCs w:val="21"/>
                <w:highlight w:val="none"/>
                <w:lang w:val="en-US" w:eastAsia="zh-CN"/>
              </w:rPr>
              <w:t>5</w:t>
            </w:r>
          </w:p>
        </w:tc>
        <w:tc>
          <w:tcPr>
            <w:tcW w:w="3917" w:type="dxa"/>
            <w:tcBorders>
              <w:tl2br w:val="nil"/>
              <w:tr2bl w:val="nil"/>
            </w:tcBorders>
            <w:shd w:val="clear" w:color="auto" w:fill="auto"/>
            <w:vAlign w:val="center"/>
          </w:tcPr>
          <w:p w14:paraId="5D59343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《工业涂装工序大气污染物排放标准》</w:t>
            </w:r>
          </w:p>
        </w:tc>
        <w:tc>
          <w:tcPr>
            <w:tcW w:w="2183" w:type="dxa"/>
            <w:tcBorders>
              <w:tl2br w:val="nil"/>
              <w:tr2bl w:val="nil"/>
            </w:tcBorders>
            <w:shd w:val="clear" w:color="auto" w:fill="auto"/>
            <w:vAlign w:val="center"/>
          </w:tcPr>
          <w:p w14:paraId="36C082D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（DB32/4439-2022）</w:t>
            </w:r>
          </w:p>
        </w:tc>
        <w:tc>
          <w:tcPr>
            <w:tcW w:w="1744" w:type="dxa"/>
            <w:tcBorders>
              <w:tl2br w:val="nil"/>
              <w:tr2bl w:val="nil"/>
            </w:tcBorders>
            <w:shd w:val="clear" w:color="auto" w:fill="auto"/>
            <w:vAlign w:val="center"/>
          </w:tcPr>
          <w:p w14:paraId="1233C9F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涉及工业涂装工序</w:t>
            </w:r>
          </w:p>
        </w:tc>
      </w:tr>
      <w:tr w14:paraId="2CDF156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614" w:type="dxa"/>
            <w:tcBorders>
              <w:tl2br w:val="nil"/>
              <w:tr2bl w:val="nil"/>
            </w:tcBorders>
            <w:shd w:val="clear" w:color="auto" w:fill="auto"/>
            <w:vAlign w:val="center"/>
          </w:tcPr>
          <w:p w14:paraId="219E7FA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6</w:t>
            </w:r>
          </w:p>
        </w:tc>
        <w:tc>
          <w:tcPr>
            <w:tcW w:w="3917" w:type="dxa"/>
            <w:tcBorders>
              <w:tl2br w:val="nil"/>
              <w:tr2bl w:val="nil"/>
            </w:tcBorders>
            <w:shd w:val="clear" w:color="auto" w:fill="auto"/>
            <w:vAlign w:val="center"/>
          </w:tcPr>
          <w:p w14:paraId="1D612F4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制药工业大气污染物排放标准</w:t>
            </w:r>
            <w:r>
              <w:rPr>
                <w:rFonts w:hint="eastAsia" w:ascii="Times New Roman" w:hAnsi="Times New Roman" w:eastAsia="宋体" w:cs="Times New Roman"/>
                <w:color w:val="auto"/>
                <w:sz w:val="21"/>
                <w:szCs w:val="21"/>
                <w:highlight w:val="none"/>
                <w:lang w:eastAsia="zh-CN"/>
              </w:rPr>
              <w:t>》</w:t>
            </w:r>
          </w:p>
        </w:tc>
        <w:tc>
          <w:tcPr>
            <w:tcW w:w="2183" w:type="dxa"/>
            <w:tcBorders>
              <w:tl2br w:val="nil"/>
              <w:tr2bl w:val="nil"/>
            </w:tcBorders>
            <w:shd w:val="clear" w:color="auto" w:fill="auto"/>
            <w:vAlign w:val="center"/>
          </w:tcPr>
          <w:p w14:paraId="3EA47E4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DB32/4042-2021</w:t>
            </w:r>
            <w:r>
              <w:rPr>
                <w:rFonts w:hint="eastAsia" w:ascii="Times New Roman" w:hAnsi="Times New Roman" w:eastAsia="宋体" w:cs="Times New Roman"/>
                <w:color w:val="auto"/>
                <w:sz w:val="21"/>
                <w:szCs w:val="21"/>
                <w:highlight w:val="none"/>
                <w:lang w:eastAsia="zh-CN"/>
              </w:rPr>
              <w:t>）</w:t>
            </w:r>
          </w:p>
        </w:tc>
        <w:tc>
          <w:tcPr>
            <w:tcW w:w="1744" w:type="dxa"/>
            <w:tcBorders>
              <w:tl2br w:val="nil"/>
              <w:tr2bl w:val="nil"/>
            </w:tcBorders>
            <w:shd w:val="clear" w:color="auto" w:fill="auto"/>
            <w:vAlign w:val="center"/>
          </w:tcPr>
          <w:p w14:paraId="7389961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制药工业</w:t>
            </w:r>
          </w:p>
        </w:tc>
      </w:tr>
      <w:tr w14:paraId="2400605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614" w:type="dxa"/>
            <w:tcBorders>
              <w:tl2br w:val="nil"/>
              <w:tr2bl w:val="nil"/>
            </w:tcBorders>
            <w:shd w:val="clear" w:color="auto" w:fill="auto"/>
            <w:vAlign w:val="center"/>
          </w:tcPr>
          <w:p w14:paraId="7B49C83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bookmarkStart w:id="643" w:name="OLE_LINK140" w:colFirst="1" w:colLast="2"/>
            <w:r>
              <w:rPr>
                <w:rFonts w:hint="eastAsia" w:ascii="Times New Roman" w:hAnsi="Times New Roman" w:eastAsia="宋体" w:cs="Times New Roman"/>
                <w:color w:val="auto"/>
                <w:sz w:val="21"/>
                <w:szCs w:val="21"/>
                <w:highlight w:val="none"/>
                <w:lang w:val="en-US" w:eastAsia="zh-CN"/>
              </w:rPr>
              <w:t>7</w:t>
            </w:r>
          </w:p>
        </w:tc>
        <w:tc>
          <w:tcPr>
            <w:tcW w:w="3917" w:type="dxa"/>
            <w:tcBorders>
              <w:tl2br w:val="nil"/>
              <w:tr2bl w:val="nil"/>
            </w:tcBorders>
            <w:shd w:val="clear" w:color="auto" w:fill="auto"/>
            <w:vAlign w:val="center"/>
          </w:tcPr>
          <w:p w14:paraId="2833680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pacing w:val="-2"/>
                <w:sz w:val="21"/>
                <w:szCs w:val="21"/>
                <w:highlight w:val="none"/>
                <w:lang w:val="en-US" w:eastAsia="zh-CN"/>
              </w:rPr>
              <w:t>《生物制药行业水和大气污染物排放限值》</w:t>
            </w:r>
          </w:p>
        </w:tc>
        <w:tc>
          <w:tcPr>
            <w:tcW w:w="2183" w:type="dxa"/>
            <w:tcBorders>
              <w:tl2br w:val="nil"/>
              <w:tr2bl w:val="nil"/>
            </w:tcBorders>
            <w:shd w:val="clear" w:color="auto" w:fill="auto"/>
            <w:vAlign w:val="center"/>
          </w:tcPr>
          <w:p w14:paraId="27BBF18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pacing w:val="-2"/>
                <w:sz w:val="21"/>
                <w:szCs w:val="21"/>
                <w:highlight w:val="none"/>
                <w:lang w:val="en-US" w:eastAsia="zh-CN"/>
              </w:rPr>
              <w:t>（DB32/3560-2019）</w:t>
            </w:r>
          </w:p>
        </w:tc>
        <w:tc>
          <w:tcPr>
            <w:tcW w:w="1744" w:type="dxa"/>
            <w:tcBorders>
              <w:tl2br w:val="nil"/>
              <w:tr2bl w:val="nil"/>
            </w:tcBorders>
            <w:shd w:val="clear" w:color="auto" w:fill="auto"/>
            <w:vAlign w:val="center"/>
          </w:tcPr>
          <w:p w14:paraId="5B8A41E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制药工业</w:t>
            </w:r>
          </w:p>
        </w:tc>
      </w:tr>
      <w:tr w14:paraId="3D8F63A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614" w:type="dxa"/>
            <w:tcBorders>
              <w:tl2br w:val="nil"/>
              <w:tr2bl w:val="nil"/>
            </w:tcBorders>
            <w:shd w:val="clear" w:color="auto" w:fill="auto"/>
            <w:vAlign w:val="center"/>
          </w:tcPr>
          <w:p w14:paraId="4AB6FE5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8</w:t>
            </w:r>
          </w:p>
        </w:tc>
        <w:tc>
          <w:tcPr>
            <w:tcW w:w="3917" w:type="dxa"/>
            <w:tcBorders>
              <w:tl2br w:val="nil"/>
              <w:tr2bl w:val="nil"/>
            </w:tcBorders>
            <w:shd w:val="clear" w:color="auto" w:fill="auto"/>
            <w:vAlign w:val="center"/>
          </w:tcPr>
          <w:p w14:paraId="6B8DBB5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color w:val="auto"/>
                <w:spacing w:val="-2"/>
                <w:sz w:val="21"/>
                <w:szCs w:val="21"/>
                <w:highlight w:val="none"/>
                <w:lang w:val="en-US" w:eastAsia="zh-CN"/>
              </w:rPr>
            </w:pPr>
            <w:r>
              <w:rPr>
                <w:rFonts w:hint="eastAsia" w:ascii="Times New Roman" w:hAnsi="Times New Roman" w:eastAsia="宋体" w:cs="Times New Roman"/>
                <w:color w:val="auto"/>
                <w:spacing w:val="-2"/>
                <w:sz w:val="21"/>
                <w:szCs w:val="21"/>
                <w:highlight w:val="none"/>
                <w:lang w:val="en-US" w:eastAsia="zh-CN"/>
              </w:rPr>
              <w:t>《制药工业大气污染物排放标准》</w:t>
            </w:r>
          </w:p>
        </w:tc>
        <w:tc>
          <w:tcPr>
            <w:tcW w:w="2183" w:type="dxa"/>
            <w:tcBorders>
              <w:tl2br w:val="nil"/>
              <w:tr2bl w:val="nil"/>
            </w:tcBorders>
            <w:shd w:val="clear" w:color="auto" w:fill="auto"/>
            <w:vAlign w:val="center"/>
          </w:tcPr>
          <w:p w14:paraId="5DF7795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color w:val="auto"/>
                <w:spacing w:val="-2"/>
                <w:sz w:val="21"/>
                <w:szCs w:val="21"/>
                <w:highlight w:val="none"/>
                <w:lang w:val="en-US" w:eastAsia="zh-CN"/>
              </w:rPr>
            </w:pPr>
            <w:r>
              <w:rPr>
                <w:rFonts w:hint="eastAsia" w:ascii="Times New Roman" w:hAnsi="Times New Roman" w:eastAsia="宋体" w:cs="Times New Roman"/>
                <w:color w:val="auto"/>
                <w:spacing w:val="-2"/>
                <w:sz w:val="21"/>
                <w:szCs w:val="21"/>
                <w:highlight w:val="none"/>
                <w:lang w:val="en-US" w:eastAsia="zh-CN"/>
              </w:rPr>
              <w:t>（GB37823-2019）</w:t>
            </w:r>
          </w:p>
        </w:tc>
        <w:tc>
          <w:tcPr>
            <w:tcW w:w="1744" w:type="dxa"/>
            <w:tcBorders>
              <w:tl2br w:val="nil"/>
              <w:tr2bl w:val="nil"/>
            </w:tcBorders>
            <w:shd w:val="clear" w:color="auto" w:fill="auto"/>
            <w:vAlign w:val="center"/>
          </w:tcPr>
          <w:p w14:paraId="4DA1402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制药工业</w:t>
            </w:r>
          </w:p>
        </w:tc>
      </w:tr>
      <w:tr w14:paraId="02E6604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614" w:type="dxa"/>
            <w:tcBorders>
              <w:tl2br w:val="nil"/>
              <w:tr2bl w:val="nil"/>
            </w:tcBorders>
            <w:shd w:val="clear" w:color="auto" w:fill="auto"/>
            <w:vAlign w:val="center"/>
          </w:tcPr>
          <w:p w14:paraId="49E8187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9</w:t>
            </w:r>
          </w:p>
        </w:tc>
        <w:tc>
          <w:tcPr>
            <w:tcW w:w="3917" w:type="dxa"/>
            <w:tcBorders>
              <w:tl2br w:val="nil"/>
              <w:tr2bl w:val="nil"/>
            </w:tcBorders>
            <w:shd w:val="clear" w:color="auto" w:fill="auto"/>
            <w:vAlign w:val="center"/>
          </w:tcPr>
          <w:p w14:paraId="57560BD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color w:val="auto"/>
                <w:spacing w:val="-2"/>
                <w:sz w:val="21"/>
                <w:szCs w:val="21"/>
                <w:highlight w:val="none"/>
                <w:lang w:val="en-US" w:eastAsia="zh-CN"/>
              </w:rPr>
              <w:t>《印刷工业大气污染物排放标准》</w:t>
            </w:r>
          </w:p>
        </w:tc>
        <w:tc>
          <w:tcPr>
            <w:tcW w:w="2183" w:type="dxa"/>
            <w:tcBorders>
              <w:tl2br w:val="nil"/>
              <w:tr2bl w:val="nil"/>
            </w:tcBorders>
            <w:shd w:val="clear" w:color="auto" w:fill="auto"/>
            <w:vAlign w:val="center"/>
          </w:tcPr>
          <w:p w14:paraId="44BEEC8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color w:val="auto"/>
                <w:spacing w:val="-2"/>
                <w:sz w:val="21"/>
                <w:szCs w:val="21"/>
                <w:highlight w:val="none"/>
                <w:lang w:val="en-US" w:eastAsia="zh-CN"/>
              </w:rPr>
              <w:t>（DB32/4438-2022）</w:t>
            </w:r>
          </w:p>
        </w:tc>
        <w:tc>
          <w:tcPr>
            <w:tcW w:w="1744" w:type="dxa"/>
            <w:tcBorders>
              <w:tl2br w:val="nil"/>
              <w:tr2bl w:val="nil"/>
            </w:tcBorders>
            <w:shd w:val="clear" w:color="auto" w:fill="auto"/>
            <w:vAlign w:val="center"/>
          </w:tcPr>
          <w:p w14:paraId="0285ACF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印刷</w:t>
            </w:r>
            <w:r>
              <w:rPr>
                <w:rFonts w:hint="eastAsia" w:ascii="Times New Roman" w:hAnsi="Times New Roman" w:eastAsia="宋体" w:cs="Times New Roman"/>
                <w:color w:val="auto"/>
                <w:spacing w:val="-2"/>
                <w:sz w:val="21"/>
                <w:szCs w:val="21"/>
                <w:highlight w:val="none"/>
                <w:lang w:val="en-US" w:eastAsia="zh-CN"/>
              </w:rPr>
              <w:t>工业</w:t>
            </w:r>
          </w:p>
        </w:tc>
      </w:tr>
      <w:bookmarkEnd w:id="642"/>
      <w:tr w14:paraId="3B4797D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614" w:type="dxa"/>
            <w:tcBorders>
              <w:tl2br w:val="nil"/>
              <w:tr2bl w:val="nil"/>
            </w:tcBorders>
            <w:shd w:val="clear" w:color="auto" w:fill="auto"/>
            <w:vAlign w:val="center"/>
          </w:tcPr>
          <w:p w14:paraId="1F6A165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w:t>
            </w:r>
          </w:p>
        </w:tc>
        <w:tc>
          <w:tcPr>
            <w:tcW w:w="3917" w:type="dxa"/>
            <w:tcBorders>
              <w:tl2br w:val="nil"/>
              <w:tr2bl w:val="nil"/>
            </w:tcBorders>
            <w:shd w:val="clear" w:color="auto" w:fill="auto"/>
            <w:vAlign w:val="center"/>
          </w:tcPr>
          <w:p w14:paraId="1FD5EB0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spacing w:val="-2"/>
                <w:kern w:val="0"/>
                <w:sz w:val="21"/>
                <w:szCs w:val="21"/>
                <w:highlight w:val="none"/>
                <w:lang w:val="en-US" w:eastAsia="zh-CN" w:bidi="ar-SA"/>
              </w:rPr>
            </w:pPr>
            <w:bookmarkStart w:id="644" w:name="OLE_LINK313"/>
            <w:r>
              <w:rPr>
                <w:rFonts w:hint="eastAsia" w:ascii="Times New Roman" w:hAnsi="Times New Roman" w:eastAsia="宋体" w:cs="Times New Roman"/>
                <w:color w:val="auto"/>
                <w:spacing w:val="-2"/>
                <w:sz w:val="21"/>
                <w:szCs w:val="21"/>
                <w:highlight w:val="none"/>
                <w:lang w:val="en-US" w:eastAsia="zh-CN"/>
              </w:rPr>
              <w:t>《合成树脂工业污染物排放标准》</w:t>
            </w:r>
            <w:bookmarkEnd w:id="644"/>
          </w:p>
        </w:tc>
        <w:tc>
          <w:tcPr>
            <w:tcW w:w="2183" w:type="dxa"/>
            <w:tcBorders>
              <w:tl2br w:val="nil"/>
              <w:tr2bl w:val="nil"/>
            </w:tcBorders>
            <w:shd w:val="clear" w:color="auto" w:fill="auto"/>
            <w:vAlign w:val="center"/>
          </w:tcPr>
          <w:p w14:paraId="74A1242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color w:val="auto"/>
                <w:spacing w:val="-2"/>
                <w:sz w:val="21"/>
                <w:szCs w:val="21"/>
                <w:highlight w:val="none"/>
                <w:lang w:val="en-US" w:eastAsia="zh-CN"/>
              </w:rPr>
              <w:t>（</w:t>
            </w:r>
            <w:bookmarkStart w:id="645" w:name="OLE_LINK314"/>
            <w:r>
              <w:rPr>
                <w:rFonts w:hint="eastAsia" w:ascii="Times New Roman" w:hAnsi="Times New Roman" w:eastAsia="宋体" w:cs="Times New Roman"/>
                <w:color w:val="auto"/>
                <w:spacing w:val="-2"/>
                <w:sz w:val="21"/>
                <w:szCs w:val="21"/>
                <w:highlight w:val="none"/>
                <w:lang w:val="en-US" w:eastAsia="zh-CN"/>
              </w:rPr>
              <w:t>GB31572-2015</w:t>
            </w:r>
            <w:bookmarkEnd w:id="645"/>
            <w:r>
              <w:rPr>
                <w:rFonts w:hint="eastAsia" w:ascii="Times New Roman" w:hAnsi="Times New Roman" w:eastAsia="宋体" w:cs="Times New Roman"/>
                <w:color w:val="auto"/>
                <w:spacing w:val="-2"/>
                <w:sz w:val="21"/>
                <w:szCs w:val="21"/>
                <w:highlight w:val="none"/>
                <w:lang w:val="en-US" w:eastAsia="zh-CN"/>
              </w:rPr>
              <w:t>）</w:t>
            </w:r>
          </w:p>
        </w:tc>
        <w:tc>
          <w:tcPr>
            <w:tcW w:w="1744" w:type="dxa"/>
            <w:tcBorders>
              <w:tl2br w:val="nil"/>
              <w:tr2bl w:val="nil"/>
            </w:tcBorders>
            <w:shd w:val="clear" w:color="auto" w:fill="auto"/>
            <w:vAlign w:val="center"/>
          </w:tcPr>
          <w:p w14:paraId="1AD9DC2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color w:val="auto"/>
                <w:spacing w:val="-2"/>
                <w:sz w:val="21"/>
                <w:szCs w:val="21"/>
                <w:highlight w:val="none"/>
                <w:lang w:val="en-US" w:eastAsia="zh-CN"/>
              </w:rPr>
              <w:t>合成树脂工业</w:t>
            </w:r>
          </w:p>
        </w:tc>
      </w:tr>
      <w:tr w14:paraId="59E0694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614" w:type="dxa"/>
            <w:tcBorders>
              <w:tl2br w:val="nil"/>
              <w:tr2bl w:val="nil"/>
            </w:tcBorders>
            <w:shd w:val="clear" w:color="auto" w:fill="auto"/>
            <w:vAlign w:val="center"/>
          </w:tcPr>
          <w:p w14:paraId="12A2423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11</w:t>
            </w:r>
          </w:p>
        </w:tc>
        <w:tc>
          <w:tcPr>
            <w:tcW w:w="3917" w:type="dxa"/>
            <w:tcBorders>
              <w:tl2br w:val="nil"/>
              <w:tr2bl w:val="nil"/>
            </w:tcBorders>
            <w:shd w:val="clear" w:color="auto" w:fill="auto"/>
            <w:vAlign w:val="center"/>
          </w:tcPr>
          <w:p w14:paraId="05DC97C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color w:val="auto"/>
                <w:spacing w:val="-2"/>
                <w:sz w:val="21"/>
                <w:szCs w:val="21"/>
                <w:highlight w:val="none"/>
                <w:lang w:val="en-US" w:eastAsia="zh-CN"/>
              </w:rPr>
              <w:t>《半导体行业污染物排放标准》</w:t>
            </w:r>
          </w:p>
        </w:tc>
        <w:tc>
          <w:tcPr>
            <w:tcW w:w="2183" w:type="dxa"/>
            <w:tcBorders>
              <w:tl2br w:val="nil"/>
              <w:tr2bl w:val="nil"/>
            </w:tcBorders>
            <w:shd w:val="clear" w:color="auto" w:fill="auto"/>
            <w:vAlign w:val="center"/>
          </w:tcPr>
          <w:p w14:paraId="77FF569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color w:val="auto"/>
                <w:spacing w:val="-2"/>
                <w:sz w:val="21"/>
                <w:szCs w:val="21"/>
                <w:highlight w:val="none"/>
                <w:lang w:val="en-US" w:eastAsia="zh-CN"/>
              </w:rPr>
              <w:t>（DB32/3747-2020）</w:t>
            </w:r>
          </w:p>
        </w:tc>
        <w:tc>
          <w:tcPr>
            <w:tcW w:w="1744" w:type="dxa"/>
            <w:tcBorders>
              <w:tl2br w:val="nil"/>
              <w:tr2bl w:val="nil"/>
            </w:tcBorders>
            <w:shd w:val="clear" w:color="auto" w:fill="auto"/>
            <w:vAlign w:val="center"/>
          </w:tcPr>
          <w:p w14:paraId="6742728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color w:val="auto"/>
                <w:spacing w:val="-2"/>
                <w:sz w:val="21"/>
                <w:szCs w:val="21"/>
                <w:highlight w:val="none"/>
                <w:lang w:val="en-US" w:eastAsia="zh-CN"/>
              </w:rPr>
              <w:t>半导体行业</w:t>
            </w:r>
          </w:p>
        </w:tc>
      </w:tr>
      <w:tr w14:paraId="3262890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614" w:type="dxa"/>
            <w:tcBorders>
              <w:tl2br w:val="nil"/>
              <w:tr2bl w:val="nil"/>
            </w:tcBorders>
            <w:shd w:val="clear" w:color="auto" w:fill="auto"/>
            <w:vAlign w:val="center"/>
          </w:tcPr>
          <w:p w14:paraId="0C32DC7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12</w:t>
            </w:r>
          </w:p>
        </w:tc>
        <w:tc>
          <w:tcPr>
            <w:tcW w:w="3917" w:type="dxa"/>
            <w:tcBorders>
              <w:tl2br w:val="nil"/>
              <w:tr2bl w:val="nil"/>
            </w:tcBorders>
            <w:shd w:val="clear" w:color="auto" w:fill="auto"/>
            <w:vAlign w:val="center"/>
          </w:tcPr>
          <w:p w14:paraId="581A744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锅炉大气污染物排放标准</w:t>
            </w:r>
            <w:r>
              <w:rPr>
                <w:rFonts w:hint="eastAsia" w:ascii="Times New Roman" w:hAnsi="Times New Roman" w:eastAsia="宋体" w:cs="Times New Roman"/>
                <w:color w:val="auto"/>
                <w:sz w:val="21"/>
                <w:szCs w:val="21"/>
                <w:highlight w:val="none"/>
                <w:lang w:eastAsia="zh-CN"/>
              </w:rPr>
              <w:t>》</w:t>
            </w:r>
          </w:p>
        </w:tc>
        <w:tc>
          <w:tcPr>
            <w:tcW w:w="2183" w:type="dxa"/>
            <w:tcBorders>
              <w:tl2br w:val="nil"/>
              <w:tr2bl w:val="nil"/>
            </w:tcBorders>
            <w:shd w:val="clear" w:color="auto" w:fill="auto"/>
            <w:vAlign w:val="center"/>
          </w:tcPr>
          <w:p w14:paraId="66C0007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DB32/4385-2022</w:t>
            </w:r>
            <w:r>
              <w:rPr>
                <w:rFonts w:hint="eastAsia" w:ascii="Times New Roman" w:hAnsi="Times New Roman" w:eastAsia="宋体" w:cs="Times New Roman"/>
                <w:color w:val="auto"/>
                <w:sz w:val="21"/>
                <w:szCs w:val="21"/>
                <w:highlight w:val="none"/>
                <w:lang w:eastAsia="zh-CN"/>
              </w:rPr>
              <w:t>）</w:t>
            </w:r>
          </w:p>
        </w:tc>
        <w:tc>
          <w:tcPr>
            <w:tcW w:w="1744" w:type="dxa"/>
            <w:tcBorders>
              <w:tl2br w:val="nil"/>
              <w:tr2bl w:val="nil"/>
            </w:tcBorders>
            <w:shd w:val="clear" w:color="auto" w:fill="auto"/>
            <w:vAlign w:val="center"/>
          </w:tcPr>
          <w:p w14:paraId="6FF4C93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锅炉</w:t>
            </w:r>
          </w:p>
        </w:tc>
      </w:tr>
      <w:tr w14:paraId="43082F5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614" w:type="dxa"/>
            <w:tcBorders>
              <w:tl2br w:val="nil"/>
              <w:tr2bl w:val="nil"/>
            </w:tcBorders>
            <w:shd w:val="clear" w:color="auto" w:fill="auto"/>
            <w:vAlign w:val="center"/>
          </w:tcPr>
          <w:p w14:paraId="487BF4B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13</w:t>
            </w:r>
          </w:p>
        </w:tc>
        <w:tc>
          <w:tcPr>
            <w:tcW w:w="3917" w:type="dxa"/>
            <w:tcBorders>
              <w:tl2br w:val="nil"/>
              <w:tr2bl w:val="nil"/>
            </w:tcBorders>
            <w:shd w:val="clear" w:color="auto" w:fill="auto"/>
            <w:vAlign w:val="center"/>
          </w:tcPr>
          <w:p w14:paraId="75BD2D6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工业炉窑大气污染物排放标准</w:t>
            </w:r>
            <w:r>
              <w:rPr>
                <w:rFonts w:hint="eastAsia" w:ascii="Times New Roman" w:hAnsi="Times New Roman" w:eastAsia="宋体" w:cs="Times New Roman"/>
                <w:color w:val="auto"/>
                <w:sz w:val="21"/>
                <w:szCs w:val="21"/>
                <w:highlight w:val="none"/>
                <w:lang w:eastAsia="zh-CN"/>
              </w:rPr>
              <w:t>》</w:t>
            </w:r>
          </w:p>
        </w:tc>
        <w:tc>
          <w:tcPr>
            <w:tcW w:w="2183" w:type="dxa"/>
            <w:tcBorders>
              <w:tl2br w:val="nil"/>
              <w:tr2bl w:val="nil"/>
            </w:tcBorders>
            <w:shd w:val="clear" w:color="auto" w:fill="auto"/>
            <w:vAlign w:val="center"/>
          </w:tcPr>
          <w:p w14:paraId="0415E8F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DB32/3728-2020</w:t>
            </w:r>
            <w:r>
              <w:rPr>
                <w:rFonts w:hint="eastAsia" w:ascii="Times New Roman" w:hAnsi="Times New Roman" w:eastAsia="宋体" w:cs="Times New Roman"/>
                <w:color w:val="auto"/>
                <w:sz w:val="21"/>
                <w:szCs w:val="21"/>
                <w:highlight w:val="none"/>
                <w:lang w:eastAsia="zh-CN"/>
              </w:rPr>
              <w:t>）</w:t>
            </w:r>
          </w:p>
        </w:tc>
        <w:tc>
          <w:tcPr>
            <w:tcW w:w="1744" w:type="dxa"/>
            <w:tcBorders>
              <w:tl2br w:val="nil"/>
              <w:tr2bl w:val="nil"/>
            </w:tcBorders>
            <w:shd w:val="clear" w:color="auto" w:fill="auto"/>
            <w:vAlign w:val="center"/>
          </w:tcPr>
          <w:p w14:paraId="53A7B23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工业炉窑</w:t>
            </w:r>
          </w:p>
        </w:tc>
      </w:tr>
      <w:tr w14:paraId="55917FB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614" w:type="dxa"/>
            <w:tcBorders>
              <w:tl2br w:val="nil"/>
              <w:tr2bl w:val="nil"/>
            </w:tcBorders>
            <w:shd w:val="clear" w:color="auto" w:fill="auto"/>
            <w:vAlign w:val="center"/>
          </w:tcPr>
          <w:p w14:paraId="685A8F4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14</w:t>
            </w:r>
          </w:p>
        </w:tc>
        <w:tc>
          <w:tcPr>
            <w:tcW w:w="3917" w:type="dxa"/>
            <w:tcBorders>
              <w:tl2br w:val="nil"/>
              <w:tr2bl w:val="nil"/>
            </w:tcBorders>
            <w:shd w:val="clear" w:color="auto" w:fill="auto"/>
            <w:vAlign w:val="center"/>
          </w:tcPr>
          <w:p w14:paraId="30257D6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en-US"/>
              </w:rPr>
              <w:t>《火电厂大气污染物排放标准》</w:t>
            </w:r>
          </w:p>
        </w:tc>
        <w:tc>
          <w:tcPr>
            <w:tcW w:w="2183" w:type="dxa"/>
            <w:tcBorders>
              <w:tl2br w:val="nil"/>
              <w:tr2bl w:val="nil"/>
            </w:tcBorders>
            <w:shd w:val="clear" w:color="auto" w:fill="auto"/>
            <w:vAlign w:val="center"/>
          </w:tcPr>
          <w:p w14:paraId="7FAF4A3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en-US"/>
              </w:rPr>
              <w:t>（GB13223-2011）</w:t>
            </w:r>
          </w:p>
        </w:tc>
        <w:tc>
          <w:tcPr>
            <w:tcW w:w="1744" w:type="dxa"/>
            <w:tcBorders>
              <w:tl2br w:val="nil"/>
              <w:tr2bl w:val="nil"/>
            </w:tcBorders>
            <w:shd w:val="clear" w:color="auto" w:fill="auto"/>
            <w:vAlign w:val="center"/>
          </w:tcPr>
          <w:p w14:paraId="2E8983E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en-US"/>
              </w:rPr>
              <w:t>火电厂</w:t>
            </w:r>
          </w:p>
        </w:tc>
      </w:tr>
      <w:bookmarkEnd w:id="643"/>
      <w:tr w14:paraId="1483E03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614" w:type="dxa"/>
            <w:tcBorders>
              <w:tl2br w:val="nil"/>
              <w:tr2bl w:val="nil"/>
            </w:tcBorders>
            <w:vAlign w:val="center"/>
          </w:tcPr>
          <w:p w14:paraId="56A0E75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3917" w:type="dxa"/>
            <w:tcBorders>
              <w:tl2br w:val="nil"/>
              <w:tr2bl w:val="nil"/>
            </w:tcBorders>
            <w:shd w:val="clear" w:color="auto" w:fill="auto"/>
            <w:vAlign w:val="center"/>
          </w:tcPr>
          <w:p w14:paraId="086836B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pacing w:val="-2"/>
                <w:sz w:val="21"/>
                <w:szCs w:val="21"/>
                <w:highlight w:val="none"/>
                <w:lang w:val="en-US" w:eastAsia="zh-CN"/>
              </w:rPr>
              <w:t>《固定式燃气轮机大气污染物排放标准》</w:t>
            </w:r>
          </w:p>
        </w:tc>
        <w:tc>
          <w:tcPr>
            <w:tcW w:w="2183" w:type="dxa"/>
            <w:tcBorders>
              <w:tl2br w:val="nil"/>
              <w:tr2bl w:val="nil"/>
            </w:tcBorders>
            <w:shd w:val="clear" w:color="auto" w:fill="auto"/>
            <w:vAlign w:val="center"/>
          </w:tcPr>
          <w:p w14:paraId="358AED6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pacing w:val="-2"/>
                <w:sz w:val="21"/>
                <w:szCs w:val="21"/>
                <w:highlight w:val="none"/>
                <w:lang w:val="en-US" w:eastAsia="zh-CN"/>
              </w:rPr>
              <w:t>（DB32/3967-2021）</w:t>
            </w:r>
          </w:p>
        </w:tc>
        <w:tc>
          <w:tcPr>
            <w:tcW w:w="1744" w:type="dxa"/>
            <w:tcBorders>
              <w:tl2br w:val="nil"/>
              <w:tr2bl w:val="nil"/>
            </w:tcBorders>
            <w:shd w:val="clear" w:color="auto" w:fill="auto"/>
            <w:vAlign w:val="center"/>
          </w:tcPr>
          <w:p w14:paraId="68CC720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lang w:val="en-US" w:eastAsia="en-US"/>
              </w:rPr>
              <w:t>火电厂</w:t>
            </w:r>
          </w:p>
        </w:tc>
      </w:tr>
      <w:bookmarkEnd w:id="637"/>
    </w:tbl>
    <w:p w14:paraId="0840DDDB">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outlineLvl w:val="9"/>
        <w:rPr>
          <w:rFonts w:hint="eastAsia" w:ascii="Times New Roman" w:hAnsi="Times New Roman" w:eastAsia="宋体" w:cs="Times New Roman"/>
          <w:color w:val="auto"/>
          <w:spacing w:val="-2"/>
          <w:sz w:val="24"/>
          <w:szCs w:val="24"/>
          <w:highlight w:val="none"/>
          <w:lang w:val="en-US" w:eastAsia="zh-CN"/>
        </w:rPr>
      </w:pPr>
      <w:bookmarkStart w:id="646" w:name="OLE_LINK143"/>
      <w:r>
        <w:rPr>
          <w:rFonts w:hint="eastAsia" w:ascii="Times New Roman" w:hAnsi="Times New Roman" w:eastAsia="宋体" w:cs="Times New Roman"/>
          <w:color w:val="auto"/>
          <w:spacing w:val="-2"/>
          <w:sz w:val="24"/>
          <w:szCs w:val="24"/>
          <w:highlight w:val="none"/>
          <w:lang w:val="en-US" w:eastAsia="zh-CN"/>
        </w:rPr>
        <w:t>（1）</w:t>
      </w:r>
      <w:bookmarkStart w:id="647" w:name="OLE_LINK131"/>
      <w:r>
        <w:rPr>
          <w:rFonts w:hint="default" w:ascii="Times New Roman" w:hAnsi="Times New Roman" w:eastAsia="宋体" w:cs="Times New Roman"/>
          <w:color w:val="auto"/>
          <w:spacing w:val="-2"/>
          <w:sz w:val="24"/>
          <w:szCs w:val="24"/>
          <w:highlight w:val="none"/>
          <w:lang w:val="en-US" w:eastAsia="zh-CN"/>
        </w:rPr>
        <w:t>汽车零部件制造企业</w:t>
      </w:r>
      <w:bookmarkStart w:id="648" w:name="pindex1695"/>
      <w:bookmarkEnd w:id="648"/>
    </w:p>
    <w:bookmarkEnd w:id="646"/>
    <w:p w14:paraId="5A0E1442">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rPr>
          <w:rFonts w:hint="eastAsia" w:ascii="Times New Roman" w:hAnsi="Times New Roman" w:eastAsia="宋体" w:cs="Times New Roman"/>
          <w:color w:val="auto"/>
          <w:spacing w:val="-2"/>
          <w:sz w:val="24"/>
          <w:szCs w:val="24"/>
          <w:highlight w:val="none"/>
          <w:lang w:val="en-US" w:eastAsia="zh-CN"/>
        </w:rPr>
      </w:pPr>
      <w:bookmarkStart w:id="649" w:name="OLE_LINK744"/>
      <w:bookmarkStart w:id="650" w:name="OLE_LINK743"/>
      <w:r>
        <w:rPr>
          <w:rFonts w:hint="default" w:ascii="Times New Roman" w:hAnsi="Times New Roman" w:eastAsia="宋体" w:cs="Times New Roman"/>
          <w:color w:val="auto"/>
          <w:spacing w:val="-2"/>
          <w:sz w:val="24"/>
          <w:szCs w:val="24"/>
          <w:highlight w:val="none"/>
          <w:lang w:val="en-US" w:eastAsia="zh-CN"/>
        </w:rPr>
        <w:t>区内</w:t>
      </w:r>
      <w:bookmarkStart w:id="651" w:name="OLE_LINK132"/>
      <w:r>
        <w:rPr>
          <w:rFonts w:hint="default" w:ascii="Times New Roman" w:hAnsi="Times New Roman" w:eastAsia="宋体" w:cs="Times New Roman"/>
          <w:color w:val="auto"/>
          <w:spacing w:val="-2"/>
          <w:sz w:val="24"/>
          <w:szCs w:val="24"/>
          <w:highlight w:val="none"/>
          <w:lang w:val="en-US" w:eastAsia="zh-CN"/>
        </w:rPr>
        <w:t>汽车零部件制造企业</w:t>
      </w:r>
      <w:bookmarkEnd w:id="651"/>
      <w:r>
        <w:rPr>
          <w:rFonts w:hint="default" w:ascii="Times New Roman" w:hAnsi="Times New Roman" w:eastAsia="宋体" w:cs="Times New Roman"/>
          <w:color w:val="auto"/>
          <w:spacing w:val="-2"/>
          <w:sz w:val="24"/>
          <w:szCs w:val="24"/>
          <w:highlight w:val="none"/>
          <w:lang w:val="en-US" w:eastAsia="zh-CN"/>
        </w:rPr>
        <w:t>废气排放执行《表面涂装</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汽车零部件</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大气污染物排放标准》</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DB32</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3966-2021</w:t>
      </w:r>
      <w:r>
        <w:rPr>
          <w:rFonts w:hint="eastAsia" w:ascii="Times New Roman" w:hAnsi="Times New Roman" w:eastAsia="宋体" w:cs="Times New Roman"/>
          <w:color w:val="auto"/>
          <w:spacing w:val="-2"/>
          <w:sz w:val="24"/>
          <w:szCs w:val="24"/>
          <w:highlight w:val="none"/>
          <w:lang w:val="en-US" w:eastAsia="zh-CN"/>
        </w:rPr>
        <w:t>）</w:t>
      </w:r>
      <w:bookmarkEnd w:id="649"/>
      <w:r>
        <w:rPr>
          <w:rFonts w:hint="default" w:ascii="Times New Roman" w:hAnsi="Times New Roman" w:eastAsia="宋体" w:cs="Times New Roman"/>
          <w:color w:val="auto"/>
          <w:spacing w:val="-2"/>
          <w:sz w:val="24"/>
          <w:szCs w:val="24"/>
          <w:highlight w:val="none"/>
          <w:lang w:val="en-US" w:eastAsia="zh-CN"/>
        </w:rPr>
        <w:t>表1大气污染物排放限</w:t>
      </w:r>
      <w:bookmarkEnd w:id="650"/>
      <w:r>
        <w:rPr>
          <w:rFonts w:hint="default" w:ascii="Times New Roman" w:hAnsi="Times New Roman" w:eastAsia="宋体" w:cs="Times New Roman"/>
          <w:color w:val="auto"/>
          <w:spacing w:val="-2"/>
          <w:sz w:val="24"/>
          <w:szCs w:val="24"/>
          <w:highlight w:val="none"/>
          <w:lang w:val="en-US" w:eastAsia="zh-CN"/>
        </w:rPr>
        <w:t>值，VOCs燃烧</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焚烧、氧化</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装置排放烟气中的二氧化硫、氮氧化物和</w:t>
      </w:r>
      <w:r>
        <w:rPr>
          <w:rFonts w:hint="eastAsia" w:ascii="Times New Roman" w:hAnsi="Times New Roman" w:eastAsia="宋体" w:cs="Times New Roman"/>
          <w:color w:val="auto"/>
          <w:spacing w:val="-2"/>
          <w:sz w:val="24"/>
          <w:szCs w:val="24"/>
          <w:highlight w:val="none"/>
          <w:lang w:val="en-US" w:eastAsia="zh-CN"/>
        </w:rPr>
        <w:t>二噁英</w:t>
      </w:r>
      <w:r>
        <w:rPr>
          <w:rFonts w:hint="default" w:ascii="Times New Roman" w:hAnsi="Times New Roman" w:eastAsia="宋体" w:cs="Times New Roman"/>
          <w:color w:val="auto"/>
          <w:spacing w:val="-2"/>
          <w:sz w:val="24"/>
          <w:szCs w:val="24"/>
          <w:highlight w:val="none"/>
          <w:lang w:val="en-US" w:eastAsia="zh-CN"/>
        </w:rPr>
        <w:t>类进行控制</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达到表2规定的限值</w:t>
      </w:r>
      <w:bookmarkEnd w:id="647"/>
      <w:r>
        <w:rPr>
          <w:rFonts w:hint="eastAsia" w:ascii="Times New Roman" w:hAnsi="Times New Roman" w:eastAsia="宋体" w:cs="Times New Roman"/>
          <w:color w:val="auto"/>
          <w:spacing w:val="-2"/>
          <w:sz w:val="24"/>
          <w:szCs w:val="24"/>
          <w:highlight w:val="none"/>
          <w:lang w:val="en-US" w:eastAsia="zh-CN"/>
        </w:rPr>
        <w:t>。</w:t>
      </w:r>
    </w:p>
    <w:p w14:paraId="4ED1CD1F">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rPr>
          <w:rFonts w:hint="eastAsia" w:ascii="Times New Roman" w:hAnsi="Times New Roman" w:eastAsia="宋体" w:cs="Times New Roman"/>
          <w:color w:val="auto"/>
          <w:spacing w:val="-2"/>
          <w:sz w:val="24"/>
          <w:szCs w:val="24"/>
          <w:highlight w:val="none"/>
          <w:lang w:val="en-US" w:eastAsia="zh-CN"/>
        </w:rPr>
      </w:pPr>
    </w:p>
    <w:p w14:paraId="2F400CBB">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4"/>
          <w:szCs w:val="24"/>
          <w:highlight w:val="none"/>
          <w:lang w:val="en-US" w:eastAsia="zh-CN"/>
        </w:rPr>
      </w:pPr>
      <w:bookmarkStart w:id="652" w:name="OLE_LINK849"/>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2-12</w:t>
      </w:r>
      <w:bookmarkEnd w:id="652"/>
      <w:r>
        <w:rPr>
          <w:rFonts w:hint="eastAsia" w:ascii="Times New Roman" w:hAnsi="Times New Roman" w:eastAsia="宋体" w:cs="Times New Roman"/>
          <w:b/>
          <w:bCs/>
          <w:color w:val="auto"/>
          <w:spacing w:val="-4"/>
          <w:sz w:val="24"/>
          <w:szCs w:val="24"/>
          <w:highlight w:val="none"/>
          <w:lang w:val="en-US" w:eastAsia="zh-CN"/>
        </w:rPr>
        <w:t xml:space="preserve"> </w:t>
      </w:r>
      <w:r>
        <w:rPr>
          <w:rFonts w:hint="default" w:ascii="Times New Roman" w:hAnsi="Times New Roman" w:eastAsia="宋体" w:cs="Times New Roman"/>
          <w:b/>
          <w:bCs/>
          <w:color w:val="auto"/>
          <w:spacing w:val="-4"/>
          <w:sz w:val="24"/>
          <w:szCs w:val="24"/>
          <w:highlight w:val="none"/>
          <w:lang w:val="en-US" w:eastAsia="zh-CN"/>
        </w:rPr>
        <w:t xml:space="preserve"> </w:t>
      </w:r>
      <w:r>
        <w:rPr>
          <w:rFonts w:hint="eastAsia" w:ascii="Times New Roman" w:hAnsi="Times New Roman" w:eastAsia="宋体" w:cs="Times New Roman"/>
          <w:b/>
          <w:bCs/>
          <w:color w:val="auto"/>
          <w:spacing w:val="-4"/>
          <w:sz w:val="24"/>
          <w:szCs w:val="24"/>
          <w:highlight w:val="none"/>
          <w:lang w:val="en-US" w:eastAsia="zh-CN"/>
        </w:rPr>
        <w:t>汽车零部件企业大气污染物排放限值</w:t>
      </w:r>
      <w:bookmarkStart w:id="653" w:name="pindex1698"/>
      <w:bookmarkEnd w:id="653"/>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2"/>
        <w:gridCol w:w="1613"/>
        <w:gridCol w:w="1441"/>
        <w:gridCol w:w="1534"/>
        <w:gridCol w:w="1429"/>
        <w:gridCol w:w="1926"/>
      </w:tblGrid>
      <w:tr w14:paraId="5B12A4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633" w:type="dxa"/>
            <w:tcBorders>
              <w:tl2br w:val="nil"/>
              <w:tr2bl w:val="nil"/>
            </w:tcBorders>
            <w:vAlign w:val="center"/>
          </w:tcPr>
          <w:p w14:paraId="5F042E2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default" w:ascii="Times New Roman" w:hAnsi="Times New Roman" w:eastAsia="宋体" w:cs="Times New Roman"/>
                <w:b/>
                <w:bCs/>
                <w:color w:val="auto"/>
                <w:spacing w:val="-4"/>
                <w:sz w:val="21"/>
                <w:szCs w:val="21"/>
                <w:highlight w:val="none"/>
                <w:vertAlign w:val="baseline"/>
                <w:lang w:val="en-US" w:eastAsia="zh-CN"/>
              </w:rPr>
              <w:t>序号</w:t>
            </w:r>
          </w:p>
        </w:tc>
        <w:tc>
          <w:tcPr>
            <w:tcW w:w="1615" w:type="dxa"/>
            <w:tcBorders>
              <w:tl2br w:val="nil"/>
              <w:tr2bl w:val="nil"/>
            </w:tcBorders>
            <w:vAlign w:val="center"/>
          </w:tcPr>
          <w:p w14:paraId="1DD5ED5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项目</w:t>
            </w:r>
          </w:p>
        </w:tc>
        <w:tc>
          <w:tcPr>
            <w:tcW w:w="1442" w:type="dxa"/>
            <w:tcBorders>
              <w:tl2br w:val="nil"/>
              <w:tr2bl w:val="nil"/>
            </w:tcBorders>
            <w:vAlign w:val="center"/>
          </w:tcPr>
          <w:p w14:paraId="4D87625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浓度限值</w:t>
            </w:r>
          </w:p>
          <w:p w14:paraId="3A10206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（mg/m</w:t>
            </w:r>
            <w:r>
              <w:rPr>
                <w:rFonts w:hint="eastAsia" w:ascii="Times New Roman" w:hAnsi="Times New Roman" w:eastAsia="宋体" w:cs="Times New Roman"/>
                <w:b/>
                <w:bCs/>
                <w:color w:val="auto"/>
                <w:spacing w:val="-4"/>
                <w:sz w:val="21"/>
                <w:szCs w:val="21"/>
                <w:highlight w:val="none"/>
                <w:vertAlign w:val="superscript"/>
                <w:lang w:val="en-US" w:eastAsia="zh-CN"/>
              </w:rPr>
              <w:t>3</w:t>
            </w:r>
            <w:r>
              <w:rPr>
                <w:rFonts w:hint="eastAsia" w:ascii="Times New Roman" w:hAnsi="Times New Roman" w:eastAsia="宋体" w:cs="Times New Roman"/>
                <w:b/>
                <w:bCs/>
                <w:color w:val="auto"/>
                <w:spacing w:val="-4"/>
                <w:sz w:val="21"/>
                <w:szCs w:val="21"/>
                <w:highlight w:val="none"/>
                <w:vertAlign w:val="baseline"/>
                <w:lang w:val="en-US" w:eastAsia="zh-CN"/>
              </w:rPr>
              <w:t>）</w:t>
            </w:r>
          </w:p>
        </w:tc>
        <w:tc>
          <w:tcPr>
            <w:tcW w:w="1535" w:type="dxa"/>
            <w:tcBorders>
              <w:tl2br w:val="nil"/>
              <w:tr2bl w:val="nil"/>
            </w:tcBorders>
            <w:vAlign w:val="center"/>
          </w:tcPr>
          <w:p w14:paraId="15DEE3E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b/>
                <w:bCs/>
                <w:color w:val="auto"/>
                <w:spacing w:val="-4"/>
                <w:sz w:val="21"/>
                <w:szCs w:val="21"/>
                <w:highlight w:val="none"/>
                <w:vertAlign w:val="superscript"/>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速率限值</w:t>
            </w:r>
            <w:r>
              <w:rPr>
                <w:rFonts w:hint="eastAsia" w:ascii="Times New Roman" w:hAnsi="Times New Roman" w:eastAsia="宋体" w:cs="Times New Roman"/>
                <w:b/>
                <w:bCs/>
                <w:color w:val="auto"/>
                <w:spacing w:val="-4"/>
                <w:sz w:val="21"/>
                <w:szCs w:val="21"/>
                <w:highlight w:val="none"/>
                <w:vertAlign w:val="superscript"/>
                <w:lang w:val="en-US" w:eastAsia="zh-CN"/>
              </w:rPr>
              <w:t>a</w:t>
            </w:r>
          </w:p>
          <w:p w14:paraId="3EAF330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（kg/h）</w:t>
            </w:r>
          </w:p>
        </w:tc>
        <w:tc>
          <w:tcPr>
            <w:tcW w:w="1431" w:type="dxa"/>
            <w:tcBorders>
              <w:tl2br w:val="nil"/>
              <w:tr2bl w:val="nil"/>
            </w:tcBorders>
            <w:vAlign w:val="center"/>
          </w:tcPr>
          <w:p w14:paraId="1803FD5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污染物排放监控位置</w:t>
            </w:r>
          </w:p>
        </w:tc>
        <w:tc>
          <w:tcPr>
            <w:tcW w:w="1927" w:type="dxa"/>
            <w:tcBorders>
              <w:tl2br w:val="nil"/>
              <w:tr2bl w:val="nil"/>
            </w:tcBorders>
            <w:vAlign w:val="center"/>
          </w:tcPr>
          <w:p w14:paraId="76449E0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标准来源</w:t>
            </w:r>
          </w:p>
        </w:tc>
      </w:tr>
      <w:tr w14:paraId="7615B6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tcBorders>
              <w:tl2br w:val="nil"/>
              <w:tr2bl w:val="nil"/>
            </w:tcBorders>
            <w:vAlign w:val="center"/>
          </w:tcPr>
          <w:p w14:paraId="6DF399B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w:t>
            </w:r>
          </w:p>
        </w:tc>
        <w:tc>
          <w:tcPr>
            <w:tcW w:w="1615" w:type="dxa"/>
            <w:tcBorders>
              <w:tl2br w:val="nil"/>
              <w:tr2bl w:val="nil"/>
            </w:tcBorders>
            <w:vAlign w:val="center"/>
          </w:tcPr>
          <w:p w14:paraId="404FBED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苯</w:t>
            </w:r>
          </w:p>
        </w:tc>
        <w:tc>
          <w:tcPr>
            <w:tcW w:w="1442" w:type="dxa"/>
            <w:tcBorders>
              <w:tl2br w:val="nil"/>
              <w:tr2bl w:val="nil"/>
            </w:tcBorders>
            <w:vAlign w:val="center"/>
          </w:tcPr>
          <w:p w14:paraId="009AA75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0.5</w:t>
            </w:r>
          </w:p>
        </w:tc>
        <w:tc>
          <w:tcPr>
            <w:tcW w:w="1535" w:type="dxa"/>
            <w:tcBorders>
              <w:tl2br w:val="nil"/>
              <w:tr2bl w:val="nil"/>
            </w:tcBorders>
            <w:vAlign w:val="center"/>
          </w:tcPr>
          <w:p w14:paraId="188553F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0.2</w:t>
            </w:r>
          </w:p>
        </w:tc>
        <w:tc>
          <w:tcPr>
            <w:tcW w:w="1431" w:type="dxa"/>
            <w:vMerge w:val="restart"/>
            <w:tcBorders>
              <w:tl2br w:val="nil"/>
              <w:tr2bl w:val="nil"/>
            </w:tcBorders>
            <w:vAlign w:val="center"/>
          </w:tcPr>
          <w:p w14:paraId="6BD8959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车间或生产设施排气筒出口</w:t>
            </w:r>
          </w:p>
        </w:tc>
        <w:tc>
          <w:tcPr>
            <w:tcW w:w="1927" w:type="dxa"/>
            <w:vMerge w:val="restart"/>
            <w:tcBorders>
              <w:tl2br w:val="nil"/>
              <w:tr2bl w:val="nil"/>
            </w:tcBorders>
            <w:vAlign w:val="center"/>
          </w:tcPr>
          <w:p w14:paraId="6524FD4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《表面涂装（汽车零部件）大气污染物排放标准》（DB32/3966-2021）</w:t>
            </w:r>
          </w:p>
        </w:tc>
      </w:tr>
      <w:tr w14:paraId="64C531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tcBorders>
              <w:tl2br w:val="nil"/>
              <w:tr2bl w:val="nil"/>
            </w:tcBorders>
            <w:vAlign w:val="center"/>
          </w:tcPr>
          <w:p w14:paraId="237F3A4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w:t>
            </w:r>
          </w:p>
        </w:tc>
        <w:tc>
          <w:tcPr>
            <w:tcW w:w="1615" w:type="dxa"/>
            <w:tcBorders>
              <w:tl2br w:val="nil"/>
              <w:tr2bl w:val="nil"/>
            </w:tcBorders>
            <w:vAlign w:val="center"/>
          </w:tcPr>
          <w:p w14:paraId="16D04B4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甲苯与二甲苯</w:t>
            </w:r>
          </w:p>
        </w:tc>
        <w:tc>
          <w:tcPr>
            <w:tcW w:w="1442" w:type="dxa"/>
            <w:tcBorders>
              <w:tl2br w:val="nil"/>
              <w:tr2bl w:val="nil"/>
            </w:tcBorders>
            <w:vAlign w:val="center"/>
          </w:tcPr>
          <w:p w14:paraId="4D7B7F7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15</w:t>
            </w:r>
          </w:p>
        </w:tc>
        <w:tc>
          <w:tcPr>
            <w:tcW w:w="1535" w:type="dxa"/>
            <w:tcBorders>
              <w:tl2br w:val="nil"/>
              <w:tr2bl w:val="nil"/>
            </w:tcBorders>
            <w:vAlign w:val="center"/>
          </w:tcPr>
          <w:p w14:paraId="0A08CF5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0.8</w:t>
            </w:r>
          </w:p>
        </w:tc>
        <w:tc>
          <w:tcPr>
            <w:tcW w:w="1431" w:type="dxa"/>
            <w:vMerge w:val="continue"/>
            <w:tcBorders>
              <w:tl2br w:val="nil"/>
              <w:tr2bl w:val="nil"/>
            </w:tcBorders>
            <w:vAlign w:val="center"/>
          </w:tcPr>
          <w:p w14:paraId="29E0BEF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927" w:type="dxa"/>
            <w:vMerge w:val="continue"/>
            <w:tcBorders>
              <w:tl2br w:val="nil"/>
              <w:tr2bl w:val="nil"/>
            </w:tcBorders>
            <w:vAlign w:val="center"/>
          </w:tcPr>
          <w:p w14:paraId="6323A7A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1531F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tcBorders>
              <w:tl2br w:val="nil"/>
              <w:tr2bl w:val="nil"/>
            </w:tcBorders>
            <w:vAlign w:val="center"/>
          </w:tcPr>
          <w:p w14:paraId="6B612A6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w:t>
            </w:r>
          </w:p>
        </w:tc>
        <w:tc>
          <w:tcPr>
            <w:tcW w:w="1615" w:type="dxa"/>
            <w:tcBorders>
              <w:tl2br w:val="nil"/>
              <w:tr2bl w:val="nil"/>
            </w:tcBorders>
            <w:vAlign w:val="center"/>
          </w:tcPr>
          <w:p w14:paraId="7A53BD8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苯系物</w:t>
            </w:r>
          </w:p>
        </w:tc>
        <w:tc>
          <w:tcPr>
            <w:tcW w:w="1442" w:type="dxa"/>
            <w:tcBorders>
              <w:tl2br w:val="nil"/>
              <w:tr2bl w:val="nil"/>
            </w:tcBorders>
            <w:vAlign w:val="center"/>
          </w:tcPr>
          <w:p w14:paraId="2FDC859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w:t>
            </w:r>
          </w:p>
        </w:tc>
        <w:tc>
          <w:tcPr>
            <w:tcW w:w="1535" w:type="dxa"/>
            <w:tcBorders>
              <w:tl2br w:val="nil"/>
              <w:tr2bl w:val="nil"/>
            </w:tcBorders>
            <w:vAlign w:val="center"/>
          </w:tcPr>
          <w:p w14:paraId="4C95233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w:t>
            </w:r>
          </w:p>
        </w:tc>
        <w:tc>
          <w:tcPr>
            <w:tcW w:w="1431" w:type="dxa"/>
            <w:vMerge w:val="continue"/>
            <w:tcBorders>
              <w:tl2br w:val="nil"/>
              <w:tr2bl w:val="nil"/>
            </w:tcBorders>
            <w:vAlign w:val="center"/>
          </w:tcPr>
          <w:p w14:paraId="5D2D862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927" w:type="dxa"/>
            <w:vMerge w:val="continue"/>
            <w:tcBorders>
              <w:tl2br w:val="nil"/>
              <w:tr2bl w:val="nil"/>
            </w:tcBorders>
            <w:vAlign w:val="center"/>
          </w:tcPr>
          <w:p w14:paraId="4127207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01333B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tcBorders>
              <w:tl2br w:val="nil"/>
              <w:tr2bl w:val="nil"/>
            </w:tcBorders>
            <w:vAlign w:val="center"/>
          </w:tcPr>
          <w:p w14:paraId="35E48F5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w:t>
            </w:r>
          </w:p>
        </w:tc>
        <w:tc>
          <w:tcPr>
            <w:tcW w:w="1615" w:type="dxa"/>
            <w:tcBorders>
              <w:tl2br w:val="nil"/>
              <w:tr2bl w:val="nil"/>
            </w:tcBorders>
            <w:vAlign w:val="center"/>
          </w:tcPr>
          <w:p w14:paraId="1EC10D9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非甲烷总烃</w:t>
            </w:r>
          </w:p>
        </w:tc>
        <w:tc>
          <w:tcPr>
            <w:tcW w:w="1442" w:type="dxa"/>
            <w:tcBorders>
              <w:tl2br w:val="nil"/>
              <w:tr2bl w:val="nil"/>
            </w:tcBorders>
            <w:vAlign w:val="center"/>
          </w:tcPr>
          <w:p w14:paraId="5EA2419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40</w:t>
            </w:r>
          </w:p>
        </w:tc>
        <w:tc>
          <w:tcPr>
            <w:tcW w:w="1535" w:type="dxa"/>
            <w:tcBorders>
              <w:tl2br w:val="nil"/>
              <w:tr2bl w:val="nil"/>
            </w:tcBorders>
            <w:vAlign w:val="center"/>
          </w:tcPr>
          <w:p w14:paraId="7941A45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1.8</w:t>
            </w:r>
          </w:p>
        </w:tc>
        <w:tc>
          <w:tcPr>
            <w:tcW w:w="1431" w:type="dxa"/>
            <w:vMerge w:val="continue"/>
            <w:tcBorders>
              <w:tl2br w:val="nil"/>
              <w:tr2bl w:val="nil"/>
            </w:tcBorders>
            <w:vAlign w:val="center"/>
          </w:tcPr>
          <w:p w14:paraId="5E75B0D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927" w:type="dxa"/>
            <w:vMerge w:val="continue"/>
            <w:tcBorders>
              <w:tl2br w:val="nil"/>
              <w:tr2bl w:val="nil"/>
            </w:tcBorders>
            <w:vAlign w:val="center"/>
          </w:tcPr>
          <w:p w14:paraId="7FB8F85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3D1655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tcBorders>
              <w:tl2br w:val="nil"/>
              <w:tr2bl w:val="nil"/>
            </w:tcBorders>
            <w:vAlign w:val="center"/>
          </w:tcPr>
          <w:p w14:paraId="6E8C484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w:t>
            </w:r>
          </w:p>
        </w:tc>
        <w:tc>
          <w:tcPr>
            <w:tcW w:w="1615" w:type="dxa"/>
            <w:tcBorders>
              <w:tl2br w:val="nil"/>
              <w:tr2bl w:val="nil"/>
            </w:tcBorders>
            <w:vAlign w:val="center"/>
          </w:tcPr>
          <w:p w14:paraId="331CDB4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TVOC</w:t>
            </w:r>
            <w:r>
              <w:rPr>
                <w:rFonts w:hint="eastAsia" w:ascii="Times New Roman" w:hAnsi="Times New Roman" w:eastAsia="宋体" w:cs="Times New Roman"/>
                <w:b w:val="0"/>
                <w:bCs w:val="0"/>
                <w:color w:val="auto"/>
                <w:spacing w:val="-4"/>
                <w:sz w:val="21"/>
                <w:szCs w:val="21"/>
                <w:highlight w:val="none"/>
                <w:vertAlign w:val="superscript"/>
                <w:lang w:val="en-US" w:eastAsia="zh-CN"/>
              </w:rPr>
              <w:t>b</w:t>
            </w:r>
          </w:p>
        </w:tc>
        <w:tc>
          <w:tcPr>
            <w:tcW w:w="1442" w:type="dxa"/>
            <w:tcBorders>
              <w:tl2br w:val="nil"/>
              <w:tr2bl w:val="nil"/>
            </w:tcBorders>
            <w:vAlign w:val="center"/>
          </w:tcPr>
          <w:p w14:paraId="3780CE9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60</w:t>
            </w:r>
          </w:p>
        </w:tc>
        <w:tc>
          <w:tcPr>
            <w:tcW w:w="1535" w:type="dxa"/>
            <w:tcBorders>
              <w:tl2br w:val="nil"/>
              <w:tr2bl w:val="nil"/>
            </w:tcBorders>
            <w:vAlign w:val="center"/>
          </w:tcPr>
          <w:p w14:paraId="51E35E2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w:t>
            </w:r>
          </w:p>
        </w:tc>
        <w:tc>
          <w:tcPr>
            <w:tcW w:w="1431" w:type="dxa"/>
            <w:vMerge w:val="continue"/>
            <w:tcBorders>
              <w:tl2br w:val="nil"/>
              <w:tr2bl w:val="nil"/>
            </w:tcBorders>
            <w:vAlign w:val="center"/>
          </w:tcPr>
          <w:p w14:paraId="59BF90D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927" w:type="dxa"/>
            <w:vMerge w:val="continue"/>
            <w:tcBorders>
              <w:tl2br w:val="nil"/>
              <w:tr2bl w:val="nil"/>
            </w:tcBorders>
            <w:vAlign w:val="center"/>
          </w:tcPr>
          <w:p w14:paraId="0373803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7636F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tcBorders>
              <w:tl2br w:val="nil"/>
              <w:tr2bl w:val="nil"/>
            </w:tcBorders>
            <w:vAlign w:val="center"/>
          </w:tcPr>
          <w:p w14:paraId="106132B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6</w:t>
            </w:r>
          </w:p>
        </w:tc>
        <w:tc>
          <w:tcPr>
            <w:tcW w:w="1615" w:type="dxa"/>
            <w:tcBorders>
              <w:tl2br w:val="nil"/>
              <w:tr2bl w:val="nil"/>
            </w:tcBorders>
            <w:vAlign w:val="center"/>
          </w:tcPr>
          <w:p w14:paraId="10FB446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颗粒物</w:t>
            </w:r>
          </w:p>
        </w:tc>
        <w:tc>
          <w:tcPr>
            <w:tcW w:w="1442" w:type="dxa"/>
            <w:tcBorders>
              <w:tl2br w:val="nil"/>
              <w:tr2bl w:val="nil"/>
            </w:tcBorders>
            <w:vAlign w:val="center"/>
          </w:tcPr>
          <w:p w14:paraId="4BC5F8E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w:t>
            </w:r>
          </w:p>
        </w:tc>
        <w:tc>
          <w:tcPr>
            <w:tcW w:w="1535" w:type="dxa"/>
            <w:tcBorders>
              <w:tl2br w:val="nil"/>
              <w:tr2bl w:val="nil"/>
            </w:tcBorders>
            <w:vAlign w:val="center"/>
          </w:tcPr>
          <w:p w14:paraId="20B26DA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0.6</w:t>
            </w:r>
          </w:p>
        </w:tc>
        <w:tc>
          <w:tcPr>
            <w:tcW w:w="1431" w:type="dxa"/>
            <w:vMerge w:val="continue"/>
            <w:tcBorders>
              <w:tl2br w:val="nil"/>
              <w:tr2bl w:val="nil"/>
            </w:tcBorders>
            <w:vAlign w:val="center"/>
          </w:tcPr>
          <w:p w14:paraId="2E9C994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927" w:type="dxa"/>
            <w:vMerge w:val="continue"/>
            <w:tcBorders>
              <w:tl2br w:val="nil"/>
              <w:tr2bl w:val="nil"/>
            </w:tcBorders>
            <w:vAlign w:val="center"/>
          </w:tcPr>
          <w:p w14:paraId="2525B25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200D90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83" w:type="dxa"/>
            <w:gridSpan w:val="6"/>
            <w:tcBorders>
              <w:tl2br w:val="nil"/>
              <w:tr2bl w:val="nil"/>
            </w:tcBorders>
            <w:vAlign w:val="center"/>
          </w:tcPr>
          <w:p w14:paraId="36943A2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both"/>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bookmarkStart w:id="654" w:name="sys1743032"/>
            <w:r>
              <w:rPr>
                <w:rFonts w:hint="eastAsia" w:ascii="Times New Roman" w:hAnsi="Times New Roman" w:eastAsia="宋体" w:cs="Times New Roman"/>
                <w:b w:val="0"/>
                <w:bCs w:val="0"/>
                <w:color w:val="auto"/>
                <w:spacing w:val="-4"/>
                <w:sz w:val="21"/>
                <w:szCs w:val="21"/>
                <w:highlight w:val="none"/>
                <w:vertAlign w:val="baseline"/>
                <w:lang w:val="en-US" w:eastAsia="zh-CN"/>
              </w:rPr>
              <w:t>a 污染治理设施去除效率≥90%时，等同于符合排放速率限值要求。</w:t>
            </w:r>
            <w:bookmarkEnd w:id="654"/>
          </w:p>
          <w:p w14:paraId="02AD837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both"/>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b 根据企业使用的原料、生产工艺过程，参考附录A和有关环境管理要求等，筛选确定计入TVOC的物质</w:t>
            </w:r>
          </w:p>
        </w:tc>
      </w:tr>
    </w:tbl>
    <w:p w14:paraId="5B3EDDE2">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b/>
          <w:bCs/>
          <w:color w:val="auto"/>
          <w:spacing w:val="-4"/>
          <w:sz w:val="24"/>
          <w:szCs w:val="24"/>
          <w:highlight w:val="none"/>
          <w:lang w:val="en-US" w:eastAsia="zh-CN"/>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2-13 </w:t>
      </w:r>
      <w:r>
        <w:rPr>
          <w:rFonts w:hint="default" w:ascii="Times New Roman" w:hAnsi="Times New Roman" w:eastAsia="宋体" w:cs="Times New Roman"/>
          <w:b/>
          <w:bCs/>
          <w:color w:val="auto"/>
          <w:spacing w:val="-4"/>
          <w:sz w:val="24"/>
          <w:szCs w:val="24"/>
          <w:highlight w:val="none"/>
          <w:lang w:val="en-US" w:eastAsia="zh-CN"/>
        </w:rPr>
        <w:t xml:space="preserve"> </w:t>
      </w:r>
      <w:r>
        <w:rPr>
          <w:rFonts w:hint="eastAsia" w:ascii="Times New Roman" w:hAnsi="Times New Roman" w:eastAsia="宋体" w:cs="Times New Roman"/>
          <w:b/>
          <w:bCs/>
          <w:color w:val="auto"/>
          <w:spacing w:val="-4"/>
          <w:sz w:val="24"/>
          <w:szCs w:val="24"/>
          <w:highlight w:val="none"/>
          <w:lang w:val="en-US" w:eastAsia="zh-CN"/>
        </w:rPr>
        <w:t>汽车零部件企业大气污染物排放限值  （单位：mg/m</w:t>
      </w:r>
      <w:r>
        <w:rPr>
          <w:rFonts w:hint="eastAsia" w:ascii="Times New Roman" w:hAnsi="Times New Roman" w:eastAsia="宋体" w:cs="Times New Roman"/>
          <w:b/>
          <w:bCs/>
          <w:color w:val="auto"/>
          <w:spacing w:val="-4"/>
          <w:sz w:val="24"/>
          <w:szCs w:val="24"/>
          <w:highlight w:val="none"/>
          <w:vertAlign w:val="superscript"/>
          <w:lang w:val="en-US" w:eastAsia="zh-CN"/>
        </w:rPr>
        <w:t>3</w:t>
      </w:r>
      <w:r>
        <w:rPr>
          <w:rFonts w:hint="eastAsia" w:ascii="Times New Roman" w:hAnsi="Times New Roman" w:eastAsia="宋体" w:cs="Times New Roman"/>
          <w:b/>
          <w:bCs/>
          <w:color w:val="auto"/>
          <w:spacing w:val="-4"/>
          <w:sz w:val="24"/>
          <w:szCs w:val="24"/>
          <w:highlight w:val="none"/>
          <w:vertAlign w:val="baseline"/>
          <w:lang w:val="en-US" w:eastAsia="zh-CN"/>
        </w:rPr>
        <w:t>）</w:t>
      </w:r>
      <w:bookmarkStart w:id="655" w:name="pindex1745"/>
      <w:bookmarkEnd w:id="655"/>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1838"/>
        <w:gridCol w:w="1614"/>
        <w:gridCol w:w="2201"/>
        <w:gridCol w:w="2065"/>
      </w:tblGrid>
      <w:tr w14:paraId="6C879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8" w:type="dxa"/>
            <w:tcBorders>
              <w:tl2br w:val="nil"/>
              <w:tr2bl w:val="nil"/>
            </w:tcBorders>
            <w:vAlign w:val="center"/>
          </w:tcPr>
          <w:p w14:paraId="38AB2E7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序号</w:t>
            </w:r>
          </w:p>
        </w:tc>
        <w:tc>
          <w:tcPr>
            <w:tcW w:w="1840" w:type="dxa"/>
            <w:tcBorders>
              <w:tl2br w:val="nil"/>
              <w:tr2bl w:val="nil"/>
            </w:tcBorders>
            <w:vAlign w:val="center"/>
          </w:tcPr>
          <w:p w14:paraId="2A182F7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污染物项目</w:t>
            </w:r>
          </w:p>
        </w:tc>
        <w:tc>
          <w:tcPr>
            <w:tcW w:w="1615" w:type="dxa"/>
            <w:tcBorders>
              <w:tl2br w:val="nil"/>
              <w:tr2bl w:val="nil"/>
            </w:tcBorders>
            <w:vAlign w:val="center"/>
          </w:tcPr>
          <w:p w14:paraId="391AC27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排放限值</w:t>
            </w:r>
          </w:p>
        </w:tc>
        <w:tc>
          <w:tcPr>
            <w:tcW w:w="2204" w:type="dxa"/>
            <w:tcBorders>
              <w:tl2br w:val="nil"/>
              <w:tr2bl w:val="nil"/>
            </w:tcBorders>
            <w:vAlign w:val="center"/>
          </w:tcPr>
          <w:p w14:paraId="0301E6E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污染物排放监控位置</w:t>
            </w:r>
          </w:p>
        </w:tc>
        <w:tc>
          <w:tcPr>
            <w:tcW w:w="2066" w:type="dxa"/>
            <w:tcBorders>
              <w:tl2br w:val="nil"/>
              <w:tr2bl w:val="nil"/>
            </w:tcBorders>
            <w:vAlign w:val="center"/>
          </w:tcPr>
          <w:p w14:paraId="470951A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标准来源</w:t>
            </w:r>
          </w:p>
        </w:tc>
      </w:tr>
      <w:tr w14:paraId="3BA2ED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8" w:type="dxa"/>
            <w:tcBorders>
              <w:tl2br w:val="nil"/>
              <w:tr2bl w:val="nil"/>
            </w:tcBorders>
            <w:vAlign w:val="center"/>
          </w:tcPr>
          <w:p w14:paraId="3076824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w:t>
            </w:r>
          </w:p>
        </w:tc>
        <w:tc>
          <w:tcPr>
            <w:tcW w:w="1840" w:type="dxa"/>
            <w:tcBorders>
              <w:tl2br w:val="nil"/>
              <w:tr2bl w:val="nil"/>
            </w:tcBorders>
            <w:vAlign w:val="center"/>
          </w:tcPr>
          <w:p w14:paraId="408A44B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SO</w:t>
            </w:r>
            <w:r>
              <w:rPr>
                <w:rFonts w:hint="eastAsia" w:ascii="Times New Roman" w:hAnsi="Times New Roman" w:eastAsia="宋体" w:cs="Times New Roman"/>
                <w:b w:val="0"/>
                <w:bCs w:val="0"/>
                <w:color w:val="auto"/>
                <w:spacing w:val="-4"/>
                <w:sz w:val="21"/>
                <w:szCs w:val="21"/>
                <w:highlight w:val="none"/>
                <w:vertAlign w:val="subscript"/>
                <w:lang w:val="en-US" w:eastAsia="zh-CN"/>
              </w:rPr>
              <w:t>2</w:t>
            </w:r>
          </w:p>
        </w:tc>
        <w:tc>
          <w:tcPr>
            <w:tcW w:w="1615" w:type="dxa"/>
            <w:tcBorders>
              <w:tl2br w:val="nil"/>
              <w:tr2bl w:val="nil"/>
            </w:tcBorders>
            <w:vAlign w:val="center"/>
          </w:tcPr>
          <w:p w14:paraId="7E6F1ED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200</w:t>
            </w:r>
          </w:p>
        </w:tc>
        <w:tc>
          <w:tcPr>
            <w:tcW w:w="2204" w:type="dxa"/>
            <w:vMerge w:val="restart"/>
            <w:tcBorders>
              <w:tl2br w:val="nil"/>
              <w:tr2bl w:val="nil"/>
            </w:tcBorders>
            <w:vAlign w:val="center"/>
          </w:tcPr>
          <w:p w14:paraId="3EF0385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燃烧（焚烧、氧化）装置排气筒</w:t>
            </w:r>
          </w:p>
        </w:tc>
        <w:tc>
          <w:tcPr>
            <w:tcW w:w="2066" w:type="dxa"/>
            <w:vMerge w:val="restart"/>
            <w:tcBorders>
              <w:tl2br w:val="nil"/>
              <w:tr2bl w:val="nil"/>
            </w:tcBorders>
            <w:vAlign w:val="center"/>
          </w:tcPr>
          <w:p w14:paraId="037B485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《表面涂装（汽车零部件）大气污染物排放标准》（DB32/3966-2021）</w:t>
            </w:r>
          </w:p>
        </w:tc>
      </w:tr>
      <w:tr w14:paraId="072A8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8" w:type="dxa"/>
            <w:tcBorders>
              <w:tl2br w:val="nil"/>
              <w:tr2bl w:val="nil"/>
            </w:tcBorders>
            <w:vAlign w:val="center"/>
          </w:tcPr>
          <w:p w14:paraId="3E09119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w:t>
            </w:r>
          </w:p>
        </w:tc>
        <w:tc>
          <w:tcPr>
            <w:tcW w:w="1840" w:type="dxa"/>
            <w:tcBorders>
              <w:tl2br w:val="nil"/>
              <w:tr2bl w:val="nil"/>
            </w:tcBorders>
            <w:vAlign w:val="center"/>
          </w:tcPr>
          <w:p w14:paraId="05D0D7D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NOx</w:t>
            </w:r>
          </w:p>
        </w:tc>
        <w:tc>
          <w:tcPr>
            <w:tcW w:w="1615" w:type="dxa"/>
            <w:tcBorders>
              <w:tl2br w:val="nil"/>
              <w:tr2bl w:val="nil"/>
            </w:tcBorders>
            <w:vAlign w:val="center"/>
          </w:tcPr>
          <w:p w14:paraId="1372823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200</w:t>
            </w:r>
          </w:p>
        </w:tc>
        <w:tc>
          <w:tcPr>
            <w:tcW w:w="2204" w:type="dxa"/>
            <w:vMerge w:val="continue"/>
            <w:tcBorders>
              <w:tl2br w:val="nil"/>
              <w:tr2bl w:val="nil"/>
            </w:tcBorders>
            <w:vAlign w:val="center"/>
          </w:tcPr>
          <w:p w14:paraId="5535218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2066" w:type="dxa"/>
            <w:vMerge w:val="continue"/>
            <w:tcBorders>
              <w:tl2br w:val="nil"/>
              <w:tr2bl w:val="nil"/>
            </w:tcBorders>
            <w:vAlign w:val="center"/>
          </w:tcPr>
          <w:p w14:paraId="7F8B2E3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2ADF5A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8" w:type="dxa"/>
            <w:tcBorders>
              <w:tl2br w:val="nil"/>
              <w:tr2bl w:val="nil"/>
            </w:tcBorders>
            <w:vAlign w:val="center"/>
          </w:tcPr>
          <w:p w14:paraId="63B6725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w:t>
            </w:r>
          </w:p>
        </w:tc>
        <w:tc>
          <w:tcPr>
            <w:tcW w:w="1840" w:type="dxa"/>
            <w:tcBorders>
              <w:tl2br w:val="nil"/>
              <w:tr2bl w:val="nil"/>
            </w:tcBorders>
            <w:vAlign w:val="center"/>
          </w:tcPr>
          <w:p w14:paraId="36A27C7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二噁英类</w:t>
            </w:r>
            <w:r>
              <w:rPr>
                <w:rFonts w:hint="eastAsia" w:ascii="Times New Roman" w:hAnsi="Times New Roman" w:eastAsia="宋体" w:cs="Times New Roman"/>
                <w:b w:val="0"/>
                <w:bCs w:val="0"/>
                <w:color w:val="auto"/>
                <w:spacing w:val="-4"/>
                <w:sz w:val="21"/>
                <w:szCs w:val="21"/>
                <w:highlight w:val="none"/>
                <w:vertAlign w:val="superscript"/>
                <w:lang w:val="en-US" w:eastAsia="zh-CN"/>
              </w:rPr>
              <w:t>a</w:t>
            </w:r>
          </w:p>
        </w:tc>
        <w:tc>
          <w:tcPr>
            <w:tcW w:w="1615" w:type="dxa"/>
            <w:tcBorders>
              <w:tl2br w:val="nil"/>
              <w:tr2bl w:val="nil"/>
            </w:tcBorders>
            <w:vAlign w:val="center"/>
          </w:tcPr>
          <w:p w14:paraId="7B630FB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0.1ng-TEQ/m</w:t>
            </w:r>
            <w:r>
              <w:rPr>
                <w:rFonts w:hint="eastAsia" w:ascii="Times New Roman" w:hAnsi="Times New Roman" w:eastAsia="宋体" w:cs="Times New Roman"/>
                <w:b w:val="0"/>
                <w:bCs w:val="0"/>
                <w:color w:val="auto"/>
                <w:spacing w:val="-4"/>
                <w:sz w:val="21"/>
                <w:szCs w:val="21"/>
                <w:highlight w:val="none"/>
                <w:vertAlign w:val="superscript"/>
                <w:lang w:val="en-US" w:eastAsia="zh-CN"/>
              </w:rPr>
              <w:t>3</w:t>
            </w:r>
          </w:p>
        </w:tc>
        <w:tc>
          <w:tcPr>
            <w:tcW w:w="2204" w:type="dxa"/>
            <w:vMerge w:val="continue"/>
            <w:tcBorders>
              <w:tl2br w:val="nil"/>
              <w:tr2bl w:val="nil"/>
            </w:tcBorders>
            <w:vAlign w:val="center"/>
          </w:tcPr>
          <w:p w14:paraId="369E246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2066" w:type="dxa"/>
            <w:vMerge w:val="continue"/>
            <w:tcBorders>
              <w:tl2br w:val="nil"/>
              <w:tr2bl w:val="nil"/>
            </w:tcBorders>
            <w:vAlign w:val="center"/>
          </w:tcPr>
          <w:p w14:paraId="0158754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338E57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83" w:type="dxa"/>
            <w:gridSpan w:val="5"/>
            <w:tcBorders>
              <w:tl2br w:val="nil"/>
              <w:tr2bl w:val="nil"/>
            </w:tcBorders>
            <w:vAlign w:val="center"/>
          </w:tcPr>
          <w:p w14:paraId="6DDA6F3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both"/>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superscript"/>
                <w:lang w:val="en-US" w:eastAsia="zh-CN"/>
              </w:rPr>
              <w:t>a</w:t>
            </w:r>
            <w:r>
              <w:rPr>
                <w:rFonts w:hint="eastAsia" w:ascii="Times New Roman" w:hAnsi="Times New Roman" w:eastAsia="宋体" w:cs="Times New Roman"/>
                <w:b w:val="0"/>
                <w:bCs w:val="0"/>
                <w:color w:val="auto"/>
                <w:spacing w:val="-4"/>
                <w:sz w:val="21"/>
                <w:szCs w:val="21"/>
                <w:highlight w:val="none"/>
                <w:vertAlign w:val="baseline"/>
                <w:lang w:val="en-US" w:eastAsia="zh-CN"/>
              </w:rPr>
              <w:t xml:space="preserve">  燃烧含氯有机废气时，需监测该指标</w:t>
            </w:r>
          </w:p>
        </w:tc>
      </w:tr>
    </w:tbl>
    <w:p w14:paraId="7B3F3B7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4"/>
          <w:szCs w:val="24"/>
          <w:highlight w:val="none"/>
        </w:rPr>
      </w:pPr>
      <w:bookmarkStart w:id="656" w:name="OLE_LINK135"/>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2-14 </w:t>
      </w:r>
      <w:r>
        <w:rPr>
          <w:rFonts w:hint="default" w:ascii="Times New Roman" w:hAnsi="Times New Roman" w:eastAsia="宋体" w:cs="Times New Roman"/>
          <w:b/>
          <w:bCs/>
          <w:color w:val="auto"/>
          <w:sz w:val="24"/>
          <w:szCs w:val="24"/>
          <w:highlight w:val="none"/>
        </w:rPr>
        <w:t xml:space="preserve"> 厂区内大气污染物无组织排放限值</w:t>
      </w:r>
      <w:bookmarkStart w:id="657" w:name="pindex1767"/>
      <w:bookmarkEnd w:id="657"/>
    </w:p>
    <w:tbl>
      <w:tblPr>
        <w:tblStyle w:val="19"/>
        <w:tblW w:w="519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215"/>
        <w:gridCol w:w="1028"/>
        <w:gridCol w:w="2341"/>
        <w:gridCol w:w="1641"/>
        <w:gridCol w:w="2452"/>
      </w:tblGrid>
      <w:tr w14:paraId="6161F4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52" w:hRule="atLeast"/>
          <w:jc w:val="center"/>
        </w:trPr>
        <w:tc>
          <w:tcPr>
            <w:tcW w:w="700" w:type="pct"/>
            <w:noWrap w:val="0"/>
            <w:vAlign w:val="center"/>
          </w:tcPr>
          <w:p w14:paraId="3479E0C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bookmarkStart w:id="658" w:name="OLE_LINK141" w:colFirst="0" w:colLast="4"/>
            <w:bookmarkStart w:id="659" w:name="OLE_LINK139"/>
            <w:r>
              <w:rPr>
                <w:rFonts w:hint="default" w:ascii="Times New Roman" w:hAnsi="Times New Roman" w:eastAsia="宋体" w:cs="Times New Roman"/>
                <w:b/>
                <w:bCs/>
                <w:color w:val="auto"/>
                <w:sz w:val="21"/>
                <w:szCs w:val="21"/>
                <w:highlight w:val="none"/>
              </w:rPr>
              <w:t>污染物项目</w:t>
            </w:r>
          </w:p>
        </w:tc>
        <w:tc>
          <w:tcPr>
            <w:tcW w:w="592" w:type="pct"/>
            <w:noWrap w:val="0"/>
            <w:vAlign w:val="center"/>
          </w:tcPr>
          <w:p w14:paraId="251576E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浓度</w:t>
            </w:r>
          </w:p>
          <w:p w14:paraId="32847C2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（mg/m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1348" w:type="pct"/>
            <w:noWrap w:val="0"/>
            <w:vAlign w:val="center"/>
          </w:tcPr>
          <w:p w14:paraId="73C3646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限值含义</w:t>
            </w:r>
          </w:p>
        </w:tc>
        <w:tc>
          <w:tcPr>
            <w:tcW w:w="945" w:type="pct"/>
            <w:noWrap w:val="0"/>
            <w:vAlign w:val="center"/>
          </w:tcPr>
          <w:p w14:paraId="1791927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无组织排放监控位置</w:t>
            </w:r>
          </w:p>
        </w:tc>
        <w:tc>
          <w:tcPr>
            <w:tcW w:w="1412" w:type="pct"/>
            <w:noWrap w:val="0"/>
            <w:vAlign w:val="center"/>
          </w:tcPr>
          <w:p w14:paraId="012F737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标准来源</w:t>
            </w:r>
          </w:p>
        </w:tc>
      </w:tr>
      <w:bookmarkEnd w:id="658"/>
      <w:tr w14:paraId="68E183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57" w:hRule="atLeast"/>
          <w:jc w:val="center"/>
        </w:trPr>
        <w:tc>
          <w:tcPr>
            <w:tcW w:w="700" w:type="pct"/>
            <w:vMerge w:val="restart"/>
            <w:noWrap w:val="0"/>
            <w:vAlign w:val="center"/>
          </w:tcPr>
          <w:p w14:paraId="2E40266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非甲烷总烃</w:t>
            </w:r>
          </w:p>
        </w:tc>
        <w:tc>
          <w:tcPr>
            <w:tcW w:w="592" w:type="pct"/>
            <w:noWrap w:val="0"/>
            <w:vAlign w:val="center"/>
          </w:tcPr>
          <w:p w14:paraId="363A162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348" w:type="pct"/>
            <w:noWrap w:val="0"/>
            <w:vAlign w:val="center"/>
          </w:tcPr>
          <w:p w14:paraId="57615F7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监控点处1h平均浓度值</w:t>
            </w:r>
          </w:p>
        </w:tc>
        <w:tc>
          <w:tcPr>
            <w:tcW w:w="945" w:type="pct"/>
            <w:vMerge w:val="restart"/>
            <w:noWrap w:val="0"/>
            <w:vAlign w:val="center"/>
          </w:tcPr>
          <w:p w14:paraId="17C2D98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在厂房外设置监控点</w:t>
            </w:r>
          </w:p>
        </w:tc>
        <w:tc>
          <w:tcPr>
            <w:tcW w:w="1412" w:type="pct"/>
            <w:vMerge w:val="restart"/>
            <w:noWrap w:val="0"/>
            <w:vAlign w:val="center"/>
          </w:tcPr>
          <w:p w14:paraId="06A8B39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《表面涂装（汽车零部件）大气污染物排放标准》（DB32/3966-2021）</w:t>
            </w:r>
          </w:p>
        </w:tc>
      </w:tr>
      <w:tr w14:paraId="648EB0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86" w:hRule="atLeast"/>
          <w:jc w:val="center"/>
        </w:trPr>
        <w:tc>
          <w:tcPr>
            <w:tcW w:w="700" w:type="pct"/>
            <w:vMerge w:val="continue"/>
            <w:noWrap w:val="0"/>
            <w:vAlign w:val="center"/>
          </w:tcPr>
          <w:p w14:paraId="20486AD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p>
        </w:tc>
        <w:tc>
          <w:tcPr>
            <w:tcW w:w="592" w:type="pct"/>
            <w:noWrap w:val="0"/>
            <w:vAlign w:val="center"/>
          </w:tcPr>
          <w:p w14:paraId="0C71E35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348" w:type="pct"/>
            <w:noWrap w:val="0"/>
            <w:vAlign w:val="center"/>
          </w:tcPr>
          <w:p w14:paraId="75C579A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监控点处任意一次浓度值</w:t>
            </w:r>
          </w:p>
        </w:tc>
        <w:tc>
          <w:tcPr>
            <w:tcW w:w="945" w:type="pct"/>
            <w:vMerge w:val="continue"/>
            <w:noWrap w:val="0"/>
            <w:vAlign w:val="center"/>
          </w:tcPr>
          <w:p w14:paraId="7864BB1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p>
        </w:tc>
        <w:tc>
          <w:tcPr>
            <w:tcW w:w="1412" w:type="pct"/>
            <w:vMerge w:val="continue"/>
            <w:noWrap w:val="0"/>
            <w:vAlign w:val="center"/>
          </w:tcPr>
          <w:p w14:paraId="02B3EE2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p>
        </w:tc>
      </w:tr>
      <w:bookmarkEnd w:id="656"/>
      <w:bookmarkEnd w:id="659"/>
    </w:tbl>
    <w:p w14:paraId="0771799A">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outlineLvl w:val="9"/>
        <w:rPr>
          <w:rFonts w:hint="eastAsia" w:ascii="Times New Roman" w:hAnsi="Times New Roman" w:eastAsia="宋体" w:cs="Times New Roman"/>
          <w:color w:val="auto"/>
          <w:spacing w:val="-2"/>
          <w:sz w:val="24"/>
          <w:szCs w:val="24"/>
          <w:highlight w:val="none"/>
          <w:lang w:val="en-US" w:eastAsia="zh-CN"/>
        </w:rPr>
      </w:pPr>
      <w:bookmarkStart w:id="660" w:name="OLE_LINK185"/>
      <w:r>
        <w:rPr>
          <w:rFonts w:hint="eastAsia" w:ascii="Times New Roman" w:hAnsi="Times New Roman" w:eastAsia="宋体" w:cs="Times New Roman"/>
          <w:color w:val="auto"/>
          <w:spacing w:val="-2"/>
          <w:sz w:val="24"/>
          <w:szCs w:val="24"/>
          <w:highlight w:val="none"/>
          <w:lang w:val="en-US" w:eastAsia="zh-CN"/>
        </w:rPr>
        <w:t>（2）</w:t>
      </w:r>
      <w:bookmarkStart w:id="661" w:name="OLE_LINK299"/>
      <w:r>
        <w:rPr>
          <w:rFonts w:hint="eastAsia"/>
          <w:color w:val="auto"/>
          <w:sz w:val="24"/>
          <w:szCs w:val="24"/>
          <w:highlight w:val="none"/>
        </w:rPr>
        <w:t>医药制造业</w:t>
      </w:r>
      <w:bookmarkEnd w:id="661"/>
      <w:bookmarkStart w:id="662" w:name="pindex1784"/>
      <w:bookmarkEnd w:id="662"/>
    </w:p>
    <w:bookmarkEnd w:id="660"/>
    <w:p w14:paraId="33E4ED74">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rPr>
          <w:rFonts w:hint="eastAsia" w:ascii="Times New Roman" w:hAnsi="Times New Roman" w:eastAsia="宋体" w:cs="Times New Roman"/>
          <w:color w:val="auto"/>
          <w:spacing w:val="-2"/>
          <w:sz w:val="24"/>
          <w:szCs w:val="24"/>
          <w:highlight w:val="none"/>
          <w:lang w:val="en-US" w:eastAsia="zh-CN"/>
        </w:rPr>
      </w:pPr>
      <w:bookmarkStart w:id="663" w:name="OLE_LINK745"/>
      <w:bookmarkStart w:id="664" w:name="OLE_LINK746"/>
      <w:r>
        <w:rPr>
          <w:rFonts w:hint="default" w:ascii="Times New Roman" w:hAnsi="Times New Roman" w:eastAsia="宋体" w:cs="Times New Roman"/>
          <w:color w:val="auto"/>
          <w:spacing w:val="-2"/>
          <w:sz w:val="24"/>
          <w:szCs w:val="24"/>
          <w:highlight w:val="none"/>
          <w:lang w:val="en-US" w:eastAsia="zh-CN"/>
        </w:rPr>
        <w:t>区内制药企业废气排放执行《制药工业大气污染物排放标准》</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DB32</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4042-2021</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中表1和表2中规定的排放限值</w:t>
      </w:r>
      <w:r>
        <w:rPr>
          <w:rFonts w:hint="eastAsia" w:ascii="Times New Roman" w:hAnsi="Times New Roman" w:eastAsia="宋体" w:cs="Times New Roman"/>
          <w:color w:val="auto"/>
          <w:spacing w:val="-2"/>
          <w:sz w:val="24"/>
          <w:szCs w:val="24"/>
          <w:highlight w:val="none"/>
          <w:lang w:val="en-US" w:eastAsia="zh-CN"/>
        </w:rPr>
        <w:t>；</w:t>
      </w:r>
      <w:bookmarkStart w:id="665" w:name="sys178558106"/>
      <w:bookmarkStart w:id="666" w:name="OLE_LINK138"/>
      <w:r>
        <w:rPr>
          <w:rFonts w:hint="eastAsia" w:ascii="Times New Roman" w:hAnsi="Times New Roman" w:eastAsia="宋体" w:cs="Times New Roman"/>
          <w:color w:val="auto"/>
          <w:spacing w:val="-2"/>
          <w:sz w:val="24"/>
          <w:szCs w:val="24"/>
          <w:highlight w:val="none"/>
          <w:lang w:val="en-US" w:eastAsia="zh-CN"/>
        </w:rPr>
        <w:t>（GB/T 4754-2017）中规定的医药制造业（C27）中卫生材料及医药用品制造（C277）和药用辅</w:t>
      </w:r>
      <w:bookmarkEnd w:id="663"/>
      <w:r>
        <w:rPr>
          <w:rFonts w:hint="eastAsia" w:ascii="Times New Roman" w:hAnsi="Times New Roman" w:eastAsia="宋体" w:cs="Times New Roman"/>
          <w:color w:val="auto"/>
          <w:spacing w:val="-2"/>
          <w:sz w:val="24"/>
          <w:szCs w:val="24"/>
          <w:highlight w:val="none"/>
          <w:lang w:val="en-US" w:eastAsia="zh-CN"/>
        </w:rPr>
        <w:t>料及包装材料（C278）执行《制药工业大气污染物排放标准》（GB37823-2019）表2特别排放限值要求；</w:t>
      </w:r>
      <w:bookmarkEnd w:id="665"/>
      <w:bookmarkStart w:id="667" w:name="sys178516477"/>
      <w:r>
        <w:rPr>
          <w:rFonts w:hint="eastAsia" w:ascii="Times New Roman" w:hAnsi="Times New Roman" w:eastAsia="宋体" w:cs="Times New Roman"/>
          <w:color w:val="auto"/>
          <w:spacing w:val="-2"/>
          <w:sz w:val="24"/>
          <w:szCs w:val="24"/>
          <w:highlight w:val="none"/>
          <w:lang w:val="en-US" w:eastAsia="zh-CN"/>
        </w:rPr>
        <w:t>生物制药企业（含生产设施）、生物医药研发机构大气污染物排放执行江苏省地标《生物制药行业水和大气污染物排放限值》（DB32/3560-2019）</w:t>
      </w:r>
      <w:bookmarkEnd w:id="664"/>
      <w:r>
        <w:rPr>
          <w:rFonts w:hint="eastAsia" w:ascii="Times New Roman" w:hAnsi="Times New Roman" w:eastAsia="宋体" w:cs="Times New Roman"/>
          <w:color w:val="auto"/>
          <w:spacing w:val="-2"/>
          <w:sz w:val="24"/>
          <w:szCs w:val="24"/>
          <w:highlight w:val="none"/>
          <w:lang w:val="en-US" w:eastAsia="zh-CN"/>
        </w:rPr>
        <w:t>中限值标准</w:t>
      </w:r>
      <w:bookmarkEnd w:id="621"/>
      <w:bookmarkEnd w:id="666"/>
      <w:bookmarkStart w:id="668" w:name="OLE_LINK136"/>
      <w:bookmarkStart w:id="669" w:name="OLE_LINK134"/>
      <w:r>
        <w:rPr>
          <w:rFonts w:hint="eastAsia" w:ascii="Times New Roman" w:hAnsi="Times New Roman" w:eastAsia="宋体" w:cs="Times New Roman"/>
          <w:color w:val="auto"/>
          <w:spacing w:val="-2"/>
          <w:sz w:val="24"/>
          <w:szCs w:val="24"/>
          <w:highlight w:val="none"/>
          <w:lang w:val="en-US" w:eastAsia="zh-CN"/>
        </w:rPr>
        <w:t>。</w:t>
      </w:r>
      <w:bookmarkEnd w:id="667"/>
      <w:bookmarkStart w:id="670" w:name="pindex1785"/>
      <w:bookmarkEnd w:id="670"/>
    </w:p>
    <w:p w14:paraId="694A9118">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eastAsia="宋体" w:cs="Times New Roman"/>
          <w:b/>
          <w:bCs/>
          <w:color w:val="auto"/>
          <w:spacing w:val="-4"/>
          <w:sz w:val="24"/>
          <w:szCs w:val="24"/>
          <w:highlight w:val="none"/>
          <w:lang w:val="en-US" w:eastAsia="zh-CN"/>
        </w:rPr>
      </w:pPr>
      <w:bookmarkStart w:id="671" w:name="OLE_LINK144"/>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2-15 </w:t>
      </w:r>
      <w:r>
        <w:rPr>
          <w:rFonts w:hint="default" w:ascii="Times New Roman" w:hAnsi="Times New Roman" w:eastAsia="宋体" w:cs="Times New Roman"/>
          <w:b/>
          <w:bCs/>
          <w:color w:val="auto"/>
          <w:spacing w:val="-4"/>
          <w:sz w:val="24"/>
          <w:szCs w:val="24"/>
          <w:highlight w:val="none"/>
          <w:lang w:val="en-US" w:eastAsia="zh-CN"/>
        </w:rPr>
        <w:t xml:space="preserve"> </w:t>
      </w:r>
      <w:r>
        <w:rPr>
          <w:rFonts w:hint="eastAsia" w:ascii="Times New Roman" w:hAnsi="Times New Roman" w:eastAsia="宋体" w:cs="Times New Roman"/>
          <w:b/>
          <w:bCs/>
          <w:color w:val="auto"/>
          <w:spacing w:val="-4"/>
          <w:sz w:val="24"/>
          <w:szCs w:val="24"/>
          <w:highlight w:val="none"/>
          <w:lang w:val="en-US" w:eastAsia="zh-CN"/>
        </w:rPr>
        <w:t>制药工业大气污染物排放标准  （单位：mg/m</w:t>
      </w:r>
      <w:r>
        <w:rPr>
          <w:rFonts w:hint="eastAsia" w:ascii="Times New Roman" w:hAnsi="Times New Roman" w:eastAsia="宋体" w:cs="Times New Roman"/>
          <w:b/>
          <w:bCs/>
          <w:color w:val="auto"/>
          <w:spacing w:val="-4"/>
          <w:sz w:val="24"/>
          <w:szCs w:val="24"/>
          <w:highlight w:val="none"/>
          <w:vertAlign w:val="superscript"/>
          <w:lang w:val="en-US" w:eastAsia="zh-CN"/>
        </w:rPr>
        <w:t>3</w:t>
      </w:r>
      <w:r>
        <w:rPr>
          <w:rFonts w:hint="eastAsia" w:ascii="Times New Roman" w:hAnsi="Times New Roman" w:eastAsia="宋体" w:cs="Times New Roman"/>
          <w:b/>
          <w:bCs/>
          <w:color w:val="auto"/>
          <w:spacing w:val="-4"/>
          <w:sz w:val="24"/>
          <w:szCs w:val="24"/>
          <w:highlight w:val="none"/>
          <w:vertAlign w:val="baseline"/>
          <w:lang w:val="en-US" w:eastAsia="zh-CN"/>
        </w:rPr>
        <w:t>）</w:t>
      </w:r>
      <w:bookmarkStart w:id="672" w:name="pindex1786"/>
      <w:bookmarkEnd w:id="672"/>
    </w:p>
    <w:bookmarkEnd w:id="671"/>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577"/>
        <w:gridCol w:w="438"/>
        <w:gridCol w:w="1330"/>
        <w:gridCol w:w="1604"/>
        <w:gridCol w:w="1420"/>
        <w:gridCol w:w="1021"/>
        <w:gridCol w:w="1432"/>
      </w:tblGrid>
      <w:tr w14:paraId="1ABC0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vMerge w:val="restart"/>
            <w:tcBorders>
              <w:tl2br w:val="nil"/>
              <w:tr2bl w:val="nil"/>
            </w:tcBorders>
            <w:vAlign w:val="center"/>
          </w:tcPr>
          <w:p w14:paraId="0B36EEB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序号</w:t>
            </w:r>
          </w:p>
        </w:tc>
        <w:tc>
          <w:tcPr>
            <w:tcW w:w="2347" w:type="dxa"/>
            <w:gridSpan w:val="3"/>
            <w:vMerge w:val="restart"/>
            <w:tcBorders>
              <w:tl2br w:val="nil"/>
              <w:tr2bl w:val="nil"/>
            </w:tcBorders>
            <w:vAlign w:val="center"/>
          </w:tcPr>
          <w:p w14:paraId="7B5B423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污染物项目</w:t>
            </w:r>
          </w:p>
        </w:tc>
        <w:tc>
          <w:tcPr>
            <w:tcW w:w="3028" w:type="dxa"/>
            <w:gridSpan w:val="2"/>
            <w:tcBorders>
              <w:tl2br w:val="nil"/>
              <w:tr2bl w:val="nil"/>
            </w:tcBorders>
            <w:vAlign w:val="center"/>
          </w:tcPr>
          <w:p w14:paraId="3D26F03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排放限值</w:t>
            </w:r>
          </w:p>
        </w:tc>
        <w:tc>
          <w:tcPr>
            <w:tcW w:w="1022" w:type="dxa"/>
            <w:vMerge w:val="restart"/>
            <w:tcBorders>
              <w:tl2br w:val="nil"/>
              <w:tr2bl w:val="nil"/>
            </w:tcBorders>
            <w:vAlign w:val="center"/>
          </w:tcPr>
          <w:p w14:paraId="6E673FE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污染物排放监控位置</w:t>
            </w:r>
          </w:p>
        </w:tc>
        <w:tc>
          <w:tcPr>
            <w:tcW w:w="1432" w:type="dxa"/>
            <w:vMerge w:val="restart"/>
            <w:tcBorders>
              <w:tl2br w:val="nil"/>
              <w:tr2bl w:val="nil"/>
            </w:tcBorders>
            <w:vAlign w:val="center"/>
          </w:tcPr>
          <w:p w14:paraId="3C229A0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标准来源</w:t>
            </w:r>
          </w:p>
        </w:tc>
      </w:tr>
      <w:tr w14:paraId="50FD93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vMerge w:val="continue"/>
            <w:tcBorders>
              <w:tl2br w:val="nil"/>
              <w:tr2bl w:val="nil"/>
            </w:tcBorders>
            <w:vAlign w:val="center"/>
          </w:tcPr>
          <w:p w14:paraId="5C632E8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p>
        </w:tc>
        <w:tc>
          <w:tcPr>
            <w:tcW w:w="2347" w:type="dxa"/>
            <w:gridSpan w:val="3"/>
            <w:vMerge w:val="continue"/>
            <w:tcBorders>
              <w:tl2br w:val="nil"/>
              <w:tr2bl w:val="nil"/>
            </w:tcBorders>
            <w:vAlign w:val="center"/>
          </w:tcPr>
          <w:p w14:paraId="2A1EF54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p>
        </w:tc>
        <w:tc>
          <w:tcPr>
            <w:tcW w:w="1606" w:type="dxa"/>
            <w:tcBorders>
              <w:tl2br w:val="nil"/>
              <w:tr2bl w:val="nil"/>
            </w:tcBorders>
            <w:vAlign w:val="center"/>
          </w:tcPr>
          <w:p w14:paraId="7E87F99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工艺废气</w:t>
            </w:r>
          </w:p>
        </w:tc>
        <w:tc>
          <w:tcPr>
            <w:tcW w:w="1422" w:type="dxa"/>
            <w:tcBorders>
              <w:tl2br w:val="nil"/>
              <w:tr2bl w:val="nil"/>
            </w:tcBorders>
            <w:vAlign w:val="center"/>
          </w:tcPr>
          <w:p w14:paraId="6417093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发酵废气</w:t>
            </w:r>
          </w:p>
        </w:tc>
        <w:tc>
          <w:tcPr>
            <w:tcW w:w="1022" w:type="dxa"/>
            <w:vMerge w:val="continue"/>
            <w:tcBorders>
              <w:tl2br w:val="nil"/>
              <w:tr2bl w:val="nil"/>
            </w:tcBorders>
            <w:vAlign w:val="center"/>
          </w:tcPr>
          <w:p w14:paraId="5CD8F61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69C7D8C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p>
        </w:tc>
      </w:tr>
      <w:tr w14:paraId="6F65AF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vMerge w:val="restart"/>
            <w:tcBorders>
              <w:tl2br w:val="nil"/>
              <w:tr2bl w:val="nil"/>
            </w:tcBorders>
            <w:vAlign w:val="center"/>
          </w:tcPr>
          <w:p w14:paraId="5578C02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w:t>
            </w:r>
          </w:p>
        </w:tc>
        <w:tc>
          <w:tcPr>
            <w:tcW w:w="577" w:type="dxa"/>
            <w:vMerge w:val="restart"/>
            <w:tcBorders>
              <w:tl2br w:val="nil"/>
              <w:tr2bl w:val="nil"/>
            </w:tcBorders>
            <w:vAlign w:val="center"/>
          </w:tcPr>
          <w:p w14:paraId="58B05F4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颗粒物</w:t>
            </w:r>
          </w:p>
        </w:tc>
        <w:tc>
          <w:tcPr>
            <w:tcW w:w="438" w:type="dxa"/>
            <w:vMerge w:val="restart"/>
            <w:tcBorders>
              <w:tl2br w:val="nil"/>
              <w:tr2bl w:val="nil"/>
            </w:tcBorders>
            <w:vAlign w:val="center"/>
          </w:tcPr>
          <w:p w14:paraId="499937C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药尘</w:t>
            </w:r>
          </w:p>
        </w:tc>
        <w:tc>
          <w:tcPr>
            <w:tcW w:w="1332" w:type="dxa"/>
            <w:tcBorders>
              <w:tl2br w:val="nil"/>
              <w:tr2bl w:val="nil"/>
            </w:tcBorders>
            <w:vAlign w:val="center"/>
          </w:tcPr>
          <w:p w14:paraId="6A7FB3D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生物制药</w:t>
            </w:r>
          </w:p>
        </w:tc>
        <w:tc>
          <w:tcPr>
            <w:tcW w:w="1606" w:type="dxa"/>
            <w:tcBorders>
              <w:tl2br w:val="nil"/>
              <w:tr2bl w:val="nil"/>
            </w:tcBorders>
            <w:vAlign w:val="center"/>
          </w:tcPr>
          <w:p w14:paraId="4CE2C36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w:t>
            </w:r>
          </w:p>
        </w:tc>
        <w:tc>
          <w:tcPr>
            <w:tcW w:w="1422" w:type="dxa"/>
            <w:tcBorders>
              <w:tl2br w:val="nil"/>
              <w:tr2bl w:val="nil"/>
            </w:tcBorders>
            <w:vAlign w:val="center"/>
          </w:tcPr>
          <w:p w14:paraId="3335176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15</w:t>
            </w:r>
          </w:p>
        </w:tc>
        <w:tc>
          <w:tcPr>
            <w:tcW w:w="1022" w:type="dxa"/>
            <w:vMerge w:val="restart"/>
            <w:tcBorders>
              <w:tl2br w:val="nil"/>
              <w:tr2bl w:val="nil"/>
            </w:tcBorders>
            <w:vAlign w:val="center"/>
          </w:tcPr>
          <w:p w14:paraId="3E1CBFB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车间或生产设施排气筒</w:t>
            </w:r>
          </w:p>
        </w:tc>
        <w:tc>
          <w:tcPr>
            <w:tcW w:w="1432" w:type="dxa"/>
            <w:vMerge w:val="restart"/>
            <w:tcBorders>
              <w:tl2br w:val="nil"/>
              <w:tr2bl w:val="nil"/>
            </w:tcBorders>
            <w:vAlign w:val="center"/>
          </w:tcPr>
          <w:p w14:paraId="2237947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《制药工业 大气污染物排放标准》（DB32/4042-2021）</w:t>
            </w:r>
          </w:p>
        </w:tc>
      </w:tr>
      <w:tr w14:paraId="39EC2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vMerge w:val="continue"/>
            <w:tcBorders>
              <w:tl2br w:val="nil"/>
              <w:tr2bl w:val="nil"/>
            </w:tcBorders>
            <w:vAlign w:val="center"/>
          </w:tcPr>
          <w:p w14:paraId="3A4FA1E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577" w:type="dxa"/>
            <w:vMerge w:val="continue"/>
            <w:tcBorders>
              <w:tl2br w:val="nil"/>
              <w:tr2bl w:val="nil"/>
            </w:tcBorders>
            <w:vAlign w:val="center"/>
          </w:tcPr>
          <w:p w14:paraId="31A71BB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438" w:type="dxa"/>
            <w:vMerge w:val="continue"/>
            <w:tcBorders>
              <w:tl2br w:val="nil"/>
              <w:tr2bl w:val="nil"/>
            </w:tcBorders>
            <w:vAlign w:val="center"/>
          </w:tcPr>
          <w:p w14:paraId="5D6F4CB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332" w:type="dxa"/>
            <w:tcBorders>
              <w:tl2br w:val="nil"/>
              <w:tr2bl w:val="nil"/>
            </w:tcBorders>
            <w:vAlign w:val="center"/>
          </w:tcPr>
          <w:p w14:paraId="6D2F4F5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中药制造</w:t>
            </w:r>
          </w:p>
        </w:tc>
        <w:tc>
          <w:tcPr>
            <w:tcW w:w="1606" w:type="dxa"/>
            <w:tcBorders>
              <w:tl2br w:val="nil"/>
              <w:tr2bl w:val="nil"/>
            </w:tcBorders>
            <w:vAlign w:val="center"/>
          </w:tcPr>
          <w:p w14:paraId="7911052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w:t>
            </w:r>
          </w:p>
        </w:tc>
        <w:tc>
          <w:tcPr>
            <w:tcW w:w="1422" w:type="dxa"/>
            <w:tcBorders>
              <w:tl2br w:val="nil"/>
              <w:tr2bl w:val="nil"/>
            </w:tcBorders>
            <w:vAlign w:val="center"/>
          </w:tcPr>
          <w:p w14:paraId="496CF0F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15</w:t>
            </w:r>
          </w:p>
        </w:tc>
        <w:tc>
          <w:tcPr>
            <w:tcW w:w="1022" w:type="dxa"/>
            <w:vMerge w:val="continue"/>
            <w:tcBorders>
              <w:tl2br w:val="nil"/>
              <w:tr2bl w:val="nil"/>
            </w:tcBorders>
            <w:vAlign w:val="center"/>
          </w:tcPr>
          <w:p w14:paraId="53D0269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2A3AEA4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1501E6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vMerge w:val="continue"/>
            <w:tcBorders>
              <w:tl2br w:val="nil"/>
              <w:tr2bl w:val="nil"/>
            </w:tcBorders>
            <w:vAlign w:val="center"/>
          </w:tcPr>
          <w:p w14:paraId="11B4FBA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577" w:type="dxa"/>
            <w:vMerge w:val="continue"/>
            <w:tcBorders>
              <w:tl2br w:val="nil"/>
              <w:tr2bl w:val="nil"/>
            </w:tcBorders>
            <w:vAlign w:val="center"/>
          </w:tcPr>
          <w:p w14:paraId="53B4CAE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438" w:type="dxa"/>
            <w:vMerge w:val="continue"/>
            <w:tcBorders>
              <w:tl2br w:val="nil"/>
              <w:tr2bl w:val="nil"/>
            </w:tcBorders>
            <w:vAlign w:val="center"/>
          </w:tcPr>
          <w:p w14:paraId="7890349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332" w:type="dxa"/>
            <w:tcBorders>
              <w:tl2br w:val="nil"/>
              <w:tr2bl w:val="nil"/>
            </w:tcBorders>
            <w:vAlign w:val="center"/>
          </w:tcPr>
          <w:p w14:paraId="6A4A400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其他</w:t>
            </w:r>
          </w:p>
        </w:tc>
        <w:tc>
          <w:tcPr>
            <w:tcW w:w="1606" w:type="dxa"/>
            <w:tcBorders>
              <w:tl2br w:val="nil"/>
              <w:tr2bl w:val="nil"/>
            </w:tcBorders>
            <w:vAlign w:val="center"/>
          </w:tcPr>
          <w:p w14:paraId="566D785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15</w:t>
            </w:r>
          </w:p>
        </w:tc>
        <w:tc>
          <w:tcPr>
            <w:tcW w:w="1422" w:type="dxa"/>
            <w:tcBorders>
              <w:tl2br w:val="nil"/>
              <w:tr2bl w:val="nil"/>
            </w:tcBorders>
            <w:vAlign w:val="center"/>
          </w:tcPr>
          <w:p w14:paraId="22521FE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15</w:t>
            </w:r>
          </w:p>
        </w:tc>
        <w:tc>
          <w:tcPr>
            <w:tcW w:w="1022" w:type="dxa"/>
            <w:vMerge w:val="continue"/>
            <w:tcBorders>
              <w:tl2br w:val="nil"/>
              <w:tr2bl w:val="nil"/>
            </w:tcBorders>
            <w:vAlign w:val="center"/>
          </w:tcPr>
          <w:p w14:paraId="329235F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6CF7E6E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6C1E78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vMerge w:val="continue"/>
            <w:tcBorders>
              <w:tl2br w:val="nil"/>
              <w:tr2bl w:val="nil"/>
            </w:tcBorders>
            <w:vAlign w:val="center"/>
          </w:tcPr>
          <w:p w14:paraId="25164D2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577" w:type="dxa"/>
            <w:vMerge w:val="continue"/>
            <w:tcBorders>
              <w:tl2br w:val="nil"/>
              <w:tr2bl w:val="nil"/>
            </w:tcBorders>
            <w:vAlign w:val="center"/>
          </w:tcPr>
          <w:p w14:paraId="6A8673B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770" w:type="dxa"/>
            <w:gridSpan w:val="2"/>
            <w:tcBorders>
              <w:tl2br w:val="nil"/>
              <w:tr2bl w:val="nil"/>
            </w:tcBorders>
            <w:vAlign w:val="center"/>
          </w:tcPr>
          <w:p w14:paraId="281C9C9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其他颗粒物</w:t>
            </w:r>
          </w:p>
        </w:tc>
        <w:tc>
          <w:tcPr>
            <w:tcW w:w="1606" w:type="dxa"/>
            <w:tcBorders>
              <w:tl2br w:val="nil"/>
              <w:tr2bl w:val="nil"/>
            </w:tcBorders>
            <w:vAlign w:val="center"/>
          </w:tcPr>
          <w:p w14:paraId="55B5CC9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w:t>
            </w:r>
          </w:p>
        </w:tc>
        <w:tc>
          <w:tcPr>
            <w:tcW w:w="1422" w:type="dxa"/>
            <w:tcBorders>
              <w:tl2br w:val="nil"/>
              <w:tr2bl w:val="nil"/>
            </w:tcBorders>
            <w:vAlign w:val="center"/>
          </w:tcPr>
          <w:p w14:paraId="1B0E599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15</w:t>
            </w:r>
          </w:p>
        </w:tc>
        <w:tc>
          <w:tcPr>
            <w:tcW w:w="1022" w:type="dxa"/>
            <w:vMerge w:val="continue"/>
            <w:tcBorders>
              <w:tl2br w:val="nil"/>
              <w:tr2bl w:val="nil"/>
            </w:tcBorders>
            <w:vAlign w:val="center"/>
          </w:tcPr>
          <w:p w14:paraId="7A1697F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0E51E58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3D5F26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tcBorders>
              <w:tl2br w:val="nil"/>
              <w:tr2bl w:val="nil"/>
            </w:tcBorders>
            <w:vAlign w:val="center"/>
          </w:tcPr>
          <w:p w14:paraId="6029574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w:t>
            </w:r>
          </w:p>
        </w:tc>
        <w:tc>
          <w:tcPr>
            <w:tcW w:w="2347" w:type="dxa"/>
            <w:gridSpan w:val="3"/>
            <w:tcBorders>
              <w:tl2br w:val="nil"/>
              <w:tr2bl w:val="nil"/>
            </w:tcBorders>
            <w:vAlign w:val="center"/>
          </w:tcPr>
          <w:p w14:paraId="5C6D82E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NMHC</w:t>
            </w:r>
          </w:p>
        </w:tc>
        <w:tc>
          <w:tcPr>
            <w:tcW w:w="1606" w:type="dxa"/>
            <w:tcBorders>
              <w:tl2br w:val="nil"/>
              <w:tr2bl w:val="nil"/>
            </w:tcBorders>
            <w:vAlign w:val="center"/>
          </w:tcPr>
          <w:p w14:paraId="7D5A566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60</w:t>
            </w:r>
          </w:p>
        </w:tc>
        <w:tc>
          <w:tcPr>
            <w:tcW w:w="1422" w:type="dxa"/>
            <w:tcBorders>
              <w:tl2br w:val="nil"/>
              <w:tr2bl w:val="nil"/>
            </w:tcBorders>
            <w:vAlign w:val="center"/>
          </w:tcPr>
          <w:p w14:paraId="19AF5C3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60</w:t>
            </w:r>
          </w:p>
        </w:tc>
        <w:tc>
          <w:tcPr>
            <w:tcW w:w="1022" w:type="dxa"/>
            <w:vMerge w:val="continue"/>
            <w:tcBorders>
              <w:tl2br w:val="nil"/>
              <w:tr2bl w:val="nil"/>
            </w:tcBorders>
            <w:vAlign w:val="center"/>
          </w:tcPr>
          <w:p w14:paraId="0E60B90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4736B29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2DC5AF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tcBorders>
              <w:tl2br w:val="nil"/>
              <w:tr2bl w:val="nil"/>
            </w:tcBorders>
            <w:vAlign w:val="center"/>
          </w:tcPr>
          <w:p w14:paraId="5390061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w:t>
            </w:r>
          </w:p>
        </w:tc>
        <w:tc>
          <w:tcPr>
            <w:tcW w:w="2347" w:type="dxa"/>
            <w:gridSpan w:val="3"/>
            <w:tcBorders>
              <w:tl2br w:val="nil"/>
              <w:tr2bl w:val="nil"/>
            </w:tcBorders>
            <w:vAlign w:val="center"/>
          </w:tcPr>
          <w:p w14:paraId="4E90FC1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TVOC</w:t>
            </w:r>
            <w:r>
              <w:rPr>
                <w:rFonts w:hint="eastAsia" w:ascii="Times New Roman" w:hAnsi="Times New Roman" w:eastAsia="宋体" w:cs="Times New Roman"/>
                <w:b w:val="0"/>
                <w:bCs w:val="0"/>
                <w:color w:val="auto"/>
                <w:spacing w:val="-4"/>
                <w:sz w:val="21"/>
                <w:szCs w:val="21"/>
                <w:highlight w:val="none"/>
                <w:vertAlign w:val="superscript"/>
                <w:lang w:val="en-US" w:eastAsia="zh-CN"/>
              </w:rPr>
              <w:t>a</w:t>
            </w:r>
          </w:p>
        </w:tc>
        <w:tc>
          <w:tcPr>
            <w:tcW w:w="1606" w:type="dxa"/>
            <w:tcBorders>
              <w:tl2br w:val="nil"/>
              <w:tr2bl w:val="nil"/>
            </w:tcBorders>
            <w:vAlign w:val="center"/>
          </w:tcPr>
          <w:p w14:paraId="6B556B8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100</w:t>
            </w:r>
          </w:p>
        </w:tc>
        <w:tc>
          <w:tcPr>
            <w:tcW w:w="1422" w:type="dxa"/>
            <w:tcBorders>
              <w:tl2br w:val="nil"/>
              <w:tr2bl w:val="nil"/>
            </w:tcBorders>
            <w:vAlign w:val="center"/>
          </w:tcPr>
          <w:p w14:paraId="2BE169C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100</w:t>
            </w:r>
          </w:p>
        </w:tc>
        <w:tc>
          <w:tcPr>
            <w:tcW w:w="1022" w:type="dxa"/>
            <w:vMerge w:val="continue"/>
            <w:tcBorders>
              <w:tl2br w:val="nil"/>
              <w:tr2bl w:val="nil"/>
            </w:tcBorders>
            <w:vAlign w:val="center"/>
          </w:tcPr>
          <w:p w14:paraId="0609B9A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2C4597D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2F4D8E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tcBorders>
              <w:tl2br w:val="nil"/>
              <w:tr2bl w:val="nil"/>
            </w:tcBorders>
            <w:vAlign w:val="center"/>
          </w:tcPr>
          <w:p w14:paraId="235EC1D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w:t>
            </w:r>
          </w:p>
        </w:tc>
        <w:tc>
          <w:tcPr>
            <w:tcW w:w="2347" w:type="dxa"/>
            <w:gridSpan w:val="3"/>
            <w:tcBorders>
              <w:tl2br w:val="nil"/>
              <w:tr2bl w:val="nil"/>
            </w:tcBorders>
            <w:vAlign w:val="center"/>
          </w:tcPr>
          <w:p w14:paraId="5050013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苯系物</w:t>
            </w:r>
          </w:p>
        </w:tc>
        <w:tc>
          <w:tcPr>
            <w:tcW w:w="1606" w:type="dxa"/>
            <w:tcBorders>
              <w:tl2br w:val="nil"/>
              <w:tr2bl w:val="nil"/>
            </w:tcBorders>
            <w:vAlign w:val="center"/>
          </w:tcPr>
          <w:p w14:paraId="3349FB4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30</w:t>
            </w:r>
          </w:p>
        </w:tc>
        <w:tc>
          <w:tcPr>
            <w:tcW w:w="1422" w:type="dxa"/>
            <w:tcBorders>
              <w:tl2br w:val="nil"/>
              <w:tr2bl w:val="nil"/>
            </w:tcBorders>
            <w:vAlign w:val="center"/>
          </w:tcPr>
          <w:p w14:paraId="0203394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w:t>
            </w:r>
          </w:p>
        </w:tc>
        <w:tc>
          <w:tcPr>
            <w:tcW w:w="1022" w:type="dxa"/>
            <w:vMerge w:val="continue"/>
            <w:tcBorders>
              <w:tl2br w:val="nil"/>
              <w:tr2bl w:val="nil"/>
            </w:tcBorders>
            <w:vAlign w:val="center"/>
          </w:tcPr>
          <w:p w14:paraId="0092039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65B1BF3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52E3D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tcBorders>
              <w:tl2br w:val="nil"/>
              <w:tr2bl w:val="nil"/>
            </w:tcBorders>
            <w:vAlign w:val="center"/>
          </w:tcPr>
          <w:p w14:paraId="0A9E324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w:t>
            </w:r>
          </w:p>
        </w:tc>
        <w:tc>
          <w:tcPr>
            <w:tcW w:w="2347" w:type="dxa"/>
            <w:gridSpan w:val="3"/>
            <w:tcBorders>
              <w:tl2br w:val="nil"/>
              <w:tr2bl w:val="nil"/>
            </w:tcBorders>
            <w:vAlign w:val="center"/>
          </w:tcPr>
          <w:p w14:paraId="4587460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臭气浓度</w:t>
            </w:r>
            <w:r>
              <w:rPr>
                <w:rFonts w:hint="eastAsia" w:ascii="Times New Roman" w:hAnsi="Times New Roman" w:eastAsia="宋体" w:cs="Times New Roman"/>
                <w:b w:val="0"/>
                <w:bCs w:val="0"/>
                <w:color w:val="auto"/>
                <w:spacing w:val="-4"/>
                <w:sz w:val="21"/>
                <w:szCs w:val="21"/>
                <w:highlight w:val="none"/>
                <w:vertAlign w:val="superscript"/>
                <w:lang w:val="en-US" w:eastAsia="zh-CN"/>
              </w:rPr>
              <w:t>b</w:t>
            </w:r>
          </w:p>
        </w:tc>
        <w:tc>
          <w:tcPr>
            <w:tcW w:w="3028" w:type="dxa"/>
            <w:gridSpan w:val="2"/>
            <w:tcBorders>
              <w:tl2br w:val="nil"/>
              <w:tr2bl w:val="nil"/>
            </w:tcBorders>
            <w:vAlign w:val="center"/>
          </w:tcPr>
          <w:p w14:paraId="2DDAE96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1000</w:t>
            </w:r>
          </w:p>
        </w:tc>
        <w:tc>
          <w:tcPr>
            <w:tcW w:w="1022" w:type="dxa"/>
            <w:vMerge w:val="continue"/>
            <w:tcBorders>
              <w:tl2br w:val="nil"/>
              <w:tr2bl w:val="nil"/>
            </w:tcBorders>
            <w:vAlign w:val="center"/>
          </w:tcPr>
          <w:p w14:paraId="5EC445A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725FD90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7452B7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tcBorders>
              <w:tl2br w:val="nil"/>
              <w:tr2bl w:val="nil"/>
            </w:tcBorders>
            <w:vAlign w:val="center"/>
          </w:tcPr>
          <w:p w14:paraId="0F26ED4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6</w:t>
            </w:r>
          </w:p>
        </w:tc>
        <w:tc>
          <w:tcPr>
            <w:tcW w:w="2347" w:type="dxa"/>
            <w:gridSpan w:val="3"/>
            <w:tcBorders>
              <w:tl2br w:val="nil"/>
              <w:tr2bl w:val="nil"/>
            </w:tcBorders>
            <w:vAlign w:val="center"/>
          </w:tcPr>
          <w:p w14:paraId="3436406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苯</w:t>
            </w:r>
          </w:p>
        </w:tc>
        <w:tc>
          <w:tcPr>
            <w:tcW w:w="3028" w:type="dxa"/>
            <w:gridSpan w:val="2"/>
            <w:tcBorders>
              <w:tl2br w:val="nil"/>
              <w:tr2bl w:val="nil"/>
            </w:tcBorders>
            <w:vAlign w:val="center"/>
          </w:tcPr>
          <w:p w14:paraId="63694F0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w:t>
            </w:r>
          </w:p>
        </w:tc>
        <w:tc>
          <w:tcPr>
            <w:tcW w:w="1022" w:type="dxa"/>
            <w:vMerge w:val="continue"/>
            <w:tcBorders>
              <w:tl2br w:val="nil"/>
              <w:tr2bl w:val="nil"/>
            </w:tcBorders>
            <w:vAlign w:val="center"/>
          </w:tcPr>
          <w:p w14:paraId="11133A9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59A65FA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3974D5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tcBorders>
              <w:tl2br w:val="nil"/>
              <w:tr2bl w:val="nil"/>
            </w:tcBorders>
            <w:vAlign w:val="center"/>
          </w:tcPr>
          <w:p w14:paraId="3B1F3A7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7</w:t>
            </w:r>
          </w:p>
        </w:tc>
        <w:tc>
          <w:tcPr>
            <w:tcW w:w="2347" w:type="dxa"/>
            <w:gridSpan w:val="3"/>
            <w:tcBorders>
              <w:tl2br w:val="nil"/>
              <w:tr2bl w:val="nil"/>
            </w:tcBorders>
            <w:vAlign w:val="center"/>
          </w:tcPr>
          <w:p w14:paraId="46FEB75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甲苯</w:t>
            </w:r>
          </w:p>
        </w:tc>
        <w:tc>
          <w:tcPr>
            <w:tcW w:w="3028" w:type="dxa"/>
            <w:gridSpan w:val="2"/>
            <w:tcBorders>
              <w:tl2br w:val="nil"/>
              <w:tr2bl w:val="nil"/>
            </w:tcBorders>
            <w:vAlign w:val="center"/>
          </w:tcPr>
          <w:p w14:paraId="7010B4B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w:t>
            </w:r>
          </w:p>
        </w:tc>
        <w:tc>
          <w:tcPr>
            <w:tcW w:w="1022" w:type="dxa"/>
            <w:vMerge w:val="continue"/>
            <w:tcBorders>
              <w:tl2br w:val="nil"/>
              <w:tr2bl w:val="nil"/>
            </w:tcBorders>
            <w:vAlign w:val="center"/>
          </w:tcPr>
          <w:p w14:paraId="5B7238D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7888649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0D3AD5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tcBorders>
              <w:tl2br w:val="nil"/>
              <w:tr2bl w:val="nil"/>
            </w:tcBorders>
            <w:vAlign w:val="center"/>
          </w:tcPr>
          <w:p w14:paraId="63A1FEB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8</w:t>
            </w:r>
          </w:p>
        </w:tc>
        <w:tc>
          <w:tcPr>
            <w:tcW w:w="2347" w:type="dxa"/>
            <w:gridSpan w:val="3"/>
            <w:tcBorders>
              <w:tl2br w:val="nil"/>
              <w:tr2bl w:val="nil"/>
            </w:tcBorders>
            <w:vAlign w:val="center"/>
          </w:tcPr>
          <w:p w14:paraId="1579E7E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苯乙烯</w:t>
            </w:r>
          </w:p>
        </w:tc>
        <w:tc>
          <w:tcPr>
            <w:tcW w:w="3028" w:type="dxa"/>
            <w:gridSpan w:val="2"/>
            <w:tcBorders>
              <w:tl2br w:val="nil"/>
              <w:tr2bl w:val="nil"/>
            </w:tcBorders>
            <w:vAlign w:val="center"/>
          </w:tcPr>
          <w:p w14:paraId="019A96B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w:t>
            </w:r>
          </w:p>
        </w:tc>
        <w:tc>
          <w:tcPr>
            <w:tcW w:w="1022" w:type="dxa"/>
            <w:vMerge w:val="continue"/>
            <w:tcBorders>
              <w:tl2br w:val="nil"/>
              <w:tr2bl w:val="nil"/>
            </w:tcBorders>
            <w:vAlign w:val="center"/>
          </w:tcPr>
          <w:p w14:paraId="1CD0F49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5B75904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0D40AA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tcBorders>
              <w:tl2br w:val="nil"/>
              <w:tr2bl w:val="nil"/>
            </w:tcBorders>
            <w:vAlign w:val="center"/>
          </w:tcPr>
          <w:p w14:paraId="0D931D5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9</w:t>
            </w:r>
          </w:p>
        </w:tc>
        <w:tc>
          <w:tcPr>
            <w:tcW w:w="2347" w:type="dxa"/>
            <w:gridSpan w:val="3"/>
            <w:tcBorders>
              <w:tl2br w:val="nil"/>
              <w:tr2bl w:val="nil"/>
            </w:tcBorders>
            <w:vAlign w:val="center"/>
          </w:tcPr>
          <w:p w14:paraId="2FF7FC8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甲醛</w:t>
            </w:r>
          </w:p>
        </w:tc>
        <w:tc>
          <w:tcPr>
            <w:tcW w:w="3028" w:type="dxa"/>
            <w:gridSpan w:val="2"/>
            <w:tcBorders>
              <w:tl2br w:val="nil"/>
              <w:tr2bl w:val="nil"/>
            </w:tcBorders>
            <w:vAlign w:val="center"/>
          </w:tcPr>
          <w:p w14:paraId="7914760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w:t>
            </w:r>
          </w:p>
        </w:tc>
        <w:tc>
          <w:tcPr>
            <w:tcW w:w="1022" w:type="dxa"/>
            <w:vMerge w:val="continue"/>
            <w:tcBorders>
              <w:tl2br w:val="nil"/>
              <w:tr2bl w:val="nil"/>
            </w:tcBorders>
            <w:vAlign w:val="center"/>
          </w:tcPr>
          <w:p w14:paraId="702579E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16E7473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4D6681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tcBorders>
              <w:tl2br w:val="nil"/>
              <w:tr2bl w:val="nil"/>
            </w:tcBorders>
            <w:vAlign w:val="center"/>
          </w:tcPr>
          <w:p w14:paraId="6C57C1A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w:t>
            </w:r>
          </w:p>
        </w:tc>
        <w:tc>
          <w:tcPr>
            <w:tcW w:w="2347" w:type="dxa"/>
            <w:gridSpan w:val="3"/>
            <w:tcBorders>
              <w:tl2br w:val="nil"/>
              <w:tr2bl w:val="nil"/>
            </w:tcBorders>
            <w:vAlign w:val="center"/>
          </w:tcPr>
          <w:p w14:paraId="672FBB4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氯化氢</w:t>
            </w:r>
          </w:p>
        </w:tc>
        <w:tc>
          <w:tcPr>
            <w:tcW w:w="3028" w:type="dxa"/>
            <w:gridSpan w:val="2"/>
            <w:tcBorders>
              <w:tl2br w:val="nil"/>
              <w:tr2bl w:val="nil"/>
            </w:tcBorders>
            <w:vAlign w:val="center"/>
          </w:tcPr>
          <w:p w14:paraId="436985B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w:t>
            </w:r>
          </w:p>
        </w:tc>
        <w:tc>
          <w:tcPr>
            <w:tcW w:w="1022" w:type="dxa"/>
            <w:vMerge w:val="continue"/>
            <w:tcBorders>
              <w:tl2br w:val="nil"/>
              <w:tr2bl w:val="nil"/>
            </w:tcBorders>
            <w:vAlign w:val="center"/>
          </w:tcPr>
          <w:p w14:paraId="17F8FE2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39C43E3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667573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tcBorders>
              <w:tl2br w:val="nil"/>
              <w:tr2bl w:val="nil"/>
            </w:tcBorders>
            <w:vAlign w:val="center"/>
          </w:tcPr>
          <w:p w14:paraId="3C747F9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11</w:t>
            </w:r>
          </w:p>
        </w:tc>
        <w:tc>
          <w:tcPr>
            <w:tcW w:w="2347" w:type="dxa"/>
            <w:gridSpan w:val="3"/>
            <w:tcBorders>
              <w:tl2br w:val="nil"/>
              <w:tr2bl w:val="nil"/>
            </w:tcBorders>
            <w:vAlign w:val="center"/>
          </w:tcPr>
          <w:p w14:paraId="7284AB6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氨</w:t>
            </w:r>
          </w:p>
        </w:tc>
        <w:tc>
          <w:tcPr>
            <w:tcW w:w="3028" w:type="dxa"/>
            <w:gridSpan w:val="2"/>
            <w:tcBorders>
              <w:tl2br w:val="nil"/>
              <w:tr2bl w:val="nil"/>
            </w:tcBorders>
            <w:vAlign w:val="center"/>
          </w:tcPr>
          <w:p w14:paraId="72B095A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w:t>
            </w:r>
          </w:p>
        </w:tc>
        <w:tc>
          <w:tcPr>
            <w:tcW w:w="1022" w:type="dxa"/>
            <w:vMerge w:val="continue"/>
            <w:tcBorders>
              <w:tl2br w:val="nil"/>
              <w:tr2bl w:val="nil"/>
            </w:tcBorders>
            <w:vAlign w:val="center"/>
          </w:tcPr>
          <w:p w14:paraId="2630C51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511BB4F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10C527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dxa"/>
            <w:tcBorders>
              <w:tl2br w:val="nil"/>
              <w:tr2bl w:val="nil"/>
            </w:tcBorders>
            <w:vAlign w:val="center"/>
          </w:tcPr>
          <w:p w14:paraId="614B771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12</w:t>
            </w:r>
          </w:p>
        </w:tc>
        <w:tc>
          <w:tcPr>
            <w:tcW w:w="2347" w:type="dxa"/>
            <w:gridSpan w:val="3"/>
            <w:tcBorders>
              <w:tl2br w:val="nil"/>
              <w:tr2bl w:val="nil"/>
            </w:tcBorders>
            <w:vAlign w:val="center"/>
          </w:tcPr>
          <w:p w14:paraId="4CA8B62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甲醇</w:t>
            </w:r>
          </w:p>
        </w:tc>
        <w:tc>
          <w:tcPr>
            <w:tcW w:w="3028" w:type="dxa"/>
            <w:gridSpan w:val="2"/>
            <w:tcBorders>
              <w:tl2br w:val="nil"/>
              <w:tr2bl w:val="nil"/>
            </w:tcBorders>
            <w:vAlign w:val="center"/>
          </w:tcPr>
          <w:p w14:paraId="1B9C092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50</w:t>
            </w:r>
          </w:p>
        </w:tc>
        <w:tc>
          <w:tcPr>
            <w:tcW w:w="1022" w:type="dxa"/>
            <w:vMerge w:val="continue"/>
            <w:tcBorders>
              <w:tl2br w:val="nil"/>
              <w:tr2bl w:val="nil"/>
            </w:tcBorders>
            <w:vAlign w:val="center"/>
          </w:tcPr>
          <w:p w14:paraId="7E1505C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432" w:type="dxa"/>
            <w:vMerge w:val="continue"/>
            <w:tcBorders>
              <w:tl2br w:val="nil"/>
              <w:tr2bl w:val="nil"/>
            </w:tcBorders>
            <w:vAlign w:val="center"/>
          </w:tcPr>
          <w:p w14:paraId="070C98B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6FD30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83" w:type="dxa"/>
            <w:gridSpan w:val="8"/>
            <w:tcBorders>
              <w:tl2br w:val="nil"/>
              <w:tr2bl w:val="nil"/>
            </w:tcBorders>
            <w:vAlign w:val="center"/>
          </w:tcPr>
          <w:p w14:paraId="52BB9A0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both"/>
              <w:textAlignment w:val="baseline"/>
              <w:rPr>
                <w:rFonts w:hint="eastAsia"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a 根据3.10和3.11的定义筛选计入TVOC的有机物，除了所列已经发布监测方法测定的有机物外，其他符合挥发性有机物定义的物质，待国家发布污染物监测分析方法标准后纳入分析。</w:t>
            </w:r>
          </w:p>
          <w:p w14:paraId="461BCA9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both"/>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b 无量纲，为最大一次值</w:t>
            </w:r>
          </w:p>
        </w:tc>
      </w:tr>
    </w:tbl>
    <w:p w14:paraId="7AB97747">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eastAsia="宋体" w:cs="Times New Roman"/>
          <w:b/>
          <w:bCs/>
          <w:color w:val="auto"/>
          <w:spacing w:val="-4"/>
          <w:sz w:val="24"/>
          <w:szCs w:val="24"/>
          <w:highlight w:val="none"/>
          <w:lang w:val="en-US" w:eastAsia="zh-CN"/>
        </w:rPr>
      </w:pPr>
      <w:bookmarkStart w:id="673" w:name="OLE_LINK166"/>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2-16  制药工业污水处理站废气污染物最高允许排放限值  </w:t>
      </w:r>
      <w:bookmarkStart w:id="674" w:name="OLE_LINK188"/>
      <w:r>
        <w:rPr>
          <w:rFonts w:hint="eastAsia" w:ascii="Times New Roman" w:hAnsi="Times New Roman" w:eastAsia="宋体" w:cs="Times New Roman"/>
          <w:b/>
          <w:bCs/>
          <w:color w:val="auto"/>
          <w:spacing w:val="-4"/>
          <w:sz w:val="24"/>
          <w:szCs w:val="24"/>
          <w:highlight w:val="none"/>
          <w:lang w:val="en-US" w:eastAsia="zh-CN"/>
        </w:rPr>
        <w:t>（单位：mg/m</w:t>
      </w:r>
      <w:r>
        <w:rPr>
          <w:rFonts w:hint="eastAsia" w:ascii="Times New Roman" w:hAnsi="Times New Roman" w:eastAsia="宋体" w:cs="Times New Roman"/>
          <w:b/>
          <w:bCs/>
          <w:color w:val="auto"/>
          <w:spacing w:val="-4"/>
          <w:sz w:val="24"/>
          <w:szCs w:val="24"/>
          <w:highlight w:val="none"/>
          <w:vertAlign w:val="superscript"/>
          <w:lang w:val="en-US" w:eastAsia="zh-CN"/>
        </w:rPr>
        <w:t>3</w:t>
      </w:r>
      <w:r>
        <w:rPr>
          <w:rFonts w:hint="eastAsia" w:ascii="Times New Roman" w:hAnsi="Times New Roman" w:eastAsia="宋体" w:cs="Times New Roman"/>
          <w:b/>
          <w:bCs/>
          <w:color w:val="auto"/>
          <w:spacing w:val="-4"/>
          <w:sz w:val="24"/>
          <w:szCs w:val="24"/>
          <w:highlight w:val="none"/>
          <w:vertAlign w:val="baseline"/>
          <w:lang w:val="en-US" w:eastAsia="zh-CN"/>
        </w:rPr>
        <w:t>）</w:t>
      </w:r>
      <w:bookmarkStart w:id="675" w:name="pindex1889"/>
      <w:bookmarkEnd w:id="675"/>
    </w:p>
    <w:bookmarkEnd w:id="674"/>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2513"/>
        <w:gridCol w:w="2561"/>
        <w:gridCol w:w="2678"/>
      </w:tblGrid>
      <w:tr w14:paraId="1C853D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 w:type="dxa"/>
            <w:tcBorders>
              <w:tl2br w:val="nil"/>
              <w:tr2bl w:val="nil"/>
            </w:tcBorders>
            <w:vAlign w:val="center"/>
          </w:tcPr>
          <w:p w14:paraId="05E1C713">
            <w:pPr>
              <w:widowControl w:val="0"/>
              <w:bidi w:val="0"/>
              <w:jc w:val="center"/>
              <w:rPr>
                <w:rFonts w:hint="default" w:ascii="Times New Roman" w:hAnsi="Times New Roman" w:eastAsia="宋体" w:cs="Times New Roman"/>
                <w:b/>
                <w:bCs/>
                <w:color w:val="auto"/>
                <w:sz w:val="21"/>
                <w:szCs w:val="21"/>
                <w:highlight w:val="none"/>
                <w:lang w:val="en-US" w:eastAsia="zh-CN"/>
              </w:rPr>
            </w:pPr>
            <w:bookmarkStart w:id="676" w:name="OLE_LINK160" w:colFirst="0" w:colLast="3"/>
            <w:bookmarkStart w:id="677" w:name="OLE_LINK151" w:colFirst="0" w:colLast="0"/>
            <w:r>
              <w:rPr>
                <w:rFonts w:hint="default" w:ascii="Times New Roman" w:hAnsi="Times New Roman" w:eastAsia="宋体" w:cs="Times New Roman"/>
                <w:b/>
                <w:bCs/>
                <w:color w:val="auto"/>
                <w:sz w:val="21"/>
                <w:szCs w:val="21"/>
                <w:highlight w:val="none"/>
                <w:lang w:val="en-US" w:eastAsia="zh-CN"/>
              </w:rPr>
              <w:t>序号</w:t>
            </w:r>
          </w:p>
        </w:tc>
        <w:tc>
          <w:tcPr>
            <w:tcW w:w="2533" w:type="dxa"/>
            <w:tcBorders>
              <w:tl2br w:val="nil"/>
              <w:tr2bl w:val="nil"/>
            </w:tcBorders>
            <w:vAlign w:val="center"/>
          </w:tcPr>
          <w:p w14:paraId="7C31AE63">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污染物项目</w:t>
            </w:r>
          </w:p>
        </w:tc>
        <w:tc>
          <w:tcPr>
            <w:tcW w:w="2584" w:type="dxa"/>
            <w:tcBorders>
              <w:tl2br w:val="nil"/>
              <w:tr2bl w:val="nil"/>
            </w:tcBorders>
            <w:vAlign w:val="center"/>
          </w:tcPr>
          <w:p w14:paraId="253FF17F">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排放限值</w:t>
            </w:r>
          </w:p>
        </w:tc>
        <w:tc>
          <w:tcPr>
            <w:tcW w:w="2705" w:type="dxa"/>
            <w:tcBorders>
              <w:tl2br w:val="nil"/>
              <w:tr2bl w:val="nil"/>
            </w:tcBorders>
            <w:vAlign w:val="center"/>
          </w:tcPr>
          <w:p w14:paraId="1B0467D3">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污染物排放监控位置</w:t>
            </w:r>
          </w:p>
        </w:tc>
      </w:tr>
      <w:bookmarkEnd w:id="676"/>
      <w:tr w14:paraId="5745B6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 w:type="dxa"/>
            <w:tcBorders>
              <w:tl2br w:val="nil"/>
              <w:tr2bl w:val="nil"/>
            </w:tcBorders>
            <w:vAlign w:val="center"/>
          </w:tcPr>
          <w:p w14:paraId="2607C9BC">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2533" w:type="dxa"/>
            <w:tcBorders>
              <w:tl2br w:val="nil"/>
              <w:tr2bl w:val="nil"/>
            </w:tcBorders>
            <w:vAlign w:val="center"/>
          </w:tcPr>
          <w:p w14:paraId="36F44F3D">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NMHC</w:t>
            </w:r>
          </w:p>
        </w:tc>
        <w:tc>
          <w:tcPr>
            <w:tcW w:w="2584" w:type="dxa"/>
            <w:tcBorders>
              <w:tl2br w:val="nil"/>
              <w:tr2bl w:val="nil"/>
            </w:tcBorders>
            <w:vAlign w:val="center"/>
          </w:tcPr>
          <w:p w14:paraId="0A9319FE">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2705" w:type="dxa"/>
            <w:vMerge w:val="restart"/>
            <w:tcBorders>
              <w:tl2br w:val="nil"/>
              <w:tr2bl w:val="nil"/>
            </w:tcBorders>
            <w:vAlign w:val="center"/>
          </w:tcPr>
          <w:p w14:paraId="7D212290">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车间或生产设施排气筒</w:t>
            </w:r>
          </w:p>
        </w:tc>
      </w:tr>
      <w:tr w14:paraId="3B26B8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 w:type="dxa"/>
            <w:tcBorders>
              <w:tl2br w:val="nil"/>
              <w:tr2bl w:val="nil"/>
            </w:tcBorders>
            <w:vAlign w:val="center"/>
          </w:tcPr>
          <w:p w14:paraId="0693C119">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2533" w:type="dxa"/>
            <w:tcBorders>
              <w:tl2br w:val="nil"/>
              <w:tr2bl w:val="nil"/>
            </w:tcBorders>
            <w:vAlign w:val="center"/>
          </w:tcPr>
          <w:p w14:paraId="19ADE25F">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硫化氢</w:t>
            </w:r>
          </w:p>
        </w:tc>
        <w:tc>
          <w:tcPr>
            <w:tcW w:w="2584" w:type="dxa"/>
            <w:tcBorders>
              <w:tl2br w:val="nil"/>
              <w:tr2bl w:val="nil"/>
            </w:tcBorders>
            <w:vAlign w:val="center"/>
          </w:tcPr>
          <w:p w14:paraId="524CEE2A">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705" w:type="dxa"/>
            <w:vMerge w:val="continue"/>
            <w:tcBorders>
              <w:tl2br w:val="nil"/>
              <w:tr2bl w:val="nil"/>
            </w:tcBorders>
            <w:vAlign w:val="center"/>
          </w:tcPr>
          <w:p w14:paraId="4130E8B0">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70A050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 w:type="dxa"/>
            <w:tcBorders>
              <w:tl2br w:val="nil"/>
              <w:tr2bl w:val="nil"/>
            </w:tcBorders>
            <w:vAlign w:val="center"/>
          </w:tcPr>
          <w:p w14:paraId="624E73D0">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533" w:type="dxa"/>
            <w:tcBorders>
              <w:tl2br w:val="nil"/>
              <w:tr2bl w:val="nil"/>
            </w:tcBorders>
            <w:vAlign w:val="center"/>
          </w:tcPr>
          <w:p w14:paraId="7E51710B">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氨</w:t>
            </w:r>
          </w:p>
        </w:tc>
        <w:tc>
          <w:tcPr>
            <w:tcW w:w="2584" w:type="dxa"/>
            <w:tcBorders>
              <w:tl2br w:val="nil"/>
              <w:tr2bl w:val="nil"/>
            </w:tcBorders>
            <w:vAlign w:val="center"/>
          </w:tcPr>
          <w:p w14:paraId="12530EB7">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2705" w:type="dxa"/>
            <w:vMerge w:val="continue"/>
            <w:tcBorders>
              <w:tl2br w:val="nil"/>
              <w:tr2bl w:val="nil"/>
            </w:tcBorders>
            <w:vAlign w:val="center"/>
          </w:tcPr>
          <w:p w14:paraId="58AE65E4">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5D6E79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 w:type="dxa"/>
            <w:tcBorders>
              <w:tl2br w:val="nil"/>
              <w:tr2bl w:val="nil"/>
            </w:tcBorders>
            <w:vAlign w:val="center"/>
          </w:tcPr>
          <w:p w14:paraId="527E8275">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2533" w:type="dxa"/>
            <w:tcBorders>
              <w:tl2br w:val="nil"/>
              <w:tr2bl w:val="nil"/>
            </w:tcBorders>
            <w:vAlign w:val="center"/>
          </w:tcPr>
          <w:p w14:paraId="1609BE3B">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臭气浓度</w:t>
            </w:r>
            <w:r>
              <w:rPr>
                <w:rFonts w:hint="default" w:ascii="Times New Roman" w:hAnsi="Times New Roman" w:eastAsia="宋体" w:cs="Times New Roman"/>
                <w:color w:val="auto"/>
                <w:sz w:val="21"/>
                <w:szCs w:val="21"/>
                <w:highlight w:val="none"/>
                <w:vertAlign w:val="superscript"/>
                <w:lang w:val="en-US" w:eastAsia="zh-CN"/>
              </w:rPr>
              <w:t>a</w:t>
            </w:r>
          </w:p>
        </w:tc>
        <w:tc>
          <w:tcPr>
            <w:tcW w:w="2584" w:type="dxa"/>
            <w:tcBorders>
              <w:tl2br w:val="nil"/>
              <w:tr2bl w:val="nil"/>
            </w:tcBorders>
            <w:vAlign w:val="center"/>
          </w:tcPr>
          <w:p w14:paraId="33A8B0D7">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1000</w:t>
            </w:r>
          </w:p>
        </w:tc>
        <w:tc>
          <w:tcPr>
            <w:tcW w:w="2705" w:type="dxa"/>
            <w:vMerge w:val="continue"/>
            <w:tcBorders>
              <w:tl2br w:val="nil"/>
              <w:tr2bl w:val="nil"/>
            </w:tcBorders>
            <w:vAlign w:val="center"/>
          </w:tcPr>
          <w:p w14:paraId="7C72AC9A">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38E5ED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51" w:type="dxa"/>
            <w:gridSpan w:val="4"/>
            <w:tcBorders>
              <w:tl2br w:val="nil"/>
              <w:tr2bl w:val="nil"/>
            </w:tcBorders>
            <w:vAlign w:val="center"/>
          </w:tcPr>
          <w:p w14:paraId="5A0E7EC6">
            <w:pPr>
              <w:widowControl w:val="0"/>
              <w:bidi w:val="0"/>
              <w:jc w:val="both"/>
              <w:rPr>
                <w:rFonts w:hint="default" w:ascii="Times New Roman" w:hAnsi="Times New Roman" w:eastAsia="宋体" w:cs="Times New Roman"/>
                <w:color w:val="auto"/>
                <w:sz w:val="21"/>
                <w:szCs w:val="21"/>
                <w:highlight w:val="none"/>
                <w:lang w:val="en-US" w:eastAsia="zh-CN"/>
              </w:rPr>
            </w:pPr>
            <w:bookmarkStart w:id="678" w:name="OLE_LINK149"/>
            <w:r>
              <w:rPr>
                <w:rFonts w:hint="default" w:ascii="Times New Roman" w:hAnsi="Times New Roman" w:eastAsia="宋体" w:cs="Times New Roman"/>
                <w:color w:val="auto"/>
                <w:sz w:val="21"/>
                <w:szCs w:val="21"/>
                <w:highlight w:val="none"/>
                <w:vertAlign w:val="superscript"/>
                <w:lang w:val="en-US" w:eastAsia="zh-CN"/>
              </w:rPr>
              <w:t>a</w:t>
            </w:r>
            <w:bookmarkEnd w:id="678"/>
            <w:r>
              <w:rPr>
                <w:rFonts w:hint="default" w:ascii="Times New Roman" w:hAnsi="Times New Roman" w:eastAsia="宋体" w:cs="Times New Roman"/>
                <w:color w:val="auto"/>
                <w:sz w:val="21"/>
                <w:szCs w:val="21"/>
                <w:highlight w:val="none"/>
                <w:lang w:val="en-US" w:eastAsia="zh-CN"/>
              </w:rPr>
              <w:t xml:space="preserve">  无量纲，为最大一次值</w:t>
            </w:r>
          </w:p>
        </w:tc>
      </w:tr>
      <w:bookmarkEnd w:id="673"/>
      <w:bookmarkEnd w:id="677"/>
    </w:tbl>
    <w:p w14:paraId="2B4E3E37">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eastAsia" w:ascii="Times New Roman" w:hAnsi="Times New Roman" w:eastAsia="宋体" w:cs="Times New Roman"/>
          <w:b/>
          <w:bCs/>
          <w:color w:val="auto"/>
          <w:spacing w:val="-4"/>
          <w:sz w:val="24"/>
          <w:szCs w:val="24"/>
          <w:highlight w:val="none"/>
          <w:lang w:val="en-US" w:eastAsia="zh-CN"/>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2-17  制药工业燃烧（焚烧、氧化）装置大气污染物排放限值</w:t>
      </w:r>
      <w:bookmarkStart w:id="679" w:name="pindex1911"/>
      <w:bookmarkEnd w:id="679"/>
    </w:p>
    <w:p w14:paraId="5B84CEEC">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eastAsia="宋体" w:cs="Times New Roman"/>
          <w:b/>
          <w:bCs/>
          <w:color w:val="auto"/>
          <w:spacing w:val="-4"/>
          <w:sz w:val="24"/>
          <w:szCs w:val="24"/>
          <w:highlight w:val="none"/>
          <w:lang w:val="en-US" w:eastAsia="zh-CN"/>
        </w:rPr>
      </w:pPr>
      <w:r>
        <w:rPr>
          <w:rFonts w:hint="eastAsia" w:ascii="Times New Roman" w:hAnsi="Times New Roman" w:eastAsia="宋体" w:cs="Times New Roman"/>
          <w:b/>
          <w:bCs/>
          <w:color w:val="auto"/>
          <w:spacing w:val="-4"/>
          <w:sz w:val="24"/>
          <w:szCs w:val="24"/>
          <w:highlight w:val="none"/>
          <w:lang w:val="en-US" w:eastAsia="zh-CN"/>
        </w:rPr>
        <w:t>（单位：mg/m</w:t>
      </w:r>
      <w:r>
        <w:rPr>
          <w:rFonts w:hint="eastAsia" w:ascii="Times New Roman" w:hAnsi="Times New Roman" w:eastAsia="宋体" w:cs="Times New Roman"/>
          <w:b/>
          <w:bCs/>
          <w:color w:val="auto"/>
          <w:spacing w:val="-4"/>
          <w:sz w:val="24"/>
          <w:szCs w:val="24"/>
          <w:highlight w:val="none"/>
          <w:vertAlign w:val="superscript"/>
          <w:lang w:val="en-US" w:eastAsia="zh-CN"/>
        </w:rPr>
        <w:t>3</w:t>
      </w:r>
      <w:r>
        <w:rPr>
          <w:rFonts w:hint="eastAsia" w:ascii="Times New Roman" w:hAnsi="Times New Roman" w:eastAsia="宋体" w:cs="Times New Roman"/>
          <w:b/>
          <w:bCs/>
          <w:color w:val="auto"/>
          <w:spacing w:val="-4"/>
          <w:sz w:val="24"/>
          <w:szCs w:val="24"/>
          <w:highlight w:val="none"/>
          <w:vertAlign w:val="baseline"/>
          <w:lang w:val="en-US" w:eastAsia="zh-CN"/>
        </w:rPr>
        <w:t>）</w:t>
      </w:r>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2510"/>
        <w:gridCol w:w="2564"/>
        <w:gridCol w:w="2677"/>
      </w:tblGrid>
      <w:tr w14:paraId="05E703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 w:type="dxa"/>
            <w:tcBorders>
              <w:tl2br w:val="nil"/>
              <w:tr2bl w:val="nil"/>
            </w:tcBorders>
            <w:vAlign w:val="center"/>
          </w:tcPr>
          <w:p w14:paraId="4EAA462A">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2533" w:type="dxa"/>
            <w:tcBorders>
              <w:tl2br w:val="nil"/>
              <w:tr2bl w:val="nil"/>
            </w:tcBorders>
            <w:vAlign w:val="center"/>
          </w:tcPr>
          <w:p w14:paraId="425A0025">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污染物项目</w:t>
            </w:r>
          </w:p>
        </w:tc>
        <w:tc>
          <w:tcPr>
            <w:tcW w:w="2584" w:type="dxa"/>
            <w:tcBorders>
              <w:tl2br w:val="nil"/>
              <w:tr2bl w:val="nil"/>
            </w:tcBorders>
            <w:vAlign w:val="center"/>
          </w:tcPr>
          <w:p w14:paraId="16A50075">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排放限值</w:t>
            </w:r>
          </w:p>
        </w:tc>
        <w:tc>
          <w:tcPr>
            <w:tcW w:w="2705" w:type="dxa"/>
            <w:tcBorders>
              <w:tl2br w:val="nil"/>
              <w:tr2bl w:val="nil"/>
            </w:tcBorders>
            <w:vAlign w:val="center"/>
          </w:tcPr>
          <w:p w14:paraId="425E25A3">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污染物排放监控位置</w:t>
            </w:r>
          </w:p>
        </w:tc>
      </w:tr>
      <w:tr w14:paraId="682103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 w:type="dxa"/>
            <w:tcBorders>
              <w:tl2br w:val="nil"/>
              <w:tr2bl w:val="nil"/>
            </w:tcBorders>
            <w:vAlign w:val="center"/>
          </w:tcPr>
          <w:p w14:paraId="3E304393">
            <w:pPr>
              <w:widowControl w:val="0"/>
              <w:bidi w:val="0"/>
              <w:jc w:val="center"/>
              <w:rPr>
                <w:rFonts w:hint="default" w:ascii="Times New Roman" w:hAnsi="Times New Roman" w:eastAsia="宋体" w:cs="Times New Roman"/>
                <w:color w:val="auto"/>
                <w:sz w:val="21"/>
                <w:szCs w:val="21"/>
                <w:highlight w:val="none"/>
                <w:lang w:val="en-US" w:eastAsia="zh-CN"/>
              </w:rPr>
            </w:pPr>
            <w:bookmarkStart w:id="680" w:name="OLE_LINK173" w:colFirst="1" w:colLast="2"/>
            <w:r>
              <w:rPr>
                <w:rFonts w:hint="default" w:ascii="Times New Roman" w:hAnsi="Times New Roman" w:eastAsia="宋体" w:cs="Times New Roman"/>
                <w:color w:val="auto"/>
                <w:sz w:val="21"/>
                <w:szCs w:val="21"/>
                <w:highlight w:val="none"/>
                <w:lang w:val="en-US" w:eastAsia="zh-CN"/>
              </w:rPr>
              <w:t>1</w:t>
            </w:r>
          </w:p>
        </w:tc>
        <w:tc>
          <w:tcPr>
            <w:tcW w:w="2533" w:type="dxa"/>
            <w:tcBorders>
              <w:tl2br w:val="nil"/>
              <w:tr2bl w:val="nil"/>
            </w:tcBorders>
            <w:vAlign w:val="center"/>
          </w:tcPr>
          <w:p w14:paraId="414013E0">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SO</w:t>
            </w:r>
            <w:bookmarkStart w:id="681" w:name="OLE_LINK176"/>
            <w:r>
              <w:rPr>
                <w:rFonts w:hint="eastAsia" w:ascii="Times New Roman" w:hAnsi="Times New Roman" w:eastAsia="宋体" w:cs="Times New Roman"/>
                <w:color w:val="auto"/>
                <w:sz w:val="21"/>
                <w:szCs w:val="21"/>
                <w:highlight w:val="none"/>
                <w:vertAlign w:val="subscript"/>
                <w:lang w:val="en-US" w:eastAsia="zh-CN"/>
              </w:rPr>
              <w:t>2</w:t>
            </w:r>
            <w:bookmarkEnd w:id="681"/>
          </w:p>
        </w:tc>
        <w:tc>
          <w:tcPr>
            <w:tcW w:w="2584" w:type="dxa"/>
            <w:tcBorders>
              <w:tl2br w:val="nil"/>
              <w:tr2bl w:val="nil"/>
            </w:tcBorders>
            <w:vAlign w:val="center"/>
          </w:tcPr>
          <w:p w14:paraId="1E929772">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w:t>
            </w:r>
          </w:p>
        </w:tc>
        <w:tc>
          <w:tcPr>
            <w:tcW w:w="2705" w:type="dxa"/>
            <w:vMerge w:val="restart"/>
            <w:tcBorders>
              <w:tl2br w:val="nil"/>
              <w:tr2bl w:val="nil"/>
            </w:tcBorders>
            <w:vAlign w:val="center"/>
          </w:tcPr>
          <w:p w14:paraId="6B62D4A0">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热氧化处理装置排气筒</w:t>
            </w:r>
          </w:p>
        </w:tc>
      </w:tr>
      <w:tr w14:paraId="6A8415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 w:type="dxa"/>
            <w:tcBorders>
              <w:tl2br w:val="nil"/>
              <w:tr2bl w:val="nil"/>
            </w:tcBorders>
            <w:vAlign w:val="center"/>
          </w:tcPr>
          <w:p w14:paraId="62C37518">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2533" w:type="dxa"/>
            <w:tcBorders>
              <w:tl2br w:val="nil"/>
              <w:tr2bl w:val="nil"/>
            </w:tcBorders>
            <w:vAlign w:val="center"/>
          </w:tcPr>
          <w:p w14:paraId="68CBAA12">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NOx</w:t>
            </w:r>
          </w:p>
        </w:tc>
        <w:tc>
          <w:tcPr>
            <w:tcW w:w="2584" w:type="dxa"/>
            <w:tcBorders>
              <w:tl2br w:val="nil"/>
              <w:tr2bl w:val="nil"/>
            </w:tcBorders>
            <w:vAlign w:val="center"/>
          </w:tcPr>
          <w:p w14:paraId="5A7BBA68">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p>
        </w:tc>
        <w:tc>
          <w:tcPr>
            <w:tcW w:w="2705" w:type="dxa"/>
            <w:vMerge w:val="continue"/>
            <w:tcBorders>
              <w:tl2br w:val="nil"/>
              <w:tr2bl w:val="nil"/>
            </w:tcBorders>
            <w:vAlign w:val="center"/>
          </w:tcPr>
          <w:p w14:paraId="1F48F04E">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64B7B3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 w:type="dxa"/>
            <w:tcBorders>
              <w:tl2br w:val="nil"/>
              <w:tr2bl w:val="nil"/>
            </w:tcBorders>
            <w:vAlign w:val="center"/>
          </w:tcPr>
          <w:p w14:paraId="520D3F2E">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533" w:type="dxa"/>
            <w:tcBorders>
              <w:tl2br w:val="nil"/>
              <w:tr2bl w:val="nil"/>
            </w:tcBorders>
            <w:vAlign w:val="center"/>
          </w:tcPr>
          <w:p w14:paraId="0B8583D0">
            <w:pPr>
              <w:widowControl w:val="0"/>
              <w:bidi w:val="0"/>
              <w:jc w:val="center"/>
              <w:rPr>
                <w:rFonts w:hint="default" w:ascii="Times New Roman" w:hAnsi="Times New Roman" w:eastAsia="宋体" w:cs="Times New Roman"/>
                <w:color w:val="auto"/>
                <w:sz w:val="21"/>
                <w:szCs w:val="21"/>
                <w:highlight w:val="none"/>
                <w:lang w:val="en-US" w:eastAsia="zh-CN"/>
              </w:rPr>
            </w:pPr>
            <w:r>
              <w:rPr>
                <w:rFonts w:ascii="宋体" w:hAnsi="宋体" w:eastAsia="宋体" w:cs="宋体"/>
                <w:color w:val="auto"/>
                <w:sz w:val="21"/>
                <w:szCs w:val="21"/>
                <w:highlight w:val="none"/>
              </w:rPr>
              <w:t>二噁英类</w:t>
            </w:r>
            <w:bookmarkStart w:id="682" w:name="OLE_LINK174"/>
            <w:r>
              <w:rPr>
                <w:rFonts w:ascii="宋体" w:hAnsi="宋体" w:eastAsia="宋体" w:cs="宋体"/>
                <w:color w:val="auto"/>
                <w:sz w:val="21"/>
                <w:szCs w:val="21"/>
                <w:highlight w:val="none"/>
                <w:vertAlign w:val="superscript"/>
              </w:rPr>
              <w:t>a</w:t>
            </w:r>
            <w:bookmarkEnd w:id="682"/>
          </w:p>
        </w:tc>
        <w:tc>
          <w:tcPr>
            <w:tcW w:w="2584" w:type="dxa"/>
            <w:tcBorders>
              <w:tl2br w:val="nil"/>
              <w:tr2bl w:val="nil"/>
            </w:tcBorders>
            <w:vAlign w:val="center"/>
          </w:tcPr>
          <w:p w14:paraId="520F5987">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0.1ng-TED/m</w:t>
            </w:r>
            <w:bookmarkStart w:id="683" w:name="OLE_LINK175"/>
            <w:r>
              <w:rPr>
                <w:rFonts w:hint="eastAsia" w:ascii="Times New Roman" w:hAnsi="Times New Roman" w:eastAsia="宋体" w:cs="Times New Roman"/>
                <w:color w:val="auto"/>
                <w:sz w:val="21"/>
                <w:szCs w:val="21"/>
                <w:highlight w:val="none"/>
                <w:vertAlign w:val="superscript"/>
                <w:lang w:val="en-US" w:eastAsia="zh-CN"/>
              </w:rPr>
              <w:t>3</w:t>
            </w:r>
            <w:bookmarkEnd w:id="683"/>
          </w:p>
        </w:tc>
        <w:tc>
          <w:tcPr>
            <w:tcW w:w="2705" w:type="dxa"/>
            <w:vMerge w:val="continue"/>
            <w:tcBorders>
              <w:tl2br w:val="nil"/>
              <w:tr2bl w:val="nil"/>
            </w:tcBorders>
            <w:vAlign w:val="center"/>
          </w:tcPr>
          <w:p w14:paraId="427622E6">
            <w:pPr>
              <w:widowControl w:val="0"/>
              <w:bidi w:val="0"/>
              <w:jc w:val="center"/>
              <w:rPr>
                <w:rFonts w:hint="default" w:ascii="Times New Roman" w:hAnsi="Times New Roman" w:eastAsia="宋体" w:cs="Times New Roman"/>
                <w:color w:val="auto"/>
                <w:sz w:val="21"/>
                <w:szCs w:val="21"/>
                <w:highlight w:val="none"/>
                <w:lang w:val="en-US" w:eastAsia="zh-CN"/>
              </w:rPr>
            </w:pPr>
          </w:p>
        </w:tc>
      </w:tr>
      <w:bookmarkEnd w:id="680"/>
      <w:tr w14:paraId="204F59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8651" w:type="dxa"/>
            <w:gridSpan w:val="4"/>
            <w:tcBorders>
              <w:tl2br w:val="nil"/>
              <w:tr2bl w:val="nil"/>
            </w:tcBorders>
            <w:vAlign w:val="center"/>
          </w:tcPr>
          <w:p w14:paraId="5CC75904">
            <w:pPr>
              <w:widowControl w:val="0"/>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vertAlign w:val="superscript"/>
                <w:lang w:val="en-US" w:eastAsia="zh-CN"/>
              </w:rPr>
              <w:t>a</w:t>
            </w:r>
            <w:r>
              <w:rPr>
                <w:rFonts w:hint="default" w:ascii="Times New Roman" w:hAnsi="Times New Roman" w:eastAsia="宋体" w:cs="Times New Roman"/>
                <w:color w:val="auto"/>
                <w:sz w:val="21"/>
                <w:szCs w:val="21"/>
                <w:highlight w:val="none"/>
                <w:lang w:val="en-US" w:eastAsia="zh-CN"/>
              </w:rPr>
              <w:t xml:space="preserve">  </w:t>
            </w:r>
            <w:r>
              <w:rPr>
                <w:rFonts w:hint="eastAsia" w:ascii="Times New Roman" w:hAnsi="Times New Roman" w:eastAsia="宋体" w:cs="Times New Roman"/>
                <w:color w:val="auto"/>
                <w:sz w:val="21"/>
                <w:szCs w:val="21"/>
                <w:highlight w:val="none"/>
                <w:lang w:val="en-US" w:eastAsia="zh-CN"/>
              </w:rPr>
              <w:t>燃烧含氯有机废气时，需监测该指标。</w:t>
            </w:r>
          </w:p>
        </w:tc>
      </w:tr>
    </w:tbl>
    <w:p w14:paraId="1B5A8ABD">
      <w:pPr>
        <w:widowControl/>
        <w:adjustRightInd w:val="0"/>
        <w:snapToGrid w:val="0"/>
        <w:jc w:val="center"/>
        <w:rPr>
          <w:rFonts w:hint="default" w:ascii="Times New Roman" w:hAnsi="Times New Roman" w:eastAsia="宋体" w:cs="Times New Roman"/>
          <w:b/>
          <w:color w:val="auto"/>
          <w:sz w:val="24"/>
          <w:highlight w:val="none"/>
        </w:rPr>
      </w:pPr>
      <w:bookmarkStart w:id="684" w:name="_Hlk83663006"/>
      <w:bookmarkStart w:id="685" w:name="OLE_LINK178"/>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2-18  </w:t>
      </w:r>
      <w:r>
        <w:rPr>
          <w:rFonts w:hint="default" w:ascii="Times New Roman" w:hAnsi="Times New Roman" w:eastAsia="宋体" w:cs="Times New Roman"/>
          <w:b/>
          <w:color w:val="auto"/>
          <w:sz w:val="24"/>
          <w:highlight w:val="none"/>
        </w:rPr>
        <w:t>制药工业大气污染物无组织及企业边界控制要求</w:t>
      </w:r>
      <w:bookmarkStart w:id="686" w:name="pindex1930"/>
      <w:bookmarkEnd w:id="686"/>
      <w:bookmarkStart w:id="687" w:name="OLE_LINK179"/>
    </w:p>
    <w:bookmarkEnd w:id="684"/>
    <w:bookmarkEnd w:id="687"/>
    <w:tbl>
      <w:tblPr>
        <w:tblStyle w:val="19"/>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0"/>
        <w:gridCol w:w="1305"/>
        <w:gridCol w:w="2577"/>
        <w:gridCol w:w="1321"/>
        <w:gridCol w:w="1703"/>
      </w:tblGrid>
      <w:tr w14:paraId="3BAFF7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968" w:type="pct"/>
            <w:noWrap w:val="0"/>
            <w:vAlign w:val="center"/>
          </w:tcPr>
          <w:p w14:paraId="3E71F8E5">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污染物项目</w:t>
            </w:r>
          </w:p>
        </w:tc>
        <w:tc>
          <w:tcPr>
            <w:tcW w:w="761" w:type="pct"/>
            <w:noWrap w:val="0"/>
            <w:vAlign w:val="center"/>
          </w:tcPr>
          <w:p w14:paraId="5AB3DE1B">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监控点限值（mg/m</w:t>
            </w:r>
            <w:r>
              <w:rPr>
                <w:rFonts w:hint="default" w:ascii="Times New Roman" w:hAnsi="Times New Roman" w:eastAsia="宋体" w:cs="Times New Roman"/>
                <w:b/>
                <w:color w:val="auto"/>
                <w:szCs w:val="21"/>
                <w:highlight w:val="none"/>
                <w:vertAlign w:val="superscript"/>
              </w:rPr>
              <w:t>3</w:t>
            </w:r>
            <w:r>
              <w:rPr>
                <w:rFonts w:hint="default" w:ascii="Times New Roman" w:hAnsi="Times New Roman" w:eastAsia="宋体" w:cs="Times New Roman"/>
                <w:b/>
                <w:color w:val="auto"/>
                <w:szCs w:val="21"/>
                <w:highlight w:val="none"/>
              </w:rPr>
              <w:t>）</w:t>
            </w:r>
          </w:p>
        </w:tc>
        <w:tc>
          <w:tcPr>
            <w:tcW w:w="1504" w:type="pct"/>
            <w:noWrap w:val="0"/>
            <w:vAlign w:val="center"/>
          </w:tcPr>
          <w:p w14:paraId="0FB73306">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限值含义</w:t>
            </w:r>
          </w:p>
        </w:tc>
        <w:tc>
          <w:tcPr>
            <w:tcW w:w="771" w:type="pct"/>
            <w:noWrap w:val="0"/>
            <w:vAlign w:val="center"/>
          </w:tcPr>
          <w:p w14:paraId="3D281E21">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无组织排放监控位置</w:t>
            </w:r>
          </w:p>
        </w:tc>
        <w:tc>
          <w:tcPr>
            <w:tcW w:w="993" w:type="pct"/>
            <w:noWrap w:val="0"/>
            <w:vAlign w:val="center"/>
          </w:tcPr>
          <w:p w14:paraId="53A7BD43">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标准来源</w:t>
            </w:r>
          </w:p>
        </w:tc>
      </w:tr>
      <w:tr w14:paraId="4BEC41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68" w:type="pct"/>
            <w:vMerge w:val="restart"/>
            <w:noWrap w:val="0"/>
            <w:vAlign w:val="center"/>
          </w:tcPr>
          <w:p w14:paraId="3E2FCCC5">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NMHC</w:t>
            </w:r>
          </w:p>
        </w:tc>
        <w:tc>
          <w:tcPr>
            <w:tcW w:w="761" w:type="pct"/>
            <w:noWrap w:val="0"/>
            <w:vAlign w:val="center"/>
          </w:tcPr>
          <w:p w14:paraId="38FF3C39">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w:t>
            </w:r>
          </w:p>
        </w:tc>
        <w:tc>
          <w:tcPr>
            <w:tcW w:w="1504" w:type="pct"/>
            <w:noWrap w:val="0"/>
            <w:vAlign w:val="center"/>
          </w:tcPr>
          <w:p w14:paraId="7EECB07A">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监控点处1h平均浓度值</w:t>
            </w:r>
          </w:p>
        </w:tc>
        <w:tc>
          <w:tcPr>
            <w:tcW w:w="771" w:type="pct"/>
            <w:vMerge w:val="restart"/>
            <w:noWrap w:val="0"/>
            <w:vAlign w:val="center"/>
          </w:tcPr>
          <w:p w14:paraId="22AF2ECC">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在厂房外设置监控点</w:t>
            </w:r>
          </w:p>
        </w:tc>
        <w:tc>
          <w:tcPr>
            <w:tcW w:w="993" w:type="pct"/>
            <w:vMerge w:val="restart"/>
            <w:noWrap w:val="0"/>
            <w:vAlign w:val="center"/>
          </w:tcPr>
          <w:p w14:paraId="4EA59C6F">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《制药工业大气污染物排放标准》（DB32/4042-2021）</w:t>
            </w:r>
          </w:p>
        </w:tc>
      </w:tr>
      <w:tr w14:paraId="1001A4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68" w:type="pct"/>
            <w:vMerge w:val="continue"/>
            <w:noWrap w:val="0"/>
            <w:vAlign w:val="center"/>
          </w:tcPr>
          <w:p w14:paraId="322B8B1F">
            <w:pPr>
              <w:adjustRightInd w:val="0"/>
              <w:snapToGrid w:val="0"/>
              <w:jc w:val="center"/>
              <w:rPr>
                <w:rFonts w:hint="default" w:ascii="Times New Roman" w:hAnsi="Times New Roman" w:eastAsia="宋体" w:cs="Times New Roman"/>
                <w:color w:val="auto"/>
                <w:szCs w:val="21"/>
                <w:highlight w:val="none"/>
              </w:rPr>
            </w:pPr>
          </w:p>
        </w:tc>
        <w:tc>
          <w:tcPr>
            <w:tcW w:w="761" w:type="pct"/>
            <w:noWrap w:val="0"/>
            <w:vAlign w:val="center"/>
          </w:tcPr>
          <w:p w14:paraId="5EABED0B">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1504" w:type="pct"/>
            <w:noWrap w:val="0"/>
            <w:vAlign w:val="center"/>
          </w:tcPr>
          <w:p w14:paraId="3252F078">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监控点处任意一次浓度值</w:t>
            </w:r>
          </w:p>
        </w:tc>
        <w:tc>
          <w:tcPr>
            <w:tcW w:w="771" w:type="pct"/>
            <w:vMerge w:val="continue"/>
            <w:noWrap w:val="0"/>
            <w:vAlign w:val="center"/>
          </w:tcPr>
          <w:p w14:paraId="0E8FACF5">
            <w:pPr>
              <w:adjustRightInd w:val="0"/>
              <w:snapToGrid w:val="0"/>
              <w:jc w:val="center"/>
              <w:rPr>
                <w:rFonts w:hint="default" w:ascii="Times New Roman" w:hAnsi="Times New Roman" w:eastAsia="宋体" w:cs="Times New Roman"/>
                <w:color w:val="auto"/>
                <w:szCs w:val="21"/>
                <w:highlight w:val="none"/>
              </w:rPr>
            </w:pPr>
          </w:p>
        </w:tc>
        <w:tc>
          <w:tcPr>
            <w:tcW w:w="993" w:type="pct"/>
            <w:vMerge w:val="continue"/>
            <w:noWrap w:val="0"/>
            <w:vAlign w:val="center"/>
          </w:tcPr>
          <w:p w14:paraId="732F27F8">
            <w:pPr>
              <w:adjustRightInd w:val="0"/>
              <w:snapToGrid w:val="0"/>
              <w:jc w:val="center"/>
              <w:rPr>
                <w:rFonts w:hint="default" w:ascii="Times New Roman" w:hAnsi="Times New Roman" w:eastAsia="宋体" w:cs="Times New Roman"/>
                <w:color w:val="auto"/>
                <w:szCs w:val="21"/>
                <w:highlight w:val="none"/>
              </w:rPr>
            </w:pPr>
          </w:p>
        </w:tc>
      </w:tr>
      <w:tr w14:paraId="518F2D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68" w:type="pct"/>
            <w:noWrap w:val="0"/>
            <w:vAlign w:val="center"/>
          </w:tcPr>
          <w:p w14:paraId="13A02492">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甲醛</w:t>
            </w:r>
          </w:p>
        </w:tc>
        <w:tc>
          <w:tcPr>
            <w:tcW w:w="761" w:type="pct"/>
            <w:noWrap w:val="0"/>
            <w:vAlign w:val="center"/>
          </w:tcPr>
          <w:p w14:paraId="0CC90343">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0.2</w:t>
            </w:r>
          </w:p>
        </w:tc>
        <w:tc>
          <w:tcPr>
            <w:tcW w:w="1504" w:type="pct"/>
            <w:noWrap w:val="0"/>
            <w:vAlign w:val="center"/>
          </w:tcPr>
          <w:p w14:paraId="121AA20B">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任何1h平均浓度值</w:t>
            </w:r>
          </w:p>
        </w:tc>
        <w:tc>
          <w:tcPr>
            <w:tcW w:w="771" w:type="pct"/>
            <w:vMerge w:val="restart"/>
            <w:noWrap w:val="0"/>
            <w:vAlign w:val="center"/>
          </w:tcPr>
          <w:p w14:paraId="666A52EE">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企业边界</w:t>
            </w:r>
          </w:p>
        </w:tc>
        <w:tc>
          <w:tcPr>
            <w:tcW w:w="993" w:type="pct"/>
            <w:vMerge w:val="continue"/>
            <w:noWrap w:val="0"/>
            <w:vAlign w:val="center"/>
          </w:tcPr>
          <w:p w14:paraId="527436CE">
            <w:pPr>
              <w:adjustRightInd w:val="0"/>
              <w:snapToGrid w:val="0"/>
              <w:jc w:val="center"/>
              <w:rPr>
                <w:rFonts w:hint="default" w:ascii="Times New Roman" w:hAnsi="Times New Roman" w:eastAsia="宋体" w:cs="Times New Roman"/>
                <w:color w:val="auto"/>
                <w:szCs w:val="21"/>
                <w:highlight w:val="none"/>
              </w:rPr>
            </w:pPr>
          </w:p>
        </w:tc>
      </w:tr>
      <w:tr w14:paraId="240BEC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68" w:type="pct"/>
            <w:noWrap w:val="0"/>
            <w:vAlign w:val="center"/>
          </w:tcPr>
          <w:p w14:paraId="618E88CB">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氯化氢</w:t>
            </w:r>
          </w:p>
        </w:tc>
        <w:tc>
          <w:tcPr>
            <w:tcW w:w="761" w:type="pct"/>
            <w:noWrap w:val="0"/>
            <w:vAlign w:val="center"/>
          </w:tcPr>
          <w:p w14:paraId="22FEABC4">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0.2</w:t>
            </w:r>
          </w:p>
        </w:tc>
        <w:tc>
          <w:tcPr>
            <w:tcW w:w="1504" w:type="pct"/>
            <w:noWrap w:val="0"/>
            <w:vAlign w:val="center"/>
          </w:tcPr>
          <w:p w14:paraId="0A6689A2">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任何1h平均浓度值</w:t>
            </w:r>
          </w:p>
        </w:tc>
        <w:tc>
          <w:tcPr>
            <w:tcW w:w="771" w:type="pct"/>
            <w:vMerge w:val="continue"/>
            <w:noWrap w:val="0"/>
            <w:vAlign w:val="center"/>
          </w:tcPr>
          <w:p w14:paraId="5F8EAAA2">
            <w:pPr>
              <w:adjustRightInd w:val="0"/>
              <w:snapToGrid w:val="0"/>
              <w:jc w:val="center"/>
              <w:rPr>
                <w:rFonts w:hint="default" w:ascii="Times New Roman" w:hAnsi="Times New Roman" w:eastAsia="宋体" w:cs="Times New Roman"/>
                <w:color w:val="auto"/>
                <w:szCs w:val="21"/>
                <w:highlight w:val="none"/>
              </w:rPr>
            </w:pPr>
          </w:p>
        </w:tc>
        <w:tc>
          <w:tcPr>
            <w:tcW w:w="993" w:type="pct"/>
            <w:vMerge w:val="continue"/>
            <w:noWrap w:val="0"/>
            <w:vAlign w:val="center"/>
          </w:tcPr>
          <w:p w14:paraId="0BA292D9">
            <w:pPr>
              <w:adjustRightInd w:val="0"/>
              <w:snapToGrid w:val="0"/>
              <w:jc w:val="center"/>
              <w:rPr>
                <w:rFonts w:hint="default" w:ascii="Times New Roman" w:hAnsi="Times New Roman" w:eastAsia="宋体" w:cs="Times New Roman"/>
                <w:color w:val="auto"/>
                <w:szCs w:val="21"/>
                <w:highlight w:val="none"/>
              </w:rPr>
            </w:pPr>
          </w:p>
        </w:tc>
      </w:tr>
      <w:tr w14:paraId="233F6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68" w:type="pct"/>
            <w:noWrap w:val="0"/>
            <w:vAlign w:val="center"/>
          </w:tcPr>
          <w:p w14:paraId="49296CEE">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苯</w:t>
            </w:r>
          </w:p>
        </w:tc>
        <w:tc>
          <w:tcPr>
            <w:tcW w:w="761" w:type="pct"/>
            <w:noWrap w:val="0"/>
            <w:vAlign w:val="center"/>
          </w:tcPr>
          <w:p w14:paraId="365B60FF">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0.4</w:t>
            </w:r>
          </w:p>
        </w:tc>
        <w:tc>
          <w:tcPr>
            <w:tcW w:w="1504" w:type="pct"/>
            <w:noWrap w:val="0"/>
            <w:vAlign w:val="center"/>
          </w:tcPr>
          <w:p w14:paraId="5173484F">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任何1h平均浓度值</w:t>
            </w:r>
          </w:p>
        </w:tc>
        <w:tc>
          <w:tcPr>
            <w:tcW w:w="771" w:type="pct"/>
            <w:vMerge w:val="continue"/>
            <w:noWrap w:val="0"/>
            <w:vAlign w:val="center"/>
          </w:tcPr>
          <w:p w14:paraId="6C055ACD">
            <w:pPr>
              <w:adjustRightInd w:val="0"/>
              <w:snapToGrid w:val="0"/>
              <w:jc w:val="center"/>
              <w:rPr>
                <w:rFonts w:hint="default" w:ascii="Times New Roman" w:hAnsi="Times New Roman" w:eastAsia="宋体" w:cs="Times New Roman"/>
                <w:color w:val="auto"/>
                <w:szCs w:val="21"/>
                <w:highlight w:val="none"/>
              </w:rPr>
            </w:pPr>
          </w:p>
        </w:tc>
        <w:tc>
          <w:tcPr>
            <w:tcW w:w="993" w:type="pct"/>
            <w:vMerge w:val="continue"/>
            <w:noWrap w:val="0"/>
            <w:vAlign w:val="center"/>
          </w:tcPr>
          <w:p w14:paraId="0818567F">
            <w:pPr>
              <w:adjustRightInd w:val="0"/>
              <w:snapToGrid w:val="0"/>
              <w:jc w:val="center"/>
              <w:rPr>
                <w:rFonts w:hint="default" w:ascii="Times New Roman" w:hAnsi="Times New Roman" w:eastAsia="宋体" w:cs="Times New Roman"/>
                <w:color w:val="auto"/>
                <w:szCs w:val="21"/>
                <w:highlight w:val="none"/>
              </w:rPr>
            </w:pPr>
          </w:p>
        </w:tc>
      </w:tr>
      <w:tr w14:paraId="2E50A6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68" w:type="pct"/>
            <w:noWrap w:val="0"/>
            <w:vAlign w:val="center"/>
          </w:tcPr>
          <w:p w14:paraId="22A09BDA">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臭气浓度（无量纲）</w:t>
            </w:r>
          </w:p>
        </w:tc>
        <w:tc>
          <w:tcPr>
            <w:tcW w:w="761" w:type="pct"/>
            <w:noWrap w:val="0"/>
            <w:vAlign w:val="center"/>
          </w:tcPr>
          <w:p w14:paraId="6EC2B4B8">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1504" w:type="pct"/>
            <w:noWrap w:val="0"/>
            <w:vAlign w:val="center"/>
          </w:tcPr>
          <w:p w14:paraId="56C42599">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最大一次浓度</w:t>
            </w:r>
          </w:p>
        </w:tc>
        <w:tc>
          <w:tcPr>
            <w:tcW w:w="771" w:type="pct"/>
            <w:vMerge w:val="continue"/>
            <w:noWrap w:val="0"/>
            <w:vAlign w:val="center"/>
          </w:tcPr>
          <w:p w14:paraId="5D8928F0">
            <w:pPr>
              <w:adjustRightInd w:val="0"/>
              <w:snapToGrid w:val="0"/>
              <w:jc w:val="center"/>
              <w:rPr>
                <w:rFonts w:hint="default" w:ascii="Times New Roman" w:hAnsi="Times New Roman" w:eastAsia="宋体" w:cs="Times New Roman"/>
                <w:color w:val="auto"/>
                <w:szCs w:val="21"/>
                <w:highlight w:val="none"/>
              </w:rPr>
            </w:pPr>
          </w:p>
        </w:tc>
        <w:tc>
          <w:tcPr>
            <w:tcW w:w="993" w:type="pct"/>
            <w:vMerge w:val="continue"/>
            <w:noWrap w:val="0"/>
            <w:vAlign w:val="center"/>
          </w:tcPr>
          <w:p w14:paraId="3D28EF29">
            <w:pPr>
              <w:adjustRightInd w:val="0"/>
              <w:snapToGrid w:val="0"/>
              <w:jc w:val="center"/>
              <w:rPr>
                <w:rFonts w:hint="default" w:ascii="Times New Roman" w:hAnsi="Times New Roman" w:eastAsia="宋体" w:cs="Times New Roman"/>
                <w:color w:val="auto"/>
                <w:szCs w:val="21"/>
                <w:highlight w:val="none"/>
              </w:rPr>
            </w:pPr>
          </w:p>
        </w:tc>
      </w:tr>
      <w:bookmarkEnd w:id="685"/>
    </w:tbl>
    <w:p w14:paraId="65DF80BD">
      <w:pPr>
        <w:widowControl/>
        <w:adjustRightInd w:val="0"/>
        <w:snapToGrid w:val="0"/>
        <w:jc w:val="center"/>
        <w:rPr>
          <w:rFonts w:hint="default" w:ascii="Times New Roman" w:hAnsi="Times New Roman" w:eastAsia="宋体" w:cs="Times New Roman"/>
          <w:b/>
          <w:color w:val="auto"/>
          <w:sz w:val="24"/>
          <w:highlight w:val="none"/>
        </w:rPr>
      </w:pPr>
      <w:bookmarkStart w:id="688" w:name="OLE_LINK180"/>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2-19</w:t>
      </w:r>
      <w:r>
        <w:rPr>
          <w:rFonts w:hint="default" w:ascii="Times New Roman" w:hAnsi="Times New Roman" w:eastAsia="宋体" w:cs="Times New Roman"/>
          <w:b/>
          <w:color w:val="auto"/>
          <w:sz w:val="24"/>
          <w:highlight w:val="none"/>
        </w:rPr>
        <w:t xml:space="preserve">  制药工业大气污染物排放标准</w:t>
      </w:r>
      <w:bookmarkStart w:id="689" w:name="pindex1966"/>
      <w:bookmarkEnd w:id="689"/>
    </w:p>
    <w:tbl>
      <w:tblPr>
        <w:tblStyle w:val="19"/>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67"/>
        <w:gridCol w:w="1560"/>
        <w:gridCol w:w="2330"/>
        <w:gridCol w:w="914"/>
        <w:gridCol w:w="919"/>
        <w:gridCol w:w="830"/>
        <w:gridCol w:w="1390"/>
      </w:tblGrid>
      <w:tr w14:paraId="7D5EF5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800" w:hRule="atLeast"/>
          <w:jc w:val="center"/>
        </w:trPr>
        <w:tc>
          <w:tcPr>
            <w:tcW w:w="278" w:type="pct"/>
            <w:noWrap w:val="0"/>
            <w:vAlign w:val="center"/>
          </w:tcPr>
          <w:p w14:paraId="6B72E593">
            <w:pPr>
              <w:adjustRightInd w:val="0"/>
              <w:snapToGrid w:val="0"/>
              <w:ind w:left="-141" w:leftChars="-67" w:right="-105" w:rightChars="-50"/>
              <w:jc w:val="center"/>
              <w:rPr>
                <w:rFonts w:hint="default" w:ascii="Times New Roman" w:hAnsi="Times New Roman" w:eastAsia="宋体" w:cs="Times New Roman"/>
                <w:b/>
                <w:color w:val="auto"/>
                <w:szCs w:val="21"/>
                <w:highlight w:val="none"/>
              </w:rPr>
            </w:pPr>
            <w:bookmarkStart w:id="690" w:name="OLE_LINK184" w:colFirst="2" w:colLast="3"/>
            <w:r>
              <w:rPr>
                <w:rFonts w:hint="default" w:ascii="Times New Roman" w:hAnsi="Times New Roman" w:eastAsia="宋体" w:cs="Times New Roman"/>
                <w:b/>
                <w:color w:val="auto"/>
                <w:szCs w:val="21"/>
                <w:highlight w:val="none"/>
              </w:rPr>
              <w:t>序号</w:t>
            </w:r>
          </w:p>
        </w:tc>
        <w:tc>
          <w:tcPr>
            <w:tcW w:w="927" w:type="pct"/>
            <w:noWrap w:val="0"/>
            <w:vAlign w:val="center"/>
          </w:tcPr>
          <w:p w14:paraId="54505E2D">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污染物项目</w:t>
            </w:r>
          </w:p>
        </w:tc>
        <w:tc>
          <w:tcPr>
            <w:tcW w:w="1385" w:type="pct"/>
            <w:noWrap w:val="0"/>
            <w:vAlign w:val="center"/>
          </w:tcPr>
          <w:p w14:paraId="53B127F0">
            <w:pPr>
              <w:adjustRightInd w:val="0"/>
              <w:snapToGrid w:val="0"/>
              <w:jc w:val="center"/>
              <w:rPr>
                <w:rFonts w:hint="default" w:ascii="Times New Roman" w:hAnsi="Times New Roman" w:eastAsia="宋体" w:cs="Times New Roman"/>
                <w:b/>
                <w:color w:val="auto"/>
                <w:szCs w:val="21"/>
                <w:highlight w:val="none"/>
                <w:lang w:val="en-US" w:eastAsia="zh-CN"/>
              </w:rPr>
            </w:pPr>
            <w:r>
              <w:rPr>
                <w:rFonts w:hint="eastAsia" w:ascii="Times New Roman" w:hAnsi="Times New Roman" w:eastAsia="宋体" w:cs="Times New Roman"/>
                <w:b/>
                <w:color w:val="auto"/>
                <w:szCs w:val="21"/>
                <w:highlight w:val="none"/>
                <w:lang w:val="en-US" w:eastAsia="zh-CN"/>
              </w:rPr>
              <w:t>化学药品原料药制造、兽用药品原料药制造、生物药品制品制造、医药中间体生产和药物研发机构工艺废气</w:t>
            </w:r>
          </w:p>
        </w:tc>
        <w:tc>
          <w:tcPr>
            <w:tcW w:w="543" w:type="pct"/>
            <w:noWrap w:val="0"/>
            <w:vAlign w:val="center"/>
          </w:tcPr>
          <w:p w14:paraId="3C8B2518">
            <w:pPr>
              <w:adjustRightInd w:val="0"/>
              <w:snapToGrid w:val="0"/>
              <w:jc w:val="center"/>
              <w:rPr>
                <w:rFonts w:hint="default" w:ascii="Times New Roman" w:hAnsi="Times New Roman" w:eastAsia="宋体" w:cs="Times New Roman"/>
                <w:b/>
                <w:color w:val="auto"/>
                <w:szCs w:val="21"/>
                <w:highlight w:val="none"/>
              </w:rPr>
            </w:pPr>
            <w:r>
              <w:rPr>
                <w:rFonts w:hint="eastAsia" w:ascii="Times New Roman" w:hAnsi="Times New Roman" w:eastAsia="宋体" w:cs="Times New Roman"/>
                <w:b/>
                <w:color w:val="auto"/>
                <w:szCs w:val="21"/>
                <w:highlight w:val="none"/>
                <w:lang w:val="en-US" w:eastAsia="zh-CN"/>
              </w:rPr>
              <w:t>发酵尾气及其他制药</w:t>
            </w:r>
            <w:r>
              <w:rPr>
                <w:rFonts w:hint="default" w:ascii="Times New Roman" w:hAnsi="Times New Roman" w:eastAsia="宋体" w:cs="Times New Roman"/>
                <w:b/>
                <w:color w:val="auto"/>
                <w:szCs w:val="21"/>
                <w:highlight w:val="none"/>
              </w:rPr>
              <w:t>工艺废气</w:t>
            </w:r>
          </w:p>
        </w:tc>
        <w:tc>
          <w:tcPr>
            <w:tcW w:w="545" w:type="pct"/>
            <w:noWrap w:val="0"/>
            <w:vAlign w:val="center"/>
          </w:tcPr>
          <w:p w14:paraId="5E2D219D">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污水处理站废气</w:t>
            </w:r>
          </w:p>
        </w:tc>
        <w:tc>
          <w:tcPr>
            <w:tcW w:w="493" w:type="pct"/>
            <w:noWrap w:val="0"/>
            <w:vAlign w:val="center"/>
          </w:tcPr>
          <w:p w14:paraId="2AFD090D">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污染物排放监控位置</w:t>
            </w:r>
          </w:p>
        </w:tc>
        <w:tc>
          <w:tcPr>
            <w:tcW w:w="826" w:type="pct"/>
            <w:noWrap w:val="0"/>
            <w:vAlign w:val="center"/>
          </w:tcPr>
          <w:p w14:paraId="1BA8A2DD">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标准来源</w:t>
            </w:r>
          </w:p>
        </w:tc>
      </w:tr>
      <w:bookmarkEnd w:id="690"/>
      <w:tr w14:paraId="3F2657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05" w:hRule="atLeast"/>
          <w:jc w:val="center"/>
        </w:trPr>
        <w:tc>
          <w:tcPr>
            <w:tcW w:w="278" w:type="pct"/>
            <w:noWrap w:val="0"/>
            <w:vAlign w:val="center"/>
          </w:tcPr>
          <w:p w14:paraId="20AC9F5E">
            <w:pPr>
              <w:tabs>
                <w:tab w:val="left" w:pos="3960"/>
                <w:tab w:val="left" w:pos="8789"/>
              </w:tabs>
              <w:adjustRightInd w:val="0"/>
              <w:snapToGrid w:val="0"/>
              <w:ind w:left="-141" w:leftChars="-67"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927" w:type="pct"/>
            <w:noWrap w:val="0"/>
            <w:vAlign w:val="center"/>
          </w:tcPr>
          <w:p w14:paraId="0CBC95A6">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颗粒物</w:t>
            </w:r>
          </w:p>
        </w:tc>
        <w:tc>
          <w:tcPr>
            <w:tcW w:w="1385" w:type="pct"/>
            <w:noWrap w:val="0"/>
            <w:vAlign w:val="center"/>
          </w:tcPr>
          <w:p w14:paraId="349F126D">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20</w:t>
            </w:r>
          </w:p>
        </w:tc>
        <w:tc>
          <w:tcPr>
            <w:tcW w:w="543" w:type="pct"/>
            <w:noWrap w:val="0"/>
            <w:vAlign w:val="center"/>
          </w:tcPr>
          <w:p w14:paraId="02B114D1">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20</w:t>
            </w:r>
          </w:p>
        </w:tc>
        <w:tc>
          <w:tcPr>
            <w:tcW w:w="545" w:type="pct"/>
            <w:noWrap w:val="0"/>
            <w:vAlign w:val="center"/>
          </w:tcPr>
          <w:p w14:paraId="54735E15">
            <w:pPr>
              <w:adjustRightInd w:val="0"/>
              <w:snapToGrid w:val="0"/>
              <w:jc w:val="center"/>
              <w:rPr>
                <w:rFonts w:hint="eastAsia" w:ascii="Times New Roman" w:hAnsi="Times New Roman" w:eastAsia="宋体" w:cs="Times New Roman"/>
                <w:bCs/>
                <w:color w:val="auto"/>
                <w:szCs w:val="21"/>
                <w:highlight w:val="none"/>
                <w:lang w:eastAsia="zh-CN"/>
              </w:rPr>
            </w:pPr>
            <w:r>
              <w:rPr>
                <w:rFonts w:hint="eastAsia" w:ascii="Times New Roman" w:hAnsi="Times New Roman" w:eastAsia="宋体" w:cs="Times New Roman"/>
                <w:bCs/>
                <w:color w:val="auto"/>
                <w:szCs w:val="21"/>
                <w:highlight w:val="none"/>
                <w:lang w:val="en-US" w:eastAsia="zh-CN"/>
              </w:rPr>
              <w:t>-</w:t>
            </w:r>
          </w:p>
        </w:tc>
        <w:tc>
          <w:tcPr>
            <w:tcW w:w="493" w:type="pct"/>
            <w:vMerge w:val="restart"/>
            <w:noWrap w:val="0"/>
            <w:vAlign w:val="center"/>
          </w:tcPr>
          <w:p w14:paraId="69961D19">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车间或生产设施排气筒</w:t>
            </w:r>
          </w:p>
        </w:tc>
        <w:tc>
          <w:tcPr>
            <w:tcW w:w="826" w:type="pct"/>
            <w:vMerge w:val="restart"/>
            <w:noWrap w:val="0"/>
            <w:vAlign w:val="center"/>
          </w:tcPr>
          <w:p w14:paraId="3377E387">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《制药工业大气污染物排放标准》（GB37823-2019）</w:t>
            </w:r>
          </w:p>
        </w:tc>
      </w:tr>
      <w:tr w14:paraId="0A098C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278" w:type="pct"/>
            <w:noWrap w:val="0"/>
            <w:vAlign w:val="center"/>
          </w:tcPr>
          <w:p w14:paraId="658CD936">
            <w:pPr>
              <w:tabs>
                <w:tab w:val="left" w:pos="3960"/>
                <w:tab w:val="left" w:pos="8789"/>
              </w:tabs>
              <w:adjustRightInd w:val="0"/>
              <w:snapToGrid w:val="0"/>
              <w:ind w:left="-141" w:leftChars="-67"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927" w:type="pct"/>
            <w:noWrap w:val="0"/>
            <w:vAlign w:val="center"/>
          </w:tcPr>
          <w:p w14:paraId="671CDDE6">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NMHC</w:t>
            </w:r>
          </w:p>
        </w:tc>
        <w:tc>
          <w:tcPr>
            <w:tcW w:w="1385" w:type="pct"/>
            <w:noWrap w:val="0"/>
            <w:vAlign w:val="center"/>
          </w:tcPr>
          <w:p w14:paraId="0E64C9A9">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60</w:t>
            </w:r>
          </w:p>
        </w:tc>
        <w:tc>
          <w:tcPr>
            <w:tcW w:w="543" w:type="pct"/>
            <w:noWrap w:val="0"/>
            <w:vAlign w:val="center"/>
          </w:tcPr>
          <w:p w14:paraId="54CD6390">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60</w:t>
            </w:r>
          </w:p>
        </w:tc>
        <w:tc>
          <w:tcPr>
            <w:tcW w:w="545" w:type="pct"/>
            <w:noWrap w:val="0"/>
            <w:vAlign w:val="center"/>
          </w:tcPr>
          <w:p w14:paraId="369A1824">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60</w:t>
            </w:r>
          </w:p>
        </w:tc>
        <w:tc>
          <w:tcPr>
            <w:tcW w:w="493" w:type="pct"/>
            <w:vMerge w:val="continue"/>
            <w:noWrap w:val="0"/>
            <w:vAlign w:val="center"/>
          </w:tcPr>
          <w:p w14:paraId="2754302D">
            <w:pPr>
              <w:adjustRightInd w:val="0"/>
              <w:snapToGrid w:val="0"/>
              <w:jc w:val="center"/>
              <w:rPr>
                <w:rFonts w:hint="default" w:ascii="Times New Roman" w:hAnsi="Times New Roman" w:eastAsia="宋体" w:cs="Times New Roman"/>
                <w:color w:val="auto"/>
                <w:szCs w:val="21"/>
                <w:highlight w:val="none"/>
              </w:rPr>
            </w:pPr>
          </w:p>
        </w:tc>
        <w:tc>
          <w:tcPr>
            <w:tcW w:w="826" w:type="pct"/>
            <w:vMerge w:val="continue"/>
            <w:noWrap w:val="0"/>
            <w:vAlign w:val="center"/>
          </w:tcPr>
          <w:p w14:paraId="33A78EA2">
            <w:pPr>
              <w:adjustRightInd w:val="0"/>
              <w:snapToGrid w:val="0"/>
              <w:jc w:val="center"/>
              <w:rPr>
                <w:rFonts w:hint="default" w:ascii="Times New Roman" w:hAnsi="Times New Roman" w:eastAsia="宋体" w:cs="Times New Roman"/>
                <w:color w:val="auto"/>
                <w:szCs w:val="21"/>
                <w:highlight w:val="none"/>
              </w:rPr>
            </w:pPr>
          </w:p>
        </w:tc>
      </w:tr>
      <w:tr w14:paraId="5251AF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41" w:hRule="atLeast"/>
          <w:jc w:val="center"/>
        </w:trPr>
        <w:tc>
          <w:tcPr>
            <w:tcW w:w="278" w:type="pct"/>
            <w:noWrap w:val="0"/>
            <w:vAlign w:val="center"/>
          </w:tcPr>
          <w:p w14:paraId="7C31A290">
            <w:pPr>
              <w:tabs>
                <w:tab w:val="left" w:pos="3960"/>
                <w:tab w:val="left" w:pos="8789"/>
              </w:tabs>
              <w:adjustRightInd w:val="0"/>
              <w:snapToGrid w:val="0"/>
              <w:ind w:left="-141" w:leftChars="-67"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927" w:type="pct"/>
            <w:noWrap w:val="0"/>
            <w:vAlign w:val="center"/>
          </w:tcPr>
          <w:p w14:paraId="596368B3">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TVOC</w:t>
            </w:r>
          </w:p>
        </w:tc>
        <w:tc>
          <w:tcPr>
            <w:tcW w:w="1385" w:type="pct"/>
            <w:noWrap w:val="0"/>
            <w:vAlign w:val="center"/>
          </w:tcPr>
          <w:p w14:paraId="4D0B71E8">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100</w:t>
            </w:r>
          </w:p>
        </w:tc>
        <w:tc>
          <w:tcPr>
            <w:tcW w:w="543" w:type="pct"/>
            <w:noWrap w:val="0"/>
            <w:vAlign w:val="center"/>
          </w:tcPr>
          <w:p w14:paraId="7CADB4AA">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100</w:t>
            </w:r>
          </w:p>
        </w:tc>
        <w:tc>
          <w:tcPr>
            <w:tcW w:w="545" w:type="pct"/>
            <w:noWrap w:val="0"/>
            <w:vAlign w:val="center"/>
          </w:tcPr>
          <w:p w14:paraId="7AACDCD9">
            <w:pPr>
              <w:adjustRightInd w:val="0"/>
              <w:snapToGrid w:val="0"/>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val="en-US" w:eastAsia="zh-CN"/>
              </w:rPr>
              <w:t>-</w:t>
            </w:r>
          </w:p>
        </w:tc>
        <w:tc>
          <w:tcPr>
            <w:tcW w:w="493" w:type="pct"/>
            <w:vMerge w:val="continue"/>
            <w:noWrap w:val="0"/>
            <w:vAlign w:val="center"/>
          </w:tcPr>
          <w:p w14:paraId="1B1B31F4">
            <w:pPr>
              <w:adjustRightInd w:val="0"/>
              <w:snapToGrid w:val="0"/>
              <w:jc w:val="center"/>
              <w:rPr>
                <w:rFonts w:hint="default" w:ascii="Times New Roman" w:hAnsi="Times New Roman" w:eastAsia="宋体" w:cs="Times New Roman"/>
                <w:color w:val="auto"/>
                <w:szCs w:val="21"/>
                <w:highlight w:val="none"/>
              </w:rPr>
            </w:pPr>
          </w:p>
        </w:tc>
        <w:tc>
          <w:tcPr>
            <w:tcW w:w="826" w:type="pct"/>
            <w:vMerge w:val="continue"/>
            <w:noWrap w:val="0"/>
            <w:vAlign w:val="center"/>
          </w:tcPr>
          <w:p w14:paraId="2A54884C">
            <w:pPr>
              <w:adjustRightInd w:val="0"/>
              <w:snapToGrid w:val="0"/>
              <w:jc w:val="center"/>
              <w:rPr>
                <w:rFonts w:hint="default" w:ascii="Times New Roman" w:hAnsi="Times New Roman" w:eastAsia="宋体" w:cs="Times New Roman"/>
                <w:color w:val="auto"/>
                <w:szCs w:val="21"/>
                <w:highlight w:val="none"/>
              </w:rPr>
            </w:pPr>
          </w:p>
        </w:tc>
      </w:tr>
      <w:tr w14:paraId="1FB283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278" w:type="pct"/>
            <w:noWrap w:val="0"/>
            <w:vAlign w:val="center"/>
          </w:tcPr>
          <w:p w14:paraId="57011EB5">
            <w:pPr>
              <w:tabs>
                <w:tab w:val="left" w:pos="3960"/>
                <w:tab w:val="left" w:pos="8789"/>
              </w:tabs>
              <w:adjustRightInd w:val="0"/>
              <w:snapToGrid w:val="0"/>
              <w:ind w:left="-141" w:leftChars="-67" w:right="-105" w:rightChars="-50"/>
              <w:jc w:val="center"/>
              <w:rPr>
                <w:rFonts w:hint="eastAsia" w:ascii="Times New Roman" w:hAnsi="Times New Roman" w:eastAsia="宋体" w:cs="Times New Roman"/>
                <w:color w:val="auto"/>
                <w:szCs w:val="21"/>
                <w:highlight w:val="none"/>
                <w:lang w:val="en-US" w:eastAsia="zh-CN"/>
              </w:rPr>
            </w:pPr>
            <w:r>
              <w:rPr>
                <w:rFonts w:hint="eastAsia" w:eastAsia="宋体"/>
                <w:color w:val="auto"/>
                <w:highlight w:val="none"/>
                <w:lang w:val="en-US" w:eastAsia="zh-CN"/>
              </w:rPr>
              <w:t>4</w:t>
            </w:r>
          </w:p>
        </w:tc>
        <w:tc>
          <w:tcPr>
            <w:tcW w:w="927" w:type="pct"/>
            <w:noWrap w:val="0"/>
            <w:vAlign w:val="center"/>
          </w:tcPr>
          <w:p w14:paraId="2945C02A">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苯系物</w:t>
            </w:r>
          </w:p>
        </w:tc>
        <w:tc>
          <w:tcPr>
            <w:tcW w:w="1385" w:type="pct"/>
            <w:noWrap w:val="0"/>
            <w:vAlign w:val="center"/>
          </w:tcPr>
          <w:p w14:paraId="6C71CC50">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40</w:t>
            </w:r>
          </w:p>
        </w:tc>
        <w:tc>
          <w:tcPr>
            <w:tcW w:w="543" w:type="pct"/>
            <w:noWrap w:val="0"/>
            <w:vAlign w:val="center"/>
          </w:tcPr>
          <w:p w14:paraId="54B65449">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w:t>
            </w:r>
          </w:p>
        </w:tc>
        <w:tc>
          <w:tcPr>
            <w:tcW w:w="545" w:type="pct"/>
            <w:noWrap w:val="0"/>
            <w:vAlign w:val="center"/>
          </w:tcPr>
          <w:p w14:paraId="71BF8340">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w:t>
            </w:r>
          </w:p>
        </w:tc>
        <w:tc>
          <w:tcPr>
            <w:tcW w:w="493" w:type="pct"/>
            <w:vMerge w:val="continue"/>
            <w:noWrap w:val="0"/>
            <w:vAlign w:val="center"/>
          </w:tcPr>
          <w:p w14:paraId="34D7F8C2">
            <w:pPr>
              <w:adjustRightInd w:val="0"/>
              <w:snapToGrid w:val="0"/>
              <w:jc w:val="center"/>
              <w:rPr>
                <w:rFonts w:hint="default" w:ascii="Times New Roman" w:hAnsi="Times New Roman" w:eastAsia="宋体" w:cs="Times New Roman"/>
                <w:color w:val="auto"/>
                <w:szCs w:val="21"/>
                <w:highlight w:val="none"/>
              </w:rPr>
            </w:pPr>
          </w:p>
        </w:tc>
        <w:tc>
          <w:tcPr>
            <w:tcW w:w="826" w:type="pct"/>
            <w:vMerge w:val="continue"/>
            <w:noWrap w:val="0"/>
            <w:vAlign w:val="center"/>
          </w:tcPr>
          <w:p w14:paraId="3513826D">
            <w:pPr>
              <w:adjustRightInd w:val="0"/>
              <w:snapToGrid w:val="0"/>
              <w:jc w:val="center"/>
              <w:rPr>
                <w:rFonts w:hint="default" w:ascii="Times New Roman" w:hAnsi="Times New Roman" w:eastAsia="宋体" w:cs="Times New Roman"/>
                <w:color w:val="auto"/>
                <w:szCs w:val="21"/>
                <w:highlight w:val="none"/>
              </w:rPr>
            </w:pPr>
          </w:p>
        </w:tc>
      </w:tr>
      <w:tr w14:paraId="69778E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278" w:type="pct"/>
            <w:noWrap w:val="0"/>
            <w:vAlign w:val="center"/>
          </w:tcPr>
          <w:p w14:paraId="6A3503DB">
            <w:pPr>
              <w:tabs>
                <w:tab w:val="left" w:pos="3960"/>
                <w:tab w:val="left" w:pos="8789"/>
              </w:tabs>
              <w:adjustRightInd w:val="0"/>
              <w:snapToGrid w:val="0"/>
              <w:ind w:left="-141" w:leftChars="-67" w:right="-105" w:rightChars="-5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w:t>
            </w:r>
          </w:p>
        </w:tc>
        <w:tc>
          <w:tcPr>
            <w:tcW w:w="927" w:type="pct"/>
            <w:noWrap w:val="0"/>
            <w:vAlign w:val="center"/>
          </w:tcPr>
          <w:p w14:paraId="16FCBB01">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苯</w:t>
            </w:r>
          </w:p>
        </w:tc>
        <w:tc>
          <w:tcPr>
            <w:tcW w:w="1385" w:type="pct"/>
            <w:noWrap w:val="0"/>
            <w:vAlign w:val="center"/>
          </w:tcPr>
          <w:p w14:paraId="46E623D1">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w:t>
            </w:r>
          </w:p>
        </w:tc>
        <w:tc>
          <w:tcPr>
            <w:tcW w:w="543" w:type="pct"/>
            <w:noWrap w:val="0"/>
            <w:vAlign w:val="center"/>
          </w:tcPr>
          <w:p w14:paraId="341653EA">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w:t>
            </w:r>
          </w:p>
        </w:tc>
        <w:tc>
          <w:tcPr>
            <w:tcW w:w="545" w:type="pct"/>
            <w:noWrap w:val="0"/>
            <w:vAlign w:val="center"/>
          </w:tcPr>
          <w:p w14:paraId="2ADAC234">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w:t>
            </w:r>
          </w:p>
        </w:tc>
        <w:tc>
          <w:tcPr>
            <w:tcW w:w="493" w:type="pct"/>
            <w:vMerge w:val="continue"/>
            <w:noWrap w:val="0"/>
            <w:vAlign w:val="center"/>
          </w:tcPr>
          <w:p w14:paraId="38F8EE53">
            <w:pPr>
              <w:adjustRightInd w:val="0"/>
              <w:snapToGrid w:val="0"/>
              <w:jc w:val="center"/>
              <w:rPr>
                <w:rFonts w:hint="default" w:ascii="Times New Roman" w:hAnsi="Times New Roman" w:eastAsia="宋体" w:cs="Times New Roman"/>
                <w:color w:val="auto"/>
                <w:szCs w:val="21"/>
                <w:highlight w:val="none"/>
              </w:rPr>
            </w:pPr>
          </w:p>
        </w:tc>
        <w:tc>
          <w:tcPr>
            <w:tcW w:w="826" w:type="pct"/>
            <w:vMerge w:val="continue"/>
            <w:noWrap w:val="0"/>
            <w:vAlign w:val="center"/>
          </w:tcPr>
          <w:p w14:paraId="519D554F">
            <w:pPr>
              <w:adjustRightInd w:val="0"/>
              <w:snapToGrid w:val="0"/>
              <w:jc w:val="center"/>
              <w:rPr>
                <w:rFonts w:hint="default" w:ascii="Times New Roman" w:hAnsi="Times New Roman" w:eastAsia="宋体" w:cs="Times New Roman"/>
                <w:color w:val="auto"/>
                <w:szCs w:val="21"/>
                <w:highlight w:val="none"/>
              </w:rPr>
            </w:pPr>
          </w:p>
        </w:tc>
      </w:tr>
      <w:tr w14:paraId="3634B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278" w:type="pct"/>
            <w:noWrap w:val="0"/>
            <w:vAlign w:val="center"/>
          </w:tcPr>
          <w:p w14:paraId="05031B3E">
            <w:pPr>
              <w:tabs>
                <w:tab w:val="left" w:pos="3960"/>
                <w:tab w:val="left" w:pos="8789"/>
              </w:tabs>
              <w:adjustRightInd w:val="0"/>
              <w:snapToGrid w:val="0"/>
              <w:ind w:left="-141" w:leftChars="-67" w:right="-105" w:rightChars="-5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w:t>
            </w:r>
          </w:p>
        </w:tc>
        <w:tc>
          <w:tcPr>
            <w:tcW w:w="927" w:type="pct"/>
            <w:noWrap w:val="0"/>
            <w:vAlign w:val="center"/>
          </w:tcPr>
          <w:p w14:paraId="0362E876">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甲醛</w:t>
            </w:r>
          </w:p>
        </w:tc>
        <w:tc>
          <w:tcPr>
            <w:tcW w:w="1385" w:type="pct"/>
            <w:noWrap w:val="0"/>
            <w:vAlign w:val="center"/>
          </w:tcPr>
          <w:p w14:paraId="28244801">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w:t>
            </w:r>
          </w:p>
        </w:tc>
        <w:tc>
          <w:tcPr>
            <w:tcW w:w="543" w:type="pct"/>
            <w:noWrap w:val="0"/>
            <w:vAlign w:val="center"/>
          </w:tcPr>
          <w:p w14:paraId="0309042A">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w:t>
            </w:r>
          </w:p>
        </w:tc>
        <w:tc>
          <w:tcPr>
            <w:tcW w:w="545" w:type="pct"/>
            <w:noWrap w:val="0"/>
            <w:vAlign w:val="center"/>
          </w:tcPr>
          <w:p w14:paraId="0621C0A1">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w:t>
            </w:r>
          </w:p>
        </w:tc>
        <w:tc>
          <w:tcPr>
            <w:tcW w:w="493" w:type="pct"/>
            <w:vMerge w:val="continue"/>
            <w:noWrap w:val="0"/>
            <w:vAlign w:val="center"/>
          </w:tcPr>
          <w:p w14:paraId="1254AE49">
            <w:pPr>
              <w:adjustRightInd w:val="0"/>
              <w:snapToGrid w:val="0"/>
              <w:jc w:val="center"/>
              <w:rPr>
                <w:rFonts w:hint="default" w:ascii="Times New Roman" w:hAnsi="Times New Roman" w:eastAsia="宋体" w:cs="Times New Roman"/>
                <w:color w:val="auto"/>
                <w:szCs w:val="21"/>
                <w:highlight w:val="none"/>
              </w:rPr>
            </w:pPr>
          </w:p>
        </w:tc>
        <w:tc>
          <w:tcPr>
            <w:tcW w:w="826" w:type="pct"/>
            <w:vMerge w:val="continue"/>
            <w:noWrap w:val="0"/>
            <w:vAlign w:val="center"/>
          </w:tcPr>
          <w:p w14:paraId="03F3BCEF">
            <w:pPr>
              <w:adjustRightInd w:val="0"/>
              <w:snapToGrid w:val="0"/>
              <w:jc w:val="center"/>
              <w:rPr>
                <w:rFonts w:hint="default" w:ascii="Times New Roman" w:hAnsi="Times New Roman" w:eastAsia="宋体" w:cs="Times New Roman"/>
                <w:color w:val="auto"/>
                <w:szCs w:val="21"/>
                <w:highlight w:val="none"/>
              </w:rPr>
            </w:pPr>
          </w:p>
        </w:tc>
      </w:tr>
      <w:tr w14:paraId="43E673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278" w:type="pct"/>
            <w:noWrap w:val="0"/>
            <w:vAlign w:val="center"/>
          </w:tcPr>
          <w:p w14:paraId="4664E45F">
            <w:pPr>
              <w:tabs>
                <w:tab w:val="left" w:pos="3960"/>
                <w:tab w:val="left" w:pos="8789"/>
              </w:tabs>
              <w:adjustRightInd w:val="0"/>
              <w:snapToGrid w:val="0"/>
              <w:ind w:left="-141" w:leftChars="-67" w:right="-105" w:rightChars="-5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7</w:t>
            </w:r>
          </w:p>
        </w:tc>
        <w:tc>
          <w:tcPr>
            <w:tcW w:w="927" w:type="pct"/>
            <w:noWrap w:val="0"/>
            <w:vAlign w:val="center"/>
          </w:tcPr>
          <w:p w14:paraId="72BDAF51">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氯化氢</w:t>
            </w:r>
          </w:p>
        </w:tc>
        <w:tc>
          <w:tcPr>
            <w:tcW w:w="1385" w:type="pct"/>
            <w:noWrap w:val="0"/>
            <w:vAlign w:val="center"/>
          </w:tcPr>
          <w:p w14:paraId="2AF98013">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30</w:t>
            </w:r>
          </w:p>
        </w:tc>
        <w:tc>
          <w:tcPr>
            <w:tcW w:w="543" w:type="pct"/>
            <w:noWrap w:val="0"/>
            <w:vAlign w:val="center"/>
          </w:tcPr>
          <w:p w14:paraId="4254A9EE">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w:t>
            </w:r>
          </w:p>
        </w:tc>
        <w:tc>
          <w:tcPr>
            <w:tcW w:w="545" w:type="pct"/>
            <w:noWrap w:val="0"/>
            <w:vAlign w:val="center"/>
          </w:tcPr>
          <w:p w14:paraId="48A5F7F7">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w:t>
            </w:r>
          </w:p>
        </w:tc>
        <w:tc>
          <w:tcPr>
            <w:tcW w:w="493" w:type="pct"/>
            <w:vMerge w:val="continue"/>
            <w:noWrap w:val="0"/>
            <w:vAlign w:val="center"/>
          </w:tcPr>
          <w:p w14:paraId="58941B67">
            <w:pPr>
              <w:adjustRightInd w:val="0"/>
              <w:snapToGrid w:val="0"/>
              <w:jc w:val="center"/>
              <w:rPr>
                <w:rFonts w:hint="default" w:ascii="Times New Roman" w:hAnsi="Times New Roman" w:eastAsia="宋体" w:cs="Times New Roman"/>
                <w:color w:val="auto"/>
                <w:szCs w:val="21"/>
                <w:highlight w:val="none"/>
              </w:rPr>
            </w:pPr>
          </w:p>
        </w:tc>
        <w:tc>
          <w:tcPr>
            <w:tcW w:w="826" w:type="pct"/>
            <w:vMerge w:val="continue"/>
            <w:noWrap w:val="0"/>
            <w:vAlign w:val="center"/>
          </w:tcPr>
          <w:p w14:paraId="35E70F13">
            <w:pPr>
              <w:adjustRightInd w:val="0"/>
              <w:snapToGrid w:val="0"/>
              <w:jc w:val="center"/>
              <w:rPr>
                <w:rFonts w:hint="default" w:ascii="Times New Roman" w:hAnsi="Times New Roman" w:eastAsia="宋体" w:cs="Times New Roman"/>
                <w:color w:val="auto"/>
                <w:szCs w:val="21"/>
                <w:highlight w:val="none"/>
              </w:rPr>
            </w:pPr>
          </w:p>
        </w:tc>
      </w:tr>
      <w:tr w14:paraId="5AB030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284" w:hRule="atLeast"/>
          <w:jc w:val="center"/>
        </w:trPr>
        <w:tc>
          <w:tcPr>
            <w:tcW w:w="278" w:type="pct"/>
            <w:noWrap w:val="0"/>
            <w:vAlign w:val="center"/>
          </w:tcPr>
          <w:p w14:paraId="1BA7EC55">
            <w:pPr>
              <w:tabs>
                <w:tab w:val="left" w:pos="3960"/>
                <w:tab w:val="left" w:pos="8789"/>
              </w:tabs>
              <w:adjustRightInd w:val="0"/>
              <w:snapToGrid w:val="0"/>
              <w:ind w:left="-141" w:leftChars="-67" w:right="-105" w:rightChars="-50"/>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val="en-US" w:eastAsia="zh-CN"/>
              </w:rPr>
              <w:t>8</w:t>
            </w:r>
          </w:p>
        </w:tc>
        <w:tc>
          <w:tcPr>
            <w:tcW w:w="927" w:type="pct"/>
            <w:noWrap w:val="0"/>
            <w:vAlign w:val="center"/>
          </w:tcPr>
          <w:p w14:paraId="2BF7B7F7">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硫化氢</w:t>
            </w:r>
          </w:p>
        </w:tc>
        <w:tc>
          <w:tcPr>
            <w:tcW w:w="1385" w:type="pct"/>
            <w:noWrap w:val="0"/>
            <w:vAlign w:val="center"/>
          </w:tcPr>
          <w:p w14:paraId="64223168">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w:t>
            </w:r>
          </w:p>
        </w:tc>
        <w:tc>
          <w:tcPr>
            <w:tcW w:w="543" w:type="pct"/>
            <w:noWrap w:val="0"/>
            <w:vAlign w:val="center"/>
          </w:tcPr>
          <w:p w14:paraId="123E4DDF">
            <w:pPr>
              <w:adjustRightInd w:val="0"/>
              <w:snapToGrid w:val="0"/>
              <w:jc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w:t>
            </w:r>
          </w:p>
        </w:tc>
        <w:tc>
          <w:tcPr>
            <w:tcW w:w="545" w:type="pct"/>
            <w:noWrap w:val="0"/>
            <w:vAlign w:val="center"/>
          </w:tcPr>
          <w:p w14:paraId="64DBF482">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c>
          <w:tcPr>
            <w:tcW w:w="493" w:type="pct"/>
            <w:vMerge w:val="continue"/>
            <w:noWrap w:val="0"/>
            <w:vAlign w:val="center"/>
          </w:tcPr>
          <w:p w14:paraId="6CE0B9B3">
            <w:pPr>
              <w:adjustRightInd w:val="0"/>
              <w:snapToGrid w:val="0"/>
              <w:jc w:val="center"/>
              <w:rPr>
                <w:rFonts w:hint="default" w:ascii="Times New Roman" w:hAnsi="Times New Roman" w:eastAsia="宋体" w:cs="Times New Roman"/>
                <w:color w:val="auto"/>
                <w:szCs w:val="21"/>
                <w:highlight w:val="none"/>
              </w:rPr>
            </w:pPr>
          </w:p>
        </w:tc>
        <w:tc>
          <w:tcPr>
            <w:tcW w:w="826" w:type="pct"/>
            <w:vMerge w:val="continue"/>
            <w:noWrap w:val="0"/>
            <w:vAlign w:val="center"/>
          </w:tcPr>
          <w:p w14:paraId="3EAF3782">
            <w:pPr>
              <w:adjustRightInd w:val="0"/>
              <w:snapToGrid w:val="0"/>
              <w:jc w:val="center"/>
              <w:rPr>
                <w:rFonts w:hint="default" w:ascii="Times New Roman" w:hAnsi="Times New Roman" w:eastAsia="宋体" w:cs="Times New Roman"/>
                <w:color w:val="auto"/>
                <w:szCs w:val="21"/>
                <w:highlight w:val="none"/>
              </w:rPr>
            </w:pPr>
          </w:p>
        </w:tc>
      </w:tr>
      <w:tr w14:paraId="6A2F50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278" w:type="pct"/>
            <w:noWrap w:val="0"/>
            <w:vAlign w:val="center"/>
          </w:tcPr>
          <w:p w14:paraId="07DACE78">
            <w:pPr>
              <w:tabs>
                <w:tab w:val="left" w:pos="3960"/>
                <w:tab w:val="left" w:pos="8789"/>
              </w:tabs>
              <w:adjustRightInd w:val="0"/>
              <w:snapToGrid w:val="0"/>
              <w:ind w:left="-141" w:leftChars="-67" w:right="-105" w:rightChars="-50"/>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val="en-US" w:eastAsia="zh-CN"/>
              </w:rPr>
              <w:t>9</w:t>
            </w:r>
          </w:p>
        </w:tc>
        <w:tc>
          <w:tcPr>
            <w:tcW w:w="927" w:type="pct"/>
            <w:noWrap w:val="0"/>
            <w:vAlign w:val="center"/>
          </w:tcPr>
          <w:p w14:paraId="0D582058">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氨</w:t>
            </w:r>
          </w:p>
        </w:tc>
        <w:tc>
          <w:tcPr>
            <w:tcW w:w="1385" w:type="pct"/>
            <w:noWrap w:val="0"/>
            <w:vAlign w:val="center"/>
          </w:tcPr>
          <w:p w14:paraId="7C3E9BD8">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w:t>
            </w:r>
          </w:p>
        </w:tc>
        <w:tc>
          <w:tcPr>
            <w:tcW w:w="543" w:type="pct"/>
            <w:noWrap w:val="0"/>
            <w:vAlign w:val="center"/>
          </w:tcPr>
          <w:p w14:paraId="3B092CD0">
            <w:pPr>
              <w:adjustRightInd w:val="0"/>
              <w:snapToGrid w:val="0"/>
              <w:jc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rPr>
              <w:t>/</w:t>
            </w:r>
          </w:p>
        </w:tc>
        <w:tc>
          <w:tcPr>
            <w:tcW w:w="545" w:type="pct"/>
            <w:noWrap w:val="0"/>
            <w:vAlign w:val="center"/>
          </w:tcPr>
          <w:p w14:paraId="1558127B">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493" w:type="pct"/>
            <w:vMerge w:val="continue"/>
            <w:noWrap w:val="0"/>
            <w:vAlign w:val="center"/>
          </w:tcPr>
          <w:p w14:paraId="3834D175">
            <w:pPr>
              <w:adjustRightInd w:val="0"/>
              <w:snapToGrid w:val="0"/>
              <w:jc w:val="center"/>
              <w:rPr>
                <w:rFonts w:hint="default" w:ascii="Times New Roman" w:hAnsi="Times New Roman" w:eastAsia="宋体" w:cs="Times New Roman"/>
                <w:color w:val="auto"/>
                <w:szCs w:val="21"/>
                <w:highlight w:val="none"/>
              </w:rPr>
            </w:pPr>
          </w:p>
        </w:tc>
        <w:tc>
          <w:tcPr>
            <w:tcW w:w="826" w:type="pct"/>
            <w:vMerge w:val="continue"/>
            <w:noWrap w:val="0"/>
            <w:vAlign w:val="center"/>
          </w:tcPr>
          <w:p w14:paraId="5B3E4160">
            <w:pPr>
              <w:adjustRightInd w:val="0"/>
              <w:snapToGrid w:val="0"/>
              <w:jc w:val="center"/>
              <w:rPr>
                <w:rFonts w:hint="default" w:ascii="Times New Roman" w:hAnsi="Times New Roman" w:eastAsia="宋体" w:cs="Times New Roman"/>
                <w:color w:val="auto"/>
                <w:szCs w:val="21"/>
                <w:highlight w:val="none"/>
              </w:rPr>
            </w:pPr>
          </w:p>
        </w:tc>
      </w:tr>
      <w:tr w14:paraId="7AB3E8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278" w:type="pct"/>
            <w:noWrap w:val="0"/>
            <w:vAlign w:val="center"/>
          </w:tcPr>
          <w:p w14:paraId="39DD29C4">
            <w:pPr>
              <w:tabs>
                <w:tab w:val="left" w:pos="3960"/>
                <w:tab w:val="left" w:pos="8789"/>
              </w:tabs>
              <w:adjustRightInd w:val="0"/>
              <w:snapToGrid w:val="0"/>
              <w:ind w:left="-141" w:leftChars="-67" w:right="-105" w:rightChars="-5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序号</w:t>
            </w:r>
          </w:p>
        </w:tc>
        <w:tc>
          <w:tcPr>
            <w:tcW w:w="927" w:type="pct"/>
            <w:noWrap w:val="0"/>
            <w:vAlign w:val="center"/>
          </w:tcPr>
          <w:p w14:paraId="0E470AC4">
            <w:pPr>
              <w:adjustRightInd w:val="0"/>
              <w:snapToGrid w:val="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污染物项目</w:t>
            </w:r>
          </w:p>
        </w:tc>
        <w:tc>
          <w:tcPr>
            <w:tcW w:w="2474" w:type="pct"/>
            <w:gridSpan w:val="3"/>
            <w:noWrap w:val="0"/>
            <w:vAlign w:val="center"/>
          </w:tcPr>
          <w:p w14:paraId="5E74EDBB">
            <w:pPr>
              <w:adjustRightInd w:val="0"/>
              <w:snapToGrid w:val="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燃烧（焚烧、氧化）装置废气</w:t>
            </w:r>
          </w:p>
        </w:tc>
        <w:tc>
          <w:tcPr>
            <w:tcW w:w="493" w:type="pct"/>
            <w:vMerge w:val="restart"/>
            <w:noWrap w:val="0"/>
            <w:vAlign w:val="center"/>
          </w:tcPr>
          <w:p w14:paraId="7592B9D2">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燃烧（焚烧、氧化）装置排气筒</w:t>
            </w:r>
          </w:p>
        </w:tc>
        <w:tc>
          <w:tcPr>
            <w:tcW w:w="826" w:type="pct"/>
            <w:vMerge w:val="continue"/>
            <w:noWrap w:val="0"/>
            <w:vAlign w:val="center"/>
          </w:tcPr>
          <w:p w14:paraId="140F65B5">
            <w:pPr>
              <w:adjustRightInd w:val="0"/>
              <w:snapToGrid w:val="0"/>
              <w:jc w:val="center"/>
              <w:rPr>
                <w:rFonts w:hint="default" w:ascii="Times New Roman" w:hAnsi="Times New Roman" w:eastAsia="宋体" w:cs="Times New Roman"/>
                <w:color w:val="auto"/>
                <w:szCs w:val="21"/>
                <w:highlight w:val="none"/>
              </w:rPr>
            </w:pPr>
          </w:p>
        </w:tc>
      </w:tr>
      <w:tr w14:paraId="4C8DEB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278" w:type="pct"/>
            <w:noWrap w:val="0"/>
            <w:vAlign w:val="center"/>
          </w:tcPr>
          <w:p w14:paraId="3EE2795A">
            <w:pPr>
              <w:tabs>
                <w:tab w:val="left" w:pos="3960"/>
                <w:tab w:val="left" w:pos="8789"/>
              </w:tabs>
              <w:adjustRightInd w:val="0"/>
              <w:snapToGrid w:val="0"/>
              <w:ind w:left="-141" w:leftChars="-67" w:right="-105" w:rightChars="-5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10</w:t>
            </w:r>
          </w:p>
        </w:tc>
        <w:tc>
          <w:tcPr>
            <w:tcW w:w="927" w:type="pct"/>
            <w:noWrap w:val="0"/>
            <w:vAlign w:val="center"/>
          </w:tcPr>
          <w:p w14:paraId="1941E42E">
            <w:pPr>
              <w:adjustRightInd w:val="0"/>
              <w:snapToGrid w:val="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Cs w:val="21"/>
                <w:highlight w:val="none"/>
              </w:rPr>
              <w:t>SO</w:t>
            </w:r>
            <w:r>
              <w:rPr>
                <w:rFonts w:hint="default" w:ascii="Times New Roman" w:hAnsi="Times New Roman" w:eastAsia="宋体" w:cs="Times New Roman"/>
                <w:color w:val="auto"/>
                <w:szCs w:val="21"/>
                <w:highlight w:val="none"/>
                <w:vertAlign w:val="subscript"/>
              </w:rPr>
              <w:t>2</w:t>
            </w:r>
          </w:p>
        </w:tc>
        <w:tc>
          <w:tcPr>
            <w:tcW w:w="2474" w:type="pct"/>
            <w:gridSpan w:val="3"/>
            <w:noWrap w:val="0"/>
            <w:vAlign w:val="center"/>
          </w:tcPr>
          <w:p w14:paraId="5BE30D03">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200</w:t>
            </w:r>
          </w:p>
        </w:tc>
        <w:tc>
          <w:tcPr>
            <w:tcW w:w="493" w:type="pct"/>
            <w:vMerge w:val="continue"/>
            <w:noWrap w:val="0"/>
            <w:vAlign w:val="center"/>
          </w:tcPr>
          <w:p w14:paraId="7A43AB9F">
            <w:pPr>
              <w:adjustRightInd w:val="0"/>
              <w:snapToGrid w:val="0"/>
              <w:jc w:val="center"/>
              <w:rPr>
                <w:rFonts w:hint="default" w:ascii="Times New Roman" w:hAnsi="Times New Roman" w:eastAsia="宋体" w:cs="Times New Roman"/>
                <w:color w:val="auto"/>
                <w:szCs w:val="21"/>
                <w:highlight w:val="none"/>
              </w:rPr>
            </w:pPr>
          </w:p>
        </w:tc>
        <w:tc>
          <w:tcPr>
            <w:tcW w:w="826" w:type="pct"/>
            <w:vMerge w:val="continue"/>
            <w:noWrap w:val="0"/>
            <w:vAlign w:val="center"/>
          </w:tcPr>
          <w:p w14:paraId="47C9AF5F">
            <w:pPr>
              <w:adjustRightInd w:val="0"/>
              <w:snapToGrid w:val="0"/>
              <w:jc w:val="center"/>
              <w:rPr>
                <w:rFonts w:hint="default" w:ascii="Times New Roman" w:hAnsi="Times New Roman" w:eastAsia="宋体" w:cs="Times New Roman"/>
                <w:color w:val="auto"/>
                <w:szCs w:val="21"/>
                <w:highlight w:val="none"/>
              </w:rPr>
            </w:pPr>
          </w:p>
        </w:tc>
      </w:tr>
      <w:tr w14:paraId="03029C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278" w:type="pct"/>
            <w:noWrap w:val="0"/>
            <w:vAlign w:val="center"/>
          </w:tcPr>
          <w:p w14:paraId="70BA27AE">
            <w:pPr>
              <w:tabs>
                <w:tab w:val="left" w:pos="3960"/>
                <w:tab w:val="left" w:pos="8789"/>
              </w:tabs>
              <w:adjustRightInd w:val="0"/>
              <w:snapToGrid w:val="0"/>
              <w:ind w:left="-141" w:leftChars="-67" w:right="-105" w:rightChars="-5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11</w:t>
            </w:r>
          </w:p>
        </w:tc>
        <w:tc>
          <w:tcPr>
            <w:tcW w:w="927" w:type="pct"/>
            <w:noWrap w:val="0"/>
            <w:vAlign w:val="center"/>
          </w:tcPr>
          <w:p w14:paraId="431BD35C">
            <w:pPr>
              <w:adjustRightInd w:val="0"/>
              <w:snapToGrid w:val="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Cs w:val="21"/>
                <w:highlight w:val="none"/>
              </w:rPr>
              <w:t>NOx</w:t>
            </w:r>
          </w:p>
        </w:tc>
        <w:tc>
          <w:tcPr>
            <w:tcW w:w="2474" w:type="pct"/>
            <w:gridSpan w:val="3"/>
            <w:noWrap w:val="0"/>
            <w:vAlign w:val="center"/>
          </w:tcPr>
          <w:p w14:paraId="2A416C8A">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200</w:t>
            </w:r>
          </w:p>
        </w:tc>
        <w:tc>
          <w:tcPr>
            <w:tcW w:w="493" w:type="pct"/>
            <w:vMerge w:val="continue"/>
            <w:noWrap w:val="0"/>
            <w:vAlign w:val="center"/>
          </w:tcPr>
          <w:p w14:paraId="3715A772">
            <w:pPr>
              <w:adjustRightInd w:val="0"/>
              <w:snapToGrid w:val="0"/>
              <w:jc w:val="center"/>
              <w:rPr>
                <w:rFonts w:hint="default" w:ascii="Times New Roman" w:hAnsi="Times New Roman" w:eastAsia="宋体" w:cs="Times New Roman"/>
                <w:color w:val="auto"/>
                <w:szCs w:val="21"/>
                <w:highlight w:val="none"/>
              </w:rPr>
            </w:pPr>
          </w:p>
        </w:tc>
        <w:tc>
          <w:tcPr>
            <w:tcW w:w="826" w:type="pct"/>
            <w:vMerge w:val="continue"/>
            <w:noWrap w:val="0"/>
            <w:vAlign w:val="center"/>
          </w:tcPr>
          <w:p w14:paraId="70CAB4C9">
            <w:pPr>
              <w:adjustRightInd w:val="0"/>
              <w:snapToGrid w:val="0"/>
              <w:jc w:val="center"/>
              <w:rPr>
                <w:rFonts w:hint="default" w:ascii="Times New Roman" w:hAnsi="Times New Roman" w:eastAsia="宋体" w:cs="Times New Roman"/>
                <w:color w:val="auto"/>
                <w:szCs w:val="21"/>
                <w:highlight w:val="none"/>
              </w:rPr>
            </w:pPr>
          </w:p>
        </w:tc>
      </w:tr>
      <w:tr w14:paraId="3364AF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278" w:type="pct"/>
            <w:noWrap w:val="0"/>
            <w:vAlign w:val="center"/>
          </w:tcPr>
          <w:p w14:paraId="3C74E896">
            <w:pPr>
              <w:tabs>
                <w:tab w:val="left" w:pos="3960"/>
                <w:tab w:val="left" w:pos="8789"/>
              </w:tabs>
              <w:adjustRightInd w:val="0"/>
              <w:snapToGrid w:val="0"/>
              <w:ind w:left="-141" w:leftChars="-67" w:right="-105" w:rightChars="-5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12</w:t>
            </w:r>
          </w:p>
        </w:tc>
        <w:tc>
          <w:tcPr>
            <w:tcW w:w="927" w:type="pct"/>
            <w:noWrap w:val="0"/>
            <w:vAlign w:val="center"/>
          </w:tcPr>
          <w:p w14:paraId="1E4E14FA">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二噁英类</w:t>
            </w:r>
            <w:r>
              <w:rPr>
                <w:rFonts w:hint="default" w:ascii="Times New Roman" w:hAnsi="Times New Roman" w:eastAsia="宋体" w:cs="Times New Roman"/>
                <w:color w:val="auto"/>
                <w:szCs w:val="21"/>
                <w:highlight w:val="none"/>
                <w:vertAlign w:val="superscript"/>
              </w:rPr>
              <w:t>[1]</w:t>
            </w:r>
          </w:p>
        </w:tc>
        <w:tc>
          <w:tcPr>
            <w:tcW w:w="2474" w:type="pct"/>
            <w:gridSpan w:val="3"/>
            <w:noWrap w:val="0"/>
            <w:vAlign w:val="center"/>
          </w:tcPr>
          <w:p w14:paraId="4811809D">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0.1ng-TEQ/m</w:t>
            </w:r>
            <w:r>
              <w:rPr>
                <w:rFonts w:hint="default" w:ascii="Times New Roman" w:hAnsi="Times New Roman" w:eastAsia="宋体" w:cs="Times New Roman"/>
                <w:color w:val="auto"/>
                <w:szCs w:val="21"/>
                <w:highlight w:val="none"/>
                <w:vertAlign w:val="superscript"/>
              </w:rPr>
              <w:t>3</w:t>
            </w:r>
          </w:p>
        </w:tc>
        <w:tc>
          <w:tcPr>
            <w:tcW w:w="493" w:type="pct"/>
            <w:vMerge w:val="continue"/>
            <w:noWrap w:val="0"/>
            <w:vAlign w:val="center"/>
          </w:tcPr>
          <w:p w14:paraId="546C8373">
            <w:pPr>
              <w:adjustRightInd w:val="0"/>
              <w:snapToGrid w:val="0"/>
              <w:jc w:val="center"/>
              <w:rPr>
                <w:rFonts w:hint="default" w:ascii="Times New Roman" w:hAnsi="Times New Roman" w:eastAsia="宋体" w:cs="Times New Roman"/>
                <w:color w:val="auto"/>
                <w:szCs w:val="21"/>
                <w:highlight w:val="none"/>
              </w:rPr>
            </w:pPr>
          </w:p>
        </w:tc>
        <w:tc>
          <w:tcPr>
            <w:tcW w:w="826" w:type="pct"/>
            <w:vMerge w:val="continue"/>
            <w:noWrap w:val="0"/>
            <w:vAlign w:val="center"/>
          </w:tcPr>
          <w:p w14:paraId="525980FD">
            <w:pPr>
              <w:adjustRightInd w:val="0"/>
              <w:snapToGrid w:val="0"/>
              <w:jc w:val="center"/>
              <w:rPr>
                <w:rFonts w:hint="default" w:ascii="Times New Roman" w:hAnsi="Times New Roman" w:eastAsia="宋体" w:cs="Times New Roman"/>
                <w:color w:val="auto"/>
                <w:szCs w:val="21"/>
                <w:highlight w:val="none"/>
              </w:rPr>
            </w:pPr>
          </w:p>
        </w:tc>
      </w:tr>
    </w:tbl>
    <w:p w14:paraId="241BEAC6">
      <w:pPr>
        <w:adjustRightInd w:val="0"/>
        <w:snapToGrid w:val="0"/>
        <w:ind w:firstLine="360" w:firstLineChars="20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注：[1]燃烧含氯有机废气时，需监测该指标。</w:t>
      </w:r>
    </w:p>
    <w:p w14:paraId="6FACDDAD">
      <w:pPr>
        <w:widowControl/>
        <w:adjustRightInd w:val="0"/>
        <w:snapToGrid w:val="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2-20  </w:t>
      </w:r>
      <w:r>
        <w:rPr>
          <w:rFonts w:hint="default" w:ascii="Times New Roman" w:hAnsi="Times New Roman" w:eastAsia="宋体" w:cs="Times New Roman"/>
          <w:b/>
          <w:color w:val="auto"/>
          <w:sz w:val="24"/>
          <w:highlight w:val="none"/>
        </w:rPr>
        <w:t xml:space="preserve"> 生物制药企业大气污染物排放限值</w:t>
      </w:r>
      <w:bookmarkStart w:id="691" w:name="pindex2058"/>
      <w:bookmarkEnd w:id="691"/>
    </w:p>
    <w:tbl>
      <w:tblPr>
        <w:tblStyle w:val="19"/>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72"/>
        <w:gridCol w:w="2570"/>
        <w:gridCol w:w="1926"/>
        <w:gridCol w:w="1603"/>
        <w:gridCol w:w="1736"/>
      </w:tblGrid>
      <w:tr w14:paraId="0D9ED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92" w:hRule="atLeast"/>
          <w:jc w:val="center"/>
        </w:trPr>
        <w:tc>
          <w:tcPr>
            <w:tcW w:w="341" w:type="pct"/>
            <w:noWrap w:val="0"/>
            <w:vAlign w:val="center"/>
          </w:tcPr>
          <w:p w14:paraId="63181AF1">
            <w:pPr>
              <w:adjustRightInd w:val="0"/>
              <w:snapToGrid w:val="0"/>
              <w:ind w:left="-141" w:leftChars="-67" w:right="-105" w:rightChars="-5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序号</w:t>
            </w:r>
          </w:p>
        </w:tc>
        <w:tc>
          <w:tcPr>
            <w:tcW w:w="1528" w:type="pct"/>
            <w:noWrap w:val="0"/>
            <w:vAlign w:val="center"/>
          </w:tcPr>
          <w:p w14:paraId="568A1D3F">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污染物项目</w:t>
            </w:r>
          </w:p>
        </w:tc>
        <w:tc>
          <w:tcPr>
            <w:tcW w:w="1145" w:type="pct"/>
            <w:noWrap w:val="0"/>
            <w:vAlign w:val="center"/>
          </w:tcPr>
          <w:p w14:paraId="4CA0CE66">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最高允许排放限值</w:t>
            </w:r>
          </w:p>
          <w:p w14:paraId="5B6BF7B0">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（mg/m</w:t>
            </w:r>
            <w:r>
              <w:rPr>
                <w:rFonts w:hint="default" w:ascii="Times New Roman" w:hAnsi="Times New Roman" w:eastAsia="宋体" w:cs="Times New Roman"/>
                <w:b/>
                <w:color w:val="auto"/>
                <w:szCs w:val="21"/>
                <w:highlight w:val="none"/>
                <w:vertAlign w:val="superscript"/>
              </w:rPr>
              <w:t>3</w:t>
            </w:r>
            <w:r>
              <w:rPr>
                <w:rFonts w:hint="default" w:ascii="Times New Roman" w:hAnsi="Times New Roman" w:eastAsia="宋体" w:cs="Times New Roman"/>
                <w:b/>
                <w:color w:val="auto"/>
                <w:szCs w:val="21"/>
                <w:highlight w:val="none"/>
              </w:rPr>
              <w:t>）</w:t>
            </w:r>
          </w:p>
        </w:tc>
        <w:tc>
          <w:tcPr>
            <w:tcW w:w="953" w:type="pct"/>
            <w:noWrap w:val="0"/>
            <w:vAlign w:val="center"/>
          </w:tcPr>
          <w:p w14:paraId="67ABB83F">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无组织排放监控限值（mg/m</w:t>
            </w:r>
            <w:r>
              <w:rPr>
                <w:rFonts w:hint="default" w:ascii="Times New Roman" w:hAnsi="Times New Roman" w:eastAsia="宋体" w:cs="Times New Roman"/>
                <w:b/>
                <w:color w:val="auto"/>
                <w:szCs w:val="21"/>
                <w:highlight w:val="none"/>
                <w:vertAlign w:val="superscript"/>
              </w:rPr>
              <w:t>3</w:t>
            </w:r>
            <w:r>
              <w:rPr>
                <w:rFonts w:hint="default" w:ascii="Times New Roman" w:hAnsi="Times New Roman" w:eastAsia="宋体" w:cs="Times New Roman"/>
                <w:b/>
                <w:color w:val="auto"/>
                <w:szCs w:val="21"/>
                <w:highlight w:val="none"/>
              </w:rPr>
              <w:t>）</w:t>
            </w:r>
          </w:p>
        </w:tc>
        <w:tc>
          <w:tcPr>
            <w:tcW w:w="1032" w:type="pct"/>
            <w:noWrap w:val="0"/>
            <w:vAlign w:val="center"/>
          </w:tcPr>
          <w:p w14:paraId="798E64B1">
            <w:pPr>
              <w:adjustRightInd w:val="0"/>
              <w:snapToGrid w:val="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标准来源</w:t>
            </w:r>
          </w:p>
        </w:tc>
      </w:tr>
      <w:tr w14:paraId="186CE2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3" w:hRule="atLeast"/>
          <w:jc w:val="center"/>
        </w:trPr>
        <w:tc>
          <w:tcPr>
            <w:tcW w:w="341" w:type="pct"/>
            <w:noWrap w:val="0"/>
            <w:vAlign w:val="center"/>
          </w:tcPr>
          <w:p w14:paraId="672B0039">
            <w:pPr>
              <w:tabs>
                <w:tab w:val="left" w:pos="3960"/>
                <w:tab w:val="left" w:pos="8789"/>
              </w:tabs>
              <w:adjustRightInd w:val="0"/>
              <w:snapToGrid w:val="0"/>
              <w:ind w:left="-141" w:leftChars="-67"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528" w:type="pct"/>
            <w:noWrap w:val="0"/>
            <w:vAlign w:val="center"/>
          </w:tcPr>
          <w:p w14:paraId="0A1EE97A">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颗粒物</w:t>
            </w:r>
          </w:p>
        </w:tc>
        <w:tc>
          <w:tcPr>
            <w:tcW w:w="1145" w:type="pct"/>
            <w:noWrap w:val="0"/>
            <w:vAlign w:val="center"/>
          </w:tcPr>
          <w:p w14:paraId="37237602">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w:t>
            </w:r>
          </w:p>
        </w:tc>
        <w:tc>
          <w:tcPr>
            <w:tcW w:w="953" w:type="pct"/>
            <w:noWrap w:val="0"/>
            <w:vAlign w:val="center"/>
          </w:tcPr>
          <w:p w14:paraId="628C7222">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生产装置不得有明显的无组织排放</w:t>
            </w:r>
          </w:p>
        </w:tc>
        <w:tc>
          <w:tcPr>
            <w:tcW w:w="1032" w:type="pct"/>
            <w:vMerge w:val="restart"/>
            <w:noWrap w:val="0"/>
            <w:vAlign w:val="center"/>
          </w:tcPr>
          <w:p w14:paraId="40D5879E">
            <w:pPr>
              <w:adjustRightInd w:val="0"/>
              <w:snapToGrid w:val="0"/>
              <w:jc w:val="center"/>
              <w:rPr>
                <w:rFonts w:hint="default" w:ascii="Times New Roman" w:hAnsi="Times New Roman" w:eastAsia="宋体" w:cs="Times New Roman"/>
                <w:color w:val="auto"/>
                <w:szCs w:val="21"/>
                <w:highlight w:val="none"/>
              </w:rPr>
            </w:pPr>
            <w:bookmarkStart w:id="692" w:name="OLE_LINK181"/>
            <w:r>
              <w:rPr>
                <w:rFonts w:hint="default" w:ascii="Times New Roman" w:hAnsi="Times New Roman" w:eastAsia="宋体" w:cs="Times New Roman"/>
                <w:color w:val="auto"/>
                <w:szCs w:val="21"/>
                <w:highlight w:val="none"/>
              </w:rPr>
              <w:t>《生物制药行业水和大气污染物排放限值》（DB32/3560-2019）</w:t>
            </w:r>
            <w:bookmarkEnd w:id="692"/>
          </w:p>
        </w:tc>
      </w:tr>
      <w:tr w14:paraId="5D8CBD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3" w:hRule="atLeast"/>
          <w:jc w:val="center"/>
        </w:trPr>
        <w:tc>
          <w:tcPr>
            <w:tcW w:w="341" w:type="pct"/>
            <w:noWrap w:val="0"/>
            <w:vAlign w:val="center"/>
          </w:tcPr>
          <w:p w14:paraId="41898A20">
            <w:pPr>
              <w:tabs>
                <w:tab w:val="left" w:pos="3960"/>
                <w:tab w:val="left" w:pos="8789"/>
              </w:tabs>
              <w:adjustRightInd w:val="0"/>
              <w:snapToGrid w:val="0"/>
              <w:ind w:left="-141" w:leftChars="-67"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528" w:type="pct"/>
            <w:noWrap w:val="0"/>
            <w:vAlign w:val="center"/>
          </w:tcPr>
          <w:p w14:paraId="1DD2E7C0">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氯化氢</w:t>
            </w:r>
          </w:p>
        </w:tc>
        <w:tc>
          <w:tcPr>
            <w:tcW w:w="1145" w:type="pct"/>
            <w:noWrap w:val="0"/>
            <w:vAlign w:val="center"/>
          </w:tcPr>
          <w:p w14:paraId="4F0DE418">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w:t>
            </w:r>
          </w:p>
        </w:tc>
        <w:tc>
          <w:tcPr>
            <w:tcW w:w="953" w:type="pct"/>
            <w:noWrap w:val="0"/>
            <w:vAlign w:val="center"/>
          </w:tcPr>
          <w:p w14:paraId="76E48A69">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0.20</w:t>
            </w:r>
          </w:p>
        </w:tc>
        <w:tc>
          <w:tcPr>
            <w:tcW w:w="1032" w:type="pct"/>
            <w:vMerge w:val="continue"/>
            <w:noWrap w:val="0"/>
            <w:vAlign w:val="center"/>
          </w:tcPr>
          <w:p w14:paraId="341ECD37">
            <w:pPr>
              <w:adjustRightInd w:val="0"/>
              <w:snapToGrid w:val="0"/>
              <w:jc w:val="center"/>
              <w:rPr>
                <w:rFonts w:hint="default" w:ascii="Times New Roman" w:hAnsi="Times New Roman" w:eastAsia="宋体" w:cs="Times New Roman"/>
                <w:color w:val="auto"/>
                <w:szCs w:val="21"/>
                <w:highlight w:val="none"/>
              </w:rPr>
            </w:pPr>
          </w:p>
        </w:tc>
      </w:tr>
      <w:tr w14:paraId="4C954A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3" w:hRule="atLeast"/>
          <w:jc w:val="center"/>
        </w:trPr>
        <w:tc>
          <w:tcPr>
            <w:tcW w:w="341" w:type="pct"/>
            <w:noWrap w:val="0"/>
            <w:vAlign w:val="center"/>
          </w:tcPr>
          <w:p w14:paraId="78ECE783">
            <w:pPr>
              <w:tabs>
                <w:tab w:val="left" w:pos="3960"/>
                <w:tab w:val="left" w:pos="8789"/>
              </w:tabs>
              <w:adjustRightInd w:val="0"/>
              <w:snapToGrid w:val="0"/>
              <w:ind w:left="-141" w:leftChars="-67"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1528" w:type="pct"/>
            <w:noWrap w:val="0"/>
            <w:vAlign w:val="center"/>
          </w:tcPr>
          <w:p w14:paraId="3B1F19A0">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甲醇</w:t>
            </w:r>
          </w:p>
        </w:tc>
        <w:tc>
          <w:tcPr>
            <w:tcW w:w="1145" w:type="pct"/>
            <w:noWrap w:val="0"/>
            <w:vAlign w:val="center"/>
          </w:tcPr>
          <w:p w14:paraId="763CD73C">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60</w:t>
            </w:r>
          </w:p>
        </w:tc>
        <w:tc>
          <w:tcPr>
            <w:tcW w:w="953" w:type="pct"/>
            <w:noWrap w:val="0"/>
            <w:vAlign w:val="center"/>
          </w:tcPr>
          <w:p w14:paraId="0C3BB803">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1.00</w:t>
            </w:r>
          </w:p>
        </w:tc>
        <w:tc>
          <w:tcPr>
            <w:tcW w:w="1032" w:type="pct"/>
            <w:vMerge w:val="continue"/>
            <w:noWrap w:val="0"/>
            <w:vAlign w:val="center"/>
          </w:tcPr>
          <w:p w14:paraId="46C252A8">
            <w:pPr>
              <w:adjustRightInd w:val="0"/>
              <w:snapToGrid w:val="0"/>
              <w:jc w:val="center"/>
              <w:rPr>
                <w:rFonts w:hint="default" w:ascii="Times New Roman" w:hAnsi="Times New Roman" w:eastAsia="宋体" w:cs="Times New Roman"/>
                <w:color w:val="auto"/>
                <w:szCs w:val="21"/>
                <w:highlight w:val="none"/>
              </w:rPr>
            </w:pPr>
          </w:p>
        </w:tc>
      </w:tr>
      <w:tr w14:paraId="7DBBAF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3" w:hRule="atLeast"/>
          <w:jc w:val="center"/>
        </w:trPr>
        <w:tc>
          <w:tcPr>
            <w:tcW w:w="341" w:type="pct"/>
            <w:noWrap w:val="0"/>
            <w:vAlign w:val="center"/>
          </w:tcPr>
          <w:p w14:paraId="7178C74A">
            <w:pPr>
              <w:tabs>
                <w:tab w:val="left" w:pos="3960"/>
                <w:tab w:val="left" w:pos="8789"/>
              </w:tabs>
              <w:adjustRightInd w:val="0"/>
              <w:snapToGrid w:val="0"/>
              <w:ind w:left="-141" w:leftChars="-67" w:right="-105" w:rightChars="-5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1528" w:type="pct"/>
            <w:noWrap w:val="0"/>
            <w:vAlign w:val="center"/>
          </w:tcPr>
          <w:p w14:paraId="1A884E44">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甲醛</w:t>
            </w:r>
          </w:p>
        </w:tc>
        <w:tc>
          <w:tcPr>
            <w:tcW w:w="1145" w:type="pct"/>
            <w:noWrap w:val="0"/>
            <w:vAlign w:val="center"/>
          </w:tcPr>
          <w:p w14:paraId="566F1689">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c>
          <w:tcPr>
            <w:tcW w:w="953" w:type="pct"/>
            <w:noWrap w:val="0"/>
            <w:vAlign w:val="center"/>
          </w:tcPr>
          <w:p w14:paraId="2FB7D8B7">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0.05</w:t>
            </w:r>
          </w:p>
        </w:tc>
        <w:tc>
          <w:tcPr>
            <w:tcW w:w="1032" w:type="pct"/>
            <w:vMerge w:val="continue"/>
            <w:noWrap w:val="0"/>
            <w:vAlign w:val="center"/>
          </w:tcPr>
          <w:p w14:paraId="37C281B6">
            <w:pPr>
              <w:adjustRightInd w:val="0"/>
              <w:snapToGrid w:val="0"/>
              <w:jc w:val="center"/>
              <w:rPr>
                <w:rFonts w:hint="default" w:ascii="Times New Roman" w:hAnsi="Times New Roman" w:eastAsia="宋体" w:cs="Times New Roman"/>
                <w:color w:val="auto"/>
                <w:szCs w:val="21"/>
                <w:highlight w:val="none"/>
              </w:rPr>
            </w:pPr>
          </w:p>
        </w:tc>
      </w:tr>
      <w:tr w14:paraId="2DB67D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3" w:hRule="atLeast"/>
          <w:jc w:val="center"/>
        </w:trPr>
        <w:tc>
          <w:tcPr>
            <w:tcW w:w="341" w:type="pct"/>
            <w:shd w:val="clear" w:color="auto" w:fill="auto"/>
            <w:noWrap w:val="0"/>
            <w:vAlign w:val="center"/>
          </w:tcPr>
          <w:p w14:paraId="13A2F61A">
            <w:pPr>
              <w:tabs>
                <w:tab w:val="left" w:pos="3960"/>
                <w:tab w:val="left" w:pos="8789"/>
              </w:tabs>
              <w:adjustRightInd w:val="0"/>
              <w:snapToGrid w:val="0"/>
              <w:ind w:left="-141" w:leftChars="-67" w:right="-105" w:rightChars="-5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Cs w:val="21"/>
                <w:highlight w:val="none"/>
              </w:rPr>
              <w:t>5</w:t>
            </w:r>
          </w:p>
        </w:tc>
        <w:tc>
          <w:tcPr>
            <w:tcW w:w="1528" w:type="pct"/>
            <w:noWrap w:val="0"/>
            <w:vAlign w:val="center"/>
          </w:tcPr>
          <w:p w14:paraId="001F8D65">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非甲烷总烃</w:t>
            </w:r>
          </w:p>
        </w:tc>
        <w:tc>
          <w:tcPr>
            <w:tcW w:w="1145" w:type="pct"/>
            <w:shd w:val="clear" w:color="auto" w:fill="auto"/>
            <w:noWrap w:val="0"/>
            <w:vAlign w:val="center"/>
          </w:tcPr>
          <w:p w14:paraId="4F327D1F">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Cs w:val="21"/>
                <w:highlight w:val="none"/>
              </w:rPr>
              <w:t>80</w:t>
            </w:r>
          </w:p>
        </w:tc>
        <w:tc>
          <w:tcPr>
            <w:tcW w:w="953" w:type="pct"/>
            <w:shd w:val="clear" w:color="auto" w:fill="auto"/>
            <w:noWrap w:val="0"/>
            <w:vAlign w:val="center"/>
          </w:tcPr>
          <w:p w14:paraId="7FC0CFB9">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Cs w:val="21"/>
                <w:highlight w:val="none"/>
              </w:rPr>
              <w:t>4.0</w:t>
            </w:r>
          </w:p>
        </w:tc>
        <w:tc>
          <w:tcPr>
            <w:tcW w:w="1032" w:type="pct"/>
            <w:vMerge w:val="continue"/>
            <w:noWrap w:val="0"/>
            <w:vAlign w:val="center"/>
          </w:tcPr>
          <w:p w14:paraId="582EA44D">
            <w:pPr>
              <w:adjustRightInd w:val="0"/>
              <w:snapToGrid w:val="0"/>
              <w:jc w:val="center"/>
              <w:rPr>
                <w:rFonts w:hint="default" w:ascii="Times New Roman" w:hAnsi="Times New Roman" w:eastAsia="宋体" w:cs="Times New Roman"/>
                <w:color w:val="auto"/>
                <w:szCs w:val="21"/>
                <w:highlight w:val="none"/>
              </w:rPr>
            </w:pPr>
          </w:p>
        </w:tc>
      </w:tr>
      <w:tr w14:paraId="250CAC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341" w:type="pct"/>
            <w:shd w:val="clear" w:color="auto" w:fill="auto"/>
            <w:noWrap w:val="0"/>
            <w:vAlign w:val="center"/>
          </w:tcPr>
          <w:p w14:paraId="036CDC35">
            <w:pPr>
              <w:tabs>
                <w:tab w:val="left" w:pos="3960"/>
                <w:tab w:val="left" w:pos="8789"/>
              </w:tabs>
              <w:adjustRightInd w:val="0"/>
              <w:snapToGrid w:val="0"/>
              <w:ind w:left="-141" w:leftChars="-67" w:right="-105" w:rightChars="-5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Cs w:val="21"/>
                <w:highlight w:val="none"/>
              </w:rPr>
              <w:t>6</w:t>
            </w:r>
          </w:p>
        </w:tc>
        <w:tc>
          <w:tcPr>
            <w:tcW w:w="1528" w:type="pct"/>
            <w:noWrap w:val="0"/>
            <w:vAlign w:val="center"/>
          </w:tcPr>
          <w:p w14:paraId="4ABFFCAC">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臭气浓度（无量纲）</w:t>
            </w:r>
          </w:p>
        </w:tc>
        <w:tc>
          <w:tcPr>
            <w:tcW w:w="1145" w:type="pct"/>
            <w:noWrap w:val="0"/>
            <w:vAlign w:val="center"/>
          </w:tcPr>
          <w:p w14:paraId="4B151F5C">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1500</w:t>
            </w:r>
          </w:p>
        </w:tc>
        <w:tc>
          <w:tcPr>
            <w:tcW w:w="953" w:type="pct"/>
            <w:noWrap w:val="0"/>
            <w:vAlign w:val="center"/>
          </w:tcPr>
          <w:p w14:paraId="537DB6B3">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1032" w:type="pct"/>
            <w:vMerge w:val="continue"/>
            <w:noWrap w:val="0"/>
            <w:vAlign w:val="center"/>
          </w:tcPr>
          <w:p w14:paraId="686D3FF2">
            <w:pPr>
              <w:adjustRightInd w:val="0"/>
              <w:snapToGrid w:val="0"/>
              <w:jc w:val="center"/>
              <w:rPr>
                <w:rFonts w:hint="default" w:ascii="Times New Roman" w:hAnsi="Times New Roman" w:eastAsia="宋体" w:cs="Times New Roman"/>
                <w:color w:val="auto"/>
                <w:szCs w:val="21"/>
                <w:highlight w:val="none"/>
              </w:rPr>
            </w:pPr>
          </w:p>
        </w:tc>
      </w:tr>
      <w:tr w14:paraId="608465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341" w:type="pct"/>
            <w:shd w:val="clear" w:color="auto" w:fill="auto"/>
            <w:noWrap w:val="0"/>
            <w:vAlign w:val="center"/>
          </w:tcPr>
          <w:p w14:paraId="25285AA0">
            <w:pPr>
              <w:tabs>
                <w:tab w:val="left" w:pos="3960"/>
                <w:tab w:val="left" w:pos="8789"/>
              </w:tabs>
              <w:adjustRightInd w:val="0"/>
              <w:snapToGrid w:val="0"/>
              <w:ind w:left="-141" w:leftChars="-67" w:right="-105" w:rightChars="-5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Cs w:val="21"/>
                <w:highlight w:val="none"/>
              </w:rPr>
              <w:t>7</w:t>
            </w:r>
          </w:p>
        </w:tc>
        <w:tc>
          <w:tcPr>
            <w:tcW w:w="1528" w:type="pct"/>
            <w:noWrap w:val="0"/>
            <w:vAlign w:val="center"/>
          </w:tcPr>
          <w:p w14:paraId="1CFF8E81">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甲苯</w:t>
            </w:r>
          </w:p>
        </w:tc>
        <w:tc>
          <w:tcPr>
            <w:tcW w:w="1145" w:type="pct"/>
            <w:noWrap w:val="0"/>
            <w:vAlign w:val="center"/>
          </w:tcPr>
          <w:p w14:paraId="12B13B0D">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25</w:t>
            </w:r>
          </w:p>
        </w:tc>
        <w:tc>
          <w:tcPr>
            <w:tcW w:w="953" w:type="pct"/>
            <w:noWrap w:val="0"/>
            <w:vAlign w:val="center"/>
          </w:tcPr>
          <w:p w14:paraId="3D92ADFD">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0.60</w:t>
            </w:r>
          </w:p>
        </w:tc>
        <w:tc>
          <w:tcPr>
            <w:tcW w:w="1032" w:type="pct"/>
            <w:vMerge w:val="continue"/>
            <w:noWrap w:val="0"/>
            <w:vAlign w:val="center"/>
          </w:tcPr>
          <w:p w14:paraId="5A32305D">
            <w:pPr>
              <w:adjustRightInd w:val="0"/>
              <w:snapToGrid w:val="0"/>
              <w:jc w:val="center"/>
              <w:rPr>
                <w:rFonts w:hint="default" w:ascii="Times New Roman" w:hAnsi="Times New Roman" w:eastAsia="宋体" w:cs="Times New Roman"/>
                <w:color w:val="auto"/>
                <w:szCs w:val="21"/>
                <w:highlight w:val="none"/>
              </w:rPr>
            </w:pPr>
          </w:p>
        </w:tc>
      </w:tr>
      <w:tr w14:paraId="5D6FB4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341" w:type="pct"/>
            <w:shd w:val="clear" w:color="auto" w:fill="auto"/>
            <w:noWrap w:val="0"/>
            <w:vAlign w:val="center"/>
          </w:tcPr>
          <w:p w14:paraId="0411FDE6">
            <w:pPr>
              <w:tabs>
                <w:tab w:val="left" w:pos="3960"/>
                <w:tab w:val="left" w:pos="8789"/>
              </w:tabs>
              <w:adjustRightInd w:val="0"/>
              <w:snapToGrid w:val="0"/>
              <w:ind w:left="-141" w:leftChars="-67" w:right="-105" w:rightChars="-5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Cs w:val="21"/>
                <w:highlight w:val="none"/>
              </w:rPr>
              <w:t>8</w:t>
            </w:r>
          </w:p>
        </w:tc>
        <w:tc>
          <w:tcPr>
            <w:tcW w:w="1528" w:type="pct"/>
            <w:noWrap w:val="0"/>
            <w:vAlign w:val="center"/>
          </w:tcPr>
          <w:p w14:paraId="7202C864">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二甲苯</w:t>
            </w:r>
          </w:p>
        </w:tc>
        <w:tc>
          <w:tcPr>
            <w:tcW w:w="1145" w:type="pct"/>
            <w:noWrap w:val="0"/>
            <w:vAlign w:val="center"/>
          </w:tcPr>
          <w:p w14:paraId="012A6E63">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40</w:t>
            </w:r>
          </w:p>
        </w:tc>
        <w:tc>
          <w:tcPr>
            <w:tcW w:w="953" w:type="pct"/>
            <w:noWrap w:val="0"/>
            <w:vAlign w:val="center"/>
          </w:tcPr>
          <w:p w14:paraId="4D355A42">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0.30</w:t>
            </w:r>
          </w:p>
        </w:tc>
        <w:tc>
          <w:tcPr>
            <w:tcW w:w="1032" w:type="pct"/>
            <w:vMerge w:val="continue"/>
            <w:noWrap w:val="0"/>
            <w:vAlign w:val="center"/>
          </w:tcPr>
          <w:p w14:paraId="5A827CDF">
            <w:pPr>
              <w:adjustRightInd w:val="0"/>
              <w:snapToGrid w:val="0"/>
              <w:jc w:val="center"/>
              <w:rPr>
                <w:rFonts w:hint="default" w:ascii="Times New Roman" w:hAnsi="Times New Roman" w:eastAsia="宋体" w:cs="Times New Roman"/>
                <w:color w:val="auto"/>
                <w:szCs w:val="21"/>
                <w:highlight w:val="none"/>
              </w:rPr>
            </w:pPr>
          </w:p>
        </w:tc>
      </w:tr>
      <w:tr w14:paraId="3681B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341" w:type="pct"/>
            <w:shd w:val="clear" w:color="auto" w:fill="auto"/>
            <w:noWrap w:val="0"/>
            <w:vAlign w:val="center"/>
          </w:tcPr>
          <w:p w14:paraId="68BB19BC">
            <w:pPr>
              <w:tabs>
                <w:tab w:val="left" w:pos="3960"/>
                <w:tab w:val="left" w:pos="8789"/>
              </w:tabs>
              <w:adjustRightInd w:val="0"/>
              <w:snapToGrid w:val="0"/>
              <w:ind w:left="-141" w:leftChars="-67" w:right="-105" w:rightChars="-5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Cs w:val="21"/>
                <w:highlight w:val="none"/>
              </w:rPr>
              <w:t>9</w:t>
            </w:r>
          </w:p>
        </w:tc>
        <w:tc>
          <w:tcPr>
            <w:tcW w:w="1528" w:type="pct"/>
            <w:noWrap w:val="0"/>
            <w:vAlign w:val="center"/>
          </w:tcPr>
          <w:p w14:paraId="5DC459B8">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苯</w:t>
            </w:r>
          </w:p>
        </w:tc>
        <w:tc>
          <w:tcPr>
            <w:tcW w:w="1145" w:type="pct"/>
            <w:noWrap w:val="0"/>
            <w:vAlign w:val="center"/>
          </w:tcPr>
          <w:p w14:paraId="2941ACE6">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953" w:type="pct"/>
            <w:noWrap w:val="0"/>
            <w:vAlign w:val="center"/>
          </w:tcPr>
          <w:p w14:paraId="3FB3DDF8">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0.12</w:t>
            </w:r>
          </w:p>
        </w:tc>
        <w:tc>
          <w:tcPr>
            <w:tcW w:w="1032" w:type="pct"/>
            <w:vMerge w:val="continue"/>
            <w:noWrap w:val="0"/>
            <w:vAlign w:val="center"/>
          </w:tcPr>
          <w:p w14:paraId="5384FF47">
            <w:pPr>
              <w:adjustRightInd w:val="0"/>
              <w:snapToGrid w:val="0"/>
              <w:jc w:val="center"/>
              <w:rPr>
                <w:rFonts w:hint="default" w:ascii="Times New Roman" w:hAnsi="Times New Roman" w:eastAsia="宋体" w:cs="Times New Roman"/>
                <w:color w:val="auto"/>
                <w:szCs w:val="21"/>
                <w:highlight w:val="none"/>
              </w:rPr>
            </w:pPr>
          </w:p>
        </w:tc>
      </w:tr>
      <w:bookmarkEnd w:id="688"/>
    </w:tbl>
    <w:p w14:paraId="1364CC85">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outlineLvl w:val="9"/>
        <w:rPr>
          <w:rFonts w:hint="default" w:ascii="Times New Roman" w:hAnsi="Times New Roman" w:eastAsia="宋体" w:cs="Times New Roman"/>
          <w:color w:val="auto"/>
          <w:spacing w:val="-2"/>
          <w:sz w:val="24"/>
          <w:szCs w:val="24"/>
          <w:highlight w:val="none"/>
          <w:lang w:val="en-US" w:eastAsia="zh-CN"/>
        </w:rPr>
      </w:pPr>
      <w:r>
        <w:rPr>
          <w:rFonts w:hint="eastAsia" w:ascii="Times New Roman" w:hAnsi="Times New Roman" w:eastAsia="宋体" w:cs="Times New Roman"/>
          <w:color w:val="auto"/>
          <w:spacing w:val="-2"/>
          <w:sz w:val="24"/>
          <w:szCs w:val="24"/>
          <w:highlight w:val="none"/>
          <w:lang w:val="en-US" w:eastAsia="zh-CN"/>
        </w:rPr>
        <w:t>（3）半导体行业</w:t>
      </w:r>
      <w:bookmarkStart w:id="693" w:name="pindex2110"/>
      <w:bookmarkEnd w:id="693"/>
    </w:p>
    <w:p w14:paraId="4DADDF5E">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rPr>
          <w:rFonts w:hint="eastAsia" w:ascii="Times New Roman" w:hAnsi="Times New Roman" w:eastAsia="宋体" w:cs="Times New Roman"/>
          <w:color w:val="auto"/>
          <w:spacing w:val="-2"/>
          <w:sz w:val="24"/>
          <w:szCs w:val="24"/>
          <w:highlight w:val="none"/>
          <w:lang w:val="en-US" w:eastAsia="zh-CN"/>
        </w:rPr>
      </w:pPr>
      <w:bookmarkStart w:id="694" w:name="OLE_LINK747"/>
      <w:bookmarkStart w:id="695" w:name="sys2111049"/>
      <w:r>
        <w:rPr>
          <w:rFonts w:hint="eastAsia" w:ascii="Times New Roman" w:hAnsi="Times New Roman" w:eastAsia="宋体" w:cs="Times New Roman"/>
          <w:color w:val="auto"/>
          <w:spacing w:val="-2"/>
          <w:sz w:val="24"/>
          <w:szCs w:val="24"/>
          <w:highlight w:val="none"/>
          <w:lang w:val="en-US" w:eastAsia="zh-CN"/>
        </w:rPr>
        <w:t>区内半导体企业废气排放执行</w:t>
      </w:r>
      <w:bookmarkStart w:id="696" w:name="OLE_LINK193"/>
      <w:r>
        <w:rPr>
          <w:rFonts w:hint="eastAsia" w:ascii="Times New Roman" w:hAnsi="Times New Roman" w:eastAsia="宋体" w:cs="Times New Roman"/>
          <w:color w:val="auto"/>
          <w:spacing w:val="-2"/>
          <w:sz w:val="24"/>
          <w:szCs w:val="24"/>
          <w:highlight w:val="none"/>
          <w:lang w:val="en-US" w:eastAsia="zh-CN"/>
        </w:rPr>
        <w:t>《半导体行业污染物排放标准》（DB32/3747-2020）</w:t>
      </w:r>
      <w:bookmarkEnd w:id="694"/>
      <w:bookmarkEnd w:id="696"/>
      <w:bookmarkStart w:id="697" w:name="OLE_LINK155"/>
      <w:r>
        <w:rPr>
          <w:rFonts w:hint="eastAsia" w:ascii="Times New Roman" w:hAnsi="Times New Roman" w:eastAsia="宋体" w:cs="Times New Roman"/>
          <w:color w:val="auto"/>
          <w:spacing w:val="-2"/>
          <w:sz w:val="24"/>
          <w:szCs w:val="24"/>
          <w:highlight w:val="none"/>
          <w:lang w:val="en-US" w:eastAsia="zh-CN"/>
        </w:rPr>
        <w:t>中限值标准</w:t>
      </w:r>
      <w:bookmarkEnd w:id="697"/>
      <w:r>
        <w:rPr>
          <w:rFonts w:hint="eastAsia" w:ascii="Times New Roman" w:hAnsi="Times New Roman" w:eastAsia="宋体" w:cs="Times New Roman"/>
          <w:color w:val="auto"/>
          <w:spacing w:val="-2"/>
          <w:sz w:val="24"/>
          <w:szCs w:val="24"/>
          <w:highlight w:val="none"/>
          <w:lang w:val="en-US" w:eastAsia="zh-CN"/>
        </w:rPr>
        <w:t>。</w:t>
      </w:r>
      <w:bookmarkEnd w:id="695"/>
    </w:p>
    <w:p w14:paraId="0660BEED">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eastAsia="宋体" w:cs="Times New Roman"/>
          <w:b/>
          <w:bCs/>
          <w:color w:val="auto"/>
          <w:spacing w:val="-4"/>
          <w:sz w:val="24"/>
          <w:szCs w:val="24"/>
          <w:highlight w:val="none"/>
          <w:lang w:val="en-US" w:eastAsia="zh-CN"/>
        </w:rPr>
      </w:pPr>
      <w:bookmarkStart w:id="698" w:name="OLE_LINK190"/>
      <w:bookmarkStart w:id="699" w:name="sys2112038"/>
      <w:bookmarkStart w:id="700" w:name="OLE_LINK189"/>
      <w:bookmarkStart w:id="701" w:name="OLE_LINK195"/>
      <w:r>
        <w:rPr>
          <w:rFonts w:hint="default" w:ascii="Times New Roman" w:hAnsi="Times New Roman" w:eastAsia="宋体" w:cs="Times New Roman"/>
          <w:b/>
          <w:bCs/>
          <w:color w:val="auto"/>
          <w:spacing w:val="-4"/>
          <w:sz w:val="24"/>
          <w:szCs w:val="24"/>
          <w:highlight w:val="lightGray"/>
          <w:lang w:val="en-US" w:eastAsia="zh-CN"/>
        </w:rPr>
        <w:t>表3.</w:t>
      </w:r>
      <w:r>
        <w:rPr>
          <w:rFonts w:hint="eastAsia" w:ascii="Times New Roman" w:hAnsi="Times New Roman" w:eastAsia="宋体" w:cs="Times New Roman"/>
          <w:b/>
          <w:bCs/>
          <w:color w:val="auto"/>
          <w:spacing w:val="-4"/>
          <w:sz w:val="24"/>
          <w:szCs w:val="24"/>
          <w:highlight w:val="lightGray"/>
          <w:lang w:val="en-US" w:eastAsia="zh-CN"/>
        </w:rPr>
        <w:t>2-21</w:t>
      </w:r>
      <w:r>
        <w:rPr>
          <w:rFonts w:hint="eastAsia" w:ascii="Times New Roman" w:hAnsi="Times New Roman" w:eastAsia="宋体" w:cs="Times New Roman"/>
          <w:b/>
          <w:bCs/>
          <w:color w:val="auto"/>
          <w:spacing w:val="-2"/>
          <w:sz w:val="24"/>
          <w:szCs w:val="24"/>
          <w:highlight w:val="lightGray"/>
          <w:lang w:val="en-US" w:eastAsia="zh-CN"/>
        </w:rPr>
        <w:t xml:space="preserve">  </w:t>
      </w:r>
      <w:bookmarkEnd w:id="698"/>
      <w:r>
        <w:rPr>
          <w:rFonts w:hint="eastAsia" w:ascii="Times New Roman" w:hAnsi="Times New Roman" w:eastAsia="宋体" w:cs="Times New Roman"/>
          <w:b/>
          <w:bCs/>
          <w:color w:val="auto"/>
          <w:spacing w:val="-2"/>
          <w:sz w:val="24"/>
          <w:szCs w:val="24"/>
          <w:highlight w:val="lightGray"/>
          <w:lang w:val="en-US" w:eastAsia="zh-CN"/>
        </w:rPr>
        <w:t>半导体行业大气污染物有组织排放限值  （</w:t>
      </w:r>
      <w:r>
        <w:rPr>
          <w:rFonts w:hint="eastAsia" w:ascii="Times New Roman" w:hAnsi="Times New Roman" w:eastAsia="宋体" w:cs="Times New Roman"/>
          <w:b/>
          <w:bCs/>
          <w:color w:val="auto"/>
          <w:spacing w:val="-4"/>
          <w:sz w:val="24"/>
          <w:szCs w:val="24"/>
          <w:highlight w:val="lightGray"/>
          <w:lang w:val="en-US" w:eastAsia="zh-CN"/>
        </w:rPr>
        <w:t>单位：mg/m</w:t>
      </w:r>
      <w:r>
        <w:rPr>
          <w:rFonts w:hint="eastAsia" w:ascii="Times New Roman" w:hAnsi="Times New Roman" w:eastAsia="宋体" w:cs="Times New Roman"/>
          <w:b/>
          <w:bCs/>
          <w:color w:val="auto"/>
          <w:spacing w:val="-4"/>
          <w:sz w:val="24"/>
          <w:szCs w:val="24"/>
          <w:highlight w:val="lightGray"/>
          <w:vertAlign w:val="superscript"/>
          <w:lang w:val="en-US" w:eastAsia="zh-CN"/>
        </w:rPr>
        <w:t>3</w:t>
      </w:r>
      <w:r>
        <w:rPr>
          <w:rFonts w:hint="eastAsia" w:ascii="Times New Roman" w:hAnsi="Times New Roman" w:eastAsia="宋体" w:cs="Times New Roman"/>
          <w:b/>
          <w:bCs/>
          <w:color w:val="auto"/>
          <w:spacing w:val="-4"/>
          <w:sz w:val="24"/>
          <w:szCs w:val="24"/>
          <w:highlight w:val="lightGray"/>
          <w:vertAlign w:val="baseline"/>
          <w:lang w:val="en-US" w:eastAsia="zh-CN"/>
        </w:rPr>
        <w:t>）</w:t>
      </w:r>
      <w:bookmarkEnd w:id="699"/>
      <w:bookmarkStart w:id="702" w:name="pindex2112"/>
      <w:bookmarkEnd w:id="702"/>
    </w:p>
    <w:bookmarkEnd w:id="700"/>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autofit"/>
        <w:tblCellMar>
          <w:top w:w="0" w:type="dxa"/>
          <w:left w:w="0" w:type="dxa"/>
          <w:bottom w:w="0" w:type="dxa"/>
          <w:right w:w="0" w:type="dxa"/>
        </w:tblCellMar>
      </w:tblPr>
      <w:tblGrid>
        <w:gridCol w:w="697"/>
        <w:gridCol w:w="2640"/>
        <w:gridCol w:w="2726"/>
        <w:gridCol w:w="2293"/>
      </w:tblGrid>
      <w:tr w14:paraId="6BEC6DFD">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41" w:hRule="atLeast"/>
          <w:tblHeader/>
        </w:trPr>
        <w:tc>
          <w:tcPr>
            <w:tcW w:w="417" w:type="pct"/>
            <w:tcBorders>
              <w:tl2br w:val="nil"/>
              <w:tr2bl w:val="nil"/>
            </w:tcBorders>
            <w:vAlign w:val="center"/>
          </w:tcPr>
          <w:p w14:paraId="2BC7E82B">
            <w:pPr>
              <w:spacing w:line="320" w:lineRule="exact"/>
              <w:jc w:val="center"/>
              <w:rPr>
                <w:rFonts w:hint="default" w:ascii="Times New Roman" w:hAnsi="Times New Roman" w:eastAsia="宋体" w:cs="Times New Roman"/>
                <w:b/>
                <w:bCs/>
                <w:color w:val="auto"/>
                <w:kern w:val="0"/>
                <w:sz w:val="21"/>
                <w:szCs w:val="21"/>
                <w:highlight w:val="none"/>
              </w:rPr>
            </w:pPr>
            <w:bookmarkStart w:id="703" w:name="OLE_LINK192" w:colFirst="0" w:colLast="2"/>
            <w:bookmarkStart w:id="704" w:name="OLE_LINK191" w:colFirst="0" w:colLast="2"/>
            <w:r>
              <w:rPr>
                <w:rFonts w:hint="default" w:ascii="Times New Roman" w:hAnsi="Times New Roman" w:eastAsia="宋体" w:cs="Times New Roman"/>
                <w:b/>
                <w:bCs/>
                <w:color w:val="auto"/>
                <w:kern w:val="0"/>
                <w:sz w:val="21"/>
                <w:szCs w:val="21"/>
                <w:highlight w:val="none"/>
              </w:rPr>
              <w:t>序号</w:t>
            </w:r>
          </w:p>
        </w:tc>
        <w:tc>
          <w:tcPr>
            <w:tcW w:w="1580" w:type="pct"/>
            <w:tcBorders>
              <w:tl2br w:val="nil"/>
              <w:tr2bl w:val="nil"/>
            </w:tcBorders>
            <w:vAlign w:val="center"/>
          </w:tcPr>
          <w:p w14:paraId="6611717B">
            <w:pPr>
              <w:spacing w:line="320" w:lineRule="exact"/>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污染物项目</w:t>
            </w:r>
          </w:p>
        </w:tc>
        <w:tc>
          <w:tcPr>
            <w:tcW w:w="1631" w:type="pct"/>
            <w:tcBorders>
              <w:tl2br w:val="nil"/>
              <w:tr2bl w:val="nil"/>
            </w:tcBorders>
            <w:vAlign w:val="center"/>
          </w:tcPr>
          <w:p w14:paraId="673E2309">
            <w:pPr>
              <w:spacing w:line="320" w:lineRule="exact"/>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最高允许排放浓度</w:t>
            </w:r>
          </w:p>
        </w:tc>
        <w:tc>
          <w:tcPr>
            <w:tcW w:w="1370" w:type="pct"/>
            <w:tcBorders>
              <w:tl2br w:val="nil"/>
              <w:tr2bl w:val="nil"/>
            </w:tcBorders>
            <w:vAlign w:val="center"/>
          </w:tcPr>
          <w:p w14:paraId="544DE0AB">
            <w:pPr>
              <w:spacing w:line="320" w:lineRule="exact"/>
              <w:jc w:val="center"/>
              <w:rPr>
                <w:rFonts w:hint="default" w:ascii="Times New Roman" w:hAnsi="Times New Roman" w:eastAsia="宋体" w:cs="Times New Roman"/>
                <w:b/>
                <w:bCs/>
                <w:color w:val="auto"/>
                <w:kern w:val="0"/>
                <w:sz w:val="21"/>
                <w:szCs w:val="21"/>
                <w:highlight w:val="none"/>
                <w:lang w:val="en-US" w:eastAsia="zh-CN"/>
              </w:rPr>
            </w:pPr>
            <w:r>
              <w:rPr>
                <w:rFonts w:hint="eastAsia" w:ascii="Times New Roman" w:hAnsi="Times New Roman" w:eastAsia="宋体" w:cs="Times New Roman"/>
                <w:b/>
                <w:bCs/>
                <w:color w:val="auto"/>
                <w:kern w:val="0"/>
                <w:sz w:val="21"/>
                <w:szCs w:val="21"/>
                <w:highlight w:val="none"/>
                <w:lang w:val="en-US" w:eastAsia="zh-CN"/>
              </w:rPr>
              <w:t>标准来源</w:t>
            </w:r>
          </w:p>
        </w:tc>
      </w:tr>
      <w:bookmarkEnd w:id="703"/>
      <w:tr w14:paraId="050FC657">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17" w:hRule="atLeast"/>
        </w:trPr>
        <w:tc>
          <w:tcPr>
            <w:tcW w:w="417" w:type="pct"/>
            <w:tcBorders>
              <w:tl2br w:val="nil"/>
              <w:tr2bl w:val="nil"/>
            </w:tcBorders>
            <w:vAlign w:val="center"/>
          </w:tcPr>
          <w:p w14:paraId="443795DC">
            <w:pPr>
              <w:spacing w:line="32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1580" w:type="pct"/>
            <w:tcBorders>
              <w:tl2br w:val="nil"/>
              <w:tr2bl w:val="nil"/>
            </w:tcBorders>
            <w:vAlign w:val="center"/>
          </w:tcPr>
          <w:p w14:paraId="141D613C">
            <w:pPr>
              <w:spacing w:line="32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颗粒物</w:t>
            </w:r>
          </w:p>
        </w:tc>
        <w:tc>
          <w:tcPr>
            <w:tcW w:w="1631" w:type="pct"/>
            <w:tcBorders>
              <w:tl2br w:val="nil"/>
              <w:tr2bl w:val="nil"/>
            </w:tcBorders>
            <w:vAlign w:val="center"/>
          </w:tcPr>
          <w:p w14:paraId="5E7ABC5D">
            <w:pPr>
              <w:spacing w:line="32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c>
          <w:tcPr>
            <w:tcW w:w="1370" w:type="pct"/>
            <w:vMerge w:val="restart"/>
            <w:tcBorders>
              <w:tl2br w:val="nil"/>
              <w:tr2bl w:val="nil"/>
            </w:tcBorders>
            <w:vAlign w:val="center"/>
          </w:tcPr>
          <w:p w14:paraId="287EBF55">
            <w:pPr>
              <w:spacing w:line="320" w:lineRule="exact"/>
              <w:jc w:val="center"/>
              <w:rPr>
                <w:rFonts w:hint="default" w:ascii="Times New Roman" w:hAnsi="Times New Roman" w:eastAsia="宋体" w:cs="Times New Roman"/>
                <w:color w:val="auto"/>
                <w:kern w:val="0"/>
                <w:sz w:val="21"/>
                <w:szCs w:val="21"/>
                <w:highlight w:val="none"/>
              </w:rPr>
            </w:pPr>
            <w:bookmarkStart w:id="705" w:name="OLE_LINK194"/>
            <w:r>
              <w:rPr>
                <w:rFonts w:hint="eastAsia" w:ascii="Times New Roman" w:hAnsi="Times New Roman" w:eastAsia="宋体" w:cs="Times New Roman"/>
                <w:color w:val="auto"/>
                <w:spacing w:val="-2"/>
                <w:sz w:val="21"/>
                <w:szCs w:val="21"/>
                <w:highlight w:val="none"/>
                <w:lang w:val="en-US" w:eastAsia="zh-CN"/>
              </w:rPr>
              <w:t>《半导体行业污染物排放标准》（DB32/3747-2020）</w:t>
            </w:r>
            <w:bookmarkEnd w:id="705"/>
          </w:p>
        </w:tc>
      </w:tr>
      <w:bookmarkEnd w:id="701"/>
      <w:bookmarkEnd w:id="704"/>
      <w:tr w14:paraId="51664E94">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179" w:hRule="atLeast"/>
        </w:trPr>
        <w:tc>
          <w:tcPr>
            <w:tcW w:w="417" w:type="pct"/>
            <w:tcBorders>
              <w:tl2br w:val="nil"/>
              <w:tr2bl w:val="nil"/>
            </w:tcBorders>
            <w:vAlign w:val="center"/>
          </w:tcPr>
          <w:p w14:paraId="24C2EFEE">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w:t>
            </w:r>
          </w:p>
        </w:tc>
        <w:tc>
          <w:tcPr>
            <w:tcW w:w="1580" w:type="pct"/>
            <w:tcBorders>
              <w:tl2br w:val="nil"/>
              <w:tr2bl w:val="nil"/>
            </w:tcBorders>
            <w:vAlign w:val="center"/>
          </w:tcPr>
          <w:p w14:paraId="73A2170C">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硫酸雾</w:t>
            </w:r>
          </w:p>
        </w:tc>
        <w:tc>
          <w:tcPr>
            <w:tcW w:w="1631" w:type="pct"/>
            <w:tcBorders>
              <w:tl2br w:val="nil"/>
              <w:tr2bl w:val="nil"/>
            </w:tcBorders>
            <w:vAlign w:val="center"/>
          </w:tcPr>
          <w:p w14:paraId="50AC47AA">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5.0</w:t>
            </w:r>
          </w:p>
        </w:tc>
        <w:tc>
          <w:tcPr>
            <w:tcW w:w="1370" w:type="pct"/>
            <w:vMerge w:val="continue"/>
            <w:tcBorders>
              <w:tl2br w:val="nil"/>
              <w:tr2bl w:val="nil"/>
            </w:tcBorders>
            <w:vAlign w:val="center"/>
          </w:tcPr>
          <w:p w14:paraId="27D4B4E7">
            <w:pPr>
              <w:spacing w:line="320" w:lineRule="exact"/>
              <w:jc w:val="center"/>
              <w:rPr>
                <w:rFonts w:hint="default" w:ascii="Times New Roman" w:hAnsi="Times New Roman" w:eastAsia="宋体" w:cs="Times New Roman"/>
                <w:color w:val="auto"/>
                <w:kern w:val="0"/>
                <w:sz w:val="21"/>
                <w:szCs w:val="21"/>
              </w:rPr>
            </w:pPr>
          </w:p>
        </w:tc>
      </w:tr>
      <w:tr w14:paraId="44AF0B51">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155" w:hRule="atLeast"/>
        </w:trPr>
        <w:tc>
          <w:tcPr>
            <w:tcW w:w="417" w:type="pct"/>
            <w:tcBorders>
              <w:tl2br w:val="nil"/>
              <w:tr2bl w:val="nil"/>
            </w:tcBorders>
            <w:vAlign w:val="center"/>
          </w:tcPr>
          <w:p w14:paraId="2D54D93A">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w:t>
            </w:r>
          </w:p>
        </w:tc>
        <w:tc>
          <w:tcPr>
            <w:tcW w:w="1580" w:type="pct"/>
            <w:tcBorders>
              <w:tl2br w:val="nil"/>
              <w:tr2bl w:val="nil"/>
            </w:tcBorders>
            <w:vAlign w:val="center"/>
          </w:tcPr>
          <w:p w14:paraId="73CAB8E4">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氯化氢</w:t>
            </w:r>
          </w:p>
        </w:tc>
        <w:tc>
          <w:tcPr>
            <w:tcW w:w="1631" w:type="pct"/>
            <w:tcBorders>
              <w:tl2br w:val="nil"/>
              <w:tr2bl w:val="nil"/>
            </w:tcBorders>
            <w:vAlign w:val="center"/>
          </w:tcPr>
          <w:p w14:paraId="006F426D">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w:t>
            </w:r>
          </w:p>
        </w:tc>
        <w:tc>
          <w:tcPr>
            <w:tcW w:w="1370" w:type="pct"/>
            <w:vMerge w:val="continue"/>
            <w:tcBorders>
              <w:tl2br w:val="nil"/>
              <w:tr2bl w:val="nil"/>
            </w:tcBorders>
            <w:vAlign w:val="center"/>
          </w:tcPr>
          <w:p w14:paraId="7C6621C9">
            <w:pPr>
              <w:spacing w:line="320" w:lineRule="exact"/>
              <w:jc w:val="center"/>
              <w:rPr>
                <w:rFonts w:hint="default" w:ascii="Times New Roman" w:hAnsi="Times New Roman" w:eastAsia="宋体" w:cs="Times New Roman"/>
                <w:color w:val="auto"/>
                <w:kern w:val="0"/>
                <w:sz w:val="21"/>
                <w:szCs w:val="21"/>
              </w:rPr>
            </w:pPr>
          </w:p>
        </w:tc>
      </w:tr>
      <w:tr w14:paraId="7A39EAE2">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132" w:hRule="atLeast"/>
        </w:trPr>
        <w:tc>
          <w:tcPr>
            <w:tcW w:w="417" w:type="pct"/>
            <w:tcBorders>
              <w:tl2br w:val="nil"/>
              <w:tr2bl w:val="nil"/>
            </w:tcBorders>
            <w:vAlign w:val="center"/>
          </w:tcPr>
          <w:p w14:paraId="2746CD15">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w:t>
            </w:r>
          </w:p>
        </w:tc>
        <w:tc>
          <w:tcPr>
            <w:tcW w:w="1580" w:type="pct"/>
            <w:tcBorders>
              <w:tl2br w:val="nil"/>
              <w:tr2bl w:val="nil"/>
            </w:tcBorders>
            <w:vAlign w:val="center"/>
          </w:tcPr>
          <w:p w14:paraId="6E13CE59">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氟化物（以F计）</w:t>
            </w:r>
          </w:p>
        </w:tc>
        <w:tc>
          <w:tcPr>
            <w:tcW w:w="1631" w:type="pct"/>
            <w:tcBorders>
              <w:tl2br w:val="nil"/>
              <w:tr2bl w:val="nil"/>
            </w:tcBorders>
            <w:vAlign w:val="center"/>
          </w:tcPr>
          <w:p w14:paraId="35EC44EE">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1.5</w:t>
            </w:r>
          </w:p>
        </w:tc>
        <w:tc>
          <w:tcPr>
            <w:tcW w:w="1370" w:type="pct"/>
            <w:vMerge w:val="continue"/>
            <w:tcBorders>
              <w:tl2br w:val="nil"/>
              <w:tr2bl w:val="nil"/>
            </w:tcBorders>
            <w:vAlign w:val="center"/>
          </w:tcPr>
          <w:p w14:paraId="3F894E38">
            <w:pPr>
              <w:spacing w:line="320" w:lineRule="exact"/>
              <w:jc w:val="center"/>
              <w:rPr>
                <w:rFonts w:hint="default" w:ascii="Times New Roman" w:hAnsi="Times New Roman" w:eastAsia="宋体" w:cs="Times New Roman"/>
                <w:color w:val="auto"/>
                <w:kern w:val="0"/>
                <w:sz w:val="21"/>
                <w:szCs w:val="21"/>
              </w:rPr>
            </w:pPr>
          </w:p>
        </w:tc>
      </w:tr>
      <w:tr w14:paraId="7153465A">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49" w:hRule="atLeast"/>
        </w:trPr>
        <w:tc>
          <w:tcPr>
            <w:tcW w:w="417" w:type="pct"/>
            <w:tcBorders>
              <w:tl2br w:val="nil"/>
              <w:tr2bl w:val="nil"/>
            </w:tcBorders>
            <w:vAlign w:val="center"/>
          </w:tcPr>
          <w:p w14:paraId="32C2BFE5">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w:t>
            </w:r>
          </w:p>
        </w:tc>
        <w:tc>
          <w:tcPr>
            <w:tcW w:w="1580" w:type="pct"/>
            <w:tcBorders>
              <w:tl2br w:val="nil"/>
              <w:tr2bl w:val="nil"/>
            </w:tcBorders>
            <w:vAlign w:val="center"/>
          </w:tcPr>
          <w:p w14:paraId="2E646B90">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氮氧化物</w:t>
            </w:r>
            <w:r>
              <w:rPr>
                <w:rFonts w:hint="default" w:ascii="Times New Roman" w:hAnsi="Times New Roman" w:eastAsia="宋体" w:cs="Times New Roman"/>
                <w:color w:val="auto"/>
                <w:kern w:val="0"/>
                <w:sz w:val="21"/>
                <w:szCs w:val="21"/>
                <w:vertAlign w:val="superscript"/>
              </w:rPr>
              <w:t>a</w:t>
            </w:r>
          </w:p>
        </w:tc>
        <w:tc>
          <w:tcPr>
            <w:tcW w:w="1631" w:type="pct"/>
            <w:tcBorders>
              <w:tl2br w:val="nil"/>
              <w:tr2bl w:val="nil"/>
            </w:tcBorders>
            <w:vAlign w:val="center"/>
          </w:tcPr>
          <w:p w14:paraId="49749BD0">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50</w:t>
            </w:r>
          </w:p>
        </w:tc>
        <w:tc>
          <w:tcPr>
            <w:tcW w:w="1370" w:type="pct"/>
            <w:vMerge w:val="continue"/>
            <w:tcBorders>
              <w:tl2br w:val="nil"/>
              <w:tr2bl w:val="nil"/>
            </w:tcBorders>
            <w:vAlign w:val="center"/>
          </w:tcPr>
          <w:p w14:paraId="02BDBC1E">
            <w:pPr>
              <w:spacing w:line="320" w:lineRule="exact"/>
              <w:jc w:val="center"/>
              <w:rPr>
                <w:rFonts w:hint="default" w:ascii="Times New Roman" w:hAnsi="Times New Roman" w:eastAsia="宋体" w:cs="Times New Roman"/>
                <w:color w:val="auto"/>
                <w:kern w:val="0"/>
                <w:sz w:val="21"/>
                <w:szCs w:val="21"/>
              </w:rPr>
            </w:pPr>
          </w:p>
        </w:tc>
      </w:tr>
      <w:tr w14:paraId="5A726ED8">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11" w:hRule="atLeast"/>
        </w:trPr>
        <w:tc>
          <w:tcPr>
            <w:tcW w:w="417" w:type="pct"/>
            <w:tcBorders>
              <w:tl2br w:val="nil"/>
              <w:tr2bl w:val="nil"/>
            </w:tcBorders>
            <w:vAlign w:val="center"/>
          </w:tcPr>
          <w:p w14:paraId="551152E4">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w:t>
            </w:r>
          </w:p>
        </w:tc>
        <w:tc>
          <w:tcPr>
            <w:tcW w:w="1580" w:type="pct"/>
            <w:tcBorders>
              <w:tl2br w:val="nil"/>
              <w:tr2bl w:val="nil"/>
            </w:tcBorders>
            <w:vAlign w:val="center"/>
          </w:tcPr>
          <w:p w14:paraId="4ED191D4">
            <w:pPr>
              <w:spacing w:line="32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rPr>
              <w:t>氰化氢</w:t>
            </w:r>
          </w:p>
        </w:tc>
        <w:tc>
          <w:tcPr>
            <w:tcW w:w="1631" w:type="pct"/>
            <w:tcBorders>
              <w:tl2br w:val="nil"/>
              <w:tr2bl w:val="nil"/>
            </w:tcBorders>
            <w:vAlign w:val="center"/>
          </w:tcPr>
          <w:p w14:paraId="09F8A28A">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0.5</w:t>
            </w:r>
          </w:p>
        </w:tc>
        <w:tc>
          <w:tcPr>
            <w:tcW w:w="1370" w:type="pct"/>
            <w:vMerge w:val="continue"/>
            <w:tcBorders>
              <w:tl2br w:val="nil"/>
              <w:tr2bl w:val="nil"/>
            </w:tcBorders>
            <w:vAlign w:val="center"/>
          </w:tcPr>
          <w:p w14:paraId="16B5E1F2">
            <w:pPr>
              <w:spacing w:line="320" w:lineRule="exact"/>
              <w:jc w:val="center"/>
              <w:rPr>
                <w:rFonts w:hint="default" w:ascii="Times New Roman" w:hAnsi="Times New Roman" w:eastAsia="宋体" w:cs="Times New Roman"/>
                <w:color w:val="auto"/>
                <w:kern w:val="0"/>
                <w:sz w:val="21"/>
                <w:szCs w:val="21"/>
              </w:rPr>
            </w:pPr>
          </w:p>
        </w:tc>
      </w:tr>
      <w:tr w14:paraId="0D91B983">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187" w:hRule="atLeast"/>
        </w:trPr>
        <w:tc>
          <w:tcPr>
            <w:tcW w:w="417" w:type="pct"/>
            <w:tcBorders>
              <w:tl2br w:val="nil"/>
              <w:tr2bl w:val="nil"/>
            </w:tcBorders>
            <w:vAlign w:val="center"/>
          </w:tcPr>
          <w:p w14:paraId="21FA24F4">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7</w:t>
            </w:r>
          </w:p>
        </w:tc>
        <w:tc>
          <w:tcPr>
            <w:tcW w:w="1580" w:type="pct"/>
            <w:tcBorders>
              <w:tl2br w:val="nil"/>
              <w:tr2bl w:val="nil"/>
            </w:tcBorders>
            <w:vAlign w:val="center"/>
          </w:tcPr>
          <w:p w14:paraId="2F804ABB">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氯气</w:t>
            </w:r>
          </w:p>
        </w:tc>
        <w:tc>
          <w:tcPr>
            <w:tcW w:w="1631" w:type="pct"/>
            <w:tcBorders>
              <w:tl2br w:val="nil"/>
              <w:tr2bl w:val="nil"/>
            </w:tcBorders>
            <w:vAlign w:val="center"/>
          </w:tcPr>
          <w:p w14:paraId="49AA409A">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5.0</w:t>
            </w:r>
          </w:p>
        </w:tc>
        <w:tc>
          <w:tcPr>
            <w:tcW w:w="1370" w:type="pct"/>
            <w:vMerge w:val="continue"/>
            <w:tcBorders>
              <w:tl2br w:val="nil"/>
              <w:tr2bl w:val="nil"/>
            </w:tcBorders>
            <w:vAlign w:val="center"/>
          </w:tcPr>
          <w:p w14:paraId="03079D6C">
            <w:pPr>
              <w:spacing w:line="320" w:lineRule="exact"/>
              <w:jc w:val="center"/>
              <w:rPr>
                <w:rFonts w:hint="default" w:ascii="Times New Roman" w:hAnsi="Times New Roman" w:eastAsia="宋体" w:cs="Times New Roman"/>
                <w:color w:val="auto"/>
                <w:kern w:val="0"/>
                <w:sz w:val="21"/>
                <w:szCs w:val="21"/>
              </w:rPr>
            </w:pPr>
          </w:p>
        </w:tc>
      </w:tr>
      <w:tr w14:paraId="399A4448">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163" w:hRule="atLeast"/>
        </w:trPr>
        <w:tc>
          <w:tcPr>
            <w:tcW w:w="417" w:type="pct"/>
            <w:tcBorders>
              <w:tl2br w:val="nil"/>
              <w:tr2bl w:val="nil"/>
            </w:tcBorders>
            <w:vAlign w:val="center"/>
          </w:tcPr>
          <w:p w14:paraId="457DD977">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8</w:t>
            </w:r>
          </w:p>
        </w:tc>
        <w:tc>
          <w:tcPr>
            <w:tcW w:w="1580" w:type="pct"/>
            <w:tcBorders>
              <w:tl2br w:val="nil"/>
              <w:tr2bl w:val="nil"/>
            </w:tcBorders>
            <w:vAlign w:val="center"/>
          </w:tcPr>
          <w:p w14:paraId="6AE4C43C">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氨</w:t>
            </w:r>
          </w:p>
        </w:tc>
        <w:tc>
          <w:tcPr>
            <w:tcW w:w="1631" w:type="pct"/>
            <w:tcBorders>
              <w:tl2br w:val="nil"/>
              <w:tr2bl w:val="nil"/>
            </w:tcBorders>
            <w:vAlign w:val="center"/>
          </w:tcPr>
          <w:p w14:paraId="341CF86F">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w:t>
            </w:r>
          </w:p>
        </w:tc>
        <w:tc>
          <w:tcPr>
            <w:tcW w:w="1370" w:type="pct"/>
            <w:vMerge w:val="continue"/>
            <w:tcBorders>
              <w:tl2br w:val="nil"/>
              <w:tr2bl w:val="nil"/>
            </w:tcBorders>
            <w:vAlign w:val="center"/>
          </w:tcPr>
          <w:p w14:paraId="54A3CA7A">
            <w:pPr>
              <w:spacing w:line="320" w:lineRule="exact"/>
              <w:jc w:val="center"/>
              <w:rPr>
                <w:rFonts w:hint="default" w:ascii="Times New Roman" w:hAnsi="Times New Roman" w:eastAsia="宋体" w:cs="Times New Roman"/>
                <w:color w:val="auto"/>
                <w:kern w:val="0"/>
                <w:sz w:val="21"/>
                <w:szCs w:val="21"/>
              </w:rPr>
            </w:pPr>
          </w:p>
        </w:tc>
      </w:tr>
      <w:tr w14:paraId="00E2D24E">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81" w:hRule="atLeast"/>
        </w:trPr>
        <w:tc>
          <w:tcPr>
            <w:tcW w:w="417" w:type="pct"/>
            <w:tcBorders>
              <w:tl2br w:val="nil"/>
              <w:tr2bl w:val="nil"/>
            </w:tcBorders>
            <w:vAlign w:val="center"/>
          </w:tcPr>
          <w:p w14:paraId="3F7C73D1">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9</w:t>
            </w:r>
          </w:p>
        </w:tc>
        <w:tc>
          <w:tcPr>
            <w:tcW w:w="1580" w:type="pct"/>
            <w:tcBorders>
              <w:tl2br w:val="nil"/>
              <w:tr2bl w:val="nil"/>
            </w:tcBorders>
            <w:vAlign w:val="center"/>
          </w:tcPr>
          <w:p w14:paraId="6C0E91FA">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锡及其化合物</w:t>
            </w:r>
          </w:p>
        </w:tc>
        <w:tc>
          <w:tcPr>
            <w:tcW w:w="1631" w:type="pct"/>
            <w:tcBorders>
              <w:tl2br w:val="nil"/>
              <w:tr2bl w:val="nil"/>
            </w:tcBorders>
            <w:vAlign w:val="center"/>
          </w:tcPr>
          <w:p w14:paraId="0F868F13">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w:t>
            </w:r>
          </w:p>
        </w:tc>
        <w:tc>
          <w:tcPr>
            <w:tcW w:w="1370" w:type="pct"/>
            <w:vMerge w:val="continue"/>
            <w:tcBorders>
              <w:tl2br w:val="nil"/>
              <w:tr2bl w:val="nil"/>
            </w:tcBorders>
            <w:vAlign w:val="center"/>
          </w:tcPr>
          <w:p w14:paraId="07C31C7F">
            <w:pPr>
              <w:spacing w:line="320" w:lineRule="exact"/>
              <w:jc w:val="center"/>
              <w:rPr>
                <w:rFonts w:hint="default" w:ascii="Times New Roman" w:hAnsi="Times New Roman" w:eastAsia="宋体" w:cs="Times New Roman"/>
                <w:color w:val="auto"/>
                <w:kern w:val="0"/>
                <w:sz w:val="21"/>
                <w:szCs w:val="21"/>
              </w:rPr>
            </w:pPr>
          </w:p>
        </w:tc>
      </w:tr>
      <w:tr w14:paraId="6FFF2019">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57" w:hRule="atLeast"/>
        </w:trPr>
        <w:tc>
          <w:tcPr>
            <w:tcW w:w="417" w:type="pct"/>
            <w:tcBorders>
              <w:tl2br w:val="nil"/>
              <w:tr2bl w:val="nil"/>
            </w:tcBorders>
            <w:vAlign w:val="center"/>
          </w:tcPr>
          <w:p w14:paraId="5202D98C">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w:t>
            </w:r>
          </w:p>
        </w:tc>
        <w:tc>
          <w:tcPr>
            <w:tcW w:w="1580" w:type="pct"/>
            <w:tcBorders>
              <w:tl2br w:val="nil"/>
              <w:tr2bl w:val="nil"/>
            </w:tcBorders>
            <w:vAlign w:val="center"/>
          </w:tcPr>
          <w:p w14:paraId="1281712F">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砷化氢</w:t>
            </w:r>
            <w:r>
              <w:rPr>
                <w:rFonts w:hint="default" w:ascii="Times New Roman" w:hAnsi="Times New Roman" w:eastAsia="宋体" w:cs="Times New Roman"/>
                <w:color w:val="auto"/>
                <w:kern w:val="0"/>
                <w:sz w:val="21"/>
                <w:szCs w:val="21"/>
                <w:vertAlign w:val="superscript"/>
              </w:rPr>
              <w:t>b</w:t>
            </w:r>
          </w:p>
        </w:tc>
        <w:tc>
          <w:tcPr>
            <w:tcW w:w="1631" w:type="pct"/>
            <w:tcBorders>
              <w:tl2br w:val="nil"/>
              <w:tr2bl w:val="nil"/>
            </w:tcBorders>
            <w:vAlign w:val="center"/>
          </w:tcPr>
          <w:p w14:paraId="3B8FBEA3">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w:t>
            </w:r>
          </w:p>
        </w:tc>
        <w:tc>
          <w:tcPr>
            <w:tcW w:w="1370" w:type="pct"/>
            <w:vMerge w:val="continue"/>
            <w:tcBorders>
              <w:tl2br w:val="nil"/>
              <w:tr2bl w:val="nil"/>
            </w:tcBorders>
            <w:vAlign w:val="center"/>
          </w:tcPr>
          <w:p w14:paraId="46859AA5">
            <w:pPr>
              <w:spacing w:line="320" w:lineRule="exact"/>
              <w:jc w:val="center"/>
              <w:rPr>
                <w:rFonts w:hint="default" w:ascii="Times New Roman" w:hAnsi="Times New Roman" w:eastAsia="宋体" w:cs="Times New Roman"/>
                <w:color w:val="auto"/>
                <w:kern w:val="0"/>
                <w:sz w:val="21"/>
                <w:szCs w:val="21"/>
              </w:rPr>
            </w:pPr>
          </w:p>
        </w:tc>
      </w:tr>
      <w:tr w14:paraId="53B22A29">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19" w:hRule="atLeast"/>
        </w:trPr>
        <w:tc>
          <w:tcPr>
            <w:tcW w:w="417" w:type="pct"/>
            <w:tcBorders>
              <w:tl2br w:val="nil"/>
              <w:tr2bl w:val="nil"/>
            </w:tcBorders>
            <w:vAlign w:val="center"/>
          </w:tcPr>
          <w:p w14:paraId="7FB10221">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11</w:t>
            </w:r>
          </w:p>
        </w:tc>
        <w:tc>
          <w:tcPr>
            <w:tcW w:w="1580" w:type="pct"/>
            <w:tcBorders>
              <w:tl2br w:val="nil"/>
              <w:tr2bl w:val="nil"/>
            </w:tcBorders>
            <w:vAlign w:val="center"/>
          </w:tcPr>
          <w:p w14:paraId="22F3352D">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磷化氢</w:t>
            </w:r>
            <w:r>
              <w:rPr>
                <w:rFonts w:hint="default" w:ascii="Times New Roman" w:hAnsi="Times New Roman" w:eastAsia="宋体" w:cs="Times New Roman"/>
                <w:color w:val="auto"/>
                <w:kern w:val="0"/>
                <w:sz w:val="21"/>
                <w:szCs w:val="21"/>
                <w:vertAlign w:val="superscript"/>
              </w:rPr>
              <w:t>b</w:t>
            </w:r>
          </w:p>
        </w:tc>
        <w:tc>
          <w:tcPr>
            <w:tcW w:w="1631" w:type="pct"/>
            <w:tcBorders>
              <w:tl2br w:val="nil"/>
              <w:tr2bl w:val="nil"/>
            </w:tcBorders>
            <w:vAlign w:val="center"/>
          </w:tcPr>
          <w:p w14:paraId="5BCD636A">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rPr>
              <w:t>1.0</w:t>
            </w:r>
          </w:p>
        </w:tc>
        <w:tc>
          <w:tcPr>
            <w:tcW w:w="1370" w:type="pct"/>
            <w:vMerge w:val="continue"/>
            <w:tcBorders>
              <w:tl2br w:val="nil"/>
              <w:tr2bl w:val="nil"/>
            </w:tcBorders>
            <w:vAlign w:val="center"/>
          </w:tcPr>
          <w:p w14:paraId="23E4E429">
            <w:pPr>
              <w:spacing w:line="320" w:lineRule="exact"/>
              <w:jc w:val="center"/>
              <w:rPr>
                <w:rFonts w:hint="default" w:ascii="Times New Roman" w:hAnsi="Times New Roman" w:eastAsia="宋体" w:cs="Times New Roman"/>
                <w:color w:val="auto"/>
                <w:kern w:val="0"/>
                <w:sz w:val="21"/>
                <w:szCs w:val="21"/>
              </w:rPr>
            </w:pPr>
          </w:p>
        </w:tc>
      </w:tr>
      <w:tr w14:paraId="46346360">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195" w:hRule="atLeast"/>
        </w:trPr>
        <w:tc>
          <w:tcPr>
            <w:tcW w:w="417" w:type="pct"/>
            <w:tcBorders>
              <w:tl2br w:val="nil"/>
              <w:tr2bl w:val="nil"/>
            </w:tcBorders>
            <w:vAlign w:val="center"/>
          </w:tcPr>
          <w:p w14:paraId="6FA8B8C6">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w:t>
            </w:r>
          </w:p>
        </w:tc>
        <w:tc>
          <w:tcPr>
            <w:tcW w:w="1580" w:type="pct"/>
            <w:tcBorders>
              <w:tl2br w:val="nil"/>
              <w:tr2bl w:val="nil"/>
            </w:tcBorders>
            <w:vAlign w:val="center"/>
          </w:tcPr>
          <w:p w14:paraId="4F52E338">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异丙醇</w:t>
            </w:r>
          </w:p>
        </w:tc>
        <w:tc>
          <w:tcPr>
            <w:tcW w:w="1631" w:type="pct"/>
            <w:tcBorders>
              <w:tl2br w:val="nil"/>
              <w:tr2bl w:val="nil"/>
            </w:tcBorders>
            <w:vAlign w:val="center"/>
          </w:tcPr>
          <w:p w14:paraId="7ABE44D5">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40</w:t>
            </w:r>
          </w:p>
        </w:tc>
        <w:tc>
          <w:tcPr>
            <w:tcW w:w="1370" w:type="pct"/>
            <w:vMerge w:val="continue"/>
            <w:tcBorders>
              <w:tl2br w:val="nil"/>
              <w:tr2bl w:val="nil"/>
            </w:tcBorders>
            <w:vAlign w:val="center"/>
          </w:tcPr>
          <w:p w14:paraId="269211B8">
            <w:pPr>
              <w:spacing w:line="320" w:lineRule="exact"/>
              <w:jc w:val="center"/>
              <w:rPr>
                <w:rFonts w:hint="default" w:ascii="Times New Roman" w:hAnsi="Times New Roman" w:eastAsia="宋体" w:cs="Times New Roman"/>
                <w:color w:val="auto"/>
                <w:kern w:val="0"/>
                <w:sz w:val="21"/>
                <w:szCs w:val="21"/>
              </w:rPr>
            </w:pPr>
          </w:p>
        </w:tc>
      </w:tr>
      <w:tr w14:paraId="51397914">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171" w:hRule="atLeast"/>
        </w:trPr>
        <w:tc>
          <w:tcPr>
            <w:tcW w:w="417" w:type="pct"/>
            <w:tcBorders>
              <w:tl2br w:val="nil"/>
              <w:tr2bl w:val="nil"/>
            </w:tcBorders>
            <w:vAlign w:val="center"/>
          </w:tcPr>
          <w:p w14:paraId="08936435">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13</w:t>
            </w:r>
          </w:p>
        </w:tc>
        <w:tc>
          <w:tcPr>
            <w:tcW w:w="1580" w:type="pct"/>
            <w:tcBorders>
              <w:tl2br w:val="nil"/>
              <w:tr2bl w:val="nil"/>
            </w:tcBorders>
            <w:vAlign w:val="center"/>
          </w:tcPr>
          <w:p w14:paraId="48D1D0F2">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三氯乙烯</w:t>
            </w:r>
            <w:r>
              <w:rPr>
                <w:rFonts w:hint="default" w:ascii="Times New Roman" w:hAnsi="Times New Roman" w:eastAsia="宋体" w:cs="Times New Roman"/>
                <w:color w:val="auto"/>
                <w:kern w:val="0"/>
                <w:sz w:val="21"/>
                <w:szCs w:val="21"/>
                <w:vertAlign w:val="superscript"/>
              </w:rPr>
              <w:t>b</w:t>
            </w:r>
          </w:p>
        </w:tc>
        <w:tc>
          <w:tcPr>
            <w:tcW w:w="1631" w:type="pct"/>
            <w:tcBorders>
              <w:tl2br w:val="nil"/>
              <w:tr2bl w:val="nil"/>
            </w:tcBorders>
            <w:vAlign w:val="center"/>
          </w:tcPr>
          <w:p w14:paraId="0D373502">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w:t>
            </w:r>
          </w:p>
        </w:tc>
        <w:tc>
          <w:tcPr>
            <w:tcW w:w="1370" w:type="pct"/>
            <w:vMerge w:val="continue"/>
            <w:tcBorders>
              <w:tl2br w:val="nil"/>
              <w:tr2bl w:val="nil"/>
            </w:tcBorders>
            <w:vAlign w:val="center"/>
          </w:tcPr>
          <w:p w14:paraId="4EAC4F2C">
            <w:pPr>
              <w:spacing w:line="320" w:lineRule="exact"/>
              <w:jc w:val="center"/>
              <w:rPr>
                <w:rFonts w:hint="default" w:ascii="Times New Roman" w:hAnsi="Times New Roman" w:eastAsia="宋体" w:cs="Times New Roman"/>
                <w:color w:val="auto"/>
                <w:kern w:val="0"/>
                <w:sz w:val="21"/>
                <w:szCs w:val="21"/>
              </w:rPr>
            </w:pPr>
          </w:p>
        </w:tc>
      </w:tr>
      <w:tr w14:paraId="563AE974">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89" w:hRule="atLeast"/>
        </w:trPr>
        <w:tc>
          <w:tcPr>
            <w:tcW w:w="417" w:type="pct"/>
            <w:tcBorders>
              <w:tl2br w:val="nil"/>
              <w:tr2bl w:val="nil"/>
            </w:tcBorders>
            <w:vAlign w:val="center"/>
          </w:tcPr>
          <w:p w14:paraId="0EC0FEE4">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14</w:t>
            </w:r>
          </w:p>
        </w:tc>
        <w:tc>
          <w:tcPr>
            <w:tcW w:w="1580" w:type="pct"/>
            <w:tcBorders>
              <w:tl2br w:val="nil"/>
              <w:tr2bl w:val="nil"/>
            </w:tcBorders>
            <w:vAlign w:val="center"/>
          </w:tcPr>
          <w:p w14:paraId="4A58A38F">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苯</w:t>
            </w:r>
          </w:p>
        </w:tc>
        <w:tc>
          <w:tcPr>
            <w:tcW w:w="1631" w:type="pct"/>
            <w:tcBorders>
              <w:tl2br w:val="nil"/>
              <w:tr2bl w:val="nil"/>
            </w:tcBorders>
            <w:vAlign w:val="center"/>
          </w:tcPr>
          <w:p w14:paraId="083D3B38">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w:t>
            </w:r>
          </w:p>
        </w:tc>
        <w:tc>
          <w:tcPr>
            <w:tcW w:w="1370" w:type="pct"/>
            <w:vMerge w:val="continue"/>
            <w:tcBorders>
              <w:tl2br w:val="nil"/>
              <w:tr2bl w:val="nil"/>
            </w:tcBorders>
            <w:vAlign w:val="center"/>
          </w:tcPr>
          <w:p w14:paraId="25E6B32C">
            <w:pPr>
              <w:spacing w:line="320" w:lineRule="exact"/>
              <w:jc w:val="center"/>
              <w:rPr>
                <w:rFonts w:hint="default" w:ascii="Times New Roman" w:hAnsi="Times New Roman" w:eastAsia="宋体" w:cs="Times New Roman"/>
                <w:color w:val="auto"/>
                <w:kern w:val="0"/>
                <w:sz w:val="21"/>
                <w:szCs w:val="21"/>
              </w:rPr>
            </w:pPr>
          </w:p>
        </w:tc>
      </w:tr>
      <w:tr w14:paraId="79BCD44F">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66" w:hRule="atLeast"/>
        </w:trPr>
        <w:tc>
          <w:tcPr>
            <w:tcW w:w="417" w:type="pct"/>
            <w:tcBorders>
              <w:tl2br w:val="nil"/>
              <w:tr2bl w:val="nil"/>
            </w:tcBorders>
            <w:vAlign w:val="center"/>
          </w:tcPr>
          <w:p w14:paraId="00E7A39E">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15</w:t>
            </w:r>
          </w:p>
        </w:tc>
        <w:tc>
          <w:tcPr>
            <w:tcW w:w="1580" w:type="pct"/>
            <w:tcBorders>
              <w:tl2br w:val="nil"/>
              <w:tr2bl w:val="nil"/>
            </w:tcBorders>
            <w:vAlign w:val="center"/>
          </w:tcPr>
          <w:p w14:paraId="5A4E18DE">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苯系物</w:t>
            </w:r>
            <w:r>
              <w:rPr>
                <w:rFonts w:hint="default" w:ascii="Times New Roman" w:hAnsi="Times New Roman" w:eastAsia="宋体" w:cs="Times New Roman"/>
                <w:color w:val="auto"/>
                <w:kern w:val="0"/>
                <w:sz w:val="21"/>
                <w:szCs w:val="21"/>
                <w:vertAlign w:val="superscript"/>
              </w:rPr>
              <w:t>c</w:t>
            </w:r>
          </w:p>
        </w:tc>
        <w:tc>
          <w:tcPr>
            <w:tcW w:w="1631" w:type="pct"/>
            <w:tcBorders>
              <w:tl2br w:val="nil"/>
              <w:tr2bl w:val="nil"/>
            </w:tcBorders>
            <w:vAlign w:val="center"/>
          </w:tcPr>
          <w:p w14:paraId="1BB466E4">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rPr>
              <w:t>25</w:t>
            </w:r>
          </w:p>
        </w:tc>
        <w:tc>
          <w:tcPr>
            <w:tcW w:w="1370" w:type="pct"/>
            <w:vMerge w:val="continue"/>
            <w:tcBorders>
              <w:tl2br w:val="nil"/>
              <w:tr2bl w:val="nil"/>
            </w:tcBorders>
            <w:vAlign w:val="center"/>
          </w:tcPr>
          <w:p w14:paraId="3EE71C1A">
            <w:pPr>
              <w:spacing w:line="320" w:lineRule="exact"/>
              <w:jc w:val="center"/>
              <w:rPr>
                <w:rFonts w:hint="default" w:ascii="Times New Roman" w:hAnsi="Times New Roman" w:eastAsia="宋体" w:cs="Times New Roman"/>
                <w:color w:val="auto"/>
                <w:kern w:val="0"/>
                <w:sz w:val="21"/>
                <w:szCs w:val="21"/>
              </w:rPr>
            </w:pPr>
          </w:p>
        </w:tc>
      </w:tr>
      <w:tr w14:paraId="73F2580F">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27" w:hRule="atLeast"/>
        </w:trPr>
        <w:tc>
          <w:tcPr>
            <w:tcW w:w="417" w:type="pct"/>
            <w:tcBorders>
              <w:tl2br w:val="nil"/>
              <w:tr2bl w:val="nil"/>
            </w:tcBorders>
            <w:vAlign w:val="center"/>
          </w:tcPr>
          <w:p w14:paraId="1CB15023">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16</w:t>
            </w:r>
          </w:p>
        </w:tc>
        <w:tc>
          <w:tcPr>
            <w:tcW w:w="1580" w:type="pct"/>
            <w:tcBorders>
              <w:tl2br w:val="nil"/>
              <w:tr2bl w:val="nil"/>
            </w:tcBorders>
            <w:vAlign w:val="center"/>
          </w:tcPr>
          <w:p w14:paraId="20CEAC76">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甲醛</w:t>
            </w:r>
          </w:p>
        </w:tc>
        <w:tc>
          <w:tcPr>
            <w:tcW w:w="1631" w:type="pct"/>
            <w:tcBorders>
              <w:tl2br w:val="nil"/>
              <w:tr2bl w:val="nil"/>
            </w:tcBorders>
            <w:vAlign w:val="center"/>
          </w:tcPr>
          <w:p w14:paraId="2F5B9448">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5.0</w:t>
            </w:r>
          </w:p>
        </w:tc>
        <w:tc>
          <w:tcPr>
            <w:tcW w:w="1370" w:type="pct"/>
            <w:vMerge w:val="continue"/>
            <w:tcBorders>
              <w:tl2br w:val="nil"/>
              <w:tr2bl w:val="nil"/>
            </w:tcBorders>
            <w:vAlign w:val="center"/>
          </w:tcPr>
          <w:p w14:paraId="1441273C">
            <w:pPr>
              <w:spacing w:line="320" w:lineRule="exact"/>
              <w:jc w:val="center"/>
              <w:rPr>
                <w:rFonts w:hint="default" w:ascii="Times New Roman" w:hAnsi="Times New Roman" w:eastAsia="宋体" w:cs="Times New Roman"/>
                <w:color w:val="auto"/>
                <w:kern w:val="0"/>
                <w:sz w:val="21"/>
                <w:szCs w:val="21"/>
              </w:rPr>
            </w:pPr>
          </w:p>
        </w:tc>
      </w:tr>
      <w:tr w14:paraId="2621FA1F">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03" w:hRule="atLeast"/>
        </w:trPr>
        <w:tc>
          <w:tcPr>
            <w:tcW w:w="417" w:type="pct"/>
            <w:tcBorders>
              <w:tl2br w:val="nil"/>
              <w:tr2bl w:val="nil"/>
            </w:tcBorders>
            <w:vAlign w:val="center"/>
          </w:tcPr>
          <w:p w14:paraId="3DEEF45E">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17</w:t>
            </w:r>
          </w:p>
        </w:tc>
        <w:tc>
          <w:tcPr>
            <w:tcW w:w="1580" w:type="pct"/>
            <w:tcBorders>
              <w:tl2br w:val="nil"/>
              <w:tr2bl w:val="nil"/>
            </w:tcBorders>
            <w:vAlign w:val="center"/>
          </w:tcPr>
          <w:p w14:paraId="51F888D3">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非甲烷总烃</w:t>
            </w:r>
          </w:p>
        </w:tc>
        <w:tc>
          <w:tcPr>
            <w:tcW w:w="1631" w:type="pct"/>
            <w:tcBorders>
              <w:tl2br w:val="nil"/>
              <w:tr2bl w:val="nil"/>
            </w:tcBorders>
            <w:vAlign w:val="center"/>
          </w:tcPr>
          <w:p w14:paraId="520F747A">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50</w:t>
            </w:r>
          </w:p>
        </w:tc>
        <w:tc>
          <w:tcPr>
            <w:tcW w:w="1370" w:type="pct"/>
            <w:vMerge w:val="continue"/>
            <w:tcBorders>
              <w:tl2br w:val="nil"/>
              <w:tr2bl w:val="nil"/>
            </w:tcBorders>
            <w:vAlign w:val="center"/>
          </w:tcPr>
          <w:p w14:paraId="607A822E">
            <w:pPr>
              <w:spacing w:line="320" w:lineRule="exact"/>
              <w:jc w:val="center"/>
              <w:rPr>
                <w:rFonts w:hint="default" w:ascii="Times New Roman" w:hAnsi="Times New Roman" w:eastAsia="宋体" w:cs="Times New Roman"/>
                <w:color w:val="auto"/>
                <w:kern w:val="0"/>
                <w:sz w:val="21"/>
                <w:szCs w:val="21"/>
              </w:rPr>
            </w:pPr>
          </w:p>
        </w:tc>
      </w:tr>
      <w:tr w14:paraId="49C38F62">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321" w:hRule="atLeast"/>
        </w:trPr>
        <w:tc>
          <w:tcPr>
            <w:tcW w:w="417" w:type="pct"/>
            <w:tcBorders>
              <w:tl2br w:val="nil"/>
              <w:tr2bl w:val="nil"/>
            </w:tcBorders>
            <w:vAlign w:val="center"/>
          </w:tcPr>
          <w:p w14:paraId="260A422F">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18</w:t>
            </w:r>
          </w:p>
        </w:tc>
        <w:tc>
          <w:tcPr>
            <w:tcW w:w="1580" w:type="pct"/>
            <w:tcBorders>
              <w:tl2br w:val="nil"/>
              <w:tr2bl w:val="nil"/>
            </w:tcBorders>
            <w:vAlign w:val="center"/>
          </w:tcPr>
          <w:p w14:paraId="798CBAEC">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TVOC</w:t>
            </w:r>
          </w:p>
        </w:tc>
        <w:tc>
          <w:tcPr>
            <w:tcW w:w="1631" w:type="pct"/>
            <w:tcBorders>
              <w:tl2br w:val="nil"/>
              <w:tr2bl w:val="nil"/>
            </w:tcBorders>
            <w:vAlign w:val="center"/>
          </w:tcPr>
          <w:p w14:paraId="3BA5032C">
            <w:pPr>
              <w:spacing w:line="320" w:lineRule="exact"/>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100</w:t>
            </w:r>
          </w:p>
        </w:tc>
        <w:tc>
          <w:tcPr>
            <w:tcW w:w="1370" w:type="pct"/>
            <w:vMerge w:val="continue"/>
            <w:tcBorders>
              <w:tl2br w:val="nil"/>
              <w:tr2bl w:val="nil"/>
            </w:tcBorders>
            <w:vAlign w:val="center"/>
          </w:tcPr>
          <w:p w14:paraId="7DCFA7A9">
            <w:pPr>
              <w:spacing w:line="320" w:lineRule="exact"/>
              <w:jc w:val="center"/>
              <w:rPr>
                <w:rFonts w:hint="default" w:ascii="Times New Roman" w:hAnsi="Times New Roman" w:eastAsia="宋体" w:cs="Times New Roman"/>
                <w:color w:val="auto"/>
                <w:kern w:val="0"/>
                <w:sz w:val="21"/>
                <w:szCs w:val="21"/>
              </w:rPr>
            </w:pPr>
          </w:p>
        </w:tc>
      </w:tr>
      <w:tr w14:paraId="7ADDA07D">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400" w:hRule="atLeast"/>
        </w:trPr>
        <w:tc>
          <w:tcPr>
            <w:tcW w:w="5000" w:type="pct"/>
            <w:gridSpan w:val="4"/>
            <w:tcBorders>
              <w:tl2br w:val="nil"/>
              <w:tr2bl w:val="nil"/>
            </w:tcBorders>
            <w:vAlign w:val="center"/>
          </w:tcPr>
          <w:p w14:paraId="5DACAC37">
            <w:pPr>
              <w:spacing w:line="320" w:lineRule="exact"/>
              <w:ind w:firstLine="105" w:firstLineChars="5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vertAlign w:val="superscript"/>
              </w:rPr>
              <w:t>a</w:t>
            </w:r>
            <w:r>
              <w:rPr>
                <w:rFonts w:hint="default" w:ascii="Times New Roman" w:hAnsi="Times New Roman" w:eastAsia="宋体" w:cs="Times New Roman"/>
                <w:color w:val="auto"/>
                <w:kern w:val="0"/>
                <w:sz w:val="21"/>
                <w:szCs w:val="21"/>
                <w:highlight w:val="none"/>
              </w:rPr>
              <w:t>适用于酸洗、薄膜等工段产生的工艺废气。</w:t>
            </w:r>
          </w:p>
          <w:p w14:paraId="1C11F939">
            <w:pPr>
              <w:spacing w:line="320" w:lineRule="exact"/>
              <w:ind w:firstLine="105" w:firstLineChars="5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vertAlign w:val="superscript"/>
              </w:rPr>
              <w:t>b</w:t>
            </w:r>
            <w:r>
              <w:rPr>
                <w:rFonts w:hint="default" w:ascii="Times New Roman" w:hAnsi="Times New Roman" w:eastAsia="宋体" w:cs="Times New Roman"/>
                <w:color w:val="auto"/>
                <w:kern w:val="0"/>
                <w:sz w:val="21"/>
                <w:szCs w:val="21"/>
                <w:highlight w:val="none"/>
              </w:rPr>
              <w:t>待国家污染物监测方法标准发布后实施。</w:t>
            </w:r>
          </w:p>
          <w:p w14:paraId="744D17E5">
            <w:pPr>
              <w:spacing w:line="320" w:lineRule="exact"/>
              <w:ind w:firstLine="105" w:firstLineChars="50"/>
              <w:jc w:val="left"/>
              <w:rPr>
                <w:rFonts w:hint="default" w:ascii="Times New Roman" w:hAnsi="Times New Roman" w:eastAsia="宋体" w:cs="Times New Roman"/>
                <w:color w:val="auto"/>
                <w:kern w:val="0"/>
                <w:sz w:val="21"/>
                <w:szCs w:val="21"/>
                <w:highlight w:val="none"/>
                <w:vertAlign w:val="superscript"/>
              </w:rPr>
            </w:pPr>
            <w:r>
              <w:rPr>
                <w:rFonts w:hint="default" w:ascii="Times New Roman" w:hAnsi="Times New Roman" w:eastAsia="宋体" w:cs="Times New Roman"/>
                <w:color w:val="auto"/>
                <w:kern w:val="0"/>
                <w:sz w:val="21"/>
                <w:szCs w:val="21"/>
                <w:highlight w:val="none"/>
                <w:vertAlign w:val="superscript"/>
              </w:rPr>
              <w:t>c</w:t>
            </w:r>
            <w:r>
              <w:rPr>
                <w:rFonts w:hint="default" w:ascii="Times New Roman" w:hAnsi="Times New Roman" w:eastAsia="宋体" w:cs="Times New Roman"/>
                <w:color w:val="auto"/>
                <w:sz w:val="21"/>
                <w:szCs w:val="21"/>
                <w:highlight w:val="none"/>
              </w:rPr>
              <w:t xml:space="preserve">苯系物包括苯、甲苯、二甲苯、三甲苯、乙苯和苯乙烯。 </w:t>
            </w:r>
          </w:p>
        </w:tc>
      </w:tr>
    </w:tbl>
    <w:p w14:paraId="437DA1C2">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eastAsia="宋体" w:cs="Times New Roman"/>
          <w:b/>
          <w:bCs/>
          <w:color w:val="auto"/>
          <w:spacing w:val="-4"/>
          <w:sz w:val="24"/>
          <w:szCs w:val="24"/>
          <w:highlight w:val="none"/>
          <w:lang w:val="en-US" w:eastAsia="zh-CN"/>
        </w:rPr>
      </w:pPr>
      <w:bookmarkStart w:id="706" w:name="sys2192038"/>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2-22  </w:t>
      </w:r>
      <w:r>
        <w:rPr>
          <w:rFonts w:hint="eastAsia" w:ascii="Times New Roman" w:hAnsi="Times New Roman" w:eastAsia="宋体" w:cs="Times New Roman"/>
          <w:b/>
          <w:bCs/>
          <w:color w:val="auto"/>
          <w:spacing w:val="-2"/>
          <w:sz w:val="24"/>
          <w:szCs w:val="24"/>
          <w:highlight w:val="none"/>
          <w:lang w:val="en-US" w:eastAsia="zh-CN"/>
        </w:rPr>
        <w:t>半导体行业大气污染物无组织排放限值  （</w:t>
      </w:r>
      <w:r>
        <w:rPr>
          <w:rFonts w:hint="eastAsia" w:ascii="Times New Roman" w:hAnsi="Times New Roman" w:eastAsia="宋体" w:cs="Times New Roman"/>
          <w:b/>
          <w:bCs/>
          <w:color w:val="auto"/>
          <w:spacing w:val="-4"/>
          <w:sz w:val="24"/>
          <w:szCs w:val="24"/>
          <w:highlight w:val="none"/>
          <w:lang w:val="en-US" w:eastAsia="zh-CN"/>
        </w:rPr>
        <w:t>单位：mg/m</w:t>
      </w:r>
      <w:r>
        <w:rPr>
          <w:rFonts w:hint="eastAsia" w:ascii="Times New Roman" w:hAnsi="Times New Roman" w:eastAsia="宋体" w:cs="Times New Roman"/>
          <w:b/>
          <w:bCs/>
          <w:color w:val="auto"/>
          <w:spacing w:val="-4"/>
          <w:sz w:val="24"/>
          <w:szCs w:val="24"/>
          <w:highlight w:val="none"/>
          <w:vertAlign w:val="superscript"/>
          <w:lang w:val="en-US" w:eastAsia="zh-CN"/>
        </w:rPr>
        <w:t>3</w:t>
      </w:r>
      <w:r>
        <w:rPr>
          <w:rFonts w:hint="eastAsia" w:ascii="Times New Roman" w:hAnsi="Times New Roman" w:eastAsia="宋体" w:cs="Times New Roman"/>
          <w:b/>
          <w:bCs/>
          <w:color w:val="auto"/>
          <w:spacing w:val="-4"/>
          <w:sz w:val="24"/>
          <w:szCs w:val="24"/>
          <w:highlight w:val="none"/>
          <w:vertAlign w:val="baseline"/>
          <w:lang w:val="en-US" w:eastAsia="zh-CN"/>
        </w:rPr>
        <w:t>）</w:t>
      </w:r>
      <w:bookmarkEnd w:id="706"/>
      <w:bookmarkStart w:id="707" w:name="pindex2192"/>
      <w:bookmarkEnd w:id="707"/>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autofit"/>
        <w:tblCellMar>
          <w:top w:w="0" w:type="dxa"/>
          <w:left w:w="0" w:type="dxa"/>
          <w:bottom w:w="0" w:type="dxa"/>
          <w:right w:w="0" w:type="dxa"/>
        </w:tblCellMar>
      </w:tblPr>
      <w:tblGrid>
        <w:gridCol w:w="696"/>
        <w:gridCol w:w="2642"/>
        <w:gridCol w:w="2727"/>
        <w:gridCol w:w="2291"/>
      </w:tblGrid>
      <w:tr w14:paraId="174BF5A5">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41" w:hRule="atLeast"/>
          <w:tblHeader/>
        </w:trPr>
        <w:tc>
          <w:tcPr>
            <w:tcW w:w="416" w:type="pct"/>
            <w:tcBorders>
              <w:tl2br w:val="nil"/>
              <w:tr2bl w:val="nil"/>
            </w:tcBorders>
            <w:vAlign w:val="center"/>
          </w:tcPr>
          <w:p w14:paraId="665021AB">
            <w:pPr>
              <w:spacing w:line="320" w:lineRule="exact"/>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序号</w:t>
            </w:r>
          </w:p>
        </w:tc>
        <w:tc>
          <w:tcPr>
            <w:tcW w:w="1580" w:type="pct"/>
            <w:tcBorders>
              <w:tl2br w:val="nil"/>
              <w:tr2bl w:val="nil"/>
            </w:tcBorders>
            <w:vAlign w:val="center"/>
          </w:tcPr>
          <w:p w14:paraId="0C0805F3">
            <w:pPr>
              <w:spacing w:line="320" w:lineRule="exact"/>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污染物项目</w:t>
            </w:r>
          </w:p>
        </w:tc>
        <w:tc>
          <w:tcPr>
            <w:tcW w:w="1631" w:type="pct"/>
            <w:tcBorders>
              <w:tl2br w:val="nil"/>
              <w:tr2bl w:val="nil"/>
            </w:tcBorders>
            <w:vAlign w:val="center"/>
          </w:tcPr>
          <w:p w14:paraId="7855553B">
            <w:pPr>
              <w:spacing w:line="320" w:lineRule="exact"/>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最高允许排放浓度</w:t>
            </w:r>
          </w:p>
        </w:tc>
        <w:tc>
          <w:tcPr>
            <w:tcW w:w="1370" w:type="pct"/>
            <w:tcBorders>
              <w:tl2br w:val="nil"/>
              <w:tr2bl w:val="nil"/>
            </w:tcBorders>
            <w:vAlign w:val="center"/>
          </w:tcPr>
          <w:p w14:paraId="7EF8B662">
            <w:pPr>
              <w:spacing w:line="320" w:lineRule="exact"/>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标准来源</w:t>
            </w:r>
          </w:p>
        </w:tc>
      </w:tr>
      <w:tr w14:paraId="385760C1">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17" w:hRule="atLeast"/>
        </w:trPr>
        <w:tc>
          <w:tcPr>
            <w:tcW w:w="416" w:type="pct"/>
            <w:tcBorders>
              <w:tl2br w:val="nil"/>
              <w:tr2bl w:val="nil"/>
            </w:tcBorders>
            <w:vAlign w:val="top"/>
          </w:tcPr>
          <w:p w14:paraId="5E9FF196">
            <w:pPr>
              <w:spacing w:line="320" w:lineRule="exact"/>
              <w:jc w:val="center"/>
              <w:rPr>
                <w:rFonts w:hint="default" w:ascii="Times New Roman" w:hAnsi="Times New Roman" w:eastAsia="宋体" w:cs="Times New Roman"/>
                <w:color w:val="auto"/>
                <w:kern w:val="0"/>
                <w:sz w:val="21"/>
                <w:szCs w:val="21"/>
                <w:highlight w:val="none"/>
              </w:rPr>
            </w:pPr>
            <w:bookmarkStart w:id="708" w:name="OLE_LINK196" w:colFirst="0" w:colLast="2"/>
            <w:r>
              <w:rPr>
                <w:rFonts w:hint="default" w:ascii="Times New Roman" w:hAnsi="Times New Roman" w:eastAsia="宋体" w:cs="Times New Roman"/>
                <w:color w:val="auto"/>
                <w:kern w:val="0"/>
                <w:sz w:val="21"/>
                <w:szCs w:val="21"/>
                <w:highlight w:val="none"/>
              </w:rPr>
              <w:t>1</w:t>
            </w:r>
          </w:p>
        </w:tc>
        <w:tc>
          <w:tcPr>
            <w:tcW w:w="1580" w:type="pct"/>
            <w:tcBorders>
              <w:tl2br w:val="nil"/>
              <w:tr2bl w:val="nil"/>
            </w:tcBorders>
            <w:vAlign w:val="top"/>
          </w:tcPr>
          <w:p w14:paraId="116E7613">
            <w:pPr>
              <w:spacing w:line="32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氯化氢</w:t>
            </w:r>
          </w:p>
        </w:tc>
        <w:tc>
          <w:tcPr>
            <w:tcW w:w="1631" w:type="pct"/>
            <w:tcBorders>
              <w:tl2br w:val="nil"/>
              <w:tr2bl w:val="nil"/>
            </w:tcBorders>
            <w:vAlign w:val="top"/>
          </w:tcPr>
          <w:p w14:paraId="22A0FAC6">
            <w:pPr>
              <w:spacing w:line="32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0.2</w:t>
            </w:r>
          </w:p>
        </w:tc>
        <w:tc>
          <w:tcPr>
            <w:tcW w:w="1370" w:type="pct"/>
            <w:vMerge w:val="restart"/>
            <w:tcBorders>
              <w:tl2br w:val="nil"/>
              <w:tr2bl w:val="nil"/>
            </w:tcBorders>
            <w:vAlign w:val="center"/>
          </w:tcPr>
          <w:p w14:paraId="64456680">
            <w:pPr>
              <w:spacing w:line="32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2"/>
                <w:sz w:val="21"/>
                <w:szCs w:val="21"/>
                <w:highlight w:val="none"/>
                <w:lang w:val="en-US" w:eastAsia="zh-CN"/>
              </w:rPr>
              <w:t>《半导体行业污染物排放标准》（DB32/3747-2020）</w:t>
            </w:r>
          </w:p>
        </w:tc>
      </w:tr>
      <w:tr w14:paraId="161563EC">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17" w:hRule="atLeast"/>
        </w:trPr>
        <w:tc>
          <w:tcPr>
            <w:tcW w:w="416" w:type="pct"/>
            <w:tcBorders>
              <w:tl2br w:val="nil"/>
              <w:tr2bl w:val="nil"/>
            </w:tcBorders>
            <w:vAlign w:val="top"/>
          </w:tcPr>
          <w:p w14:paraId="2DCC76B8">
            <w:pPr>
              <w:spacing w:line="32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1580" w:type="pct"/>
            <w:tcBorders>
              <w:tl2br w:val="nil"/>
              <w:tr2bl w:val="nil"/>
            </w:tcBorders>
            <w:shd w:val="clear" w:color="auto" w:fill="auto"/>
            <w:vAlign w:val="top"/>
          </w:tcPr>
          <w:p w14:paraId="28912743">
            <w:pPr>
              <w:spacing w:line="320" w:lineRule="exact"/>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rPr>
              <w:t>氯气</w:t>
            </w:r>
          </w:p>
        </w:tc>
        <w:tc>
          <w:tcPr>
            <w:tcW w:w="1631" w:type="pct"/>
            <w:tcBorders>
              <w:tl2br w:val="nil"/>
              <w:tr2bl w:val="nil"/>
            </w:tcBorders>
            <w:shd w:val="clear" w:color="auto" w:fill="auto"/>
            <w:vAlign w:val="top"/>
          </w:tcPr>
          <w:p w14:paraId="45AB7A3B">
            <w:pPr>
              <w:spacing w:line="320" w:lineRule="exact"/>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rPr>
              <w:t>0.4</w:t>
            </w:r>
          </w:p>
        </w:tc>
        <w:tc>
          <w:tcPr>
            <w:tcW w:w="1370" w:type="pct"/>
            <w:vMerge w:val="continue"/>
            <w:tcBorders>
              <w:tl2br w:val="nil"/>
              <w:tr2bl w:val="nil"/>
            </w:tcBorders>
            <w:vAlign w:val="center"/>
          </w:tcPr>
          <w:p w14:paraId="220F916A">
            <w:pPr>
              <w:spacing w:line="320" w:lineRule="exact"/>
              <w:jc w:val="center"/>
              <w:rPr>
                <w:rFonts w:hint="default" w:ascii="Times New Roman" w:hAnsi="Times New Roman" w:eastAsia="宋体" w:cs="Times New Roman"/>
                <w:color w:val="auto"/>
                <w:spacing w:val="-2"/>
                <w:sz w:val="21"/>
                <w:szCs w:val="21"/>
                <w:highlight w:val="none"/>
                <w:lang w:val="en-US" w:eastAsia="zh-CN"/>
              </w:rPr>
            </w:pPr>
          </w:p>
        </w:tc>
      </w:tr>
      <w:tr w14:paraId="05D6FFAB">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rPr>
          <w:trHeight w:val="217" w:hRule="atLeast"/>
        </w:trPr>
        <w:tc>
          <w:tcPr>
            <w:tcW w:w="416" w:type="pct"/>
            <w:tcBorders>
              <w:tl2br w:val="nil"/>
              <w:tr2bl w:val="nil"/>
            </w:tcBorders>
            <w:vAlign w:val="top"/>
          </w:tcPr>
          <w:p w14:paraId="4E3B01D8">
            <w:pPr>
              <w:spacing w:line="32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p>
        </w:tc>
        <w:tc>
          <w:tcPr>
            <w:tcW w:w="1580" w:type="pct"/>
            <w:tcBorders>
              <w:tl2br w:val="nil"/>
              <w:tr2bl w:val="nil"/>
            </w:tcBorders>
            <w:shd w:val="clear" w:color="auto" w:fill="auto"/>
            <w:vAlign w:val="top"/>
          </w:tcPr>
          <w:p w14:paraId="1823CDDF">
            <w:pPr>
              <w:spacing w:line="320" w:lineRule="exact"/>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rPr>
              <w:t>硫酸雾</w:t>
            </w:r>
          </w:p>
        </w:tc>
        <w:tc>
          <w:tcPr>
            <w:tcW w:w="1631" w:type="pct"/>
            <w:tcBorders>
              <w:tl2br w:val="nil"/>
              <w:tr2bl w:val="nil"/>
            </w:tcBorders>
            <w:shd w:val="clear" w:color="auto" w:fill="auto"/>
            <w:vAlign w:val="top"/>
          </w:tcPr>
          <w:p w14:paraId="690C4F57">
            <w:pPr>
              <w:spacing w:line="320" w:lineRule="exact"/>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rPr>
              <w:t>1.2</w:t>
            </w:r>
          </w:p>
        </w:tc>
        <w:tc>
          <w:tcPr>
            <w:tcW w:w="1370" w:type="pct"/>
            <w:vMerge w:val="continue"/>
            <w:tcBorders>
              <w:tl2br w:val="nil"/>
              <w:tr2bl w:val="nil"/>
            </w:tcBorders>
            <w:vAlign w:val="center"/>
          </w:tcPr>
          <w:p w14:paraId="0DCE3E76">
            <w:pPr>
              <w:spacing w:line="320" w:lineRule="exact"/>
              <w:jc w:val="center"/>
              <w:rPr>
                <w:rFonts w:hint="default" w:ascii="Times New Roman" w:hAnsi="Times New Roman" w:eastAsia="宋体" w:cs="Times New Roman"/>
                <w:color w:val="auto"/>
                <w:spacing w:val="-2"/>
                <w:sz w:val="21"/>
                <w:szCs w:val="21"/>
                <w:highlight w:val="none"/>
                <w:lang w:val="en-US" w:eastAsia="zh-CN"/>
              </w:rPr>
            </w:pPr>
          </w:p>
        </w:tc>
      </w:tr>
      <w:tr w14:paraId="42B12DBB">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17" w:hRule="atLeast"/>
        </w:trPr>
        <w:tc>
          <w:tcPr>
            <w:tcW w:w="416" w:type="pct"/>
            <w:tcBorders>
              <w:tl2br w:val="nil"/>
              <w:tr2bl w:val="nil"/>
            </w:tcBorders>
            <w:vAlign w:val="top"/>
          </w:tcPr>
          <w:p w14:paraId="48A5C4AF">
            <w:pPr>
              <w:spacing w:line="32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580" w:type="pct"/>
            <w:tcBorders>
              <w:tl2br w:val="nil"/>
              <w:tr2bl w:val="nil"/>
            </w:tcBorders>
            <w:shd w:val="clear" w:color="auto" w:fill="auto"/>
            <w:vAlign w:val="top"/>
          </w:tcPr>
          <w:p w14:paraId="0FD04609">
            <w:pPr>
              <w:spacing w:line="320" w:lineRule="exact"/>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rPr>
              <w:t>氨</w:t>
            </w:r>
          </w:p>
        </w:tc>
        <w:tc>
          <w:tcPr>
            <w:tcW w:w="1631" w:type="pct"/>
            <w:tcBorders>
              <w:tl2br w:val="nil"/>
              <w:tr2bl w:val="nil"/>
            </w:tcBorders>
            <w:shd w:val="clear" w:color="auto" w:fill="auto"/>
            <w:vAlign w:val="top"/>
          </w:tcPr>
          <w:p w14:paraId="7487CDC3">
            <w:pPr>
              <w:spacing w:line="320" w:lineRule="exact"/>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rPr>
              <w:t>1.0</w:t>
            </w:r>
          </w:p>
        </w:tc>
        <w:tc>
          <w:tcPr>
            <w:tcW w:w="1370" w:type="pct"/>
            <w:vMerge w:val="continue"/>
            <w:tcBorders>
              <w:tl2br w:val="nil"/>
              <w:tr2bl w:val="nil"/>
            </w:tcBorders>
            <w:vAlign w:val="center"/>
          </w:tcPr>
          <w:p w14:paraId="6E3FA730">
            <w:pPr>
              <w:spacing w:line="320" w:lineRule="exact"/>
              <w:jc w:val="center"/>
              <w:rPr>
                <w:rFonts w:hint="default" w:ascii="Times New Roman" w:hAnsi="Times New Roman" w:eastAsia="宋体" w:cs="Times New Roman"/>
                <w:color w:val="auto"/>
                <w:spacing w:val="-2"/>
                <w:sz w:val="21"/>
                <w:szCs w:val="21"/>
                <w:highlight w:val="none"/>
                <w:lang w:val="en-US" w:eastAsia="zh-CN"/>
              </w:rPr>
            </w:pPr>
          </w:p>
        </w:tc>
      </w:tr>
      <w:tr w14:paraId="7D5C1C1B">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17" w:hRule="atLeast"/>
        </w:trPr>
        <w:tc>
          <w:tcPr>
            <w:tcW w:w="416" w:type="pct"/>
            <w:tcBorders>
              <w:tl2br w:val="nil"/>
              <w:tr2bl w:val="nil"/>
            </w:tcBorders>
            <w:vAlign w:val="top"/>
          </w:tcPr>
          <w:p w14:paraId="472D363E">
            <w:pPr>
              <w:spacing w:line="32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1580" w:type="pct"/>
            <w:tcBorders>
              <w:tl2br w:val="nil"/>
              <w:tr2bl w:val="nil"/>
            </w:tcBorders>
            <w:shd w:val="clear" w:color="auto" w:fill="auto"/>
            <w:vAlign w:val="top"/>
          </w:tcPr>
          <w:p w14:paraId="2D013479">
            <w:pPr>
              <w:spacing w:line="320" w:lineRule="exact"/>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rPr>
              <w:t>甲醛</w:t>
            </w:r>
          </w:p>
        </w:tc>
        <w:tc>
          <w:tcPr>
            <w:tcW w:w="1631" w:type="pct"/>
            <w:tcBorders>
              <w:tl2br w:val="nil"/>
              <w:tr2bl w:val="nil"/>
            </w:tcBorders>
            <w:shd w:val="clear" w:color="auto" w:fill="auto"/>
            <w:vAlign w:val="top"/>
          </w:tcPr>
          <w:p w14:paraId="42510647">
            <w:pPr>
              <w:spacing w:line="320" w:lineRule="exact"/>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rPr>
              <w:t>0.2</w:t>
            </w:r>
          </w:p>
        </w:tc>
        <w:tc>
          <w:tcPr>
            <w:tcW w:w="1370" w:type="pct"/>
            <w:vMerge w:val="continue"/>
            <w:tcBorders>
              <w:tl2br w:val="nil"/>
              <w:tr2bl w:val="nil"/>
            </w:tcBorders>
            <w:vAlign w:val="center"/>
          </w:tcPr>
          <w:p w14:paraId="5B716F07">
            <w:pPr>
              <w:spacing w:line="320" w:lineRule="exact"/>
              <w:jc w:val="center"/>
              <w:rPr>
                <w:rFonts w:hint="default" w:ascii="Times New Roman" w:hAnsi="Times New Roman" w:eastAsia="宋体" w:cs="Times New Roman"/>
                <w:color w:val="auto"/>
                <w:spacing w:val="-2"/>
                <w:sz w:val="21"/>
                <w:szCs w:val="21"/>
                <w:highlight w:val="none"/>
                <w:lang w:val="en-US" w:eastAsia="zh-CN"/>
              </w:rPr>
            </w:pPr>
          </w:p>
        </w:tc>
      </w:tr>
      <w:tr w14:paraId="43AD9373">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17" w:hRule="atLeast"/>
        </w:trPr>
        <w:tc>
          <w:tcPr>
            <w:tcW w:w="416" w:type="pct"/>
            <w:tcBorders>
              <w:tl2br w:val="nil"/>
              <w:tr2bl w:val="nil"/>
            </w:tcBorders>
            <w:vAlign w:val="top"/>
          </w:tcPr>
          <w:p w14:paraId="5362C8FA">
            <w:pPr>
              <w:spacing w:line="32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w:t>
            </w:r>
          </w:p>
        </w:tc>
        <w:tc>
          <w:tcPr>
            <w:tcW w:w="1580" w:type="pct"/>
            <w:tcBorders>
              <w:tl2br w:val="nil"/>
              <w:tr2bl w:val="nil"/>
            </w:tcBorders>
            <w:shd w:val="clear" w:color="auto" w:fill="auto"/>
            <w:vAlign w:val="top"/>
          </w:tcPr>
          <w:p w14:paraId="6280BC3E">
            <w:pPr>
              <w:spacing w:line="320" w:lineRule="exact"/>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rPr>
              <w:t>苯</w:t>
            </w:r>
          </w:p>
        </w:tc>
        <w:tc>
          <w:tcPr>
            <w:tcW w:w="1631" w:type="pct"/>
            <w:tcBorders>
              <w:tl2br w:val="nil"/>
              <w:tr2bl w:val="nil"/>
            </w:tcBorders>
            <w:shd w:val="clear" w:color="auto" w:fill="auto"/>
            <w:vAlign w:val="top"/>
          </w:tcPr>
          <w:p w14:paraId="2820EB06">
            <w:pPr>
              <w:spacing w:line="320" w:lineRule="exact"/>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rPr>
              <w:t>0.4</w:t>
            </w:r>
          </w:p>
        </w:tc>
        <w:tc>
          <w:tcPr>
            <w:tcW w:w="1370" w:type="pct"/>
            <w:vMerge w:val="continue"/>
            <w:tcBorders>
              <w:tl2br w:val="nil"/>
              <w:tr2bl w:val="nil"/>
            </w:tcBorders>
            <w:vAlign w:val="center"/>
          </w:tcPr>
          <w:p w14:paraId="4B5306D6">
            <w:pPr>
              <w:spacing w:line="320" w:lineRule="exact"/>
              <w:jc w:val="center"/>
              <w:rPr>
                <w:rFonts w:hint="default" w:ascii="Times New Roman" w:hAnsi="Times New Roman" w:eastAsia="宋体" w:cs="Times New Roman"/>
                <w:color w:val="auto"/>
                <w:spacing w:val="-2"/>
                <w:sz w:val="21"/>
                <w:szCs w:val="21"/>
                <w:highlight w:val="none"/>
                <w:lang w:val="en-US" w:eastAsia="zh-CN"/>
              </w:rPr>
            </w:pPr>
          </w:p>
        </w:tc>
      </w:tr>
      <w:tr w14:paraId="05CBCB83">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0" w:type="dxa"/>
            <w:bottom w:w="0" w:type="dxa"/>
            <w:right w:w="0" w:type="dxa"/>
          </w:tblCellMar>
        </w:tblPrEx>
        <w:trPr>
          <w:trHeight w:val="217" w:hRule="atLeast"/>
        </w:trPr>
        <w:tc>
          <w:tcPr>
            <w:tcW w:w="416" w:type="pct"/>
            <w:tcBorders>
              <w:tl2br w:val="nil"/>
              <w:tr2bl w:val="nil"/>
            </w:tcBorders>
            <w:vAlign w:val="top"/>
          </w:tcPr>
          <w:p w14:paraId="122CE099">
            <w:pPr>
              <w:spacing w:line="320" w:lineRule="exac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w:t>
            </w:r>
          </w:p>
        </w:tc>
        <w:tc>
          <w:tcPr>
            <w:tcW w:w="1580" w:type="pct"/>
            <w:tcBorders>
              <w:tl2br w:val="nil"/>
              <w:tr2bl w:val="nil"/>
            </w:tcBorders>
            <w:shd w:val="clear" w:color="auto" w:fill="auto"/>
            <w:vAlign w:val="top"/>
          </w:tcPr>
          <w:p w14:paraId="4363DE82">
            <w:pPr>
              <w:spacing w:line="320" w:lineRule="exact"/>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rPr>
              <w:t>非甲烷总烃</w:t>
            </w:r>
          </w:p>
        </w:tc>
        <w:tc>
          <w:tcPr>
            <w:tcW w:w="1631" w:type="pct"/>
            <w:tcBorders>
              <w:tl2br w:val="nil"/>
              <w:tr2bl w:val="nil"/>
            </w:tcBorders>
            <w:shd w:val="clear" w:color="auto" w:fill="auto"/>
            <w:vAlign w:val="top"/>
          </w:tcPr>
          <w:p w14:paraId="4FD24CDF">
            <w:pPr>
              <w:spacing w:line="320" w:lineRule="exact"/>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rPr>
              <w:t>2.0</w:t>
            </w:r>
          </w:p>
        </w:tc>
        <w:tc>
          <w:tcPr>
            <w:tcW w:w="1370" w:type="pct"/>
            <w:vMerge w:val="continue"/>
            <w:tcBorders>
              <w:tl2br w:val="nil"/>
              <w:tr2bl w:val="nil"/>
            </w:tcBorders>
            <w:vAlign w:val="center"/>
          </w:tcPr>
          <w:p w14:paraId="781AFD9D">
            <w:pPr>
              <w:spacing w:line="320" w:lineRule="exact"/>
              <w:jc w:val="center"/>
              <w:rPr>
                <w:rFonts w:hint="default" w:ascii="Times New Roman" w:hAnsi="Times New Roman" w:eastAsia="宋体" w:cs="Times New Roman"/>
                <w:color w:val="auto"/>
                <w:spacing w:val="-2"/>
                <w:sz w:val="21"/>
                <w:szCs w:val="21"/>
                <w:highlight w:val="none"/>
                <w:lang w:val="en-US" w:eastAsia="zh-CN"/>
              </w:rPr>
            </w:pPr>
          </w:p>
        </w:tc>
      </w:tr>
      <w:bookmarkEnd w:id="708"/>
    </w:tbl>
    <w:p w14:paraId="204A52DD">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outlineLvl w:val="9"/>
        <w:rPr>
          <w:rFonts w:hint="eastAsia" w:ascii="Times New Roman" w:hAnsi="Times New Roman" w:eastAsia="宋体" w:cs="Times New Roman"/>
          <w:color w:val="auto"/>
          <w:spacing w:val="-2"/>
          <w:sz w:val="24"/>
          <w:szCs w:val="24"/>
          <w:highlight w:val="none"/>
          <w:lang w:val="en-US" w:eastAsia="zh-CN"/>
        </w:rPr>
      </w:pPr>
      <w:r>
        <w:rPr>
          <w:rFonts w:hint="eastAsia" w:ascii="Times New Roman" w:hAnsi="Times New Roman" w:eastAsia="宋体" w:cs="Times New Roman"/>
          <w:color w:val="auto"/>
          <w:spacing w:val="-2"/>
          <w:sz w:val="24"/>
          <w:szCs w:val="24"/>
          <w:highlight w:val="none"/>
          <w:lang w:val="en-US" w:eastAsia="zh-CN"/>
        </w:rPr>
        <w:t>（4）合成树脂工业</w:t>
      </w:r>
      <w:bookmarkStart w:id="709" w:name="pindex2225"/>
      <w:bookmarkEnd w:id="709"/>
    </w:p>
    <w:p w14:paraId="123BEA31">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rPr>
          <w:rFonts w:hint="default" w:ascii="Times New Roman" w:hAnsi="Times New Roman" w:eastAsia="宋体" w:cs="Times New Roman"/>
          <w:color w:val="auto"/>
          <w:spacing w:val="-2"/>
          <w:sz w:val="24"/>
          <w:szCs w:val="24"/>
          <w:highlight w:val="none"/>
          <w:lang w:val="en-US" w:eastAsia="zh-CN"/>
        </w:rPr>
      </w:pPr>
      <w:bookmarkStart w:id="710" w:name="OLE_LINK748"/>
      <w:bookmarkStart w:id="711" w:name="sys2226053"/>
      <w:r>
        <w:rPr>
          <w:rFonts w:hint="eastAsia" w:ascii="Times New Roman" w:hAnsi="Times New Roman" w:eastAsia="宋体" w:cs="Times New Roman"/>
          <w:color w:val="auto"/>
          <w:spacing w:val="-2"/>
          <w:sz w:val="24"/>
          <w:szCs w:val="24"/>
          <w:highlight w:val="none"/>
          <w:lang w:val="en-US" w:eastAsia="zh-CN"/>
        </w:rPr>
        <w:t>区内</w:t>
      </w:r>
      <w:bookmarkStart w:id="712" w:name="OLE_LINK198"/>
      <w:r>
        <w:rPr>
          <w:rFonts w:hint="eastAsia" w:ascii="Times New Roman" w:hAnsi="Times New Roman" w:eastAsia="宋体" w:cs="Times New Roman"/>
          <w:color w:val="auto"/>
          <w:spacing w:val="-2"/>
          <w:sz w:val="24"/>
          <w:szCs w:val="24"/>
          <w:highlight w:val="none"/>
          <w:lang w:val="en-US" w:eastAsia="zh-CN"/>
        </w:rPr>
        <w:t>合成树脂工业</w:t>
      </w:r>
      <w:bookmarkEnd w:id="712"/>
      <w:r>
        <w:rPr>
          <w:rFonts w:hint="eastAsia" w:ascii="Times New Roman" w:hAnsi="Times New Roman" w:eastAsia="宋体" w:cs="Times New Roman"/>
          <w:color w:val="auto"/>
          <w:spacing w:val="-2"/>
          <w:sz w:val="24"/>
          <w:szCs w:val="24"/>
          <w:highlight w:val="none"/>
          <w:lang w:val="en-US" w:eastAsia="zh-CN"/>
        </w:rPr>
        <w:t>废气排放执行</w:t>
      </w:r>
      <w:bookmarkStart w:id="713" w:name="OLE_LINK148"/>
      <w:bookmarkStart w:id="714" w:name="OLE_LINK197"/>
      <w:r>
        <w:rPr>
          <w:rFonts w:hint="eastAsia" w:ascii="Times New Roman" w:hAnsi="Times New Roman" w:eastAsia="宋体" w:cs="Times New Roman"/>
          <w:color w:val="auto"/>
          <w:spacing w:val="-2"/>
          <w:sz w:val="24"/>
          <w:szCs w:val="24"/>
          <w:highlight w:val="none"/>
          <w:lang w:val="en-US" w:eastAsia="zh-CN"/>
        </w:rPr>
        <w:t>《合成树脂工业污染物排放标准》</w:t>
      </w:r>
      <w:bookmarkEnd w:id="713"/>
      <w:r>
        <w:rPr>
          <w:rFonts w:hint="eastAsia" w:ascii="Times New Roman" w:hAnsi="Times New Roman" w:eastAsia="宋体" w:cs="Times New Roman"/>
          <w:color w:val="auto"/>
          <w:spacing w:val="-2"/>
          <w:sz w:val="24"/>
          <w:szCs w:val="24"/>
          <w:highlight w:val="none"/>
          <w:lang w:val="en-US" w:eastAsia="zh-CN"/>
        </w:rPr>
        <w:t>（GB31572-2015）</w:t>
      </w:r>
      <w:bookmarkEnd w:id="714"/>
      <w:r>
        <w:rPr>
          <w:rFonts w:hint="eastAsia" w:ascii="Times New Roman" w:hAnsi="Times New Roman" w:eastAsia="宋体" w:cs="Times New Roman"/>
          <w:color w:val="auto"/>
          <w:spacing w:val="-2"/>
          <w:sz w:val="24"/>
          <w:szCs w:val="24"/>
          <w:highlight w:val="none"/>
          <w:lang w:val="en-US" w:eastAsia="zh-CN"/>
        </w:rPr>
        <w:t>及修改单</w:t>
      </w:r>
      <w:bookmarkEnd w:id="710"/>
      <w:r>
        <w:rPr>
          <w:rFonts w:hint="eastAsia" w:ascii="Times New Roman" w:hAnsi="Times New Roman" w:eastAsia="宋体" w:cs="Times New Roman"/>
          <w:color w:val="auto"/>
          <w:spacing w:val="-2"/>
          <w:sz w:val="24"/>
          <w:szCs w:val="24"/>
          <w:highlight w:val="none"/>
          <w:lang w:val="en-US" w:eastAsia="zh-CN"/>
        </w:rPr>
        <w:t>中限值标准。</w:t>
      </w:r>
      <w:bookmarkEnd w:id="711"/>
    </w:p>
    <w:p w14:paraId="5DF66C03">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eastAsia="宋体" w:cs="Times New Roman"/>
          <w:b/>
          <w:bCs/>
          <w:color w:val="auto"/>
          <w:spacing w:val="-4"/>
          <w:sz w:val="24"/>
          <w:szCs w:val="24"/>
          <w:highlight w:val="none"/>
          <w:lang w:val="en-US" w:eastAsia="zh-CN"/>
        </w:rPr>
      </w:pPr>
      <w:bookmarkStart w:id="715" w:name="OLE_LINK199"/>
      <w:bookmarkStart w:id="716" w:name="sys2227038"/>
      <w:bookmarkStart w:id="717" w:name="OLE_LINK210"/>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2-23  </w:t>
      </w:r>
      <w:r>
        <w:rPr>
          <w:rFonts w:hint="eastAsia" w:ascii="Times New Roman" w:hAnsi="Times New Roman" w:eastAsia="宋体" w:cs="Times New Roman"/>
          <w:b/>
          <w:bCs/>
          <w:color w:val="auto"/>
          <w:spacing w:val="-2"/>
          <w:sz w:val="24"/>
          <w:szCs w:val="24"/>
          <w:highlight w:val="none"/>
          <w:lang w:val="en-US" w:eastAsia="zh-CN"/>
        </w:rPr>
        <w:t>合成树脂工业</w:t>
      </w:r>
      <w:bookmarkEnd w:id="715"/>
      <w:r>
        <w:rPr>
          <w:rFonts w:hint="eastAsia" w:ascii="Times New Roman" w:hAnsi="Times New Roman" w:eastAsia="宋体" w:cs="Times New Roman"/>
          <w:b/>
          <w:bCs/>
          <w:color w:val="auto"/>
          <w:spacing w:val="-2"/>
          <w:sz w:val="24"/>
          <w:szCs w:val="24"/>
          <w:highlight w:val="none"/>
          <w:lang w:val="en-US" w:eastAsia="zh-CN"/>
        </w:rPr>
        <w:t>大气污染物特别排放限值  （</w:t>
      </w:r>
      <w:r>
        <w:rPr>
          <w:rFonts w:hint="eastAsia" w:ascii="Times New Roman" w:hAnsi="Times New Roman" w:eastAsia="宋体" w:cs="Times New Roman"/>
          <w:b/>
          <w:bCs/>
          <w:color w:val="auto"/>
          <w:spacing w:val="-4"/>
          <w:sz w:val="24"/>
          <w:szCs w:val="24"/>
          <w:highlight w:val="none"/>
          <w:lang w:val="en-US" w:eastAsia="zh-CN"/>
        </w:rPr>
        <w:t>单位：mg/m</w:t>
      </w:r>
      <w:r>
        <w:rPr>
          <w:rFonts w:hint="eastAsia" w:ascii="Times New Roman" w:hAnsi="Times New Roman" w:eastAsia="宋体" w:cs="Times New Roman"/>
          <w:b/>
          <w:bCs/>
          <w:color w:val="auto"/>
          <w:spacing w:val="-4"/>
          <w:sz w:val="24"/>
          <w:szCs w:val="24"/>
          <w:highlight w:val="none"/>
          <w:vertAlign w:val="superscript"/>
          <w:lang w:val="en-US" w:eastAsia="zh-CN"/>
        </w:rPr>
        <w:t>3</w:t>
      </w:r>
      <w:r>
        <w:rPr>
          <w:rFonts w:hint="eastAsia" w:ascii="Times New Roman" w:hAnsi="Times New Roman" w:eastAsia="宋体" w:cs="Times New Roman"/>
          <w:b/>
          <w:bCs/>
          <w:color w:val="auto"/>
          <w:spacing w:val="-4"/>
          <w:sz w:val="24"/>
          <w:szCs w:val="24"/>
          <w:highlight w:val="none"/>
          <w:vertAlign w:val="baseline"/>
          <w:lang w:val="en-US" w:eastAsia="zh-CN"/>
        </w:rPr>
        <w:t>）</w:t>
      </w:r>
      <w:bookmarkEnd w:id="716"/>
      <w:bookmarkStart w:id="718" w:name="pindex2227"/>
      <w:bookmarkEnd w:id="718"/>
    </w:p>
    <w:bookmarkEnd w:id="717"/>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2110"/>
        <w:gridCol w:w="1651"/>
        <w:gridCol w:w="2367"/>
        <w:gridCol w:w="1713"/>
      </w:tblGrid>
      <w:tr w14:paraId="1CF99F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13C53991">
            <w:pPr>
              <w:widowControl w:val="0"/>
              <w:bidi w:val="0"/>
              <w:jc w:val="center"/>
              <w:rPr>
                <w:rFonts w:hint="default" w:ascii="Times New Roman" w:hAnsi="Times New Roman" w:eastAsia="宋体" w:cs="Times New Roman"/>
                <w:b/>
                <w:bCs/>
                <w:color w:val="auto"/>
                <w:sz w:val="21"/>
                <w:szCs w:val="21"/>
                <w:highlight w:val="none"/>
                <w:lang w:val="en-US" w:eastAsia="zh-CN"/>
              </w:rPr>
            </w:pPr>
            <w:bookmarkStart w:id="719" w:name="OLE_LINK209" w:colFirst="0" w:colLast="4"/>
            <w:r>
              <w:rPr>
                <w:rFonts w:hint="eastAsia" w:ascii="Times New Roman" w:hAnsi="Times New Roman" w:eastAsia="宋体" w:cs="Times New Roman"/>
                <w:b/>
                <w:bCs/>
                <w:color w:val="auto"/>
                <w:sz w:val="21"/>
                <w:szCs w:val="21"/>
                <w:highlight w:val="none"/>
                <w:lang w:val="en-US" w:eastAsia="zh-CN"/>
              </w:rPr>
              <w:t>序号</w:t>
            </w:r>
          </w:p>
        </w:tc>
        <w:tc>
          <w:tcPr>
            <w:tcW w:w="2110" w:type="dxa"/>
            <w:tcBorders>
              <w:tl2br w:val="nil"/>
              <w:tr2bl w:val="nil"/>
            </w:tcBorders>
            <w:vAlign w:val="center"/>
          </w:tcPr>
          <w:p w14:paraId="4DBC511E">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污染物项目</w:t>
            </w:r>
          </w:p>
        </w:tc>
        <w:tc>
          <w:tcPr>
            <w:tcW w:w="1651" w:type="dxa"/>
            <w:tcBorders>
              <w:tl2br w:val="nil"/>
              <w:tr2bl w:val="nil"/>
            </w:tcBorders>
            <w:vAlign w:val="center"/>
          </w:tcPr>
          <w:p w14:paraId="7717AC48">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排放限值</w:t>
            </w:r>
          </w:p>
        </w:tc>
        <w:tc>
          <w:tcPr>
            <w:tcW w:w="2367" w:type="dxa"/>
            <w:tcBorders>
              <w:tl2br w:val="nil"/>
              <w:tr2bl w:val="nil"/>
            </w:tcBorders>
            <w:vAlign w:val="center"/>
          </w:tcPr>
          <w:p w14:paraId="3C109419">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适用的合成树脂类型</w:t>
            </w:r>
          </w:p>
        </w:tc>
        <w:tc>
          <w:tcPr>
            <w:tcW w:w="1713" w:type="dxa"/>
            <w:tcBorders>
              <w:tl2br w:val="nil"/>
              <w:tr2bl w:val="nil"/>
            </w:tcBorders>
            <w:vAlign w:val="center"/>
          </w:tcPr>
          <w:p w14:paraId="61B6DC8A">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污染物排放监控位置</w:t>
            </w:r>
          </w:p>
        </w:tc>
      </w:tr>
      <w:bookmarkEnd w:id="719"/>
      <w:tr w14:paraId="49B18E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29803B94">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110" w:type="dxa"/>
            <w:tcBorders>
              <w:tl2br w:val="nil"/>
              <w:tr2bl w:val="nil"/>
            </w:tcBorders>
            <w:vAlign w:val="center"/>
          </w:tcPr>
          <w:p w14:paraId="6998E09A">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非甲烷总烃</w:t>
            </w:r>
          </w:p>
        </w:tc>
        <w:tc>
          <w:tcPr>
            <w:tcW w:w="1651" w:type="dxa"/>
            <w:tcBorders>
              <w:tl2br w:val="nil"/>
              <w:tr2bl w:val="nil"/>
            </w:tcBorders>
            <w:vAlign w:val="center"/>
          </w:tcPr>
          <w:p w14:paraId="6B4CDCE0">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2367" w:type="dxa"/>
            <w:vMerge w:val="restart"/>
            <w:tcBorders>
              <w:tl2br w:val="nil"/>
              <w:tr2bl w:val="nil"/>
            </w:tcBorders>
            <w:vAlign w:val="center"/>
          </w:tcPr>
          <w:p w14:paraId="5BB89DE7">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所有合成树脂</w:t>
            </w:r>
          </w:p>
        </w:tc>
        <w:tc>
          <w:tcPr>
            <w:tcW w:w="1713" w:type="dxa"/>
            <w:vMerge w:val="restart"/>
            <w:tcBorders>
              <w:tl2br w:val="nil"/>
              <w:tr2bl w:val="nil"/>
            </w:tcBorders>
            <w:vAlign w:val="center"/>
          </w:tcPr>
          <w:p w14:paraId="66B29D3B">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车间或生产设施排气筒</w:t>
            </w:r>
          </w:p>
        </w:tc>
      </w:tr>
      <w:tr w14:paraId="0E724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16F5666C">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2110" w:type="dxa"/>
            <w:tcBorders>
              <w:tl2br w:val="nil"/>
              <w:tr2bl w:val="nil"/>
            </w:tcBorders>
            <w:vAlign w:val="center"/>
          </w:tcPr>
          <w:p w14:paraId="06A09429">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1651" w:type="dxa"/>
            <w:tcBorders>
              <w:tl2br w:val="nil"/>
              <w:tr2bl w:val="nil"/>
            </w:tcBorders>
            <w:vAlign w:val="center"/>
          </w:tcPr>
          <w:p w14:paraId="1E585D6A">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2367" w:type="dxa"/>
            <w:vMerge w:val="continue"/>
            <w:tcBorders>
              <w:tl2br w:val="nil"/>
              <w:tr2bl w:val="nil"/>
            </w:tcBorders>
            <w:vAlign w:val="center"/>
          </w:tcPr>
          <w:p w14:paraId="563F7F34">
            <w:pPr>
              <w:widowControl w:val="0"/>
              <w:bidi w:val="0"/>
              <w:jc w:val="center"/>
              <w:rPr>
                <w:rFonts w:hint="default" w:ascii="Times New Roman" w:hAnsi="Times New Roman" w:eastAsia="宋体" w:cs="Times New Roman"/>
                <w:color w:val="auto"/>
                <w:sz w:val="21"/>
                <w:szCs w:val="21"/>
                <w:highlight w:val="none"/>
                <w:lang w:val="en-US" w:eastAsia="zh-CN"/>
              </w:rPr>
            </w:pPr>
          </w:p>
        </w:tc>
        <w:tc>
          <w:tcPr>
            <w:tcW w:w="1713" w:type="dxa"/>
            <w:vMerge w:val="continue"/>
            <w:tcBorders>
              <w:tl2br w:val="nil"/>
              <w:tr2bl w:val="nil"/>
            </w:tcBorders>
            <w:vAlign w:val="center"/>
          </w:tcPr>
          <w:p w14:paraId="5538F8C1">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5E6DE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36953020">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2110" w:type="dxa"/>
            <w:tcBorders>
              <w:tl2br w:val="nil"/>
              <w:tr2bl w:val="nil"/>
            </w:tcBorders>
            <w:vAlign w:val="center"/>
          </w:tcPr>
          <w:p w14:paraId="4EA0C27D">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苯乙烯</w:t>
            </w:r>
          </w:p>
        </w:tc>
        <w:tc>
          <w:tcPr>
            <w:tcW w:w="1651" w:type="dxa"/>
            <w:tcBorders>
              <w:tl2br w:val="nil"/>
              <w:tr2bl w:val="nil"/>
            </w:tcBorders>
            <w:vAlign w:val="center"/>
          </w:tcPr>
          <w:p w14:paraId="18B9F2A0">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2367" w:type="dxa"/>
            <w:tcBorders>
              <w:tl2br w:val="nil"/>
              <w:tr2bl w:val="nil"/>
            </w:tcBorders>
            <w:vAlign w:val="center"/>
          </w:tcPr>
          <w:p w14:paraId="414A508E">
            <w:pPr>
              <w:widowControl w:val="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聚苯乙烯树脂</w:t>
            </w:r>
          </w:p>
          <w:p w14:paraId="6BCAF0C9">
            <w:pPr>
              <w:widowControl w:val="0"/>
              <w:bidi w:val="0"/>
              <w:jc w:val="center"/>
              <w:rPr>
                <w:rFonts w:hint="eastAsia" w:ascii="Times New Roman" w:hAnsi="Times New Roman" w:eastAsia="宋体" w:cs="Times New Roman"/>
                <w:color w:val="auto"/>
                <w:sz w:val="21"/>
                <w:szCs w:val="21"/>
                <w:highlight w:val="none"/>
                <w:lang w:val="en-US" w:eastAsia="zh-CN"/>
              </w:rPr>
            </w:pPr>
            <w:bookmarkStart w:id="720" w:name="OLE_LINK200"/>
            <w:r>
              <w:rPr>
                <w:rFonts w:hint="eastAsia" w:ascii="Times New Roman" w:hAnsi="Times New Roman" w:eastAsia="宋体" w:cs="Times New Roman"/>
                <w:color w:val="auto"/>
                <w:sz w:val="21"/>
                <w:szCs w:val="21"/>
                <w:highlight w:val="none"/>
                <w:lang w:val="en-US" w:eastAsia="zh-CN"/>
              </w:rPr>
              <w:t>ABS树脂</w:t>
            </w:r>
          </w:p>
          <w:bookmarkEnd w:id="720"/>
          <w:p w14:paraId="7983C922">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不饱和聚酯树脂</w:t>
            </w:r>
          </w:p>
        </w:tc>
        <w:tc>
          <w:tcPr>
            <w:tcW w:w="1713" w:type="dxa"/>
            <w:vMerge w:val="continue"/>
            <w:tcBorders>
              <w:tl2br w:val="nil"/>
              <w:tr2bl w:val="nil"/>
            </w:tcBorders>
            <w:vAlign w:val="center"/>
          </w:tcPr>
          <w:p w14:paraId="035F279B">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397BC2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30C9B829">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2110" w:type="dxa"/>
            <w:tcBorders>
              <w:tl2br w:val="nil"/>
              <w:tr2bl w:val="nil"/>
            </w:tcBorders>
            <w:vAlign w:val="center"/>
          </w:tcPr>
          <w:p w14:paraId="46CB799B">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丙烯腈</w:t>
            </w:r>
          </w:p>
        </w:tc>
        <w:tc>
          <w:tcPr>
            <w:tcW w:w="1651" w:type="dxa"/>
            <w:tcBorders>
              <w:tl2br w:val="nil"/>
              <w:tr2bl w:val="nil"/>
            </w:tcBorders>
            <w:vAlign w:val="center"/>
          </w:tcPr>
          <w:p w14:paraId="002309B2">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2367" w:type="dxa"/>
            <w:tcBorders>
              <w:tl2br w:val="nil"/>
              <w:tr2bl w:val="nil"/>
            </w:tcBorders>
            <w:vAlign w:val="center"/>
          </w:tcPr>
          <w:p w14:paraId="3AFE153F">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ABS树脂</w:t>
            </w:r>
          </w:p>
        </w:tc>
        <w:tc>
          <w:tcPr>
            <w:tcW w:w="1713" w:type="dxa"/>
            <w:vMerge w:val="continue"/>
            <w:tcBorders>
              <w:tl2br w:val="nil"/>
              <w:tr2bl w:val="nil"/>
            </w:tcBorders>
            <w:vAlign w:val="center"/>
          </w:tcPr>
          <w:p w14:paraId="2C0316FA">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7592C1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435B447E">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2110" w:type="dxa"/>
            <w:tcBorders>
              <w:tl2br w:val="nil"/>
              <w:tr2bl w:val="nil"/>
            </w:tcBorders>
            <w:vAlign w:val="center"/>
          </w:tcPr>
          <w:p w14:paraId="7A4C06CB">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1，3-丁二烯</w:t>
            </w:r>
          </w:p>
        </w:tc>
        <w:tc>
          <w:tcPr>
            <w:tcW w:w="1651" w:type="dxa"/>
            <w:tcBorders>
              <w:tl2br w:val="nil"/>
              <w:tr2bl w:val="nil"/>
            </w:tcBorders>
            <w:vAlign w:val="center"/>
          </w:tcPr>
          <w:p w14:paraId="0D912786">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367" w:type="dxa"/>
            <w:tcBorders>
              <w:tl2br w:val="nil"/>
              <w:tr2bl w:val="nil"/>
            </w:tcBorders>
            <w:vAlign w:val="center"/>
          </w:tcPr>
          <w:p w14:paraId="6B222D46">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ABS树脂</w:t>
            </w:r>
          </w:p>
        </w:tc>
        <w:tc>
          <w:tcPr>
            <w:tcW w:w="1713" w:type="dxa"/>
            <w:vMerge w:val="continue"/>
            <w:tcBorders>
              <w:tl2br w:val="nil"/>
              <w:tr2bl w:val="nil"/>
            </w:tcBorders>
            <w:vAlign w:val="center"/>
          </w:tcPr>
          <w:p w14:paraId="699B694D">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6D750C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7FAD10C8">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p>
        </w:tc>
        <w:tc>
          <w:tcPr>
            <w:tcW w:w="2110" w:type="dxa"/>
            <w:tcBorders>
              <w:tl2br w:val="nil"/>
              <w:tr2bl w:val="nil"/>
            </w:tcBorders>
            <w:vAlign w:val="center"/>
          </w:tcPr>
          <w:p w14:paraId="7B96B069">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环氧氯丙烷</w:t>
            </w:r>
          </w:p>
        </w:tc>
        <w:tc>
          <w:tcPr>
            <w:tcW w:w="1651" w:type="dxa"/>
            <w:tcBorders>
              <w:tl2br w:val="nil"/>
              <w:tr2bl w:val="nil"/>
            </w:tcBorders>
            <w:vAlign w:val="center"/>
          </w:tcPr>
          <w:p w14:paraId="5C992CB5">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2367" w:type="dxa"/>
            <w:tcBorders>
              <w:tl2br w:val="nil"/>
              <w:tr2bl w:val="nil"/>
            </w:tcBorders>
            <w:vAlign w:val="center"/>
          </w:tcPr>
          <w:p w14:paraId="3582A545">
            <w:pPr>
              <w:widowControl w:val="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环氧树脂</w:t>
            </w:r>
          </w:p>
          <w:p w14:paraId="1F2411FE">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氨基树脂</w:t>
            </w:r>
          </w:p>
        </w:tc>
        <w:tc>
          <w:tcPr>
            <w:tcW w:w="1713" w:type="dxa"/>
            <w:vMerge w:val="continue"/>
            <w:tcBorders>
              <w:tl2br w:val="nil"/>
              <w:tr2bl w:val="nil"/>
            </w:tcBorders>
            <w:vAlign w:val="center"/>
          </w:tcPr>
          <w:p w14:paraId="0C0AE57C">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09478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28BCD1B1">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w:t>
            </w:r>
          </w:p>
        </w:tc>
        <w:tc>
          <w:tcPr>
            <w:tcW w:w="2110" w:type="dxa"/>
            <w:tcBorders>
              <w:tl2br w:val="nil"/>
              <w:tr2bl w:val="nil"/>
            </w:tcBorders>
            <w:vAlign w:val="center"/>
          </w:tcPr>
          <w:p w14:paraId="33B859B9">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酚类</w:t>
            </w:r>
          </w:p>
        </w:tc>
        <w:tc>
          <w:tcPr>
            <w:tcW w:w="1651" w:type="dxa"/>
            <w:tcBorders>
              <w:tl2br w:val="nil"/>
              <w:tr2bl w:val="nil"/>
            </w:tcBorders>
            <w:vAlign w:val="center"/>
          </w:tcPr>
          <w:p w14:paraId="63568914">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2367" w:type="dxa"/>
            <w:tcBorders>
              <w:tl2br w:val="nil"/>
              <w:tr2bl w:val="nil"/>
            </w:tcBorders>
            <w:vAlign w:val="center"/>
          </w:tcPr>
          <w:p w14:paraId="0640C507">
            <w:pPr>
              <w:widowControl w:val="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酚醛树脂</w:t>
            </w:r>
          </w:p>
          <w:p w14:paraId="0FD994A4">
            <w:pPr>
              <w:widowControl w:val="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环氧树脂</w:t>
            </w:r>
          </w:p>
          <w:p w14:paraId="09F9645F">
            <w:pPr>
              <w:widowControl w:val="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聚碳酸酯树脂</w:t>
            </w:r>
          </w:p>
          <w:p w14:paraId="6A4CB37A">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聚醚醚酮树脂</w:t>
            </w:r>
          </w:p>
        </w:tc>
        <w:tc>
          <w:tcPr>
            <w:tcW w:w="1713" w:type="dxa"/>
            <w:vMerge w:val="continue"/>
            <w:tcBorders>
              <w:tl2br w:val="nil"/>
              <w:tr2bl w:val="nil"/>
            </w:tcBorders>
            <w:vAlign w:val="center"/>
          </w:tcPr>
          <w:p w14:paraId="2189D5AB">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4875E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070C263A">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c>
          <w:tcPr>
            <w:tcW w:w="2110" w:type="dxa"/>
            <w:tcBorders>
              <w:tl2br w:val="nil"/>
              <w:tr2bl w:val="nil"/>
            </w:tcBorders>
            <w:vAlign w:val="center"/>
          </w:tcPr>
          <w:p w14:paraId="665C009C">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甲醛</w:t>
            </w:r>
          </w:p>
        </w:tc>
        <w:tc>
          <w:tcPr>
            <w:tcW w:w="1651" w:type="dxa"/>
            <w:tcBorders>
              <w:tl2br w:val="nil"/>
              <w:tr2bl w:val="nil"/>
            </w:tcBorders>
            <w:vAlign w:val="center"/>
          </w:tcPr>
          <w:p w14:paraId="111BD529">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2367" w:type="dxa"/>
            <w:tcBorders>
              <w:tl2br w:val="nil"/>
              <w:tr2bl w:val="nil"/>
            </w:tcBorders>
            <w:vAlign w:val="center"/>
          </w:tcPr>
          <w:p w14:paraId="6A0D03B0">
            <w:pPr>
              <w:widowControl w:val="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酚醛树脂</w:t>
            </w:r>
          </w:p>
          <w:p w14:paraId="3DCEB777">
            <w:pPr>
              <w:widowControl w:val="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氨基树脂</w:t>
            </w:r>
          </w:p>
          <w:p w14:paraId="28B9F2F3">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聚甲醛树脂</w:t>
            </w:r>
          </w:p>
        </w:tc>
        <w:tc>
          <w:tcPr>
            <w:tcW w:w="1713" w:type="dxa"/>
            <w:vMerge w:val="continue"/>
            <w:tcBorders>
              <w:tl2br w:val="nil"/>
              <w:tr2bl w:val="nil"/>
            </w:tcBorders>
            <w:vAlign w:val="center"/>
          </w:tcPr>
          <w:p w14:paraId="2FE360C1">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646D9F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3829E708">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w:t>
            </w:r>
          </w:p>
        </w:tc>
        <w:tc>
          <w:tcPr>
            <w:tcW w:w="2110" w:type="dxa"/>
            <w:tcBorders>
              <w:tl2br w:val="nil"/>
              <w:tr2bl w:val="nil"/>
            </w:tcBorders>
            <w:vAlign w:val="center"/>
          </w:tcPr>
          <w:p w14:paraId="4A7F3443">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乙醛</w:t>
            </w:r>
          </w:p>
        </w:tc>
        <w:tc>
          <w:tcPr>
            <w:tcW w:w="1651" w:type="dxa"/>
            <w:tcBorders>
              <w:tl2br w:val="nil"/>
              <w:tr2bl w:val="nil"/>
            </w:tcBorders>
            <w:vAlign w:val="center"/>
          </w:tcPr>
          <w:p w14:paraId="0BDE0F91">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2367" w:type="dxa"/>
            <w:tcBorders>
              <w:tl2br w:val="nil"/>
              <w:tr2bl w:val="nil"/>
            </w:tcBorders>
            <w:vAlign w:val="center"/>
          </w:tcPr>
          <w:p w14:paraId="5A139586">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热塑性聚酯树脂</w:t>
            </w:r>
          </w:p>
        </w:tc>
        <w:tc>
          <w:tcPr>
            <w:tcW w:w="1713" w:type="dxa"/>
            <w:vMerge w:val="continue"/>
            <w:tcBorders>
              <w:tl2br w:val="nil"/>
              <w:tr2bl w:val="nil"/>
            </w:tcBorders>
            <w:vAlign w:val="center"/>
          </w:tcPr>
          <w:p w14:paraId="6DF0EF0C">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7096D9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41558F47">
            <w:pPr>
              <w:widowControl w:val="0"/>
              <w:bidi w:val="0"/>
              <w:jc w:val="center"/>
              <w:rPr>
                <w:rFonts w:hint="default" w:ascii="Times New Roman" w:hAnsi="Times New Roman" w:eastAsia="宋体" w:cs="Times New Roman"/>
                <w:color w:val="auto"/>
                <w:sz w:val="21"/>
                <w:szCs w:val="21"/>
                <w:highlight w:val="none"/>
                <w:lang w:val="en-US" w:eastAsia="zh-CN"/>
              </w:rPr>
            </w:pPr>
            <w:bookmarkStart w:id="721" w:name="OLE_LINK207" w:colFirst="2" w:colLast="3"/>
            <w:r>
              <w:rPr>
                <w:rFonts w:hint="eastAsia" w:ascii="Times New Roman" w:hAnsi="Times New Roman" w:eastAsia="宋体" w:cs="Times New Roman"/>
                <w:color w:val="auto"/>
                <w:sz w:val="21"/>
                <w:szCs w:val="21"/>
                <w:highlight w:val="none"/>
                <w:lang w:val="en-US" w:eastAsia="zh-CN"/>
              </w:rPr>
              <w:t>10</w:t>
            </w:r>
          </w:p>
        </w:tc>
        <w:tc>
          <w:tcPr>
            <w:tcW w:w="2110" w:type="dxa"/>
            <w:tcBorders>
              <w:tl2br w:val="nil"/>
              <w:tr2bl w:val="nil"/>
            </w:tcBorders>
            <w:vAlign w:val="center"/>
          </w:tcPr>
          <w:p w14:paraId="4C953D98">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甲苯二异氰酸酯（TDI）</w:t>
            </w:r>
          </w:p>
        </w:tc>
        <w:tc>
          <w:tcPr>
            <w:tcW w:w="1651" w:type="dxa"/>
            <w:tcBorders>
              <w:tl2br w:val="nil"/>
              <w:tr2bl w:val="nil"/>
            </w:tcBorders>
            <w:vAlign w:val="center"/>
          </w:tcPr>
          <w:p w14:paraId="195040C2">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367" w:type="dxa"/>
            <w:tcBorders>
              <w:tl2br w:val="nil"/>
              <w:tr2bl w:val="nil"/>
            </w:tcBorders>
            <w:vAlign w:val="center"/>
          </w:tcPr>
          <w:p w14:paraId="7B5FA506">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聚氨酯树脂</w:t>
            </w:r>
          </w:p>
        </w:tc>
        <w:tc>
          <w:tcPr>
            <w:tcW w:w="1713" w:type="dxa"/>
            <w:vMerge w:val="continue"/>
            <w:tcBorders>
              <w:tl2br w:val="nil"/>
              <w:tr2bl w:val="nil"/>
            </w:tcBorders>
            <w:vAlign w:val="center"/>
          </w:tcPr>
          <w:p w14:paraId="2CEE79FD">
            <w:pPr>
              <w:widowControl w:val="0"/>
              <w:bidi w:val="0"/>
              <w:jc w:val="center"/>
              <w:rPr>
                <w:rFonts w:hint="default" w:ascii="Times New Roman" w:hAnsi="Times New Roman" w:eastAsia="宋体" w:cs="Times New Roman"/>
                <w:color w:val="auto"/>
                <w:sz w:val="21"/>
                <w:szCs w:val="21"/>
                <w:highlight w:val="none"/>
                <w:lang w:val="en-US" w:eastAsia="zh-CN"/>
              </w:rPr>
            </w:pPr>
          </w:p>
        </w:tc>
      </w:tr>
      <w:bookmarkEnd w:id="721"/>
      <w:tr w14:paraId="22BDB9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4C5A90AC">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p>
        </w:tc>
        <w:tc>
          <w:tcPr>
            <w:tcW w:w="2110" w:type="dxa"/>
            <w:tcBorders>
              <w:tl2br w:val="nil"/>
              <w:tr2bl w:val="nil"/>
            </w:tcBorders>
            <w:vAlign w:val="center"/>
          </w:tcPr>
          <w:p w14:paraId="65596370">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二苯基甲烷二异氰酸酯（MDI）</w:t>
            </w:r>
          </w:p>
        </w:tc>
        <w:tc>
          <w:tcPr>
            <w:tcW w:w="1651" w:type="dxa"/>
            <w:tcBorders>
              <w:tl2br w:val="nil"/>
              <w:tr2bl w:val="nil"/>
            </w:tcBorders>
            <w:vAlign w:val="center"/>
          </w:tcPr>
          <w:p w14:paraId="020DF9C3">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367" w:type="dxa"/>
            <w:tcBorders>
              <w:tl2br w:val="nil"/>
              <w:tr2bl w:val="nil"/>
            </w:tcBorders>
            <w:vAlign w:val="center"/>
          </w:tcPr>
          <w:p w14:paraId="71535706">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聚氨酯树脂</w:t>
            </w:r>
          </w:p>
        </w:tc>
        <w:tc>
          <w:tcPr>
            <w:tcW w:w="1713" w:type="dxa"/>
            <w:vMerge w:val="continue"/>
            <w:tcBorders>
              <w:tl2br w:val="nil"/>
              <w:tr2bl w:val="nil"/>
            </w:tcBorders>
            <w:vAlign w:val="center"/>
          </w:tcPr>
          <w:p w14:paraId="72C073DA">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7A87BD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6F1740F6">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2110" w:type="dxa"/>
            <w:tcBorders>
              <w:tl2br w:val="nil"/>
              <w:tr2bl w:val="nil"/>
            </w:tcBorders>
            <w:vAlign w:val="center"/>
          </w:tcPr>
          <w:p w14:paraId="31D3E928">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异佛尔酮二异氰酸酯（IPDI）</w:t>
            </w:r>
          </w:p>
        </w:tc>
        <w:tc>
          <w:tcPr>
            <w:tcW w:w="1651" w:type="dxa"/>
            <w:tcBorders>
              <w:tl2br w:val="nil"/>
              <w:tr2bl w:val="nil"/>
            </w:tcBorders>
            <w:vAlign w:val="center"/>
          </w:tcPr>
          <w:p w14:paraId="464BB2EB">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367" w:type="dxa"/>
            <w:tcBorders>
              <w:tl2br w:val="nil"/>
              <w:tr2bl w:val="nil"/>
            </w:tcBorders>
            <w:vAlign w:val="center"/>
          </w:tcPr>
          <w:p w14:paraId="27962AF2">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聚氨酯树脂</w:t>
            </w:r>
          </w:p>
        </w:tc>
        <w:tc>
          <w:tcPr>
            <w:tcW w:w="1713" w:type="dxa"/>
            <w:vMerge w:val="continue"/>
            <w:tcBorders>
              <w:tl2br w:val="nil"/>
              <w:tr2bl w:val="nil"/>
            </w:tcBorders>
            <w:vAlign w:val="center"/>
          </w:tcPr>
          <w:p w14:paraId="08DCBAD4">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19040B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31C0A84D">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w:t>
            </w:r>
          </w:p>
        </w:tc>
        <w:tc>
          <w:tcPr>
            <w:tcW w:w="2110" w:type="dxa"/>
            <w:tcBorders>
              <w:tl2br w:val="nil"/>
              <w:tr2bl w:val="nil"/>
            </w:tcBorders>
            <w:vAlign w:val="center"/>
          </w:tcPr>
          <w:p w14:paraId="1A48865F">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多亚甲基多苯基异氰酸酯（PAPI）</w:t>
            </w:r>
          </w:p>
        </w:tc>
        <w:tc>
          <w:tcPr>
            <w:tcW w:w="1651" w:type="dxa"/>
            <w:tcBorders>
              <w:tl2br w:val="nil"/>
              <w:tr2bl w:val="nil"/>
            </w:tcBorders>
            <w:vAlign w:val="center"/>
          </w:tcPr>
          <w:p w14:paraId="0622D913">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367" w:type="dxa"/>
            <w:tcBorders>
              <w:tl2br w:val="nil"/>
              <w:tr2bl w:val="nil"/>
            </w:tcBorders>
            <w:vAlign w:val="center"/>
          </w:tcPr>
          <w:p w14:paraId="419238C1">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聚氨酯树脂</w:t>
            </w:r>
          </w:p>
        </w:tc>
        <w:tc>
          <w:tcPr>
            <w:tcW w:w="1713" w:type="dxa"/>
            <w:vMerge w:val="continue"/>
            <w:tcBorders>
              <w:tl2br w:val="nil"/>
              <w:tr2bl w:val="nil"/>
            </w:tcBorders>
            <w:vAlign w:val="center"/>
          </w:tcPr>
          <w:p w14:paraId="7152CE5F">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445622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37A06FB7">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w:t>
            </w:r>
          </w:p>
        </w:tc>
        <w:tc>
          <w:tcPr>
            <w:tcW w:w="2110" w:type="dxa"/>
            <w:tcBorders>
              <w:tl2br w:val="nil"/>
              <w:tr2bl w:val="nil"/>
            </w:tcBorders>
            <w:vAlign w:val="center"/>
          </w:tcPr>
          <w:p w14:paraId="0BFB466F">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氨</w:t>
            </w:r>
          </w:p>
        </w:tc>
        <w:tc>
          <w:tcPr>
            <w:tcW w:w="1651" w:type="dxa"/>
            <w:tcBorders>
              <w:tl2br w:val="nil"/>
              <w:tr2bl w:val="nil"/>
            </w:tcBorders>
            <w:vAlign w:val="center"/>
          </w:tcPr>
          <w:p w14:paraId="55ACD308">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2367" w:type="dxa"/>
            <w:tcBorders>
              <w:tl2br w:val="nil"/>
              <w:tr2bl w:val="nil"/>
            </w:tcBorders>
            <w:vAlign w:val="center"/>
          </w:tcPr>
          <w:p w14:paraId="23915DDF">
            <w:pPr>
              <w:widowControl w:val="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氨基树脂</w:t>
            </w:r>
          </w:p>
          <w:p w14:paraId="791527B0">
            <w:pPr>
              <w:widowControl w:val="0"/>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聚酰胺树脂</w:t>
            </w:r>
          </w:p>
          <w:p w14:paraId="281AD2CA">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聚酰亚胺树脂</w:t>
            </w:r>
          </w:p>
        </w:tc>
        <w:tc>
          <w:tcPr>
            <w:tcW w:w="1713" w:type="dxa"/>
            <w:vMerge w:val="continue"/>
            <w:tcBorders>
              <w:tl2br w:val="nil"/>
              <w:tr2bl w:val="nil"/>
            </w:tcBorders>
            <w:vAlign w:val="center"/>
          </w:tcPr>
          <w:p w14:paraId="60A1B5AE">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2BEB79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3F770A04">
            <w:pPr>
              <w:widowControl w:val="0"/>
              <w:bidi w:val="0"/>
              <w:jc w:val="center"/>
              <w:rPr>
                <w:rFonts w:hint="default" w:ascii="Times New Roman" w:hAnsi="Times New Roman" w:eastAsia="宋体" w:cs="Times New Roman"/>
                <w:color w:val="auto"/>
                <w:sz w:val="21"/>
                <w:szCs w:val="21"/>
                <w:highlight w:val="none"/>
                <w:lang w:val="en-US" w:eastAsia="zh-CN"/>
              </w:rPr>
            </w:pPr>
            <w:bookmarkStart w:id="722" w:name="OLE_LINK208" w:colFirst="0" w:colLast="0"/>
            <w:r>
              <w:rPr>
                <w:rFonts w:hint="eastAsia" w:ascii="Times New Roman" w:hAnsi="Times New Roman" w:eastAsia="宋体" w:cs="Times New Roman"/>
                <w:color w:val="auto"/>
                <w:sz w:val="21"/>
                <w:szCs w:val="21"/>
                <w:highlight w:val="none"/>
                <w:lang w:val="en-US" w:eastAsia="zh-CN"/>
              </w:rPr>
              <w:t>15</w:t>
            </w:r>
          </w:p>
        </w:tc>
        <w:tc>
          <w:tcPr>
            <w:tcW w:w="2110" w:type="dxa"/>
            <w:tcBorders>
              <w:tl2br w:val="nil"/>
              <w:tr2bl w:val="nil"/>
            </w:tcBorders>
            <w:vAlign w:val="center"/>
          </w:tcPr>
          <w:p w14:paraId="200F8037">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氟化氢</w:t>
            </w:r>
          </w:p>
        </w:tc>
        <w:tc>
          <w:tcPr>
            <w:tcW w:w="1651" w:type="dxa"/>
            <w:tcBorders>
              <w:tl2br w:val="nil"/>
              <w:tr2bl w:val="nil"/>
            </w:tcBorders>
            <w:vAlign w:val="center"/>
          </w:tcPr>
          <w:p w14:paraId="39D78B1A">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2367" w:type="dxa"/>
            <w:tcBorders>
              <w:tl2br w:val="nil"/>
              <w:tr2bl w:val="nil"/>
            </w:tcBorders>
            <w:vAlign w:val="center"/>
          </w:tcPr>
          <w:p w14:paraId="03E6B3C8">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氟树脂</w:t>
            </w:r>
          </w:p>
        </w:tc>
        <w:tc>
          <w:tcPr>
            <w:tcW w:w="1713" w:type="dxa"/>
            <w:vMerge w:val="continue"/>
            <w:tcBorders>
              <w:tl2br w:val="nil"/>
              <w:tr2bl w:val="nil"/>
            </w:tcBorders>
            <w:vAlign w:val="center"/>
          </w:tcPr>
          <w:p w14:paraId="6653B55F">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687901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661DD0CE">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w:t>
            </w:r>
          </w:p>
        </w:tc>
        <w:tc>
          <w:tcPr>
            <w:tcW w:w="2110" w:type="dxa"/>
            <w:tcBorders>
              <w:tl2br w:val="nil"/>
              <w:tr2bl w:val="nil"/>
            </w:tcBorders>
            <w:vAlign w:val="center"/>
          </w:tcPr>
          <w:p w14:paraId="513BFEC9">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氯化氢</w:t>
            </w:r>
          </w:p>
        </w:tc>
        <w:tc>
          <w:tcPr>
            <w:tcW w:w="1651" w:type="dxa"/>
            <w:tcBorders>
              <w:tl2br w:val="nil"/>
              <w:tr2bl w:val="nil"/>
            </w:tcBorders>
            <w:vAlign w:val="center"/>
          </w:tcPr>
          <w:p w14:paraId="7EC8FF6D">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2367" w:type="dxa"/>
            <w:tcBorders>
              <w:tl2br w:val="nil"/>
              <w:tr2bl w:val="nil"/>
            </w:tcBorders>
            <w:vAlign w:val="center"/>
          </w:tcPr>
          <w:p w14:paraId="2E253809">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有机硅树脂</w:t>
            </w:r>
          </w:p>
        </w:tc>
        <w:tc>
          <w:tcPr>
            <w:tcW w:w="1713" w:type="dxa"/>
            <w:vMerge w:val="continue"/>
            <w:tcBorders>
              <w:tl2br w:val="nil"/>
              <w:tr2bl w:val="nil"/>
            </w:tcBorders>
            <w:vAlign w:val="center"/>
          </w:tcPr>
          <w:p w14:paraId="3D7ACA84">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281C1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322AC086">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w:t>
            </w:r>
          </w:p>
        </w:tc>
        <w:tc>
          <w:tcPr>
            <w:tcW w:w="2110" w:type="dxa"/>
            <w:tcBorders>
              <w:tl2br w:val="nil"/>
              <w:tr2bl w:val="nil"/>
            </w:tcBorders>
            <w:vAlign w:val="center"/>
          </w:tcPr>
          <w:p w14:paraId="089109B4">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二氧化硫</w:t>
            </w:r>
          </w:p>
        </w:tc>
        <w:tc>
          <w:tcPr>
            <w:tcW w:w="1651" w:type="dxa"/>
            <w:tcBorders>
              <w:tl2br w:val="nil"/>
              <w:tr2bl w:val="nil"/>
            </w:tcBorders>
            <w:vAlign w:val="center"/>
          </w:tcPr>
          <w:p w14:paraId="000A4A71">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2367" w:type="dxa"/>
            <w:tcBorders>
              <w:tl2br w:val="nil"/>
              <w:tr2bl w:val="nil"/>
            </w:tcBorders>
            <w:vAlign w:val="center"/>
          </w:tcPr>
          <w:p w14:paraId="0FEEE7ED">
            <w:pPr>
              <w:widowControl w:val="0"/>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聚砜树脂</w:t>
            </w:r>
          </w:p>
          <w:p w14:paraId="430DBFB1">
            <w:pPr>
              <w:widowControl w:val="0"/>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聚醚砜树脂</w:t>
            </w:r>
          </w:p>
          <w:p w14:paraId="00F7F4B6">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聚醚醚酮树脂</w:t>
            </w:r>
          </w:p>
        </w:tc>
        <w:tc>
          <w:tcPr>
            <w:tcW w:w="1713" w:type="dxa"/>
            <w:vMerge w:val="continue"/>
            <w:tcBorders>
              <w:tl2br w:val="nil"/>
              <w:tr2bl w:val="nil"/>
            </w:tcBorders>
            <w:vAlign w:val="center"/>
          </w:tcPr>
          <w:p w14:paraId="11056364">
            <w:pPr>
              <w:widowControl w:val="0"/>
              <w:bidi w:val="0"/>
              <w:jc w:val="center"/>
              <w:rPr>
                <w:rFonts w:hint="default" w:ascii="Times New Roman" w:hAnsi="Times New Roman" w:eastAsia="宋体" w:cs="Times New Roman"/>
                <w:color w:val="auto"/>
                <w:sz w:val="21"/>
                <w:szCs w:val="21"/>
                <w:lang w:val="en-US" w:eastAsia="zh-CN"/>
              </w:rPr>
            </w:pPr>
          </w:p>
        </w:tc>
      </w:tr>
      <w:tr w14:paraId="217C1C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53DB1E6C">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2110" w:type="dxa"/>
            <w:tcBorders>
              <w:tl2br w:val="nil"/>
              <w:tr2bl w:val="nil"/>
            </w:tcBorders>
            <w:vAlign w:val="center"/>
          </w:tcPr>
          <w:p w14:paraId="24947F8B">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硫化氢</w:t>
            </w:r>
          </w:p>
        </w:tc>
        <w:tc>
          <w:tcPr>
            <w:tcW w:w="1651" w:type="dxa"/>
            <w:tcBorders>
              <w:tl2br w:val="nil"/>
              <w:tr2bl w:val="nil"/>
            </w:tcBorders>
            <w:vAlign w:val="center"/>
          </w:tcPr>
          <w:p w14:paraId="665823D7">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2367" w:type="dxa"/>
            <w:tcBorders>
              <w:tl2br w:val="nil"/>
              <w:tr2bl w:val="nil"/>
            </w:tcBorders>
            <w:vAlign w:val="center"/>
          </w:tcPr>
          <w:p w14:paraId="013CA32A">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聚苯硫醚树脂</w:t>
            </w:r>
          </w:p>
        </w:tc>
        <w:tc>
          <w:tcPr>
            <w:tcW w:w="1713" w:type="dxa"/>
            <w:vMerge w:val="continue"/>
            <w:tcBorders>
              <w:tl2br w:val="nil"/>
              <w:tr2bl w:val="nil"/>
            </w:tcBorders>
            <w:vAlign w:val="center"/>
          </w:tcPr>
          <w:p w14:paraId="411B7320">
            <w:pPr>
              <w:widowControl w:val="0"/>
              <w:bidi w:val="0"/>
              <w:jc w:val="center"/>
              <w:rPr>
                <w:rFonts w:hint="default" w:ascii="Times New Roman" w:hAnsi="Times New Roman" w:eastAsia="宋体" w:cs="Times New Roman"/>
                <w:color w:val="auto"/>
                <w:sz w:val="21"/>
                <w:szCs w:val="21"/>
                <w:lang w:val="en-US" w:eastAsia="zh-CN"/>
              </w:rPr>
            </w:pPr>
          </w:p>
        </w:tc>
      </w:tr>
      <w:tr w14:paraId="48FA4D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2B127337">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w:t>
            </w:r>
          </w:p>
        </w:tc>
        <w:tc>
          <w:tcPr>
            <w:tcW w:w="2110" w:type="dxa"/>
            <w:tcBorders>
              <w:tl2br w:val="nil"/>
              <w:tr2bl w:val="nil"/>
            </w:tcBorders>
            <w:vAlign w:val="center"/>
          </w:tcPr>
          <w:p w14:paraId="12DFDC45">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丙烯酸</w:t>
            </w:r>
          </w:p>
        </w:tc>
        <w:tc>
          <w:tcPr>
            <w:tcW w:w="1651" w:type="dxa"/>
            <w:tcBorders>
              <w:tl2br w:val="nil"/>
              <w:tr2bl w:val="nil"/>
            </w:tcBorders>
            <w:vAlign w:val="center"/>
          </w:tcPr>
          <w:p w14:paraId="4F109C4D">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2367" w:type="dxa"/>
            <w:tcBorders>
              <w:tl2br w:val="nil"/>
              <w:tr2bl w:val="nil"/>
            </w:tcBorders>
            <w:vAlign w:val="center"/>
          </w:tcPr>
          <w:p w14:paraId="2951FAC8">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丙烯酸树脂</w:t>
            </w:r>
          </w:p>
        </w:tc>
        <w:tc>
          <w:tcPr>
            <w:tcW w:w="1713" w:type="dxa"/>
            <w:vMerge w:val="continue"/>
            <w:tcBorders>
              <w:tl2br w:val="nil"/>
              <w:tr2bl w:val="nil"/>
            </w:tcBorders>
            <w:vAlign w:val="center"/>
          </w:tcPr>
          <w:p w14:paraId="7C63DF16">
            <w:pPr>
              <w:widowControl w:val="0"/>
              <w:bidi w:val="0"/>
              <w:jc w:val="center"/>
              <w:rPr>
                <w:rFonts w:hint="default" w:ascii="Times New Roman" w:hAnsi="Times New Roman" w:eastAsia="宋体" w:cs="Times New Roman"/>
                <w:color w:val="auto"/>
                <w:sz w:val="21"/>
                <w:szCs w:val="21"/>
                <w:lang w:val="en-US" w:eastAsia="zh-CN"/>
              </w:rPr>
            </w:pPr>
          </w:p>
        </w:tc>
      </w:tr>
      <w:tr w14:paraId="18D927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2D0317E0">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2110" w:type="dxa"/>
            <w:tcBorders>
              <w:tl2br w:val="nil"/>
              <w:tr2bl w:val="nil"/>
            </w:tcBorders>
            <w:vAlign w:val="center"/>
          </w:tcPr>
          <w:p w14:paraId="0BCE329A">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丙烯酸甲酯</w:t>
            </w:r>
          </w:p>
        </w:tc>
        <w:tc>
          <w:tcPr>
            <w:tcW w:w="1651" w:type="dxa"/>
            <w:tcBorders>
              <w:tl2br w:val="nil"/>
              <w:tr2bl w:val="nil"/>
            </w:tcBorders>
            <w:vAlign w:val="center"/>
          </w:tcPr>
          <w:p w14:paraId="6F6C3484">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2367" w:type="dxa"/>
            <w:tcBorders>
              <w:tl2br w:val="nil"/>
              <w:tr2bl w:val="nil"/>
            </w:tcBorders>
            <w:vAlign w:val="center"/>
          </w:tcPr>
          <w:p w14:paraId="7C786F47">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丙烯酸树脂</w:t>
            </w:r>
          </w:p>
        </w:tc>
        <w:tc>
          <w:tcPr>
            <w:tcW w:w="1713" w:type="dxa"/>
            <w:vMerge w:val="continue"/>
            <w:tcBorders>
              <w:tl2br w:val="nil"/>
              <w:tr2bl w:val="nil"/>
            </w:tcBorders>
            <w:vAlign w:val="center"/>
          </w:tcPr>
          <w:p w14:paraId="758A1516">
            <w:pPr>
              <w:widowControl w:val="0"/>
              <w:bidi w:val="0"/>
              <w:jc w:val="center"/>
              <w:rPr>
                <w:rFonts w:hint="default" w:ascii="Times New Roman" w:hAnsi="Times New Roman" w:eastAsia="宋体" w:cs="Times New Roman"/>
                <w:color w:val="auto"/>
                <w:sz w:val="21"/>
                <w:szCs w:val="21"/>
                <w:lang w:val="en-US" w:eastAsia="zh-CN"/>
              </w:rPr>
            </w:pPr>
          </w:p>
        </w:tc>
      </w:tr>
      <w:tr w14:paraId="25D67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2D72C90C">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w:t>
            </w:r>
          </w:p>
        </w:tc>
        <w:tc>
          <w:tcPr>
            <w:tcW w:w="2110" w:type="dxa"/>
            <w:tcBorders>
              <w:tl2br w:val="nil"/>
              <w:tr2bl w:val="nil"/>
            </w:tcBorders>
            <w:vAlign w:val="center"/>
          </w:tcPr>
          <w:p w14:paraId="728E5A0E">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丙烯酸丁酯</w:t>
            </w:r>
          </w:p>
        </w:tc>
        <w:tc>
          <w:tcPr>
            <w:tcW w:w="1651" w:type="dxa"/>
            <w:tcBorders>
              <w:tl2br w:val="nil"/>
              <w:tr2bl w:val="nil"/>
            </w:tcBorders>
            <w:vAlign w:val="center"/>
          </w:tcPr>
          <w:p w14:paraId="1F43C98D">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2367" w:type="dxa"/>
            <w:tcBorders>
              <w:tl2br w:val="nil"/>
              <w:tr2bl w:val="nil"/>
            </w:tcBorders>
            <w:vAlign w:val="center"/>
          </w:tcPr>
          <w:p w14:paraId="0449A45E">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丙烯酸树脂</w:t>
            </w:r>
          </w:p>
        </w:tc>
        <w:tc>
          <w:tcPr>
            <w:tcW w:w="1713" w:type="dxa"/>
            <w:vMerge w:val="continue"/>
            <w:tcBorders>
              <w:tl2br w:val="nil"/>
              <w:tr2bl w:val="nil"/>
            </w:tcBorders>
            <w:vAlign w:val="center"/>
          </w:tcPr>
          <w:p w14:paraId="21E52397">
            <w:pPr>
              <w:widowControl w:val="0"/>
              <w:bidi w:val="0"/>
              <w:jc w:val="center"/>
              <w:rPr>
                <w:rFonts w:hint="default" w:ascii="Times New Roman" w:hAnsi="Times New Roman" w:eastAsia="宋体" w:cs="Times New Roman"/>
                <w:color w:val="auto"/>
                <w:sz w:val="21"/>
                <w:szCs w:val="21"/>
                <w:lang w:val="en-US" w:eastAsia="zh-CN"/>
              </w:rPr>
            </w:pPr>
          </w:p>
        </w:tc>
      </w:tr>
      <w:tr w14:paraId="36FBC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50A05C64">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w:t>
            </w:r>
          </w:p>
        </w:tc>
        <w:tc>
          <w:tcPr>
            <w:tcW w:w="2110" w:type="dxa"/>
            <w:tcBorders>
              <w:tl2br w:val="nil"/>
              <w:tr2bl w:val="nil"/>
            </w:tcBorders>
            <w:vAlign w:val="center"/>
          </w:tcPr>
          <w:p w14:paraId="2E776909">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甲基丙烯酸甲酯</w:t>
            </w:r>
          </w:p>
        </w:tc>
        <w:tc>
          <w:tcPr>
            <w:tcW w:w="1651" w:type="dxa"/>
            <w:tcBorders>
              <w:tl2br w:val="nil"/>
              <w:tr2bl w:val="nil"/>
            </w:tcBorders>
            <w:vAlign w:val="center"/>
          </w:tcPr>
          <w:p w14:paraId="1D017CE3">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2367" w:type="dxa"/>
            <w:tcBorders>
              <w:tl2br w:val="nil"/>
              <w:tr2bl w:val="nil"/>
            </w:tcBorders>
            <w:vAlign w:val="center"/>
          </w:tcPr>
          <w:p w14:paraId="46D0C00C">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丙烯酸树脂</w:t>
            </w:r>
          </w:p>
        </w:tc>
        <w:tc>
          <w:tcPr>
            <w:tcW w:w="1713" w:type="dxa"/>
            <w:vMerge w:val="continue"/>
            <w:tcBorders>
              <w:tl2br w:val="nil"/>
              <w:tr2bl w:val="nil"/>
            </w:tcBorders>
            <w:vAlign w:val="center"/>
          </w:tcPr>
          <w:p w14:paraId="5BAA8296">
            <w:pPr>
              <w:widowControl w:val="0"/>
              <w:bidi w:val="0"/>
              <w:jc w:val="center"/>
              <w:rPr>
                <w:rFonts w:hint="default" w:ascii="Times New Roman" w:hAnsi="Times New Roman" w:eastAsia="宋体" w:cs="Times New Roman"/>
                <w:color w:val="auto"/>
                <w:sz w:val="21"/>
                <w:szCs w:val="21"/>
                <w:lang w:val="en-US" w:eastAsia="zh-CN"/>
              </w:rPr>
            </w:pPr>
          </w:p>
        </w:tc>
      </w:tr>
      <w:tr w14:paraId="549DEC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23C3715D">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w:t>
            </w:r>
          </w:p>
        </w:tc>
        <w:tc>
          <w:tcPr>
            <w:tcW w:w="2110" w:type="dxa"/>
            <w:tcBorders>
              <w:tl2br w:val="nil"/>
              <w:tr2bl w:val="nil"/>
            </w:tcBorders>
            <w:vAlign w:val="center"/>
          </w:tcPr>
          <w:p w14:paraId="3A9EE0B3">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苯</w:t>
            </w:r>
          </w:p>
        </w:tc>
        <w:tc>
          <w:tcPr>
            <w:tcW w:w="1651" w:type="dxa"/>
            <w:tcBorders>
              <w:tl2br w:val="nil"/>
              <w:tr2bl w:val="nil"/>
            </w:tcBorders>
            <w:vAlign w:val="center"/>
          </w:tcPr>
          <w:p w14:paraId="16106494">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2367" w:type="dxa"/>
            <w:tcBorders>
              <w:tl2br w:val="nil"/>
              <w:tr2bl w:val="nil"/>
            </w:tcBorders>
            <w:vAlign w:val="center"/>
          </w:tcPr>
          <w:p w14:paraId="11050458">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聚甲醛树脂</w:t>
            </w:r>
          </w:p>
        </w:tc>
        <w:tc>
          <w:tcPr>
            <w:tcW w:w="1713" w:type="dxa"/>
            <w:vMerge w:val="continue"/>
            <w:tcBorders>
              <w:tl2br w:val="nil"/>
              <w:tr2bl w:val="nil"/>
            </w:tcBorders>
            <w:vAlign w:val="center"/>
          </w:tcPr>
          <w:p w14:paraId="5F0757AD">
            <w:pPr>
              <w:widowControl w:val="0"/>
              <w:bidi w:val="0"/>
              <w:jc w:val="center"/>
              <w:rPr>
                <w:rFonts w:hint="default" w:ascii="Times New Roman" w:hAnsi="Times New Roman" w:eastAsia="宋体" w:cs="Times New Roman"/>
                <w:color w:val="auto"/>
                <w:sz w:val="21"/>
                <w:szCs w:val="21"/>
                <w:lang w:val="en-US" w:eastAsia="zh-CN"/>
              </w:rPr>
            </w:pPr>
          </w:p>
        </w:tc>
      </w:tr>
      <w:tr w14:paraId="4CC725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44881C5C">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w:t>
            </w:r>
          </w:p>
        </w:tc>
        <w:tc>
          <w:tcPr>
            <w:tcW w:w="2110" w:type="dxa"/>
            <w:tcBorders>
              <w:tl2br w:val="nil"/>
              <w:tr2bl w:val="nil"/>
            </w:tcBorders>
            <w:vAlign w:val="center"/>
          </w:tcPr>
          <w:p w14:paraId="1E193EF0">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甲苯</w:t>
            </w:r>
          </w:p>
        </w:tc>
        <w:tc>
          <w:tcPr>
            <w:tcW w:w="1651" w:type="dxa"/>
            <w:tcBorders>
              <w:tl2br w:val="nil"/>
              <w:tr2bl w:val="nil"/>
            </w:tcBorders>
            <w:vAlign w:val="center"/>
          </w:tcPr>
          <w:p w14:paraId="08A91D2D">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2367" w:type="dxa"/>
            <w:tcBorders>
              <w:tl2br w:val="nil"/>
              <w:tr2bl w:val="nil"/>
            </w:tcBorders>
            <w:vAlign w:val="center"/>
          </w:tcPr>
          <w:p w14:paraId="3C1B20CC">
            <w:pPr>
              <w:widowControl w:val="0"/>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聚苯乙烯树脂</w:t>
            </w:r>
          </w:p>
          <w:p w14:paraId="78EEA05F">
            <w:pPr>
              <w:widowControl w:val="0"/>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ABS树脂</w:t>
            </w:r>
          </w:p>
          <w:p w14:paraId="5EFCD5EE">
            <w:pPr>
              <w:widowControl w:val="0"/>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环氧树脂</w:t>
            </w:r>
          </w:p>
          <w:p w14:paraId="04657330">
            <w:pPr>
              <w:widowControl w:val="0"/>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有机硅树脂</w:t>
            </w:r>
          </w:p>
          <w:p w14:paraId="494952EE">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聚砜树脂</w:t>
            </w:r>
          </w:p>
        </w:tc>
        <w:tc>
          <w:tcPr>
            <w:tcW w:w="1713" w:type="dxa"/>
            <w:vMerge w:val="continue"/>
            <w:tcBorders>
              <w:tl2br w:val="nil"/>
              <w:tr2bl w:val="nil"/>
            </w:tcBorders>
            <w:vAlign w:val="center"/>
          </w:tcPr>
          <w:p w14:paraId="2425DBAC">
            <w:pPr>
              <w:widowControl w:val="0"/>
              <w:bidi w:val="0"/>
              <w:jc w:val="center"/>
              <w:rPr>
                <w:rFonts w:hint="default" w:ascii="Times New Roman" w:hAnsi="Times New Roman" w:eastAsia="宋体" w:cs="Times New Roman"/>
                <w:color w:val="auto"/>
                <w:sz w:val="21"/>
                <w:szCs w:val="21"/>
                <w:lang w:val="en-US" w:eastAsia="zh-CN"/>
              </w:rPr>
            </w:pPr>
          </w:p>
        </w:tc>
      </w:tr>
      <w:tr w14:paraId="3E61BE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3CE4F555">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w:t>
            </w:r>
          </w:p>
        </w:tc>
        <w:tc>
          <w:tcPr>
            <w:tcW w:w="2110" w:type="dxa"/>
            <w:tcBorders>
              <w:tl2br w:val="nil"/>
              <w:tr2bl w:val="nil"/>
            </w:tcBorders>
            <w:vAlign w:val="center"/>
          </w:tcPr>
          <w:p w14:paraId="518D1256">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乙苯</w:t>
            </w:r>
          </w:p>
        </w:tc>
        <w:tc>
          <w:tcPr>
            <w:tcW w:w="1651" w:type="dxa"/>
            <w:tcBorders>
              <w:tl2br w:val="nil"/>
              <w:tr2bl w:val="nil"/>
            </w:tcBorders>
            <w:vAlign w:val="center"/>
          </w:tcPr>
          <w:p w14:paraId="0C45970E">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2367" w:type="dxa"/>
            <w:tcBorders>
              <w:tl2br w:val="nil"/>
              <w:tr2bl w:val="nil"/>
            </w:tcBorders>
            <w:vAlign w:val="center"/>
          </w:tcPr>
          <w:p w14:paraId="22602125">
            <w:pPr>
              <w:widowControl w:val="0"/>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聚苯乙烯树脂</w:t>
            </w:r>
          </w:p>
          <w:p w14:paraId="15EDE68B">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ABS树脂</w:t>
            </w:r>
          </w:p>
        </w:tc>
        <w:tc>
          <w:tcPr>
            <w:tcW w:w="1713" w:type="dxa"/>
            <w:vMerge w:val="continue"/>
            <w:tcBorders>
              <w:tl2br w:val="nil"/>
              <w:tr2bl w:val="nil"/>
            </w:tcBorders>
            <w:vAlign w:val="center"/>
          </w:tcPr>
          <w:p w14:paraId="594A62E8">
            <w:pPr>
              <w:widowControl w:val="0"/>
              <w:bidi w:val="0"/>
              <w:jc w:val="center"/>
              <w:rPr>
                <w:rFonts w:hint="default" w:ascii="Times New Roman" w:hAnsi="Times New Roman" w:eastAsia="宋体" w:cs="Times New Roman"/>
                <w:color w:val="auto"/>
                <w:sz w:val="21"/>
                <w:szCs w:val="21"/>
                <w:lang w:val="en-US" w:eastAsia="zh-CN"/>
              </w:rPr>
            </w:pPr>
          </w:p>
        </w:tc>
      </w:tr>
      <w:tr w14:paraId="5B59A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5AD59124">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26</w:t>
            </w:r>
          </w:p>
        </w:tc>
        <w:tc>
          <w:tcPr>
            <w:tcW w:w="2110" w:type="dxa"/>
            <w:tcBorders>
              <w:tl2br w:val="nil"/>
              <w:tr2bl w:val="nil"/>
            </w:tcBorders>
            <w:vAlign w:val="center"/>
          </w:tcPr>
          <w:p w14:paraId="6FE01A28">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氯苯类</w:t>
            </w:r>
          </w:p>
        </w:tc>
        <w:tc>
          <w:tcPr>
            <w:tcW w:w="1651" w:type="dxa"/>
            <w:tcBorders>
              <w:tl2br w:val="nil"/>
              <w:tr2bl w:val="nil"/>
            </w:tcBorders>
            <w:vAlign w:val="center"/>
          </w:tcPr>
          <w:p w14:paraId="18477824">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2367" w:type="dxa"/>
            <w:tcBorders>
              <w:tl2br w:val="nil"/>
              <w:tr2bl w:val="nil"/>
            </w:tcBorders>
            <w:vAlign w:val="center"/>
          </w:tcPr>
          <w:p w14:paraId="1D4FFC66">
            <w:pPr>
              <w:widowControl w:val="0"/>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聚碳酸酯数值</w:t>
            </w:r>
          </w:p>
          <w:p w14:paraId="74DDB2A9">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聚苯硫醚树脂</w:t>
            </w:r>
          </w:p>
        </w:tc>
        <w:tc>
          <w:tcPr>
            <w:tcW w:w="1713" w:type="dxa"/>
            <w:vMerge w:val="continue"/>
            <w:tcBorders>
              <w:tl2br w:val="nil"/>
              <w:tr2bl w:val="nil"/>
            </w:tcBorders>
            <w:vAlign w:val="center"/>
          </w:tcPr>
          <w:p w14:paraId="0E2D1559">
            <w:pPr>
              <w:widowControl w:val="0"/>
              <w:bidi w:val="0"/>
              <w:jc w:val="center"/>
              <w:rPr>
                <w:rFonts w:hint="default" w:ascii="Times New Roman" w:hAnsi="Times New Roman" w:eastAsia="宋体" w:cs="Times New Roman"/>
                <w:color w:val="auto"/>
                <w:sz w:val="21"/>
                <w:szCs w:val="21"/>
                <w:lang w:val="en-US" w:eastAsia="zh-CN"/>
              </w:rPr>
            </w:pPr>
          </w:p>
        </w:tc>
      </w:tr>
      <w:tr w14:paraId="26012B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271A3792">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27</w:t>
            </w:r>
          </w:p>
        </w:tc>
        <w:tc>
          <w:tcPr>
            <w:tcW w:w="2110" w:type="dxa"/>
            <w:tcBorders>
              <w:tl2br w:val="nil"/>
              <w:tr2bl w:val="nil"/>
            </w:tcBorders>
            <w:vAlign w:val="center"/>
          </w:tcPr>
          <w:p w14:paraId="4A5F3BBD">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二氯甲烷</w:t>
            </w:r>
          </w:p>
        </w:tc>
        <w:tc>
          <w:tcPr>
            <w:tcW w:w="1651" w:type="dxa"/>
            <w:tcBorders>
              <w:tl2br w:val="nil"/>
              <w:tr2bl w:val="nil"/>
            </w:tcBorders>
            <w:vAlign w:val="center"/>
          </w:tcPr>
          <w:p w14:paraId="02715384">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2367" w:type="dxa"/>
            <w:tcBorders>
              <w:tl2br w:val="nil"/>
              <w:tr2bl w:val="nil"/>
            </w:tcBorders>
            <w:vAlign w:val="center"/>
          </w:tcPr>
          <w:p w14:paraId="7C3EA47E">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聚碳酸酯树脂</w:t>
            </w:r>
          </w:p>
        </w:tc>
        <w:tc>
          <w:tcPr>
            <w:tcW w:w="1713" w:type="dxa"/>
            <w:vMerge w:val="continue"/>
            <w:tcBorders>
              <w:tl2br w:val="nil"/>
              <w:tr2bl w:val="nil"/>
            </w:tcBorders>
            <w:vAlign w:val="center"/>
          </w:tcPr>
          <w:p w14:paraId="47A3B6C8">
            <w:pPr>
              <w:widowControl w:val="0"/>
              <w:bidi w:val="0"/>
              <w:jc w:val="center"/>
              <w:rPr>
                <w:rFonts w:hint="default" w:ascii="Times New Roman" w:hAnsi="Times New Roman" w:eastAsia="宋体" w:cs="Times New Roman"/>
                <w:color w:val="auto"/>
                <w:sz w:val="21"/>
                <w:szCs w:val="21"/>
                <w:lang w:val="en-US" w:eastAsia="zh-CN"/>
              </w:rPr>
            </w:pPr>
          </w:p>
        </w:tc>
      </w:tr>
      <w:tr w14:paraId="4D013B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0F92CEAA">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w:t>
            </w:r>
          </w:p>
        </w:tc>
        <w:tc>
          <w:tcPr>
            <w:tcW w:w="2110" w:type="dxa"/>
            <w:tcBorders>
              <w:tl2br w:val="nil"/>
              <w:tr2bl w:val="nil"/>
            </w:tcBorders>
            <w:vAlign w:val="center"/>
          </w:tcPr>
          <w:p w14:paraId="00A8529F">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四氢呋喃</w:t>
            </w:r>
          </w:p>
        </w:tc>
        <w:tc>
          <w:tcPr>
            <w:tcW w:w="1651" w:type="dxa"/>
            <w:tcBorders>
              <w:tl2br w:val="nil"/>
              <w:tr2bl w:val="nil"/>
            </w:tcBorders>
            <w:vAlign w:val="center"/>
          </w:tcPr>
          <w:p w14:paraId="22363169">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2367" w:type="dxa"/>
            <w:tcBorders>
              <w:tl2br w:val="nil"/>
              <w:tr2bl w:val="nil"/>
            </w:tcBorders>
            <w:vAlign w:val="center"/>
          </w:tcPr>
          <w:p w14:paraId="267C7774">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聚对苯二甲酸丁二酯树脂</w:t>
            </w:r>
          </w:p>
        </w:tc>
        <w:tc>
          <w:tcPr>
            <w:tcW w:w="1713" w:type="dxa"/>
            <w:vMerge w:val="continue"/>
            <w:tcBorders>
              <w:tl2br w:val="nil"/>
              <w:tr2bl w:val="nil"/>
            </w:tcBorders>
            <w:vAlign w:val="center"/>
          </w:tcPr>
          <w:p w14:paraId="0943F13C">
            <w:pPr>
              <w:widowControl w:val="0"/>
              <w:bidi w:val="0"/>
              <w:jc w:val="center"/>
              <w:rPr>
                <w:rFonts w:hint="default" w:ascii="Times New Roman" w:hAnsi="Times New Roman" w:eastAsia="宋体" w:cs="Times New Roman"/>
                <w:color w:val="auto"/>
                <w:sz w:val="21"/>
                <w:szCs w:val="21"/>
                <w:lang w:val="en-US" w:eastAsia="zh-CN"/>
              </w:rPr>
            </w:pPr>
          </w:p>
        </w:tc>
      </w:tr>
      <w:tr w14:paraId="166EDC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4" w:type="dxa"/>
            <w:tcBorders>
              <w:tl2br w:val="nil"/>
              <w:tr2bl w:val="nil"/>
            </w:tcBorders>
            <w:vAlign w:val="center"/>
          </w:tcPr>
          <w:p w14:paraId="5899A892">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w:t>
            </w:r>
          </w:p>
        </w:tc>
        <w:tc>
          <w:tcPr>
            <w:tcW w:w="2110" w:type="dxa"/>
            <w:tcBorders>
              <w:tl2br w:val="nil"/>
              <w:tr2bl w:val="nil"/>
            </w:tcBorders>
            <w:vAlign w:val="center"/>
          </w:tcPr>
          <w:p w14:paraId="67BF0FC3">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邻苯二甲酸酐</w:t>
            </w:r>
          </w:p>
        </w:tc>
        <w:tc>
          <w:tcPr>
            <w:tcW w:w="1651" w:type="dxa"/>
            <w:tcBorders>
              <w:tl2br w:val="nil"/>
              <w:tr2bl w:val="nil"/>
            </w:tcBorders>
            <w:vAlign w:val="center"/>
          </w:tcPr>
          <w:p w14:paraId="5058846E">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2367" w:type="dxa"/>
            <w:tcBorders>
              <w:tl2br w:val="nil"/>
              <w:tr2bl w:val="nil"/>
            </w:tcBorders>
            <w:vAlign w:val="center"/>
          </w:tcPr>
          <w:p w14:paraId="15726E31">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醇酸树脂</w:t>
            </w:r>
          </w:p>
        </w:tc>
        <w:tc>
          <w:tcPr>
            <w:tcW w:w="1713" w:type="dxa"/>
            <w:vMerge w:val="continue"/>
            <w:tcBorders>
              <w:tl2br w:val="nil"/>
              <w:tr2bl w:val="nil"/>
            </w:tcBorders>
            <w:vAlign w:val="center"/>
          </w:tcPr>
          <w:p w14:paraId="2219E7E0">
            <w:pPr>
              <w:widowControl w:val="0"/>
              <w:bidi w:val="0"/>
              <w:jc w:val="center"/>
              <w:rPr>
                <w:rFonts w:hint="default" w:ascii="Times New Roman" w:hAnsi="Times New Roman" w:eastAsia="宋体" w:cs="Times New Roman"/>
                <w:color w:val="auto"/>
                <w:sz w:val="21"/>
                <w:szCs w:val="21"/>
                <w:lang w:val="en-US" w:eastAsia="zh-CN"/>
              </w:rPr>
            </w:pPr>
          </w:p>
        </w:tc>
      </w:tr>
      <w:bookmarkEnd w:id="722"/>
      <w:tr w14:paraId="279B3B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4" w:type="dxa"/>
            <w:gridSpan w:val="2"/>
            <w:tcBorders>
              <w:tl2br w:val="nil"/>
              <w:tr2bl w:val="nil"/>
            </w:tcBorders>
            <w:vAlign w:val="center"/>
          </w:tcPr>
          <w:p w14:paraId="683D2630">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单位产品非甲烷总烃排放量（kg/t产品）</w:t>
            </w:r>
          </w:p>
        </w:tc>
        <w:tc>
          <w:tcPr>
            <w:tcW w:w="1651" w:type="dxa"/>
            <w:tcBorders>
              <w:tl2br w:val="nil"/>
              <w:tr2bl w:val="nil"/>
            </w:tcBorders>
            <w:vAlign w:val="center"/>
          </w:tcPr>
          <w:p w14:paraId="6020DA2D">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w:t>
            </w:r>
          </w:p>
        </w:tc>
        <w:tc>
          <w:tcPr>
            <w:tcW w:w="2367" w:type="dxa"/>
            <w:tcBorders>
              <w:tl2br w:val="nil"/>
              <w:tr2bl w:val="nil"/>
            </w:tcBorders>
            <w:vAlign w:val="center"/>
          </w:tcPr>
          <w:p w14:paraId="0D5F558E">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所有合成树脂（有机硅树脂除外）</w:t>
            </w:r>
          </w:p>
        </w:tc>
        <w:tc>
          <w:tcPr>
            <w:tcW w:w="1713" w:type="dxa"/>
            <w:vMerge w:val="continue"/>
            <w:tcBorders>
              <w:tl2br w:val="nil"/>
              <w:tr2bl w:val="nil"/>
            </w:tcBorders>
            <w:vAlign w:val="center"/>
          </w:tcPr>
          <w:p w14:paraId="4B6AF5B7">
            <w:pPr>
              <w:widowControl w:val="0"/>
              <w:bidi w:val="0"/>
              <w:jc w:val="center"/>
              <w:rPr>
                <w:rFonts w:hint="default" w:ascii="Times New Roman" w:hAnsi="Times New Roman" w:eastAsia="宋体" w:cs="Times New Roman"/>
                <w:color w:val="auto"/>
                <w:sz w:val="21"/>
                <w:szCs w:val="21"/>
                <w:lang w:val="en-US" w:eastAsia="zh-CN"/>
              </w:rPr>
            </w:pPr>
          </w:p>
        </w:tc>
      </w:tr>
    </w:tbl>
    <w:p w14:paraId="42A3CC19">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eastAsia" w:ascii="Times New Roman" w:hAnsi="Times New Roman" w:eastAsia="宋体" w:cs="Times New Roman"/>
          <w:b/>
          <w:bCs/>
          <w:color w:val="auto"/>
          <w:spacing w:val="-2"/>
          <w:sz w:val="24"/>
          <w:szCs w:val="24"/>
          <w:lang w:val="en-US" w:eastAsia="zh-CN"/>
        </w:rPr>
      </w:pPr>
      <w:bookmarkStart w:id="723" w:name="OLE_LINK245"/>
      <w:r>
        <w:rPr>
          <w:rFonts w:hint="default" w:ascii="Times New Roman" w:hAnsi="Times New Roman" w:eastAsia="宋体" w:cs="Times New Roman"/>
          <w:b/>
          <w:bCs/>
          <w:color w:val="auto"/>
          <w:spacing w:val="-4"/>
          <w:sz w:val="24"/>
          <w:szCs w:val="24"/>
          <w:lang w:val="en-US" w:eastAsia="zh-CN"/>
        </w:rPr>
        <w:t>表3.</w:t>
      </w:r>
      <w:r>
        <w:rPr>
          <w:rFonts w:hint="eastAsia" w:ascii="Times New Roman" w:hAnsi="Times New Roman" w:eastAsia="宋体" w:cs="Times New Roman"/>
          <w:b/>
          <w:bCs/>
          <w:color w:val="auto"/>
          <w:spacing w:val="-4"/>
          <w:sz w:val="24"/>
          <w:szCs w:val="24"/>
          <w:lang w:val="en-US" w:eastAsia="zh-CN"/>
        </w:rPr>
        <w:t xml:space="preserve">2-24  </w:t>
      </w:r>
      <w:r>
        <w:rPr>
          <w:rFonts w:hint="eastAsia" w:ascii="Times New Roman" w:hAnsi="Times New Roman" w:eastAsia="宋体" w:cs="Times New Roman"/>
          <w:b/>
          <w:bCs/>
          <w:color w:val="auto"/>
          <w:spacing w:val="-2"/>
          <w:sz w:val="24"/>
          <w:szCs w:val="24"/>
          <w:highlight w:val="none"/>
          <w:lang w:val="en-US" w:eastAsia="zh-CN"/>
        </w:rPr>
        <w:t>合成树脂工业</w:t>
      </w:r>
      <w:r>
        <w:rPr>
          <w:rFonts w:hint="eastAsia" w:ascii="Times New Roman" w:hAnsi="Times New Roman" w:eastAsia="宋体" w:cs="Times New Roman"/>
          <w:b/>
          <w:bCs/>
          <w:color w:val="auto"/>
          <w:spacing w:val="-2"/>
          <w:sz w:val="24"/>
          <w:szCs w:val="24"/>
          <w:lang w:val="en-US" w:eastAsia="zh-CN"/>
        </w:rPr>
        <w:t>焚烧设施SO</w:t>
      </w:r>
      <w:bookmarkStart w:id="724" w:name="OLE_LINK211"/>
      <w:r>
        <w:rPr>
          <w:rFonts w:hint="eastAsia" w:ascii="Times New Roman" w:hAnsi="Times New Roman" w:eastAsia="宋体" w:cs="Times New Roman"/>
          <w:b/>
          <w:bCs/>
          <w:color w:val="auto"/>
          <w:spacing w:val="-2"/>
          <w:sz w:val="24"/>
          <w:szCs w:val="24"/>
          <w:vertAlign w:val="subscript"/>
          <w:lang w:val="en-US" w:eastAsia="zh-CN"/>
        </w:rPr>
        <w:t>2</w:t>
      </w:r>
      <w:bookmarkEnd w:id="724"/>
      <w:r>
        <w:rPr>
          <w:rFonts w:hint="eastAsia" w:ascii="Times New Roman" w:hAnsi="Times New Roman" w:eastAsia="宋体" w:cs="Times New Roman"/>
          <w:b/>
          <w:bCs/>
          <w:color w:val="auto"/>
          <w:spacing w:val="-2"/>
          <w:sz w:val="24"/>
          <w:szCs w:val="24"/>
          <w:lang w:val="en-US" w:eastAsia="zh-CN"/>
        </w:rPr>
        <w:t>、NOx和</w:t>
      </w:r>
      <w:bookmarkStart w:id="725" w:name="OLE_LINK212"/>
      <w:r>
        <w:rPr>
          <w:rFonts w:hint="eastAsia" w:ascii="Times New Roman" w:hAnsi="Times New Roman" w:eastAsia="宋体" w:cs="Times New Roman"/>
          <w:b/>
          <w:bCs/>
          <w:color w:val="auto"/>
          <w:spacing w:val="-2"/>
          <w:sz w:val="24"/>
          <w:szCs w:val="24"/>
          <w:lang w:val="en-US" w:eastAsia="zh-CN"/>
        </w:rPr>
        <w:t>二噁英类</w:t>
      </w:r>
      <w:bookmarkEnd w:id="725"/>
      <w:r>
        <w:rPr>
          <w:rFonts w:hint="eastAsia" w:ascii="Times New Roman" w:hAnsi="Times New Roman" w:eastAsia="宋体" w:cs="Times New Roman"/>
          <w:b/>
          <w:bCs/>
          <w:color w:val="auto"/>
          <w:spacing w:val="-2"/>
          <w:sz w:val="24"/>
          <w:szCs w:val="24"/>
          <w:lang w:val="en-US" w:eastAsia="zh-CN"/>
        </w:rPr>
        <w:t xml:space="preserve">排放限值  </w:t>
      </w:r>
      <w:bookmarkStart w:id="726" w:name="pindex2400"/>
      <w:bookmarkEnd w:id="726"/>
    </w:p>
    <w:p w14:paraId="4AAE2BB2">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eastAsia="宋体" w:cs="Times New Roman"/>
          <w:b/>
          <w:bCs/>
          <w:color w:val="auto"/>
          <w:spacing w:val="-4"/>
          <w:sz w:val="24"/>
          <w:szCs w:val="24"/>
          <w:lang w:val="en-US" w:eastAsia="zh-CN"/>
        </w:rPr>
      </w:pPr>
      <w:r>
        <w:rPr>
          <w:rFonts w:hint="eastAsia" w:ascii="Times New Roman" w:hAnsi="Times New Roman" w:eastAsia="宋体" w:cs="Times New Roman"/>
          <w:b/>
          <w:bCs/>
          <w:color w:val="auto"/>
          <w:spacing w:val="-2"/>
          <w:sz w:val="24"/>
          <w:szCs w:val="24"/>
          <w:lang w:val="en-US" w:eastAsia="zh-CN"/>
        </w:rPr>
        <w:t>（</w:t>
      </w:r>
      <w:r>
        <w:rPr>
          <w:rFonts w:hint="eastAsia" w:ascii="Times New Roman" w:hAnsi="Times New Roman" w:eastAsia="宋体" w:cs="Times New Roman"/>
          <w:b/>
          <w:bCs/>
          <w:color w:val="auto"/>
          <w:spacing w:val="-4"/>
          <w:sz w:val="24"/>
          <w:szCs w:val="24"/>
          <w:lang w:val="en-US" w:eastAsia="zh-CN"/>
        </w:rPr>
        <w:t>单位：mg/m</w:t>
      </w:r>
      <w:r>
        <w:rPr>
          <w:rFonts w:hint="eastAsia" w:ascii="Times New Roman" w:hAnsi="Times New Roman" w:eastAsia="宋体" w:cs="Times New Roman"/>
          <w:b/>
          <w:bCs/>
          <w:color w:val="auto"/>
          <w:spacing w:val="-4"/>
          <w:sz w:val="24"/>
          <w:szCs w:val="24"/>
          <w:vertAlign w:val="superscript"/>
          <w:lang w:val="en-US" w:eastAsia="zh-CN"/>
        </w:rPr>
        <w:t>3</w:t>
      </w:r>
      <w:r>
        <w:rPr>
          <w:rFonts w:hint="eastAsia" w:ascii="Times New Roman" w:hAnsi="Times New Roman" w:eastAsia="宋体" w:cs="Times New Roman"/>
          <w:b/>
          <w:bCs/>
          <w:color w:val="auto"/>
          <w:spacing w:val="-4"/>
          <w:sz w:val="24"/>
          <w:szCs w:val="24"/>
          <w:vertAlign w:val="baseline"/>
          <w:lang w:val="en-US" w:eastAsia="zh-CN"/>
        </w:rPr>
        <w:t>）</w:t>
      </w:r>
    </w:p>
    <w:bookmarkEnd w:id="723"/>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9"/>
        <w:gridCol w:w="2444"/>
        <w:gridCol w:w="2527"/>
        <w:gridCol w:w="2145"/>
      </w:tblGrid>
      <w:tr w14:paraId="78FEE4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71" w:type="dxa"/>
            <w:tcBorders>
              <w:tl2br w:val="nil"/>
              <w:tr2bl w:val="nil"/>
            </w:tcBorders>
            <w:vAlign w:val="center"/>
          </w:tcPr>
          <w:p w14:paraId="60A7D872">
            <w:pPr>
              <w:widowControl w:val="0"/>
              <w:bidi w:val="0"/>
              <w:jc w:val="center"/>
              <w:rPr>
                <w:rFonts w:hint="default" w:ascii="Times New Roman" w:hAnsi="Times New Roman" w:eastAsia="宋体" w:cs="Times New Roman"/>
                <w:b/>
                <w:bCs/>
                <w:color w:val="auto"/>
                <w:sz w:val="21"/>
                <w:szCs w:val="21"/>
                <w:lang w:val="en-US" w:eastAsia="zh-CN"/>
              </w:rPr>
            </w:pPr>
            <w:bookmarkStart w:id="727" w:name="OLE_LINK215" w:colFirst="0" w:colLast="3"/>
            <w:r>
              <w:rPr>
                <w:rFonts w:hint="eastAsia" w:ascii="Times New Roman" w:hAnsi="Times New Roman" w:eastAsia="宋体" w:cs="Times New Roman"/>
                <w:b/>
                <w:bCs/>
                <w:color w:val="auto"/>
                <w:sz w:val="21"/>
                <w:szCs w:val="21"/>
                <w:lang w:val="en-US" w:eastAsia="zh-CN"/>
              </w:rPr>
              <w:t>序号</w:t>
            </w:r>
          </w:p>
        </w:tc>
        <w:tc>
          <w:tcPr>
            <w:tcW w:w="2467" w:type="dxa"/>
            <w:tcBorders>
              <w:tl2br w:val="nil"/>
              <w:tr2bl w:val="nil"/>
            </w:tcBorders>
            <w:vAlign w:val="center"/>
          </w:tcPr>
          <w:p w14:paraId="37DBFF0B">
            <w:pPr>
              <w:widowControl w:val="0"/>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污染物项目</w:t>
            </w:r>
          </w:p>
        </w:tc>
        <w:tc>
          <w:tcPr>
            <w:tcW w:w="2550" w:type="dxa"/>
            <w:tcBorders>
              <w:tl2br w:val="nil"/>
              <w:tr2bl w:val="nil"/>
            </w:tcBorders>
            <w:vAlign w:val="center"/>
          </w:tcPr>
          <w:p w14:paraId="1DC0BE41">
            <w:pPr>
              <w:widowControl w:val="0"/>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现有和新建企业排放限值</w:t>
            </w:r>
          </w:p>
        </w:tc>
        <w:tc>
          <w:tcPr>
            <w:tcW w:w="2163" w:type="dxa"/>
            <w:tcBorders>
              <w:tl2br w:val="nil"/>
              <w:tr2bl w:val="nil"/>
            </w:tcBorders>
            <w:vAlign w:val="center"/>
          </w:tcPr>
          <w:p w14:paraId="4A339FDB">
            <w:pPr>
              <w:widowControl w:val="0"/>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特别排放限值</w:t>
            </w:r>
          </w:p>
        </w:tc>
      </w:tr>
      <w:bookmarkEnd w:id="727"/>
      <w:tr w14:paraId="31F1A5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71" w:type="dxa"/>
            <w:tcBorders>
              <w:tl2br w:val="nil"/>
              <w:tr2bl w:val="nil"/>
            </w:tcBorders>
            <w:vAlign w:val="center"/>
          </w:tcPr>
          <w:p w14:paraId="5BC6B185">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2467" w:type="dxa"/>
            <w:tcBorders>
              <w:tl2br w:val="nil"/>
              <w:tr2bl w:val="nil"/>
            </w:tcBorders>
            <w:vAlign w:val="center"/>
          </w:tcPr>
          <w:p w14:paraId="5C5A055A">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二氧化硫</w:t>
            </w:r>
          </w:p>
        </w:tc>
        <w:tc>
          <w:tcPr>
            <w:tcW w:w="2550" w:type="dxa"/>
            <w:tcBorders>
              <w:tl2br w:val="nil"/>
              <w:tr2bl w:val="nil"/>
            </w:tcBorders>
            <w:vAlign w:val="center"/>
          </w:tcPr>
          <w:p w14:paraId="76610CC2">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100</w:t>
            </w:r>
          </w:p>
        </w:tc>
        <w:tc>
          <w:tcPr>
            <w:tcW w:w="2163" w:type="dxa"/>
            <w:tcBorders>
              <w:tl2br w:val="nil"/>
              <w:tr2bl w:val="nil"/>
            </w:tcBorders>
            <w:vAlign w:val="center"/>
          </w:tcPr>
          <w:p w14:paraId="359475D0">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r>
      <w:tr w14:paraId="0A8F19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71" w:type="dxa"/>
            <w:tcBorders>
              <w:tl2br w:val="nil"/>
              <w:tr2bl w:val="nil"/>
            </w:tcBorders>
            <w:vAlign w:val="center"/>
          </w:tcPr>
          <w:p w14:paraId="0ABA37F4">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2467" w:type="dxa"/>
            <w:tcBorders>
              <w:tl2br w:val="nil"/>
              <w:tr2bl w:val="nil"/>
            </w:tcBorders>
            <w:vAlign w:val="center"/>
          </w:tcPr>
          <w:p w14:paraId="6A11C731">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氮氧化物</w:t>
            </w:r>
          </w:p>
        </w:tc>
        <w:tc>
          <w:tcPr>
            <w:tcW w:w="2550" w:type="dxa"/>
            <w:tcBorders>
              <w:tl2br w:val="nil"/>
              <w:tr2bl w:val="nil"/>
            </w:tcBorders>
            <w:vAlign w:val="center"/>
          </w:tcPr>
          <w:p w14:paraId="3641A82B">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180</w:t>
            </w:r>
          </w:p>
        </w:tc>
        <w:tc>
          <w:tcPr>
            <w:tcW w:w="2163" w:type="dxa"/>
            <w:tcBorders>
              <w:tl2br w:val="nil"/>
              <w:tr2bl w:val="nil"/>
            </w:tcBorders>
            <w:vAlign w:val="center"/>
          </w:tcPr>
          <w:p w14:paraId="039D09CB">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100</w:t>
            </w:r>
          </w:p>
        </w:tc>
      </w:tr>
      <w:tr w14:paraId="06D164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71" w:type="dxa"/>
            <w:tcBorders>
              <w:tl2br w:val="nil"/>
              <w:tr2bl w:val="nil"/>
            </w:tcBorders>
            <w:vAlign w:val="center"/>
          </w:tcPr>
          <w:p w14:paraId="058A3338">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2467" w:type="dxa"/>
            <w:tcBorders>
              <w:tl2br w:val="nil"/>
              <w:tr2bl w:val="nil"/>
            </w:tcBorders>
            <w:vAlign w:val="center"/>
          </w:tcPr>
          <w:p w14:paraId="1ACD0093">
            <w:pPr>
              <w:widowControl w:val="0"/>
              <w:bidi w:val="0"/>
              <w:jc w:val="center"/>
              <w:rPr>
                <w:rFonts w:hint="default" w:ascii="Times New Roman" w:hAnsi="Times New Roman" w:eastAsia="宋体" w:cs="Times New Roman"/>
                <w:color w:val="auto"/>
                <w:sz w:val="21"/>
                <w:szCs w:val="21"/>
                <w:lang w:val="en-US" w:eastAsia="zh-CN"/>
              </w:rPr>
            </w:pPr>
            <w:bookmarkStart w:id="728" w:name="OLE_LINK213"/>
            <w:r>
              <w:rPr>
                <w:rFonts w:hint="eastAsia" w:ascii="Times New Roman" w:hAnsi="Times New Roman" w:eastAsia="宋体" w:cs="Times New Roman"/>
                <w:b w:val="0"/>
                <w:bCs w:val="0"/>
                <w:color w:val="auto"/>
                <w:spacing w:val="-2"/>
                <w:sz w:val="21"/>
                <w:szCs w:val="21"/>
                <w:lang w:val="en-US" w:eastAsia="zh-CN"/>
              </w:rPr>
              <w:t>二噁英类</w:t>
            </w:r>
            <w:bookmarkEnd w:id="728"/>
          </w:p>
        </w:tc>
        <w:tc>
          <w:tcPr>
            <w:tcW w:w="4713" w:type="dxa"/>
            <w:gridSpan w:val="2"/>
            <w:tcBorders>
              <w:tl2br w:val="nil"/>
              <w:tr2bl w:val="nil"/>
            </w:tcBorders>
            <w:vAlign w:val="center"/>
          </w:tcPr>
          <w:p w14:paraId="28BD6302">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0.1ng-TED/m</w:t>
            </w:r>
            <w:bookmarkStart w:id="729" w:name="OLE_LINK214"/>
            <w:r>
              <w:rPr>
                <w:rFonts w:hint="eastAsia" w:ascii="Times New Roman" w:hAnsi="Times New Roman" w:eastAsia="宋体" w:cs="Times New Roman"/>
                <w:color w:val="auto"/>
                <w:sz w:val="21"/>
                <w:szCs w:val="21"/>
                <w:vertAlign w:val="superscript"/>
                <w:lang w:val="en-US" w:eastAsia="zh-CN"/>
              </w:rPr>
              <w:t>3</w:t>
            </w:r>
            <w:bookmarkEnd w:id="729"/>
          </w:p>
        </w:tc>
      </w:tr>
    </w:tbl>
    <w:p w14:paraId="5D7531FD">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360" w:lineRule="auto"/>
        <w:ind w:left="0" w:leftChars="0" w:right="136" w:rightChars="0" w:firstLine="472" w:firstLineChars="200"/>
        <w:jc w:val="both"/>
        <w:textAlignment w:val="baseline"/>
        <w:outlineLvl w:val="9"/>
        <w:rPr>
          <w:rFonts w:hint="eastAsia" w:ascii="Times New Roman" w:hAnsi="Times New Roman" w:eastAsia="宋体" w:cs="Times New Roman"/>
          <w:color w:val="auto"/>
          <w:spacing w:val="-2"/>
          <w:sz w:val="24"/>
          <w:szCs w:val="24"/>
          <w:lang w:val="en-US" w:eastAsia="zh-CN"/>
        </w:rPr>
      </w:pPr>
      <w:bookmarkStart w:id="730" w:name="OLE_LINK187"/>
      <w:r>
        <w:rPr>
          <w:rFonts w:hint="eastAsia" w:ascii="Times New Roman" w:hAnsi="Times New Roman" w:eastAsia="宋体" w:cs="Times New Roman"/>
          <w:snapToGrid w:val="0"/>
          <w:color w:val="auto"/>
          <w:spacing w:val="-2"/>
          <w:kern w:val="0"/>
          <w:sz w:val="24"/>
          <w:szCs w:val="24"/>
          <w:highlight w:val="none"/>
          <w:lang w:val="en-US" w:eastAsia="zh-CN" w:bidi="ar-SA"/>
        </w:rPr>
        <w:t>（5）</w:t>
      </w:r>
      <w:r>
        <w:rPr>
          <w:rFonts w:hint="eastAsia" w:ascii="Times New Roman" w:hAnsi="Times New Roman" w:eastAsia="宋体" w:cs="Times New Roman"/>
          <w:color w:val="auto"/>
          <w:spacing w:val="-2"/>
          <w:sz w:val="24"/>
          <w:szCs w:val="24"/>
          <w:highlight w:val="none"/>
          <w:lang w:val="en-US" w:eastAsia="zh-CN"/>
        </w:rPr>
        <w:t>《工业涂装工序大气污染物排放标准》</w:t>
      </w:r>
      <w:bookmarkStart w:id="731" w:name="pindex2417"/>
      <w:bookmarkEnd w:id="731"/>
    </w:p>
    <w:p w14:paraId="52B81365">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360" w:lineRule="auto"/>
        <w:ind w:left="0" w:leftChars="0" w:right="136" w:rightChars="0" w:firstLine="472" w:firstLineChars="200"/>
        <w:jc w:val="both"/>
        <w:textAlignment w:val="baseline"/>
        <w:outlineLvl w:val="9"/>
        <w:rPr>
          <w:rFonts w:hint="default"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区内企业涉及工业涂装工序，废气执行《工业涂装工序大气污染物排放标准》（DB32/4439-2022）中限值标准；该标准不适用于家具制造业、汽车制造业、汽车零部件制造业、工程机械和钢结构行业及船舶制造业中工业涂装工序的大气污染物排放管理。</w:t>
      </w:r>
    </w:p>
    <w:p w14:paraId="134B5292">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eastAsia"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b/>
          <w:bCs/>
          <w:color w:val="auto"/>
          <w:spacing w:val="-4"/>
          <w:sz w:val="24"/>
          <w:szCs w:val="24"/>
          <w:lang w:val="en-US" w:eastAsia="zh-CN"/>
        </w:rPr>
        <w:t>表3.</w:t>
      </w:r>
      <w:r>
        <w:rPr>
          <w:rFonts w:hint="eastAsia" w:ascii="Times New Roman" w:hAnsi="Times New Roman" w:eastAsia="宋体" w:cs="Times New Roman"/>
          <w:b/>
          <w:bCs/>
          <w:color w:val="auto"/>
          <w:spacing w:val="-4"/>
          <w:sz w:val="24"/>
          <w:szCs w:val="24"/>
          <w:lang w:val="en-US" w:eastAsia="zh-CN"/>
        </w:rPr>
        <w:t xml:space="preserve">2-25  </w:t>
      </w:r>
      <w:r>
        <w:rPr>
          <w:rFonts w:hint="eastAsia" w:ascii="Times New Roman" w:hAnsi="Times New Roman" w:eastAsia="宋体" w:cs="Times New Roman"/>
          <w:b/>
          <w:bCs/>
          <w:color w:val="auto"/>
          <w:spacing w:val="-2"/>
          <w:sz w:val="24"/>
          <w:szCs w:val="24"/>
          <w:lang w:val="en-US" w:eastAsia="zh-CN"/>
        </w:rPr>
        <w:t xml:space="preserve"> 大气污染物排放限值</w:t>
      </w:r>
      <w:bookmarkStart w:id="732" w:name="pindex2419"/>
      <w:bookmarkEnd w:id="732"/>
    </w:p>
    <w:tbl>
      <w:tblPr>
        <w:tblStyle w:val="20"/>
        <w:tblW w:w="865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2022"/>
        <w:gridCol w:w="2303"/>
        <w:gridCol w:w="2163"/>
        <w:gridCol w:w="2163"/>
      </w:tblGrid>
      <w:tr w14:paraId="35CA3F4E">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tcBorders>
              <w:tl2br w:val="nil"/>
              <w:tr2bl w:val="nil"/>
            </w:tcBorders>
            <w:vAlign w:val="center"/>
          </w:tcPr>
          <w:p w14:paraId="3B473E21">
            <w:pPr>
              <w:widowControl w:val="0"/>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项目</w:t>
            </w:r>
          </w:p>
        </w:tc>
        <w:tc>
          <w:tcPr>
            <w:tcW w:w="2303" w:type="dxa"/>
            <w:tcBorders>
              <w:tl2br w:val="nil"/>
              <w:tr2bl w:val="nil"/>
            </w:tcBorders>
            <w:vAlign w:val="center"/>
          </w:tcPr>
          <w:p w14:paraId="4C74CA34">
            <w:pPr>
              <w:widowControl w:val="0"/>
              <w:bidi w:val="0"/>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最高允许排放浓度</w:t>
            </w:r>
          </w:p>
          <w:p w14:paraId="1EE9F976">
            <w:pPr>
              <w:widowControl w:val="0"/>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（mg/m</w:t>
            </w:r>
            <w:r>
              <w:rPr>
                <w:rFonts w:hint="eastAsia" w:ascii="Times New Roman" w:hAnsi="Times New Roman" w:eastAsia="宋体" w:cs="Times New Roman"/>
                <w:b/>
                <w:bCs/>
                <w:color w:val="auto"/>
                <w:sz w:val="21"/>
                <w:szCs w:val="21"/>
                <w:vertAlign w:val="superscript"/>
                <w:lang w:val="en-US" w:eastAsia="zh-CN"/>
              </w:rPr>
              <w:t>3</w:t>
            </w:r>
            <w:r>
              <w:rPr>
                <w:rFonts w:hint="eastAsia" w:ascii="Times New Roman" w:hAnsi="Times New Roman" w:eastAsia="宋体" w:cs="Times New Roman"/>
                <w:b/>
                <w:bCs/>
                <w:color w:val="auto"/>
                <w:sz w:val="21"/>
                <w:szCs w:val="21"/>
                <w:lang w:val="en-US" w:eastAsia="zh-CN"/>
              </w:rPr>
              <w:t>）</w:t>
            </w:r>
          </w:p>
        </w:tc>
        <w:tc>
          <w:tcPr>
            <w:tcW w:w="2163" w:type="dxa"/>
            <w:tcBorders>
              <w:tl2br w:val="nil"/>
              <w:tr2bl w:val="nil"/>
            </w:tcBorders>
            <w:vAlign w:val="center"/>
          </w:tcPr>
          <w:p w14:paraId="3A688886">
            <w:pPr>
              <w:widowControl w:val="0"/>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最高允许排放速率</w:t>
            </w:r>
            <w:r>
              <w:rPr>
                <w:rFonts w:hint="eastAsia" w:ascii="Times New Roman" w:hAnsi="Times New Roman" w:eastAsia="宋体" w:cs="Times New Roman"/>
                <w:b/>
                <w:bCs/>
                <w:color w:val="auto"/>
                <w:sz w:val="21"/>
                <w:szCs w:val="21"/>
                <w:vertAlign w:val="superscript"/>
                <w:lang w:val="en-US" w:eastAsia="zh-CN"/>
              </w:rPr>
              <w:t>c</w:t>
            </w:r>
          </w:p>
          <w:p w14:paraId="1AEA0587">
            <w:pPr>
              <w:widowControl w:val="0"/>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（kg/h）</w:t>
            </w:r>
          </w:p>
        </w:tc>
        <w:tc>
          <w:tcPr>
            <w:tcW w:w="2163" w:type="dxa"/>
            <w:tcBorders>
              <w:tl2br w:val="nil"/>
              <w:tr2bl w:val="nil"/>
            </w:tcBorders>
            <w:vAlign w:val="center"/>
          </w:tcPr>
          <w:p w14:paraId="5CE23F20">
            <w:pPr>
              <w:widowControl w:val="0"/>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污染物排放监控位置</w:t>
            </w:r>
          </w:p>
        </w:tc>
      </w:tr>
      <w:tr w14:paraId="183324ED">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tcBorders>
              <w:tl2br w:val="nil"/>
              <w:tr2bl w:val="nil"/>
            </w:tcBorders>
            <w:vAlign w:val="center"/>
          </w:tcPr>
          <w:p w14:paraId="64EEC7BF">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苯</w:t>
            </w:r>
          </w:p>
        </w:tc>
        <w:tc>
          <w:tcPr>
            <w:tcW w:w="2303" w:type="dxa"/>
            <w:tcBorders>
              <w:tl2br w:val="nil"/>
              <w:tr2bl w:val="nil"/>
            </w:tcBorders>
            <w:vAlign w:val="center"/>
          </w:tcPr>
          <w:p w14:paraId="53D00E0E">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0.5</w:t>
            </w:r>
          </w:p>
        </w:tc>
        <w:tc>
          <w:tcPr>
            <w:tcW w:w="2163" w:type="dxa"/>
            <w:tcBorders>
              <w:tl2br w:val="nil"/>
              <w:tr2bl w:val="nil"/>
            </w:tcBorders>
            <w:vAlign w:val="center"/>
          </w:tcPr>
          <w:p w14:paraId="1848587F">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0.02</w:t>
            </w:r>
          </w:p>
        </w:tc>
        <w:tc>
          <w:tcPr>
            <w:tcW w:w="2163" w:type="dxa"/>
            <w:vMerge w:val="restart"/>
            <w:tcBorders>
              <w:tl2br w:val="nil"/>
              <w:tr2bl w:val="nil"/>
            </w:tcBorders>
            <w:vAlign w:val="center"/>
          </w:tcPr>
          <w:p w14:paraId="77F27D42">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车间或生产设施排气筒</w:t>
            </w:r>
          </w:p>
        </w:tc>
      </w:tr>
      <w:tr w14:paraId="7688FD45">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tcBorders>
              <w:tl2br w:val="nil"/>
              <w:tr2bl w:val="nil"/>
            </w:tcBorders>
            <w:vAlign w:val="center"/>
          </w:tcPr>
          <w:p w14:paraId="7CDBADCD">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苯系物</w:t>
            </w:r>
            <w:r>
              <w:rPr>
                <w:rFonts w:hint="eastAsia" w:ascii="Times New Roman" w:hAnsi="Times New Roman" w:eastAsia="宋体" w:cs="Times New Roman"/>
                <w:color w:val="auto"/>
                <w:sz w:val="21"/>
                <w:szCs w:val="21"/>
                <w:vertAlign w:val="superscript"/>
                <w:lang w:val="en-US" w:eastAsia="zh-CN"/>
              </w:rPr>
              <w:t>a</w:t>
            </w:r>
          </w:p>
        </w:tc>
        <w:tc>
          <w:tcPr>
            <w:tcW w:w="2303" w:type="dxa"/>
            <w:tcBorders>
              <w:tl2br w:val="nil"/>
              <w:tr2bl w:val="nil"/>
            </w:tcBorders>
            <w:vAlign w:val="center"/>
          </w:tcPr>
          <w:p w14:paraId="406C3D86">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2163" w:type="dxa"/>
            <w:tcBorders>
              <w:tl2br w:val="nil"/>
              <w:tr2bl w:val="nil"/>
            </w:tcBorders>
            <w:vAlign w:val="center"/>
          </w:tcPr>
          <w:p w14:paraId="30E087CC">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0.8</w:t>
            </w:r>
          </w:p>
        </w:tc>
        <w:tc>
          <w:tcPr>
            <w:tcW w:w="2163" w:type="dxa"/>
            <w:vMerge w:val="continue"/>
            <w:tcBorders>
              <w:tl2br w:val="nil"/>
              <w:tr2bl w:val="nil"/>
            </w:tcBorders>
            <w:vAlign w:val="center"/>
          </w:tcPr>
          <w:p w14:paraId="6FA51B82">
            <w:pPr>
              <w:widowControl w:val="0"/>
              <w:bidi w:val="0"/>
              <w:jc w:val="center"/>
              <w:rPr>
                <w:rFonts w:hint="default" w:ascii="Times New Roman" w:hAnsi="Times New Roman" w:eastAsia="宋体" w:cs="Times New Roman"/>
                <w:color w:val="auto"/>
                <w:sz w:val="21"/>
                <w:szCs w:val="21"/>
                <w:lang w:val="en-US" w:eastAsia="zh-CN"/>
              </w:rPr>
            </w:pPr>
          </w:p>
        </w:tc>
      </w:tr>
      <w:tr w14:paraId="06D4FFC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tcBorders>
              <w:tl2br w:val="nil"/>
              <w:tr2bl w:val="nil"/>
            </w:tcBorders>
            <w:vAlign w:val="center"/>
          </w:tcPr>
          <w:p w14:paraId="54F76299">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非甲烷总烃</w:t>
            </w:r>
          </w:p>
        </w:tc>
        <w:tc>
          <w:tcPr>
            <w:tcW w:w="2303" w:type="dxa"/>
            <w:tcBorders>
              <w:tl2br w:val="nil"/>
              <w:tr2bl w:val="nil"/>
            </w:tcBorders>
            <w:vAlign w:val="center"/>
          </w:tcPr>
          <w:p w14:paraId="2E906E26">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50</w:t>
            </w:r>
          </w:p>
        </w:tc>
        <w:tc>
          <w:tcPr>
            <w:tcW w:w="2163" w:type="dxa"/>
            <w:tcBorders>
              <w:tl2br w:val="nil"/>
              <w:tr2bl w:val="nil"/>
            </w:tcBorders>
            <w:vAlign w:val="center"/>
          </w:tcPr>
          <w:p w14:paraId="59116290">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2163" w:type="dxa"/>
            <w:vMerge w:val="continue"/>
            <w:tcBorders>
              <w:tl2br w:val="nil"/>
              <w:tr2bl w:val="nil"/>
            </w:tcBorders>
            <w:vAlign w:val="center"/>
          </w:tcPr>
          <w:p w14:paraId="35DD3A91">
            <w:pPr>
              <w:widowControl w:val="0"/>
              <w:bidi w:val="0"/>
              <w:jc w:val="center"/>
              <w:rPr>
                <w:rFonts w:hint="default" w:ascii="Times New Roman" w:hAnsi="Times New Roman" w:eastAsia="宋体" w:cs="Times New Roman"/>
                <w:color w:val="auto"/>
                <w:sz w:val="21"/>
                <w:szCs w:val="21"/>
                <w:lang w:val="en-US" w:eastAsia="zh-CN"/>
              </w:rPr>
            </w:pPr>
          </w:p>
        </w:tc>
      </w:tr>
      <w:tr w14:paraId="27947DBA">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2022" w:type="dxa"/>
            <w:tcBorders>
              <w:tl2br w:val="nil"/>
              <w:tr2bl w:val="nil"/>
            </w:tcBorders>
            <w:vAlign w:val="center"/>
          </w:tcPr>
          <w:p w14:paraId="20678E8A">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TVOC</w:t>
            </w:r>
            <w:r>
              <w:rPr>
                <w:rFonts w:hint="eastAsia" w:ascii="Times New Roman" w:hAnsi="Times New Roman" w:eastAsia="宋体" w:cs="Times New Roman"/>
                <w:color w:val="auto"/>
                <w:sz w:val="21"/>
                <w:szCs w:val="21"/>
                <w:vertAlign w:val="superscript"/>
                <w:lang w:val="en-US" w:eastAsia="zh-CN"/>
              </w:rPr>
              <w:t>b</w:t>
            </w:r>
          </w:p>
        </w:tc>
        <w:tc>
          <w:tcPr>
            <w:tcW w:w="2303" w:type="dxa"/>
            <w:tcBorders>
              <w:tl2br w:val="nil"/>
              <w:tr2bl w:val="nil"/>
            </w:tcBorders>
            <w:vAlign w:val="center"/>
          </w:tcPr>
          <w:p w14:paraId="6668AE54">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w:t>
            </w:r>
          </w:p>
        </w:tc>
        <w:tc>
          <w:tcPr>
            <w:tcW w:w="2163" w:type="dxa"/>
            <w:tcBorders>
              <w:tl2br w:val="nil"/>
              <w:tr2bl w:val="nil"/>
            </w:tcBorders>
            <w:vAlign w:val="center"/>
          </w:tcPr>
          <w:p w14:paraId="5230D885">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w:t>
            </w:r>
          </w:p>
        </w:tc>
        <w:tc>
          <w:tcPr>
            <w:tcW w:w="2163" w:type="dxa"/>
            <w:vMerge w:val="continue"/>
            <w:tcBorders>
              <w:tl2br w:val="nil"/>
              <w:tr2bl w:val="nil"/>
            </w:tcBorders>
            <w:vAlign w:val="center"/>
          </w:tcPr>
          <w:p w14:paraId="5D6B5318">
            <w:pPr>
              <w:widowControl w:val="0"/>
              <w:bidi w:val="0"/>
              <w:jc w:val="center"/>
              <w:rPr>
                <w:rFonts w:hint="default" w:ascii="Times New Roman" w:hAnsi="Times New Roman" w:eastAsia="宋体" w:cs="Times New Roman"/>
                <w:color w:val="auto"/>
                <w:sz w:val="21"/>
                <w:szCs w:val="21"/>
                <w:lang w:val="en-US" w:eastAsia="zh-CN"/>
              </w:rPr>
            </w:pPr>
          </w:p>
        </w:tc>
      </w:tr>
      <w:tr w14:paraId="7A30E8E1">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tcBorders>
              <w:tl2br w:val="nil"/>
              <w:tr2bl w:val="nil"/>
            </w:tcBorders>
            <w:vAlign w:val="center"/>
          </w:tcPr>
          <w:p w14:paraId="616950E2">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2303" w:type="dxa"/>
            <w:tcBorders>
              <w:tl2br w:val="nil"/>
              <w:tr2bl w:val="nil"/>
            </w:tcBorders>
            <w:vAlign w:val="center"/>
          </w:tcPr>
          <w:p w14:paraId="041D29C3">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2163" w:type="dxa"/>
            <w:tcBorders>
              <w:tl2br w:val="nil"/>
              <w:tr2bl w:val="nil"/>
            </w:tcBorders>
            <w:vAlign w:val="center"/>
          </w:tcPr>
          <w:p w14:paraId="22671575">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2163" w:type="dxa"/>
            <w:vMerge w:val="continue"/>
            <w:tcBorders>
              <w:tl2br w:val="nil"/>
              <w:tr2bl w:val="nil"/>
            </w:tcBorders>
            <w:vAlign w:val="center"/>
          </w:tcPr>
          <w:p w14:paraId="18187A77">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1570AB1C">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651" w:type="dxa"/>
            <w:gridSpan w:val="4"/>
            <w:tcBorders>
              <w:tl2br w:val="nil"/>
              <w:tr2bl w:val="nil"/>
            </w:tcBorders>
            <w:vAlign w:val="center"/>
          </w:tcPr>
          <w:p w14:paraId="3D5435AE">
            <w:pPr>
              <w:widowControl w:val="0"/>
              <w:bidi w:val="0"/>
              <w:jc w:val="left"/>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a苯</w:t>
            </w:r>
            <w:r>
              <w:rPr>
                <w:rFonts w:hint="default" w:ascii="Times New Roman" w:hAnsi="Times New Roman" w:eastAsia="宋体" w:cs="Times New Roman"/>
                <w:color w:val="auto"/>
                <w:sz w:val="21"/>
                <w:szCs w:val="21"/>
                <w:highlight w:val="none"/>
                <w:lang w:val="en-US" w:eastAsia="zh-CN"/>
              </w:rPr>
              <w:t>、甲苯、二甲苯、三甲苯、乙苯和苯乙烯质量浓度之和。其中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三甲苯待</w:t>
            </w:r>
            <w:r>
              <w:rPr>
                <w:rFonts w:hint="eastAsia" w:ascii="Times New Roman" w:hAnsi="Times New Roman" w:eastAsia="宋体" w:cs="Times New Roman"/>
                <w:color w:val="auto"/>
                <w:sz w:val="21"/>
                <w:szCs w:val="21"/>
                <w:highlight w:val="none"/>
                <w:lang w:val="en-US" w:eastAsia="zh-CN"/>
              </w:rPr>
              <w:t>国</w:t>
            </w:r>
            <w:r>
              <w:rPr>
                <w:rFonts w:hint="default" w:ascii="Times New Roman" w:hAnsi="Times New Roman" w:eastAsia="宋体" w:cs="Times New Roman"/>
                <w:color w:val="auto"/>
                <w:sz w:val="21"/>
                <w:szCs w:val="21"/>
                <w:highlight w:val="none"/>
                <w:lang w:val="en-US" w:eastAsia="zh-CN"/>
              </w:rPr>
              <w:t>家污染物监测技术规定发布后实施。</w:t>
            </w:r>
          </w:p>
          <w:p w14:paraId="08DC1519">
            <w:pPr>
              <w:widowControl w:val="0"/>
              <w:bidi w:val="0"/>
              <w:jc w:val="left"/>
              <w:rPr>
                <w:rFonts w:hint="default" w:ascii="Times New Roman" w:hAnsi="Times New Roman" w:eastAsia="宋体" w:cs="Times New Roman"/>
                <w:color w:val="auto"/>
                <w:sz w:val="21"/>
                <w:szCs w:val="21"/>
                <w:highlight w:val="none"/>
                <w:lang w:val="en-US" w:eastAsia="zh-CN"/>
              </w:rPr>
            </w:pPr>
            <w:bookmarkStart w:id="733" w:name="sys2447091"/>
            <w:r>
              <w:rPr>
                <w:rFonts w:hint="eastAsia" w:ascii="Times New Roman" w:hAnsi="Times New Roman" w:eastAsia="宋体" w:cs="Times New Roman"/>
                <w:color w:val="auto"/>
                <w:sz w:val="21"/>
                <w:szCs w:val="21"/>
                <w:highlight w:val="none"/>
                <w:lang w:val="en-US" w:eastAsia="zh-CN"/>
              </w:rPr>
              <w:t>b</w:t>
            </w:r>
            <w:r>
              <w:rPr>
                <w:rFonts w:hint="default" w:ascii="Times New Roman" w:hAnsi="Times New Roman" w:eastAsia="宋体" w:cs="Times New Roman"/>
                <w:color w:val="auto"/>
                <w:sz w:val="21"/>
                <w:szCs w:val="21"/>
                <w:highlight w:val="none"/>
                <w:lang w:val="en-US" w:eastAsia="zh-CN"/>
              </w:rPr>
              <w:t>根据3.4定义</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企业使用的原料、生产工艺过程、生产的产品、副产品</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结合附录A和有关环境管理要求等</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筛选确定</w:t>
            </w:r>
            <w:r>
              <w:rPr>
                <w:rFonts w:hint="eastAsia" w:ascii="Times New Roman" w:hAnsi="Times New Roman" w:eastAsia="宋体" w:cs="Times New Roman"/>
                <w:color w:val="auto"/>
                <w:sz w:val="21"/>
                <w:szCs w:val="21"/>
                <w:highlight w:val="none"/>
                <w:lang w:val="en-US" w:eastAsia="zh-CN"/>
              </w:rPr>
              <w:t>计入</w:t>
            </w:r>
            <w:r>
              <w:rPr>
                <w:rFonts w:hint="default" w:ascii="Times New Roman" w:hAnsi="Times New Roman" w:eastAsia="宋体" w:cs="Times New Roman"/>
                <w:color w:val="auto"/>
                <w:sz w:val="21"/>
                <w:szCs w:val="21"/>
                <w:highlight w:val="none"/>
                <w:lang w:val="en-US" w:eastAsia="zh-CN"/>
              </w:rPr>
              <w:t>TVOC的物质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尚不具备分析方法的待</w:t>
            </w:r>
            <w:r>
              <w:rPr>
                <w:rFonts w:hint="eastAsia" w:ascii="Times New Roman" w:hAnsi="Times New Roman" w:eastAsia="宋体" w:cs="Times New Roman"/>
                <w:color w:val="auto"/>
                <w:sz w:val="21"/>
                <w:szCs w:val="21"/>
                <w:highlight w:val="none"/>
                <w:lang w:val="en-US" w:eastAsia="zh-CN"/>
              </w:rPr>
              <w:t>国家</w:t>
            </w:r>
            <w:r>
              <w:rPr>
                <w:rFonts w:hint="default" w:ascii="Times New Roman" w:hAnsi="Times New Roman" w:eastAsia="宋体" w:cs="Times New Roman"/>
                <w:color w:val="auto"/>
                <w:sz w:val="21"/>
                <w:szCs w:val="21"/>
                <w:highlight w:val="none"/>
                <w:lang w:val="en-US" w:eastAsia="zh-CN"/>
              </w:rPr>
              <w:t>污染物监测技术规定发布后实施。</w:t>
            </w:r>
            <w:bookmarkEnd w:id="733"/>
          </w:p>
          <w:p w14:paraId="4ED3FA7A">
            <w:pPr>
              <w:widowControl w:val="0"/>
              <w:bidi w:val="0"/>
              <w:jc w:val="left"/>
              <w:rPr>
                <w:rFonts w:hint="default" w:ascii="Times New Roman" w:hAnsi="Times New Roman" w:eastAsia="宋体" w:cs="Times New Roman"/>
                <w:color w:val="auto"/>
                <w:sz w:val="21"/>
                <w:szCs w:val="21"/>
                <w:highlight w:val="none"/>
                <w:lang w:val="en-US" w:eastAsia="zh-CN"/>
              </w:rPr>
            </w:pPr>
            <w:bookmarkStart w:id="734" w:name="sys2448031"/>
            <w:r>
              <w:rPr>
                <w:rFonts w:hint="eastAsia" w:ascii="Times New Roman" w:hAnsi="Times New Roman" w:eastAsia="宋体" w:cs="Times New Roman"/>
                <w:color w:val="auto"/>
                <w:sz w:val="21"/>
                <w:szCs w:val="21"/>
                <w:highlight w:val="none"/>
                <w:lang w:val="en-US" w:eastAsia="zh-CN"/>
              </w:rPr>
              <w:t>c</w:t>
            </w:r>
            <w:r>
              <w:rPr>
                <w:rFonts w:hint="default" w:ascii="Times New Roman" w:hAnsi="Times New Roman" w:eastAsia="宋体" w:cs="Times New Roman"/>
                <w:color w:val="auto"/>
                <w:sz w:val="21"/>
                <w:szCs w:val="21"/>
                <w:highlight w:val="none"/>
                <w:lang w:val="en-US" w:eastAsia="zh-CN"/>
              </w:rPr>
              <w:t>污染治理设施去除效率≥90%时</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等同于符合排放速率限值要求。</w:t>
            </w:r>
            <w:bookmarkEnd w:id="734"/>
          </w:p>
        </w:tc>
      </w:tr>
    </w:tbl>
    <w:p w14:paraId="2AC01ECE">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eastAsia"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2-26  </w:t>
      </w:r>
      <w:r>
        <w:rPr>
          <w:rFonts w:hint="eastAsia" w:ascii="Times New Roman" w:hAnsi="Times New Roman" w:eastAsia="宋体" w:cs="Times New Roman"/>
          <w:b/>
          <w:bCs/>
          <w:color w:val="auto"/>
          <w:spacing w:val="-2"/>
          <w:sz w:val="24"/>
          <w:szCs w:val="24"/>
          <w:highlight w:val="none"/>
          <w:lang w:val="en-US" w:eastAsia="zh-CN"/>
        </w:rPr>
        <w:t xml:space="preserve"> 燃烧装置大气污染物排放限值</w:t>
      </w:r>
      <w:bookmarkStart w:id="735" w:name="pindex2449"/>
      <w:bookmarkEnd w:id="735"/>
    </w:p>
    <w:tbl>
      <w:tblPr>
        <w:tblStyle w:val="20"/>
        <w:tblW w:w="865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2022"/>
        <w:gridCol w:w="2303"/>
        <w:gridCol w:w="2163"/>
        <w:gridCol w:w="2163"/>
      </w:tblGrid>
      <w:tr w14:paraId="598427C0">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tcBorders>
              <w:tl2br w:val="nil"/>
              <w:tr2bl w:val="nil"/>
            </w:tcBorders>
            <w:vAlign w:val="center"/>
          </w:tcPr>
          <w:p w14:paraId="297B6046">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序号</w:t>
            </w:r>
          </w:p>
        </w:tc>
        <w:tc>
          <w:tcPr>
            <w:tcW w:w="2303" w:type="dxa"/>
            <w:tcBorders>
              <w:tl2br w:val="nil"/>
              <w:tr2bl w:val="nil"/>
            </w:tcBorders>
            <w:vAlign w:val="center"/>
          </w:tcPr>
          <w:p w14:paraId="699E2E39">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污染物项目</w:t>
            </w:r>
          </w:p>
        </w:tc>
        <w:tc>
          <w:tcPr>
            <w:tcW w:w="2163" w:type="dxa"/>
            <w:tcBorders>
              <w:tl2br w:val="nil"/>
              <w:tr2bl w:val="nil"/>
            </w:tcBorders>
            <w:vAlign w:val="center"/>
          </w:tcPr>
          <w:p w14:paraId="4642D76B">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排放限值</w:t>
            </w:r>
          </w:p>
        </w:tc>
        <w:tc>
          <w:tcPr>
            <w:tcW w:w="2163" w:type="dxa"/>
            <w:tcBorders>
              <w:tl2br w:val="nil"/>
              <w:tr2bl w:val="nil"/>
            </w:tcBorders>
            <w:vAlign w:val="center"/>
          </w:tcPr>
          <w:p w14:paraId="4768298C">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污染物排放监控位置</w:t>
            </w:r>
          </w:p>
        </w:tc>
      </w:tr>
      <w:tr w14:paraId="5FAB3274">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tcBorders>
              <w:tl2br w:val="nil"/>
              <w:tr2bl w:val="nil"/>
            </w:tcBorders>
            <w:vAlign w:val="center"/>
          </w:tcPr>
          <w:p w14:paraId="42128AE1">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303" w:type="dxa"/>
            <w:tcBorders>
              <w:tl2br w:val="nil"/>
              <w:tr2bl w:val="nil"/>
            </w:tcBorders>
            <w:vAlign w:val="center"/>
          </w:tcPr>
          <w:p w14:paraId="090986A6">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二氧化硫</w:t>
            </w:r>
          </w:p>
        </w:tc>
        <w:tc>
          <w:tcPr>
            <w:tcW w:w="2163" w:type="dxa"/>
            <w:tcBorders>
              <w:tl2br w:val="nil"/>
              <w:tr2bl w:val="nil"/>
            </w:tcBorders>
            <w:vAlign w:val="center"/>
          </w:tcPr>
          <w:p w14:paraId="463B9F79">
            <w:pPr>
              <w:widowControl w:val="0"/>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200mg/m</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2163" w:type="dxa"/>
            <w:vMerge w:val="restart"/>
            <w:tcBorders>
              <w:tl2br w:val="nil"/>
              <w:tr2bl w:val="nil"/>
            </w:tcBorders>
            <w:vAlign w:val="center"/>
          </w:tcPr>
          <w:p w14:paraId="22AE02F9">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燃烧（焚烧、氧化）装置排气筒</w:t>
            </w:r>
          </w:p>
        </w:tc>
      </w:tr>
      <w:tr w14:paraId="4B237FE8">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tcBorders>
              <w:tl2br w:val="nil"/>
              <w:tr2bl w:val="nil"/>
            </w:tcBorders>
            <w:vAlign w:val="center"/>
          </w:tcPr>
          <w:p w14:paraId="315772ED">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2303" w:type="dxa"/>
            <w:tcBorders>
              <w:tl2br w:val="nil"/>
              <w:tr2bl w:val="nil"/>
            </w:tcBorders>
            <w:vAlign w:val="center"/>
          </w:tcPr>
          <w:p w14:paraId="5576C94D">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氮氧化物</w:t>
            </w:r>
          </w:p>
        </w:tc>
        <w:tc>
          <w:tcPr>
            <w:tcW w:w="2163" w:type="dxa"/>
            <w:tcBorders>
              <w:tl2br w:val="nil"/>
              <w:tr2bl w:val="nil"/>
            </w:tcBorders>
            <w:vAlign w:val="center"/>
          </w:tcPr>
          <w:p w14:paraId="4D6DE08C">
            <w:pPr>
              <w:widowControl w:val="0"/>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200mg/m</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2163" w:type="dxa"/>
            <w:vMerge w:val="continue"/>
            <w:tcBorders>
              <w:tl2br w:val="nil"/>
              <w:tr2bl w:val="nil"/>
            </w:tcBorders>
            <w:vAlign w:val="center"/>
          </w:tcPr>
          <w:p w14:paraId="2A6630E5">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6DC0BBE8">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tcBorders>
              <w:tl2br w:val="nil"/>
              <w:tr2bl w:val="nil"/>
            </w:tcBorders>
            <w:vAlign w:val="center"/>
          </w:tcPr>
          <w:p w14:paraId="28F67C79">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2303" w:type="dxa"/>
            <w:tcBorders>
              <w:tl2br w:val="nil"/>
              <w:tr2bl w:val="nil"/>
            </w:tcBorders>
            <w:vAlign w:val="center"/>
          </w:tcPr>
          <w:p w14:paraId="498AAF55">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二噁英类</w:t>
            </w:r>
            <w:r>
              <w:rPr>
                <w:rFonts w:hint="eastAsia" w:ascii="Times New Roman" w:hAnsi="Times New Roman" w:eastAsia="宋体" w:cs="Times New Roman"/>
                <w:color w:val="auto"/>
                <w:sz w:val="21"/>
                <w:szCs w:val="21"/>
                <w:highlight w:val="none"/>
                <w:vertAlign w:val="superscript"/>
                <w:lang w:val="en-US" w:eastAsia="zh-CN"/>
              </w:rPr>
              <w:t>a</w:t>
            </w:r>
          </w:p>
        </w:tc>
        <w:tc>
          <w:tcPr>
            <w:tcW w:w="2163" w:type="dxa"/>
            <w:tcBorders>
              <w:tl2br w:val="nil"/>
              <w:tr2bl w:val="nil"/>
            </w:tcBorders>
            <w:vAlign w:val="center"/>
          </w:tcPr>
          <w:p w14:paraId="4CAED02D">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0.1ng-TEQ/m</w:t>
            </w:r>
            <w:r>
              <w:rPr>
                <w:rFonts w:hint="default" w:ascii="Times New Roman" w:hAnsi="Times New Roman" w:eastAsia="宋体" w:cs="Times New Roman"/>
                <w:color w:val="auto"/>
                <w:sz w:val="21"/>
                <w:szCs w:val="21"/>
                <w:highlight w:val="none"/>
                <w:vertAlign w:val="superscript"/>
              </w:rPr>
              <w:t>3</w:t>
            </w:r>
          </w:p>
        </w:tc>
        <w:tc>
          <w:tcPr>
            <w:tcW w:w="2163" w:type="dxa"/>
            <w:vMerge w:val="continue"/>
            <w:tcBorders>
              <w:tl2br w:val="nil"/>
              <w:tr2bl w:val="nil"/>
            </w:tcBorders>
            <w:vAlign w:val="center"/>
          </w:tcPr>
          <w:p w14:paraId="6DC557D4">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49448874">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651" w:type="dxa"/>
            <w:gridSpan w:val="4"/>
            <w:tcBorders>
              <w:tl2br w:val="nil"/>
              <w:tr2bl w:val="nil"/>
            </w:tcBorders>
            <w:vAlign w:val="center"/>
          </w:tcPr>
          <w:p w14:paraId="3D35D68B">
            <w:pPr>
              <w:widowControl w:val="0"/>
              <w:bidi w:val="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vertAlign w:val="superscript"/>
                <w:lang w:val="en-US" w:eastAsia="zh-CN"/>
              </w:rPr>
              <w:t>a</w:t>
            </w:r>
            <w:r>
              <w:rPr>
                <w:rFonts w:hint="eastAsia" w:ascii="Times New Roman" w:hAnsi="Times New Roman" w:eastAsia="宋体" w:cs="Times New Roman"/>
                <w:color w:val="auto"/>
                <w:sz w:val="21"/>
                <w:szCs w:val="21"/>
                <w:highlight w:val="none"/>
                <w:vertAlign w:val="baseline"/>
                <w:lang w:val="en-US" w:eastAsia="zh-CN"/>
              </w:rPr>
              <w:t>燃烧含氯有机废气时，需监测该指标。</w:t>
            </w:r>
          </w:p>
        </w:tc>
      </w:tr>
    </w:tbl>
    <w:p w14:paraId="19A47A11">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cs="Times New Roman"/>
          <w:color w:val="auto"/>
          <w:szCs w:val="22"/>
          <w:highlight w:val="none"/>
          <w:vertAlign w:val="superscript"/>
        </w:rPr>
      </w:pPr>
      <w:r>
        <w:rPr>
          <w:rFonts w:hint="default" w:ascii="Times New Roman" w:hAnsi="Times New Roman" w:eastAsia="宋体" w:cs="Times New Roman"/>
          <w:b/>
          <w:bCs/>
          <w:color w:val="auto"/>
          <w:spacing w:val="-4"/>
          <w:sz w:val="24"/>
          <w:szCs w:val="24"/>
          <w:highlight w:val="none"/>
          <w:lang w:val="en-US" w:eastAsia="zh-CN"/>
        </w:rPr>
        <w:t>表3.2-</w:t>
      </w:r>
      <w:r>
        <w:rPr>
          <w:rFonts w:hint="eastAsia" w:ascii="Times New Roman" w:hAnsi="Times New Roman" w:eastAsia="宋体" w:cs="Times New Roman"/>
          <w:b/>
          <w:bCs/>
          <w:color w:val="auto"/>
          <w:spacing w:val="-4"/>
          <w:sz w:val="24"/>
          <w:szCs w:val="24"/>
          <w:highlight w:val="none"/>
          <w:lang w:val="en-US" w:eastAsia="zh-CN"/>
        </w:rPr>
        <w:t>27</w:t>
      </w:r>
      <w:r>
        <w:rPr>
          <w:rFonts w:hint="default" w:ascii="Times New Roman" w:hAnsi="Times New Roman" w:eastAsia="宋体" w:cs="Times New Roman"/>
          <w:b/>
          <w:bCs/>
          <w:color w:val="auto"/>
          <w:spacing w:val="-2"/>
          <w:sz w:val="24"/>
          <w:szCs w:val="24"/>
          <w:highlight w:val="none"/>
          <w:lang w:val="en-US" w:eastAsia="zh-CN"/>
        </w:rPr>
        <w:t xml:space="preserve">  厂区内</w:t>
      </w:r>
      <w:r>
        <w:rPr>
          <w:rFonts w:hint="eastAsia" w:ascii="Times New Roman" w:hAnsi="Times New Roman" w:eastAsia="宋体" w:cs="Times New Roman"/>
          <w:b/>
          <w:bCs/>
          <w:color w:val="auto"/>
          <w:spacing w:val="-2"/>
          <w:sz w:val="24"/>
          <w:szCs w:val="24"/>
          <w:highlight w:val="none"/>
          <w:lang w:val="en-US" w:eastAsia="zh-CN"/>
        </w:rPr>
        <w:t>VOCs</w:t>
      </w:r>
      <w:r>
        <w:rPr>
          <w:rFonts w:hint="default" w:ascii="Times New Roman" w:hAnsi="Times New Roman" w:eastAsia="宋体" w:cs="Times New Roman"/>
          <w:b/>
          <w:bCs/>
          <w:color w:val="auto"/>
          <w:spacing w:val="-2"/>
          <w:sz w:val="24"/>
          <w:szCs w:val="24"/>
          <w:highlight w:val="none"/>
          <w:lang w:val="en-US" w:eastAsia="zh-CN"/>
        </w:rPr>
        <w:t>无组织排放限值</w:t>
      </w:r>
      <w:bookmarkStart w:id="736" w:name="pindex2467"/>
      <w:bookmarkEnd w:id="736"/>
    </w:p>
    <w:tbl>
      <w:tblPr>
        <w:tblStyle w:val="19"/>
        <w:tblW w:w="87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77"/>
        <w:gridCol w:w="1566"/>
        <w:gridCol w:w="2890"/>
        <w:gridCol w:w="2584"/>
      </w:tblGrid>
      <w:tr w14:paraId="266EC3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677" w:type="dxa"/>
            <w:tcBorders>
              <w:tl2br w:val="nil"/>
              <w:tr2bl w:val="nil"/>
            </w:tcBorders>
            <w:vAlign w:val="center"/>
          </w:tcPr>
          <w:p w14:paraId="7B35F3B9">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污染物项目</w:t>
            </w:r>
          </w:p>
        </w:tc>
        <w:tc>
          <w:tcPr>
            <w:tcW w:w="1566" w:type="dxa"/>
            <w:tcBorders>
              <w:tl2br w:val="nil"/>
              <w:tr2bl w:val="nil"/>
            </w:tcBorders>
            <w:vAlign w:val="center"/>
          </w:tcPr>
          <w:p w14:paraId="26CCEA1A">
            <w:pPr>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监控点限值mg/m</w:t>
            </w:r>
            <w:r>
              <w:rPr>
                <w:rFonts w:hint="eastAsia" w:ascii="Times New Roman" w:hAnsi="Times New Roman" w:eastAsia="宋体" w:cs="Times New Roman"/>
                <w:b/>
                <w:bCs/>
                <w:color w:val="auto"/>
                <w:sz w:val="21"/>
                <w:szCs w:val="21"/>
                <w:highlight w:val="none"/>
                <w:vertAlign w:val="superscript"/>
                <w:lang w:val="en-US" w:eastAsia="zh-CN"/>
              </w:rPr>
              <w:t>3</w:t>
            </w:r>
          </w:p>
        </w:tc>
        <w:tc>
          <w:tcPr>
            <w:tcW w:w="2890" w:type="dxa"/>
            <w:tcBorders>
              <w:tl2br w:val="nil"/>
              <w:tr2bl w:val="nil"/>
            </w:tcBorders>
            <w:vAlign w:val="center"/>
          </w:tcPr>
          <w:p w14:paraId="1A9C388F">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限值含义</w:t>
            </w:r>
          </w:p>
        </w:tc>
        <w:tc>
          <w:tcPr>
            <w:tcW w:w="2584" w:type="dxa"/>
            <w:tcBorders>
              <w:tl2br w:val="nil"/>
              <w:tr2bl w:val="nil"/>
            </w:tcBorders>
            <w:vAlign w:val="center"/>
          </w:tcPr>
          <w:p w14:paraId="399A1B8F">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无组织排放监控位置</w:t>
            </w:r>
          </w:p>
        </w:tc>
      </w:tr>
      <w:tr w14:paraId="5D00B8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677" w:type="dxa"/>
            <w:vMerge w:val="restart"/>
            <w:tcBorders>
              <w:tl2br w:val="nil"/>
              <w:tr2bl w:val="nil"/>
            </w:tcBorders>
            <w:vAlign w:val="center"/>
          </w:tcPr>
          <w:p w14:paraId="28EB781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非甲烷总烃</w:t>
            </w:r>
          </w:p>
        </w:tc>
        <w:tc>
          <w:tcPr>
            <w:tcW w:w="1566" w:type="dxa"/>
            <w:tcBorders>
              <w:tl2br w:val="nil"/>
              <w:tr2bl w:val="nil"/>
            </w:tcBorders>
            <w:vAlign w:val="center"/>
          </w:tcPr>
          <w:p w14:paraId="2D8D5FD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2890" w:type="dxa"/>
            <w:tcBorders>
              <w:tl2br w:val="nil"/>
              <w:tr2bl w:val="nil"/>
            </w:tcBorders>
            <w:vAlign w:val="center"/>
          </w:tcPr>
          <w:p w14:paraId="698834E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监控点处1 h平均浓度值</w:t>
            </w:r>
          </w:p>
        </w:tc>
        <w:tc>
          <w:tcPr>
            <w:tcW w:w="2584" w:type="dxa"/>
            <w:vMerge w:val="restart"/>
            <w:tcBorders>
              <w:tl2br w:val="nil"/>
              <w:tr2bl w:val="nil"/>
            </w:tcBorders>
            <w:vAlign w:val="center"/>
          </w:tcPr>
          <w:p w14:paraId="0E0665E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在厂房外设置监控点</w:t>
            </w:r>
          </w:p>
        </w:tc>
      </w:tr>
      <w:tr w14:paraId="7E0C41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677" w:type="dxa"/>
            <w:vMerge w:val="continue"/>
            <w:tcBorders>
              <w:tl2br w:val="nil"/>
              <w:tr2bl w:val="nil"/>
            </w:tcBorders>
            <w:vAlign w:val="center"/>
          </w:tcPr>
          <w:p w14:paraId="28B8495A">
            <w:pPr>
              <w:jc w:val="center"/>
              <w:rPr>
                <w:rFonts w:hint="default" w:ascii="Times New Roman" w:hAnsi="Times New Roman" w:eastAsia="宋体" w:cs="Times New Roman"/>
                <w:color w:val="auto"/>
                <w:sz w:val="21"/>
                <w:szCs w:val="21"/>
                <w:highlight w:val="none"/>
              </w:rPr>
            </w:pPr>
          </w:p>
        </w:tc>
        <w:tc>
          <w:tcPr>
            <w:tcW w:w="1566" w:type="dxa"/>
            <w:tcBorders>
              <w:tl2br w:val="nil"/>
              <w:tr2bl w:val="nil"/>
            </w:tcBorders>
            <w:vAlign w:val="center"/>
          </w:tcPr>
          <w:p w14:paraId="00EC209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2890" w:type="dxa"/>
            <w:tcBorders>
              <w:tl2br w:val="nil"/>
              <w:tr2bl w:val="nil"/>
            </w:tcBorders>
            <w:vAlign w:val="center"/>
          </w:tcPr>
          <w:p w14:paraId="7623706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监控点处任意一次浓度值</w:t>
            </w:r>
          </w:p>
        </w:tc>
        <w:tc>
          <w:tcPr>
            <w:tcW w:w="2584" w:type="dxa"/>
            <w:vMerge w:val="continue"/>
            <w:tcBorders>
              <w:tl2br w:val="nil"/>
              <w:tr2bl w:val="nil"/>
            </w:tcBorders>
            <w:vAlign w:val="center"/>
          </w:tcPr>
          <w:p w14:paraId="44053DD1">
            <w:pPr>
              <w:jc w:val="center"/>
              <w:rPr>
                <w:rFonts w:hint="default" w:ascii="Times New Roman" w:hAnsi="Times New Roman" w:eastAsia="宋体" w:cs="Times New Roman"/>
                <w:color w:val="auto"/>
                <w:sz w:val="21"/>
                <w:szCs w:val="21"/>
                <w:highlight w:val="none"/>
              </w:rPr>
            </w:pPr>
          </w:p>
        </w:tc>
      </w:tr>
    </w:tbl>
    <w:p w14:paraId="20324436">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outlineLvl w:val="9"/>
        <w:rPr>
          <w:rFonts w:hint="eastAsia" w:ascii="Times New Roman" w:hAnsi="Times New Roman" w:eastAsia="宋体" w:cs="Times New Roman"/>
          <w:color w:val="auto"/>
          <w:spacing w:val="-2"/>
          <w:sz w:val="24"/>
          <w:szCs w:val="24"/>
          <w:highlight w:val="none"/>
          <w:lang w:val="en-US" w:eastAsia="zh-CN"/>
        </w:rPr>
      </w:pPr>
      <w:r>
        <w:rPr>
          <w:rFonts w:hint="eastAsia" w:ascii="Times New Roman" w:hAnsi="Times New Roman" w:eastAsia="宋体" w:cs="Times New Roman"/>
          <w:color w:val="auto"/>
          <w:spacing w:val="-2"/>
          <w:sz w:val="24"/>
          <w:szCs w:val="24"/>
          <w:highlight w:val="none"/>
          <w:lang w:val="en-US" w:eastAsia="zh-CN"/>
        </w:rPr>
        <w:t>（6）汽车制造业</w:t>
      </w:r>
      <w:bookmarkStart w:id="737" w:name="pindex2480"/>
      <w:bookmarkEnd w:id="737"/>
    </w:p>
    <w:bookmarkEnd w:id="730"/>
    <w:p w14:paraId="7EBC75F4">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left"/>
        <w:textAlignment w:val="baseline"/>
        <w:rPr>
          <w:rFonts w:hint="eastAsia" w:ascii="Times New Roman" w:hAnsi="Times New Roman" w:eastAsia="宋体" w:cs="Times New Roman"/>
          <w:color w:val="auto"/>
          <w:spacing w:val="-2"/>
          <w:sz w:val="24"/>
          <w:szCs w:val="24"/>
          <w:highlight w:val="none"/>
          <w:lang w:val="en-US" w:eastAsia="zh-CN"/>
        </w:rPr>
      </w:pPr>
      <w:bookmarkStart w:id="738" w:name="OLE_LINK749"/>
      <w:bookmarkStart w:id="739" w:name="sys2481060"/>
      <w:r>
        <w:rPr>
          <w:rFonts w:hint="eastAsia" w:ascii="Times New Roman" w:hAnsi="Times New Roman" w:eastAsia="宋体" w:cs="Times New Roman"/>
          <w:color w:val="auto"/>
          <w:spacing w:val="-2"/>
          <w:sz w:val="24"/>
          <w:szCs w:val="24"/>
          <w:highlight w:val="none"/>
          <w:lang w:val="en-US" w:eastAsia="zh-CN"/>
        </w:rPr>
        <w:t>区内</w:t>
      </w:r>
      <w:bookmarkStart w:id="740" w:name="OLE_LINK186"/>
      <w:r>
        <w:rPr>
          <w:rFonts w:hint="eastAsia" w:ascii="Times New Roman" w:hAnsi="Times New Roman" w:eastAsia="宋体" w:cs="Times New Roman"/>
          <w:color w:val="auto"/>
          <w:spacing w:val="-2"/>
          <w:sz w:val="24"/>
          <w:szCs w:val="24"/>
          <w:highlight w:val="none"/>
          <w:lang w:val="en-US" w:eastAsia="zh-CN"/>
        </w:rPr>
        <w:t>汽车制造业</w:t>
      </w:r>
      <w:bookmarkEnd w:id="740"/>
      <w:bookmarkStart w:id="741" w:name="OLE_LINK150"/>
      <w:r>
        <w:rPr>
          <w:rFonts w:hint="eastAsia" w:ascii="Times New Roman" w:hAnsi="Times New Roman" w:eastAsia="宋体" w:cs="Times New Roman"/>
          <w:color w:val="auto"/>
          <w:spacing w:val="-2"/>
          <w:sz w:val="24"/>
          <w:szCs w:val="24"/>
          <w:highlight w:val="none"/>
          <w:lang w:val="en-US" w:eastAsia="zh-CN"/>
        </w:rPr>
        <w:t>企业</w:t>
      </w:r>
      <w:bookmarkEnd w:id="741"/>
      <w:r>
        <w:rPr>
          <w:rFonts w:hint="eastAsia" w:ascii="Times New Roman" w:hAnsi="Times New Roman" w:eastAsia="宋体" w:cs="Times New Roman"/>
          <w:color w:val="auto"/>
          <w:spacing w:val="-2"/>
          <w:sz w:val="24"/>
          <w:szCs w:val="24"/>
          <w:highlight w:val="none"/>
          <w:lang w:val="en-US" w:eastAsia="zh-CN"/>
        </w:rPr>
        <w:t>废气排放执行</w:t>
      </w:r>
      <w:bookmarkStart w:id="742" w:name="OLE_LINK216"/>
      <w:r>
        <w:rPr>
          <w:rFonts w:hint="eastAsia" w:ascii="Times New Roman" w:hAnsi="Times New Roman" w:eastAsia="宋体" w:cs="Times New Roman"/>
          <w:color w:val="auto"/>
          <w:spacing w:val="-2"/>
          <w:sz w:val="24"/>
          <w:szCs w:val="24"/>
          <w:highlight w:val="none"/>
          <w:lang w:val="en-US" w:eastAsia="zh-CN"/>
        </w:rPr>
        <w:t>《表面涂装（汽车制造业）挥发性有机物排放标准》（DB32/2862-2016）</w:t>
      </w:r>
      <w:bookmarkEnd w:id="738"/>
      <w:bookmarkEnd w:id="742"/>
      <w:r>
        <w:rPr>
          <w:rFonts w:hint="eastAsia" w:ascii="Times New Roman" w:hAnsi="Times New Roman" w:eastAsia="宋体" w:cs="Times New Roman"/>
          <w:color w:val="auto"/>
          <w:spacing w:val="-2"/>
          <w:sz w:val="24"/>
          <w:szCs w:val="24"/>
          <w:highlight w:val="none"/>
          <w:lang w:val="en-US" w:eastAsia="zh-CN"/>
        </w:rPr>
        <w:t>中限值标准；</w:t>
      </w:r>
      <w:bookmarkEnd w:id="739"/>
      <w:bookmarkStart w:id="743" w:name="OLE_LINK152"/>
    </w:p>
    <w:p w14:paraId="4D3C4AE8">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eastAsia" w:ascii="Times New Roman" w:hAnsi="Times New Roman" w:eastAsia="宋体" w:cs="Times New Roman"/>
          <w:color w:val="auto"/>
          <w:spacing w:val="-2"/>
          <w:sz w:val="24"/>
          <w:szCs w:val="24"/>
          <w:highlight w:val="none"/>
          <w:lang w:val="en-US" w:eastAsia="zh-CN"/>
        </w:rPr>
      </w:pPr>
      <w:bookmarkStart w:id="744" w:name="OLE_LINK243"/>
      <w:bookmarkStart w:id="745" w:name="OLE_LINK222"/>
      <w:bookmarkStart w:id="746" w:name="OLE_LINK237"/>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2-28  </w:t>
      </w:r>
      <w:r>
        <w:rPr>
          <w:rFonts w:hint="eastAsia" w:ascii="Times New Roman" w:hAnsi="Times New Roman" w:eastAsia="宋体" w:cs="Times New Roman"/>
          <w:b/>
          <w:bCs/>
          <w:color w:val="auto"/>
          <w:spacing w:val="-2"/>
          <w:sz w:val="24"/>
          <w:szCs w:val="24"/>
          <w:highlight w:val="none"/>
          <w:lang w:val="en-US" w:eastAsia="zh-CN"/>
        </w:rPr>
        <w:t xml:space="preserve"> 排气筒VOCs排放限值</w:t>
      </w:r>
      <w:bookmarkStart w:id="747" w:name="pindex2482"/>
      <w:bookmarkEnd w:id="747"/>
    </w:p>
    <w:bookmarkEnd w:id="744"/>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958"/>
        <w:gridCol w:w="1064"/>
        <w:gridCol w:w="2303"/>
        <w:gridCol w:w="2163"/>
        <w:gridCol w:w="2163"/>
      </w:tblGrid>
      <w:tr w14:paraId="15DE2837">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gridSpan w:val="2"/>
            <w:tcBorders>
              <w:tl2br w:val="nil"/>
              <w:tr2bl w:val="nil"/>
            </w:tcBorders>
            <w:vAlign w:val="center"/>
          </w:tcPr>
          <w:p w14:paraId="3EAF1733">
            <w:pPr>
              <w:widowControl w:val="0"/>
              <w:bidi w:val="0"/>
              <w:jc w:val="center"/>
              <w:rPr>
                <w:rFonts w:hint="default" w:ascii="Times New Roman" w:hAnsi="Times New Roman" w:eastAsia="宋体" w:cs="Times New Roman"/>
                <w:b/>
                <w:bCs/>
                <w:color w:val="auto"/>
                <w:sz w:val="21"/>
                <w:szCs w:val="21"/>
                <w:highlight w:val="none"/>
                <w:lang w:val="en-US" w:eastAsia="zh-CN"/>
              </w:rPr>
            </w:pPr>
            <w:bookmarkStart w:id="748" w:name="OLE_LINK220" w:colFirst="0" w:colLast="3"/>
            <w:bookmarkStart w:id="749" w:name="OLE_LINK217"/>
            <w:bookmarkStart w:id="750" w:name="OLE_LINK218"/>
            <w:r>
              <w:rPr>
                <w:rFonts w:hint="eastAsia" w:ascii="Times New Roman" w:hAnsi="Times New Roman" w:eastAsia="宋体" w:cs="Times New Roman"/>
                <w:b/>
                <w:bCs/>
                <w:color w:val="auto"/>
                <w:sz w:val="21"/>
                <w:szCs w:val="21"/>
                <w:highlight w:val="none"/>
                <w:lang w:val="en-US" w:eastAsia="zh-CN"/>
              </w:rPr>
              <w:t>项目</w:t>
            </w:r>
          </w:p>
        </w:tc>
        <w:tc>
          <w:tcPr>
            <w:tcW w:w="2303" w:type="dxa"/>
            <w:tcBorders>
              <w:tl2br w:val="nil"/>
              <w:tr2bl w:val="nil"/>
            </w:tcBorders>
            <w:vAlign w:val="center"/>
          </w:tcPr>
          <w:p w14:paraId="0647910A">
            <w:pPr>
              <w:widowControl w:val="0"/>
              <w:bidi w:val="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最高允许排放浓度</w:t>
            </w:r>
          </w:p>
          <w:p w14:paraId="71FC7AA5">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（mg/m</w:t>
            </w:r>
            <w:bookmarkStart w:id="751" w:name="OLE_LINK219"/>
            <w:r>
              <w:rPr>
                <w:rFonts w:hint="eastAsia" w:ascii="Times New Roman" w:hAnsi="Times New Roman" w:eastAsia="宋体" w:cs="Times New Roman"/>
                <w:b/>
                <w:bCs/>
                <w:color w:val="auto"/>
                <w:sz w:val="21"/>
                <w:szCs w:val="21"/>
                <w:highlight w:val="none"/>
                <w:vertAlign w:val="superscript"/>
                <w:lang w:val="en-US" w:eastAsia="zh-CN"/>
              </w:rPr>
              <w:t>3</w:t>
            </w:r>
            <w:bookmarkEnd w:id="751"/>
            <w:r>
              <w:rPr>
                <w:rFonts w:hint="eastAsia" w:ascii="Times New Roman" w:hAnsi="Times New Roman" w:eastAsia="宋体" w:cs="Times New Roman"/>
                <w:b/>
                <w:bCs/>
                <w:color w:val="auto"/>
                <w:sz w:val="21"/>
                <w:szCs w:val="21"/>
                <w:highlight w:val="none"/>
                <w:lang w:val="en-US" w:eastAsia="zh-CN"/>
              </w:rPr>
              <w:t>）</w:t>
            </w:r>
          </w:p>
        </w:tc>
        <w:tc>
          <w:tcPr>
            <w:tcW w:w="2163" w:type="dxa"/>
            <w:tcBorders>
              <w:tl2br w:val="nil"/>
              <w:tr2bl w:val="nil"/>
            </w:tcBorders>
            <w:vAlign w:val="center"/>
          </w:tcPr>
          <w:p w14:paraId="5C6603CA">
            <w:pPr>
              <w:widowControl w:val="0"/>
              <w:bidi w:val="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最高允许排放速率</w:t>
            </w:r>
          </w:p>
          <w:p w14:paraId="1AF1C4E4">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（kg/h）</w:t>
            </w:r>
          </w:p>
        </w:tc>
        <w:tc>
          <w:tcPr>
            <w:tcW w:w="2163" w:type="dxa"/>
            <w:tcBorders>
              <w:tl2br w:val="nil"/>
              <w:tr2bl w:val="nil"/>
            </w:tcBorders>
            <w:vAlign w:val="center"/>
          </w:tcPr>
          <w:p w14:paraId="64097E27">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污染物排放监控位置</w:t>
            </w:r>
          </w:p>
        </w:tc>
      </w:tr>
      <w:bookmarkEnd w:id="745"/>
      <w:bookmarkEnd w:id="748"/>
      <w:tr w14:paraId="0191833F">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gridSpan w:val="2"/>
            <w:tcBorders>
              <w:tl2br w:val="nil"/>
              <w:tr2bl w:val="nil"/>
            </w:tcBorders>
            <w:vAlign w:val="center"/>
          </w:tcPr>
          <w:p w14:paraId="5E7219A4">
            <w:pPr>
              <w:widowControl w:val="0"/>
              <w:bidi w:val="0"/>
              <w:jc w:val="center"/>
              <w:rPr>
                <w:rFonts w:hint="default" w:ascii="Times New Roman" w:hAnsi="Times New Roman" w:eastAsia="宋体" w:cs="Times New Roman"/>
                <w:color w:val="auto"/>
                <w:sz w:val="21"/>
                <w:szCs w:val="21"/>
                <w:highlight w:val="none"/>
                <w:lang w:val="en-US" w:eastAsia="zh-CN"/>
              </w:rPr>
            </w:pPr>
            <w:bookmarkStart w:id="752" w:name="OLE_LINK239" w:colFirst="0" w:colLast="0"/>
            <w:r>
              <w:rPr>
                <w:rFonts w:hint="eastAsia" w:ascii="Times New Roman" w:hAnsi="Times New Roman" w:eastAsia="宋体" w:cs="Times New Roman"/>
                <w:color w:val="auto"/>
                <w:sz w:val="21"/>
                <w:szCs w:val="21"/>
                <w:highlight w:val="none"/>
                <w:lang w:val="en-US" w:eastAsia="zh-CN"/>
              </w:rPr>
              <w:t>苯</w:t>
            </w:r>
          </w:p>
        </w:tc>
        <w:tc>
          <w:tcPr>
            <w:tcW w:w="2303" w:type="dxa"/>
            <w:tcBorders>
              <w:tl2br w:val="nil"/>
              <w:tr2bl w:val="nil"/>
            </w:tcBorders>
            <w:vAlign w:val="center"/>
          </w:tcPr>
          <w:p w14:paraId="0B6D5B60">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163" w:type="dxa"/>
            <w:tcBorders>
              <w:tl2br w:val="nil"/>
              <w:tr2bl w:val="nil"/>
            </w:tcBorders>
            <w:vAlign w:val="center"/>
          </w:tcPr>
          <w:p w14:paraId="2C510AD1">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0.6</w:t>
            </w:r>
          </w:p>
        </w:tc>
        <w:tc>
          <w:tcPr>
            <w:tcW w:w="2163" w:type="dxa"/>
            <w:vMerge w:val="restart"/>
            <w:tcBorders>
              <w:tl2br w:val="nil"/>
              <w:tr2bl w:val="nil"/>
            </w:tcBorders>
            <w:vAlign w:val="center"/>
          </w:tcPr>
          <w:p w14:paraId="33B553AD">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车间或生产设施排气筒</w:t>
            </w:r>
          </w:p>
        </w:tc>
      </w:tr>
      <w:bookmarkEnd w:id="746"/>
      <w:tr w14:paraId="774AF2D2">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gridSpan w:val="2"/>
            <w:tcBorders>
              <w:tl2br w:val="nil"/>
              <w:tr2bl w:val="nil"/>
            </w:tcBorders>
            <w:vAlign w:val="center"/>
          </w:tcPr>
          <w:p w14:paraId="1EEE12FC">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甲苯</w:t>
            </w:r>
          </w:p>
        </w:tc>
        <w:tc>
          <w:tcPr>
            <w:tcW w:w="2303" w:type="dxa"/>
            <w:tcBorders>
              <w:tl2br w:val="nil"/>
              <w:tr2bl w:val="nil"/>
            </w:tcBorders>
            <w:vAlign w:val="center"/>
          </w:tcPr>
          <w:p w14:paraId="631B42DE">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2163" w:type="dxa"/>
            <w:tcBorders>
              <w:tl2br w:val="nil"/>
              <w:tr2bl w:val="nil"/>
            </w:tcBorders>
            <w:vAlign w:val="center"/>
          </w:tcPr>
          <w:p w14:paraId="609E8EBD">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2163" w:type="dxa"/>
            <w:vMerge w:val="continue"/>
            <w:tcBorders>
              <w:tl2br w:val="nil"/>
              <w:tr2bl w:val="nil"/>
            </w:tcBorders>
            <w:vAlign w:val="center"/>
          </w:tcPr>
          <w:p w14:paraId="561C4F5B">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27A342A8">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gridSpan w:val="2"/>
            <w:tcBorders>
              <w:tl2br w:val="nil"/>
              <w:tr2bl w:val="nil"/>
            </w:tcBorders>
            <w:vAlign w:val="center"/>
          </w:tcPr>
          <w:p w14:paraId="0AC2D01B">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二甲苯</w:t>
            </w:r>
          </w:p>
        </w:tc>
        <w:tc>
          <w:tcPr>
            <w:tcW w:w="2303" w:type="dxa"/>
            <w:tcBorders>
              <w:tl2br w:val="nil"/>
              <w:tr2bl w:val="nil"/>
            </w:tcBorders>
            <w:vAlign w:val="center"/>
          </w:tcPr>
          <w:p w14:paraId="06919ADC">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2163" w:type="dxa"/>
            <w:tcBorders>
              <w:tl2br w:val="nil"/>
              <w:tr2bl w:val="nil"/>
            </w:tcBorders>
            <w:vAlign w:val="center"/>
          </w:tcPr>
          <w:p w14:paraId="4C102007">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w:t>
            </w:r>
          </w:p>
        </w:tc>
        <w:tc>
          <w:tcPr>
            <w:tcW w:w="2163" w:type="dxa"/>
            <w:vMerge w:val="continue"/>
            <w:tcBorders>
              <w:tl2br w:val="nil"/>
              <w:tr2bl w:val="nil"/>
            </w:tcBorders>
            <w:vAlign w:val="center"/>
          </w:tcPr>
          <w:p w14:paraId="6E533E6F">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296D8108">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022" w:type="dxa"/>
            <w:gridSpan w:val="2"/>
            <w:tcBorders>
              <w:tl2br w:val="nil"/>
              <w:tr2bl w:val="nil"/>
            </w:tcBorders>
            <w:vAlign w:val="center"/>
          </w:tcPr>
          <w:p w14:paraId="1BFB8784">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苯系物</w:t>
            </w:r>
          </w:p>
        </w:tc>
        <w:tc>
          <w:tcPr>
            <w:tcW w:w="2303" w:type="dxa"/>
            <w:tcBorders>
              <w:tl2br w:val="nil"/>
              <w:tr2bl w:val="nil"/>
            </w:tcBorders>
            <w:vAlign w:val="center"/>
          </w:tcPr>
          <w:p w14:paraId="512504D8">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2163" w:type="dxa"/>
            <w:tcBorders>
              <w:tl2br w:val="nil"/>
              <w:tr2bl w:val="nil"/>
            </w:tcBorders>
            <w:vAlign w:val="center"/>
          </w:tcPr>
          <w:p w14:paraId="6E5B2F93">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c>
          <w:tcPr>
            <w:tcW w:w="2163" w:type="dxa"/>
            <w:vMerge w:val="continue"/>
            <w:tcBorders>
              <w:tl2br w:val="nil"/>
              <w:tr2bl w:val="nil"/>
            </w:tcBorders>
            <w:vAlign w:val="center"/>
          </w:tcPr>
          <w:p w14:paraId="1C2856F8">
            <w:pPr>
              <w:widowControl w:val="0"/>
              <w:bidi w:val="0"/>
              <w:jc w:val="center"/>
              <w:rPr>
                <w:rFonts w:hint="default" w:ascii="Times New Roman" w:hAnsi="Times New Roman" w:eastAsia="宋体" w:cs="Times New Roman"/>
                <w:color w:val="auto"/>
                <w:sz w:val="21"/>
                <w:szCs w:val="21"/>
                <w:highlight w:val="none"/>
                <w:lang w:val="en-US" w:eastAsia="zh-CN"/>
              </w:rPr>
            </w:pPr>
          </w:p>
        </w:tc>
      </w:tr>
      <w:bookmarkEnd w:id="752"/>
      <w:tr w14:paraId="55D37163">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958" w:type="dxa"/>
            <w:vMerge w:val="restart"/>
            <w:tcBorders>
              <w:tl2br w:val="nil"/>
              <w:tr2bl w:val="nil"/>
            </w:tcBorders>
            <w:vAlign w:val="center"/>
          </w:tcPr>
          <w:p w14:paraId="4571E810">
            <w:pPr>
              <w:widowControl w:val="0"/>
              <w:bidi w:val="0"/>
              <w:jc w:val="center"/>
              <w:rPr>
                <w:rFonts w:hint="default" w:ascii="Times New Roman" w:hAnsi="Times New Roman" w:eastAsia="宋体" w:cs="Times New Roman"/>
                <w:color w:val="auto"/>
                <w:sz w:val="21"/>
                <w:szCs w:val="21"/>
                <w:highlight w:val="none"/>
                <w:lang w:val="en-US" w:eastAsia="zh-CN"/>
              </w:rPr>
            </w:pPr>
            <w:bookmarkStart w:id="753" w:name="OLE_LINK240"/>
            <w:bookmarkStart w:id="754" w:name="OLE_LINK221" w:colFirst="0" w:colLast="1"/>
            <w:r>
              <w:rPr>
                <w:rFonts w:hint="eastAsia" w:ascii="Times New Roman" w:hAnsi="Times New Roman" w:eastAsia="宋体" w:cs="Times New Roman"/>
                <w:color w:val="auto"/>
                <w:sz w:val="21"/>
                <w:szCs w:val="21"/>
                <w:highlight w:val="none"/>
                <w:lang w:val="en-US" w:eastAsia="zh-CN"/>
              </w:rPr>
              <w:t>TVOCs</w:t>
            </w:r>
            <w:bookmarkEnd w:id="753"/>
          </w:p>
        </w:tc>
        <w:tc>
          <w:tcPr>
            <w:tcW w:w="1064" w:type="dxa"/>
            <w:tcBorders>
              <w:tl2br w:val="nil"/>
              <w:tr2bl w:val="nil"/>
            </w:tcBorders>
            <w:vAlign w:val="center"/>
          </w:tcPr>
          <w:p w14:paraId="15295DC4">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乘用车</w:t>
            </w:r>
          </w:p>
        </w:tc>
        <w:tc>
          <w:tcPr>
            <w:tcW w:w="2303" w:type="dxa"/>
            <w:tcBorders>
              <w:tl2br w:val="nil"/>
              <w:tr2bl w:val="nil"/>
            </w:tcBorders>
            <w:vAlign w:val="center"/>
          </w:tcPr>
          <w:p w14:paraId="5DAD3B3B">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w:t>
            </w:r>
          </w:p>
        </w:tc>
        <w:tc>
          <w:tcPr>
            <w:tcW w:w="2163" w:type="dxa"/>
            <w:tcBorders>
              <w:tl2br w:val="nil"/>
              <w:tr2bl w:val="nil"/>
            </w:tcBorders>
            <w:vAlign w:val="center"/>
          </w:tcPr>
          <w:p w14:paraId="54DB9515">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32</w:t>
            </w:r>
          </w:p>
        </w:tc>
        <w:tc>
          <w:tcPr>
            <w:tcW w:w="2163" w:type="dxa"/>
            <w:vMerge w:val="continue"/>
            <w:tcBorders>
              <w:tl2br w:val="nil"/>
              <w:tr2bl w:val="nil"/>
            </w:tcBorders>
            <w:vAlign w:val="center"/>
          </w:tcPr>
          <w:p w14:paraId="06D074D1">
            <w:pPr>
              <w:widowControl w:val="0"/>
              <w:bidi w:val="0"/>
              <w:jc w:val="center"/>
              <w:rPr>
                <w:rFonts w:hint="default" w:ascii="Times New Roman" w:hAnsi="Times New Roman" w:eastAsia="宋体" w:cs="Times New Roman"/>
                <w:color w:val="auto"/>
                <w:sz w:val="21"/>
                <w:szCs w:val="21"/>
                <w:highlight w:val="none"/>
                <w:lang w:val="en-US" w:eastAsia="zh-CN"/>
              </w:rPr>
            </w:pPr>
          </w:p>
        </w:tc>
      </w:tr>
      <w:tr w14:paraId="2BC829B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958" w:type="dxa"/>
            <w:vMerge w:val="continue"/>
            <w:tcBorders>
              <w:tl2br w:val="nil"/>
              <w:tr2bl w:val="nil"/>
            </w:tcBorders>
            <w:vAlign w:val="center"/>
          </w:tcPr>
          <w:p w14:paraId="62FD0503">
            <w:pPr>
              <w:widowControl w:val="0"/>
              <w:bidi w:val="0"/>
              <w:jc w:val="center"/>
              <w:rPr>
                <w:rFonts w:hint="default" w:ascii="Times New Roman" w:hAnsi="Times New Roman" w:eastAsia="宋体" w:cs="Times New Roman"/>
                <w:color w:val="auto"/>
                <w:sz w:val="21"/>
                <w:szCs w:val="21"/>
                <w:highlight w:val="none"/>
                <w:lang w:val="en-US" w:eastAsia="zh-CN"/>
              </w:rPr>
            </w:pPr>
          </w:p>
        </w:tc>
        <w:tc>
          <w:tcPr>
            <w:tcW w:w="1064" w:type="dxa"/>
            <w:tcBorders>
              <w:tl2br w:val="nil"/>
              <w:tr2bl w:val="nil"/>
            </w:tcBorders>
            <w:vAlign w:val="center"/>
          </w:tcPr>
          <w:p w14:paraId="23B0F1D6">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其他车型</w:t>
            </w:r>
          </w:p>
        </w:tc>
        <w:tc>
          <w:tcPr>
            <w:tcW w:w="2303" w:type="dxa"/>
            <w:tcBorders>
              <w:tl2br w:val="nil"/>
              <w:tr2bl w:val="nil"/>
            </w:tcBorders>
            <w:vAlign w:val="center"/>
          </w:tcPr>
          <w:p w14:paraId="2354B20A">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2163" w:type="dxa"/>
            <w:tcBorders>
              <w:tl2br w:val="nil"/>
              <w:tr2bl w:val="nil"/>
            </w:tcBorders>
            <w:vAlign w:val="center"/>
          </w:tcPr>
          <w:p w14:paraId="3BD7007E">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2163" w:type="dxa"/>
            <w:vMerge w:val="continue"/>
            <w:tcBorders>
              <w:tl2br w:val="nil"/>
              <w:tr2bl w:val="nil"/>
            </w:tcBorders>
            <w:vAlign w:val="center"/>
          </w:tcPr>
          <w:p w14:paraId="5F6A6456">
            <w:pPr>
              <w:widowControl w:val="0"/>
              <w:bidi w:val="0"/>
              <w:jc w:val="center"/>
              <w:rPr>
                <w:rFonts w:hint="default" w:ascii="Times New Roman" w:hAnsi="Times New Roman" w:eastAsia="宋体" w:cs="Times New Roman"/>
                <w:color w:val="auto"/>
                <w:sz w:val="21"/>
                <w:szCs w:val="21"/>
                <w:highlight w:val="none"/>
                <w:lang w:val="en-US" w:eastAsia="zh-CN"/>
              </w:rPr>
            </w:pPr>
          </w:p>
        </w:tc>
      </w:tr>
      <w:bookmarkEnd w:id="749"/>
      <w:bookmarkEnd w:id="750"/>
      <w:bookmarkEnd w:id="754"/>
    </w:tbl>
    <w:p w14:paraId="1B9747CA">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eastAsia" w:ascii="Times New Roman" w:hAnsi="Times New Roman" w:eastAsia="宋体" w:cs="Times New Roman"/>
          <w:color w:val="auto"/>
          <w:spacing w:val="-2"/>
          <w:sz w:val="24"/>
          <w:szCs w:val="24"/>
          <w:highlight w:val="none"/>
          <w:lang w:val="en-US" w:eastAsia="zh-CN"/>
        </w:rPr>
      </w:pPr>
      <w:bookmarkStart w:id="755" w:name="OLE_LINK236"/>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2-29  </w:t>
      </w:r>
      <w:r>
        <w:rPr>
          <w:rFonts w:hint="eastAsia" w:ascii="Times New Roman" w:hAnsi="Times New Roman" w:eastAsia="宋体" w:cs="Times New Roman"/>
          <w:b/>
          <w:bCs/>
          <w:color w:val="auto"/>
          <w:spacing w:val="-2"/>
          <w:sz w:val="24"/>
          <w:szCs w:val="24"/>
          <w:highlight w:val="none"/>
          <w:lang w:val="en-US" w:eastAsia="zh-CN"/>
        </w:rPr>
        <w:t>汽车涂装生产线单位涂装面积VOCs排放量限值</w:t>
      </w:r>
      <w:bookmarkStart w:id="756" w:name="pindex2515"/>
      <w:bookmarkEnd w:id="756"/>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067"/>
        <w:gridCol w:w="1459"/>
        <w:gridCol w:w="2564"/>
        <w:gridCol w:w="3561"/>
      </w:tblGrid>
      <w:tr w14:paraId="30411699">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526" w:type="dxa"/>
            <w:gridSpan w:val="2"/>
            <w:tcBorders>
              <w:tl2br w:val="nil"/>
              <w:tr2bl w:val="nil"/>
            </w:tcBorders>
            <w:vAlign w:val="center"/>
          </w:tcPr>
          <w:p w14:paraId="1019C5EB">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车型</w:t>
            </w:r>
          </w:p>
        </w:tc>
        <w:tc>
          <w:tcPr>
            <w:tcW w:w="2564" w:type="dxa"/>
            <w:tcBorders>
              <w:tl2br w:val="nil"/>
              <w:tr2bl w:val="nil"/>
            </w:tcBorders>
            <w:vAlign w:val="center"/>
          </w:tcPr>
          <w:p w14:paraId="0C2794BE">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单位涂装面积VOCs排放限值（g/m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lang w:val="en-US" w:eastAsia="zh-CN"/>
              </w:rPr>
              <w:t>）</w:t>
            </w:r>
          </w:p>
        </w:tc>
        <w:tc>
          <w:tcPr>
            <w:tcW w:w="3561" w:type="dxa"/>
            <w:tcBorders>
              <w:tl2br w:val="nil"/>
              <w:tr2bl w:val="nil"/>
            </w:tcBorders>
            <w:vAlign w:val="center"/>
          </w:tcPr>
          <w:p w14:paraId="6488DFCF">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说明</w:t>
            </w:r>
          </w:p>
        </w:tc>
      </w:tr>
      <w:bookmarkEnd w:id="755"/>
      <w:tr w14:paraId="08CFC43E">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526" w:type="dxa"/>
            <w:gridSpan w:val="2"/>
            <w:tcBorders>
              <w:tl2br w:val="nil"/>
              <w:tr2bl w:val="nil"/>
            </w:tcBorders>
            <w:vAlign w:val="center"/>
          </w:tcPr>
          <w:p w14:paraId="7C9A74BB">
            <w:pPr>
              <w:widowControl w:val="0"/>
              <w:bidi w:val="0"/>
              <w:jc w:val="center"/>
              <w:rPr>
                <w:rFonts w:hint="default" w:ascii="Times New Roman" w:hAnsi="Times New Roman" w:eastAsia="宋体" w:cs="Times New Roman"/>
                <w:b w:val="0"/>
                <w:bCs w:val="0"/>
                <w:color w:val="auto"/>
                <w:sz w:val="21"/>
                <w:szCs w:val="21"/>
                <w:highlight w:val="none"/>
                <w:lang w:val="en-US" w:eastAsia="zh-CN"/>
              </w:rPr>
            </w:pPr>
            <w:bookmarkStart w:id="757" w:name="OLE_LINK223" w:colFirst="0" w:colLast="3"/>
            <w:r>
              <w:rPr>
                <w:rFonts w:hint="eastAsia" w:ascii="Times New Roman" w:hAnsi="Times New Roman" w:eastAsia="宋体" w:cs="Times New Roman"/>
                <w:b w:val="0"/>
                <w:bCs w:val="0"/>
                <w:color w:val="auto"/>
                <w:sz w:val="21"/>
                <w:szCs w:val="21"/>
                <w:highlight w:val="none"/>
                <w:lang w:val="en-US" w:eastAsia="zh-CN"/>
              </w:rPr>
              <w:t>乘用车</w:t>
            </w:r>
          </w:p>
        </w:tc>
        <w:tc>
          <w:tcPr>
            <w:tcW w:w="2564" w:type="dxa"/>
            <w:tcBorders>
              <w:tl2br w:val="nil"/>
              <w:tr2bl w:val="nil"/>
            </w:tcBorders>
            <w:vAlign w:val="center"/>
          </w:tcPr>
          <w:p w14:paraId="72D25F06">
            <w:pPr>
              <w:widowControl w:val="0"/>
              <w:bidi w:val="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35</w:t>
            </w:r>
          </w:p>
        </w:tc>
        <w:tc>
          <w:tcPr>
            <w:tcW w:w="3561" w:type="dxa"/>
            <w:tcBorders>
              <w:tl2br w:val="nil"/>
              <w:tr2bl w:val="nil"/>
            </w:tcBorders>
            <w:vAlign w:val="center"/>
          </w:tcPr>
          <w:p w14:paraId="00B47304">
            <w:pPr>
              <w:widowControl w:val="0"/>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指</w:t>
            </w:r>
            <w:bookmarkStart w:id="758" w:name="OLE_LINK224"/>
            <w:bookmarkStart w:id="759" w:name="OLE_LINK225"/>
            <w:bookmarkStart w:id="760" w:name="OLE_LINK226"/>
            <w:r>
              <w:rPr>
                <w:rFonts w:hint="eastAsia" w:ascii="Times New Roman" w:hAnsi="Times New Roman" w:eastAsia="宋体" w:cs="Times New Roman"/>
                <w:b w:val="0"/>
                <w:bCs w:val="0"/>
                <w:color w:val="auto"/>
                <w:sz w:val="21"/>
                <w:szCs w:val="21"/>
                <w:highlight w:val="none"/>
                <w:lang w:val="en-US" w:eastAsia="zh-CN"/>
              </w:rPr>
              <w:t>GB/T15089</w:t>
            </w:r>
            <w:bookmarkEnd w:id="758"/>
            <w:r>
              <w:rPr>
                <w:rFonts w:hint="eastAsia" w:ascii="Times New Roman" w:hAnsi="Times New Roman" w:eastAsia="宋体" w:cs="Times New Roman"/>
                <w:b w:val="0"/>
                <w:bCs w:val="0"/>
                <w:color w:val="auto"/>
                <w:sz w:val="21"/>
                <w:szCs w:val="21"/>
                <w:highlight w:val="none"/>
                <w:lang w:val="en-US" w:eastAsia="zh-CN"/>
              </w:rPr>
              <w:t>规定的M</w:t>
            </w:r>
            <w:r>
              <w:rPr>
                <w:rFonts w:hint="eastAsia" w:ascii="Times New Roman" w:hAnsi="Times New Roman" w:eastAsia="宋体" w:cs="Times New Roman"/>
                <w:b w:val="0"/>
                <w:bCs w:val="0"/>
                <w:color w:val="auto"/>
                <w:sz w:val="21"/>
                <w:szCs w:val="21"/>
                <w:highlight w:val="none"/>
                <w:vertAlign w:val="subscript"/>
                <w:lang w:val="en-US" w:eastAsia="zh-CN"/>
              </w:rPr>
              <w:t>1</w:t>
            </w:r>
            <w:r>
              <w:rPr>
                <w:rFonts w:hint="eastAsia" w:ascii="Times New Roman" w:hAnsi="Times New Roman" w:eastAsia="宋体" w:cs="Times New Roman"/>
                <w:b w:val="0"/>
                <w:bCs w:val="0"/>
                <w:color w:val="auto"/>
                <w:sz w:val="21"/>
                <w:szCs w:val="21"/>
                <w:highlight w:val="none"/>
                <w:lang w:val="en-US" w:eastAsia="zh-CN"/>
              </w:rPr>
              <w:t>类汽车</w:t>
            </w:r>
            <w:bookmarkEnd w:id="759"/>
            <w:r>
              <w:rPr>
                <w:rFonts w:hint="eastAsia" w:ascii="Times New Roman" w:hAnsi="Times New Roman" w:eastAsia="宋体" w:cs="Times New Roman"/>
                <w:b w:val="0"/>
                <w:bCs w:val="0"/>
                <w:color w:val="auto"/>
                <w:sz w:val="21"/>
                <w:szCs w:val="21"/>
                <w:highlight w:val="none"/>
                <w:lang w:val="en-US" w:eastAsia="zh-CN"/>
              </w:rPr>
              <w:t>。</w:t>
            </w:r>
            <w:bookmarkEnd w:id="760"/>
          </w:p>
        </w:tc>
      </w:tr>
      <w:tr w14:paraId="6170834A">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1067" w:type="dxa"/>
            <w:vMerge w:val="restart"/>
            <w:tcBorders>
              <w:tl2br w:val="nil"/>
              <w:tr2bl w:val="nil"/>
            </w:tcBorders>
            <w:vAlign w:val="center"/>
          </w:tcPr>
          <w:p w14:paraId="2780FF75">
            <w:pPr>
              <w:widowControl w:val="0"/>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载货汽车</w:t>
            </w:r>
          </w:p>
        </w:tc>
        <w:tc>
          <w:tcPr>
            <w:tcW w:w="1459" w:type="dxa"/>
            <w:tcBorders>
              <w:tl2br w:val="nil"/>
              <w:tr2bl w:val="nil"/>
            </w:tcBorders>
            <w:vAlign w:val="center"/>
          </w:tcPr>
          <w:p w14:paraId="254762BE">
            <w:pPr>
              <w:widowControl w:val="0"/>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驾驶室</w:t>
            </w:r>
          </w:p>
        </w:tc>
        <w:tc>
          <w:tcPr>
            <w:tcW w:w="2564" w:type="dxa"/>
            <w:tcBorders>
              <w:tl2br w:val="nil"/>
              <w:tr2bl w:val="nil"/>
            </w:tcBorders>
            <w:vAlign w:val="center"/>
          </w:tcPr>
          <w:p w14:paraId="46019F07">
            <w:pPr>
              <w:widowControl w:val="0"/>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55</w:t>
            </w:r>
          </w:p>
        </w:tc>
        <w:tc>
          <w:tcPr>
            <w:tcW w:w="3561" w:type="dxa"/>
            <w:tcBorders>
              <w:tl2br w:val="nil"/>
              <w:tr2bl w:val="nil"/>
            </w:tcBorders>
            <w:vAlign w:val="center"/>
          </w:tcPr>
          <w:p w14:paraId="1B1F9D8B">
            <w:pPr>
              <w:widowControl w:val="0"/>
              <w:bidi w:val="0"/>
              <w:jc w:val="center"/>
              <w:rPr>
                <w:rFonts w:hint="default" w:ascii="Times New Roman" w:hAnsi="Times New Roman" w:eastAsia="宋体" w:cs="Times New Roman"/>
                <w:b w:val="0"/>
                <w:bCs w:val="0"/>
                <w:color w:val="auto"/>
                <w:sz w:val="21"/>
                <w:szCs w:val="21"/>
                <w:highlight w:val="none"/>
                <w:lang w:val="en-US" w:eastAsia="zh-CN"/>
              </w:rPr>
            </w:pPr>
            <w:bookmarkStart w:id="761" w:name="OLE_LINK229"/>
            <w:r>
              <w:rPr>
                <w:rFonts w:hint="eastAsia" w:ascii="Times New Roman" w:hAnsi="Times New Roman" w:eastAsia="宋体" w:cs="Times New Roman"/>
                <w:b w:val="0"/>
                <w:bCs w:val="0"/>
                <w:color w:val="auto"/>
                <w:sz w:val="21"/>
                <w:szCs w:val="21"/>
                <w:highlight w:val="none"/>
                <w:lang w:val="en-US" w:eastAsia="zh-CN"/>
              </w:rPr>
              <w:t>指GB/T15089规定的</w:t>
            </w:r>
            <w:bookmarkStart w:id="762" w:name="OLE_LINK228"/>
            <w:r>
              <w:rPr>
                <w:rFonts w:hint="eastAsia" w:ascii="Times New Roman" w:hAnsi="Times New Roman" w:eastAsia="宋体" w:cs="Times New Roman"/>
                <w:b w:val="0"/>
                <w:bCs w:val="0"/>
                <w:color w:val="auto"/>
                <w:sz w:val="21"/>
                <w:szCs w:val="21"/>
                <w:highlight w:val="none"/>
                <w:lang w:val="en-US" w:eastAsia="zh-CN"/>
              </w:rPr>
              <w:t>N</w:t>
            </w:r>
            <w:r>
              <w:rPr>
                <w:rFonts w:hint="eastAsia" w:ascii="Times New Roman" w:hAnsi="Times New Roman" w:eastAsia="宋体" w:cs="Times New Roman"/>
                <w:b w:val="0"/>
                <w:bCs w:val="0"/>
                <w:color w:val="auto"/>
                <w:sz w:val="21"/>
                <w:szCs w:val="21"/>
                <w:highlight w:val="none"/>
                <w:vertAlign w:val="subscript"/>
                <w:lang w:val="en-US" w:eastAsia="zh-CN"/>
              </w:rPr>
              <w:t>2</w:t>
            </w:r>
            <w:bookmarkEnd w:id="762"/>
            <w:bookmarkStart w:id="763" w:name="OLE_LINK227"/>
            <w:r>
              <w:rPr>
                <w:rFonts w:hint="eastAsia" w:ascii="Times New Roman" w:hAnsi="Times New Roman" w:eastAsia="宋体" w:cs="Times New Roman"/>
                <w:b w:val="0"/>
                <w:bCs w:val="0"/>
                <w:color w:val="auto"/>
                <w:sz w:val="21"/>
                <w:szCs w:val="21"/>
                <w:highlight w:val="none"/>
                <w:vertAlign w:val="baseline"/>
                <w:lang w:val="en-US" w:eastAsia="zh-CN"/>
              </w:rPr>
              <w:t>、</w:t>
            </w:r>
            <w:bookmarkEnd w:id="763"/>
            <w:r>
              <w:rPr>
                <w:rFonts w:hint="eastAsia" w:ascii="Times New Roman" w:hAnsi="Times New Roman" w:eastAsia="宋体" w:cs="Times New Roman"/>
                <w:b w:val="0"/>
                <w:bCs w:val="0"/>
                <w:color w:val="auto"/>
                <w:sz w:val="21"/>
                <w:szCs w:val="21"/>
                <w:highlight w:val="none"/>
                <w:lang w:val="en-US" w:eastAsia="zh-CN"/>
              </w:rPr>
              <w:t>N</w:t>
            </w:r>
            <w:r>
              <w:rPr>
                <w:rFonts w:hint="eastAsia" w:ascii="Times New Roman" w:hAnsi="Times New Roman" w:eastAsia="宋体" w:cs="Times New Roman"/>
                <w:b w:val="0"/>
                <w:bCs w:val="0"/>
                <w:color w:val="auto"/>
                <w:sz w:val="21"/>
                <w:szCs w:val="21"/>
                <w:highlight w:val="none"/>
                <w:vertAlign w:val="subscript"/>
                <w:lang w:val="en-US" w:eastAsia="zh-CN"/>
              </w:rPr>
              <w:t>3</w:t>
            </w:r>
            <w:r>
              <w:rPr>
                <w:rFonts w:hint="eastAsia" w:ascii="Times New Roman" w:hAnsi="Times New Roman" w:eastAsia="宋体" w:cs="Times New Roman"/>
                <w:b w:val="0"/>
                <w:bCs w:val="0"/>
                <w:color w:val="auto"/>
                <w:sz w:val="21"/>
                <w:szCs w:val="21"/>
                <w:highlight w:val="none"/>
                <w:lang w:val="en-US" w:eastAsia="zh-CN"/>
              </w:rPr>
              <w:t>类车的驾驶室。</w:t>
            </w:r>
            <w:bookmarkEnd w:id="761"/>
          </w:p>
        </w:tc>
      </w:tr>
      <w:tr w14:paraId="3DF181AC">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1067" w:type="dxa"/>
            <w:vMerge w:val="continue"/>
            <w:tcBorders>
              <w:tl2br w:val="nil"/>
              <w:tr2bl w:val="nil"/>
            </w:tcBorders>
            <w:vAlign w:val="center"/>
          </w:tcPr>
          <w:p w14:paraId="5256B352">
            <w:pPr>
              <w:widowControl w:val="0"/>
              <w:bidi w:val="0"/>
              <w:jc w:val="center"/>
              <w:rPr>
                <w:rFonts w:hint="eastAsia" w:ascii="Times New Roman" w:hAnsi="Times New Roman" w:eastAsia="宋体" w:cs="Times New Roman"/>
                <w:b w:val="0"/>
                <w:bCs w:val="0"/>
                <w:color w:val="auto"/>
                <w:sz w:val="21"/>
                <w:szCs w:val="21"/>
                <w:highlight w:val="none"/>
                <w:lang w:val="en-US" w:eastAsia="zh-CN"/>
              </w:rPr>
            </w:pPr>
          </w:p>
        </w:tc>
        <w:tc>
          <w:tcPr>
            <w:tcW w:w="1459" w:type="dxa"/>
            <w:tcBorders>
              <w:tl2br w:val="nil"/>
              <w:tr2bl w:val="nil"/>
            </w:tcBorders>
            <w:vAlign w:val="center"/>
          </w:tcPr>
          <w:p w14:paraId="64D76B40">
            <w:pPr>
              <w:widowControl w:val="0"/>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箱式货箱</w:t>
            </w:r>
          </w:p>
        </w:tc>
        <w:tc>
          <w:tcPr>
            <w:tcW w:w="2564" w:type="dxa"/>
            <w:tcBorders>
              <w:tl2br w:val="nil"/>
              <w:tr2bl w:val="nil"/>
            </w:tcBorders>
            <w:vAlign w:val="center"/>
          </w:tcPr>
          <w:p w14:paraId="770BF4F1">
            <w:pPr>
              <w:widowControl w:val="0"/>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70</w:t>
            </w:r>
          </w:p>
        </w:tc>
        <w:tc>
          <w:tcPr>
            <w:tcW w:w="3561" w:type="dxa"/>
            <w:tcBorders>
              <w:tl2br w:val="nil"/>
              <w:tr2bl w:val="nil"/>
            </w:tcBorders>
            <w:vAlign w:val="center"/>
          </w:tcPr>
          <w:p w14:paraId="434C866E">
            <w:pPr>
              <w:widowControl w:val="0"/>
              <w:bidi w:val="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指GB/T15089规定的</w:t>
            </w:r>
            <w:bookmarkStart w:id="764" w:name="OLE_LINK230"/>
            <w:r>
              <w:rPr>
                <w:rFonts w:hint="eastAsia" w:ascii="Times New Roman" w:hAnsi="Times New Roman" w:eastAsia="宋体" w:cs="Times New Roman"/>
                <w:b w:val="0"/>
                <w:bCs w:val="0"/>
                <w:color w:val="auto"/>
                <w:sz w:val="21"/>
                <w:szCs w:val="21"/>
                <w:highlight w:val="none"/>
                <w:lang w:val="en-US" w:eastAsia="zh-CN"/>
              </w:rPr>
              <w:t>N</w:t>
            </w:r>
            <w:r>
              <w:rPr>
                <w:rFonts w:hint="eastAsia" w:ascii="Times New Roman" w:hAnsi="Times New Roman" w:eastAsia="宋体" w:cs="Times New Roman"/>
                <w:b w:val="0"/>
                <w:bCs w:val="0"/>
                <w:color w:val="auto"/>
                <w:sz w:val="21"/>
                <w:szCs w:val="21"/>
                <w:highlight w:val="none"/>
                <w:vertAlign w:val="subscript"/>
                <w:lang w:val="en-US" w:eastAsia="zh-CN"/>
              </w:rPr>
              <w:t>1</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lang w:val="en-US" w:eastAsia="zh-CN"/>
              </w:rPr>
              <w:t>N</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lang w:val="en-US" w:eastAsia="zh-CN"/>
              </w:rPr>
              <w:t>N</w:t>
            </w:r>
            <w:r>
              <w:rPr>
                <w:rFonts w:hint="eastAsia" w:ascii="Times New Roman" w:hAnsi="Times New Roman" w:eastAsia="宋体" w:cs="Times New Roman"/>
                <w:b w:val="0"/>
                <w:bCs w:val="0"/>
                <w:color w:val="auto"/>
                <w:sz w:val="21"/>
                <w:szCs w:val="21"/>
                <w:highlight w:val="none"/>
                <w:vertAlign w:val="subscript"/>
                <w:lang w:val="en-US" w:eastAsia="zh-CN"/>
              </w:rPr>
              <w:t>3</w:t>
            </w:r>
            <w:bookmarkEnd w:id="764"/>
            <w:r>
              <w:rPr>
                <w:rFonts w:hint="eastAsia" w:ascii="Times New Roman" w:hAnsi="Times New Roman" w:eastAsia="宋体" w:cs="Times New Roman"/>
                <w:b w:val="0"/>
                <w:bCs w:val="0"/>
                <w:color w:val="auto"/>
                <w:sz w:val="21"/>
                <w:szCs w:val="21"/>
                <w:highlight w:val="none"/>
                <w:lang w:val="en-US" w:eastAsia="zh-CN"/>
              </w:rPr>
              <w:t>类车，但不包括驾驶室。</w:t>
            </w:r>
          </w:p>
        </w:tc>
      </w:tr>
      <w:tr w14:paraId="21A3B3E1">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2526" w:type="dxa"/>
            <w:gridSpan w:val="2"/>
            <w:tcBorders>
              <w:tl2br w:val="nil"/>
              <w:tr2bl w:val="nil"/>
            </w:tcBorders>
            <w:vAlign w:val="center"/>
          </w:tcPr>
          <w:p w14:paraId="7CEBAF26">
            <w:pPr>
              <w:widowControl w:val="0"/>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客车</w:t>
            </w:r>
          </w:p>
        </w:tc>
        <w:tc>
          <w:tcPr>
            <w:tcW w:w="2564" w:type="dxa"/>
            <w:tcBorders>
              <w:tl2br w:val="nil"/>
              <w:tr2bl w:val="nil"/>
            </w:tcBorders>
            <w:vAlign w:val="center"/>
          </w:tcPr>
          <w:p w14:paraId="2004B32F">
            <w:pPr>
              <w:widowControl w:val="0"/>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150</w:t>
            </w:r>
          </w:p>
        </w:tc>
        <w:tc>
          <w:tcPr>
            <w:tcW w:w="3561" w:type="dxa"/>
            <w:tcBorders>
              <w:tl2br w:val="nil"/>
              <w:tr2bl w:val="nil"/>
            </w:tcBorders>
            <w:vAlign w:val="center"/>
          </w:tcPr>
          <w:p w14:paraId="4BD6C2F2">
            <w:pPr>
              <w:widowControl w:val="0"/>
              <w:bidi w:val="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指GB/T15089规定的M</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lang w:val="en-US" w:eastAsia="zh-CN"/>
              </w:rPr>
              <w:t>M</w:t>
            </w:r>
            <w:r>
              <w:rPr>
                <w:rFonts w:hint="eastAsia" w:ascii="Times New Roman" w:hAnsi="Times New Roman" w:eastAsia="宋体" w:cs="Times New Roman"/>
                <w:b w:val="0"/>
                <w:bCs w:val="0"/>
                <w:color w:val="auto"/>
                <w:sz w:val="21"/>
                <w:szCs w:val="21"/>
                <w:highlight w:val="none"/>
                <w:vertAlign w:val="subscript"/>
                <w:lang w:val="en-US" w:eastAsia="zh-CN"/>
              </w:rPr>
              <w:t>3</w:t>
            </w:r>
            <w:r>
              <w:rPr>
                <w:rFonts w:hint="eastAsia" w:ascii="Times New Roman" w:hAnsi="Times New Roman" w:eastAsia="宋体" w:cs="Times New Roman"/>
                <w:b w:val="0"/>
                <w:bCs w:val="0"/>
                <w:color w:val="auto"/>
                <w:sz w:val="21"/>
                <w:szCs w:val="21"/>
                <w:highlight w:val="none"/>
                <w:lang w:val="en-US" w:eastAsia="zh-CN"/>
              </w:rPr>
              <w:t>类车。</w:t>
            </w:r>
          </w:p>
        </w:tc>
      </w:tr>
      <w:tr w14:paraId="747D53F3">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651" w:type="dxa"/>
            <w:gridSpan w:val="4"/>
            <w:tcBorders>
              <w:tl2br w:val="nil"/>
              <w:tr2bl w:val="nil"/>
            </w:tcBorders>
            <w:vAlign w:val="center"/>
          </w:tcPr>
          <w:p w14:paraId="1DE4138F">
            <w:pPr>
              <w:widowControl w:val="0"/>
              <w:bidi w:val="0"/>
              <w:jc w:val="both"/>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val="en-US" w:eastAsia="zh-CN"/>
              </w:rPr>
              <w:t>注：根据GB/T15089的规定，</w:t>
            </w:r>
            <w:bookmarkStart w:id="765" w:name="OLE_LINK232"/>
            <w:r>
              <w:rPr>
                <w:rFonts w:hint="eastAsia" w:ascii="Times New Roman" w:hAnsi="Times New Roman" w:eastAsia="宋体" w:cs="Times New Roman"/>
                <w:b w:val="0"/>
                <w:bCs w:val="0"/>
                <w:color w:val="auto"/>
                <w:sz w:val="21"/>
                <w:szCs w:val="21"/>
                <w:highlight w:val="none"/>
                <w:lang w:val="en-US" w:eastAsia="zh-CN"/>
              </w:rPr>
              <w:t>M</w:t>
            </w:r>
            <w:r>
              <w:rPr>
                <w:rFonts w:hint="eastAsia" w:ascii="Times New Roman" w:hAnsi="Times New Roman" w:eastAsia="宋体" w:cs="Times New Roman"/>
                <w:b w:val="0"/>
                <w:bCs w:val="0"/>
                <w:color w:val="auto"/>
                <w:sz w:val="21"/>
                <w:szCs w:val="21"/>
                <w:highlight w:val="none"/>
                <w:vertAlign w:val="subscript"/>
                <w:lang w:val="en-US" w:eastAsia="zh-CN"/>
              </w:rPr>
              <w:t>1</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lang w:val="en-US" w:eastAsia="zh-CN"/>
              </w:rPr>
              <w:t>M</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lang w:val="en-US" w:eastAsia="zh-CN"/>
              </w:rPr>
              <w:t>M</w:t>
            </w:r>
            <w:r>
              <w:rPr>
                <w:rFonts w:hint="eastAsia" w:ascii="Times New Roman" w:hAnsi="Times New Roman" w:eastAsia="宋体" w:cs="Times New Roman"/>
                <w:b w:val="0"/>
                <w:bCs w:val="0"/>
                <w:color w:val="auto"/>
                <w:sz w:val="21"/>
                <w:szCs w:val="21"/>
                <w:highlight w:val="none"/>
                <w:vertAlign w:val="subscript"/>
                <w:lang w:val="en-US" w:eastAsia="zh-CN"/>
              </w:rPr>
              <w:t>3</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lang w:val="en-US" w:eastAsia="zh-CN"/>
              </w:rPr>
              <w:t>N</w:t>
            </w:r>
            <w:r>
              <w:rPr>
                <w:rFonts w:hint="eastAsia" w:ascii="Times New Roman" w:hAnsi="Times New Roman" w:eastAsia="宋体" w:cs="Times New Roman"/>
                <w:b w:val="0"/>
                <w:bCs w:val="0"/>
                <w:color w:val="auto"/>
                <w:sz w:val="21"/>
                <w:szCs w:val="21"/>
                <w:highlight w:val="none"/>
                <w:vertAlign w:val="subscript"/>
                <w:lang w:val="en-US" w:eastAsia="zh-CN"/>
              </w:rPr>
              <w:t>1</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lang w:val="en-US" w:eastAsia="zh-CN"/>
              </w:rPr>
              <w:t>N</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lang w:val="en-US" w:eastAsia="zh-CN"/>
              </w:rPr>
              <w:t>N</w:t>
            </w:r>
            <w:r>
              <w:rPr>
                <w:rFonts w:hint="eastAsia" w:ascii="Times New Roman" w:hAnsi="Times New Roman" w:eastAsia="宋体" w:cs="Times New Roman"/>
                <w:b w:val="0"/>
                <w:bCs w:val="0"/>
                <w:color w:val="auto"/>
                <w:sz w:val="21"/>
                <w:szCs w:val="21"/>
                <w:highlight w:val="none"/>
                <w:vertAlign w:val="subscript"/>
                <w:lang w:val="en-US" w:eastAsia="zh-CN"/>
              </w:rPr>
              <w:t>3</w:t>
            </w:r>
            <w:bookmarkStart w:id="766" w:name="OLE_LINK231"/>
            <w:r>
              <w:rPr>
                <w:rFonts w:hint="eastAsia" w:ascii="Times New Roman" w:hAnsi="Times New Roman" w:eastAsia="宋体" w:cs="Times New Roman"/>
                <w:b w:val="0"/>
                <w:bCs w:val="0"/>
                <w:color w:val="auto"/>
                <w:sz w:val="21"/>
                <w:szCs w:val="21"/>
                <w:highlight w:val="none"/>
                <w:vertAlign w:val="baseline"/>
                <w:lang w:val="en-US" w:eastAsia="zh-CN"/>
              </w:rPr>
              <w:t>类</w:t>
            </w:r>
            <w:bookmarkEnd w:id="766"/>
            <w:r>
              <w:rPr>
                <w:rFonts w:hint="eastAsia" w:ascii="Times New Roman" w:hAnsi="Times New Roman" w:eastAsia="宋体" w:cs="Times New Roman"/>
                <w:b w:val="0"/>
                <w:bCs w:val="0"/>
                <w:color w:val="auto"/>
                <w:sz w:val="21"/>
                <w:szCs w:val="21"/>
                <w:highlight w:val="none"/>
                <w:vertAlign w:val="baseline"/>
                <w:lang w:val="en-US" w:eastAsia="zh-CN"/>
              </w:rPr>
              <w:t>车</w:t>
            </w:r>
            <w:bookmarkEnd w:id="765"/>
            <w:r>
              <w:rPr>
                <w:rFonts w:hint="eastAsia" w:ascii="Times New Roman" w:hAnsi="Times New Roman" w:eastAsia="宋体" w:cs="Times New Roman"/>
                <w:b w:val="0"/>
                <w:bCs w:val="0"/>
                <w:color w:val="auto"/>
                <w:sz w:val="21"/>
                <w:szCs w:val="21"/>
                <w:highlight w:val="none"/>
                <w:vertAlign w:val="baseline"/>
                <w:lang w:val="en-US" w:eastAsia="zh-CN"/>
              </w:rPr>
              <w:t>定义如下：</w:t>
            </w:r>
          </w:p>
          <w:p w14:paraId="5EF8D088">
            <w:pPr>
              <w:widowControl w:val="0"/>
              <w:bidi w:val="0"/>
              <w:jc w:val="both"/>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val="en-US" w:eastAsia="zh-CN"/>
              </w:rPr>
              <w:t>M</w:t>
            </w:r>
            <w:r>
              <w:rPr>
                <w:rFonts w:hint="eastAsia" w:ascii="Times New Roman" w:hAnsi="Times New Roman" w:eastAsia="宋体" w:cs="Times New Roman"/>
                <w:b w:val="0"/>
                <w:bCs w:val="0"/>
                <w:color w:val="auto"/>
                <w:sz w:val="21"/>
                <w:szCs w:val="21"/>
                <w:highlight w:val="none"/>
                <w:vertAlign w:val="subscript"/>
                <w:lang w:val="en-US" w:eastAsia="zh-CN"/>
              </w:rPr>
              <w:t>1</w:t>
            </w:r>
            <w:r>
              <w:rPr>
                <w:rFonts w:hint="eastAsia" w:ascii="Times New Roman" w:hAnsi="Times New Roman" w:eastAsia="宋体" w:cs="Times New Roman"/>
                <w:b w:val="0"/>
                <w:bCs w:val="0"/>
                <w:color w:val="auto"/>
                <w:sz w:val="21"/>
                <w:szCs w:val="21"/>
                <w:highlight w:val="none"/>
                <w:vertAlign w:val="baseline"/>
                <w:lang w:val="en-US" w:eastAsia="zh-CN"/>
              </w:rPr>
              <w:t>类车</w:t>
            </w:r>
            <w:bookmarkStart w:id="767" w:name="OLE_LINK234"/>
            <w:r>
              <w:rPr>
                <w:rFonts w:hint="default" w:ascii="Times New Roman" w:hAnsi="Times New Roman" w:eastAsia="宋体" w:cs="Times New Roman"/>
                <w:b w:val="0"/>
                <w:bCs w:val="0"/>
                <w:color w:val="auto"/>
                <w:sz w:val="21"/>
                <w:szCs w:val="21"/>
                <w:highlight w:val="none"/>
                <w:vertAlign w:val="baseline"/>
                <w:lang w:val="en-US" w:eastAsia="zh-CN"/>
              </w:rPr>
              <w:t>指包括驾驶员座位在内，座位数不超过9座的载客汽车</w:t>
            </w:r>
            <w:bookmarkEnd w:id="767"/>
            <w:r>
              <w:rPr>
                <w:rFonts w:hint="eastAsia" w:ascii="Times New Roman" w:hAnsi="Times New Roman" w:eastAsia="宋体" w:cs="Times New Roman"/>
                <w:b w:val="0"/>
                <w:bCs w:val="0"/>
                <w:color w:val="auto"/>
                <w:sz w:val="21"/>
                <w:szCs w:val="21"/>
                <w:highlight w:val="none"/>
                <w:vertAlign w:val="baseline"/>
                <w:lang w:val="en-US" w:eastAsia="zh-CN"/>
              </w:rPr>
              <w:t>；</w:t>
            </w:r>
          </w:p>
          <w:p w14:paraId="13386151">
            <w:pPr>
              <w:widowControl w:val="0"/>
              <w:bidi w:val="0"/>
              <w:jc w:val="both"/>
              <w:rPr>
                <w:rFonts w:hint="eastAsia" w:ascii="Times New Roman" w:hAnsi="Times New Roman" w:eastAsia="宋体" w:cs="Times New Roman"/>
                <w:b w:val="0"/>
                <w:bCs w:val="0"/>
                <w:color w:val="auto"/>
                <w:sz w:val="21"/>
                <w:szCs w:val="21"/>
                <w:highlight w:val="none"/>
                <w:vertAlign w:val="baseline"/>
                <w:lang w:val="en-US" w:eastAsia="zh-CN"/>
              </w:rPr>
            </w:pPr>
            <w:bookmarkStart w:id="768" w:name="sys2535046"/>
            <w:r>
              <w:rPr>
                <w:rFonts w:hint="eastAsia" w:ascii="Times New Roman" w:hAnsi="Times New Roman" w:eastAsia="宋体" w:cs="Times New Roman"/>
                <w:b w:val="0"/>
                <w:bCs w:val="0"/>
                <w:color w:val="auto"/>
                <w:sz w:val="21"/>
                <w:szCs w:val="21"/>
                <w:highlight w:val="none"/>
                <w:lang w:val="en-US" w:eastAsia="zh-CN"/>
              </w:rPr>
              <w:t>M</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vertAlign w:val="baseline"/>
                <w:lang w:val="en-US" w:eastAsia="zh-CN"/>
              </w:rPr>
              <w:t>类车</w:t>
            </w:r>
            <w:r>
              <w:rPr>
                <w:rFonts w:hint="default" w:ascii="Times New Roman" w:hAnsi="Times New Roman" w:eastAsia="宋体" w:cs="Times New Roman"/>
                <w:b w:val="0"/>
                <w:bCs w:val="0"/>
                <w:color w:val="auto"/>
                <w:sz w:val="21"/>
                <w:szCs w:val="21"/>
                <w:highlight w:val="none"/>
                <w:vertAlign w:val="baseline"/>
                <w:lang w:val="en-US" w:eastAsia="zh-CN"/>
              </w:rPr>
              <w:t>指包括驾驶员座位在内座位数超过9座，且最大设计总质量不超过5,000kg的载客汽车</w:t>
            </w:r>
            <w:r>
              <w:rPr>
                <w:rFonts w:hint="eastAsia" w:ascii="Times New Roman" w:hAnsi="Times New Roman" w:eastAsia="宋体" w:cs="Times New Roman"/>
                <w:b w:val="0"/>
                <w:bCs w:val="0"/>
                <w:color w:val="auto"/>
                <w:sz w:val="21"/>
                <w:szCs w:val="21"/>
                <w:highlight w:val="none"/>
                <w:vertAlign w:val="baseline"/>
                <w:lang w:val="en-US" w:eastAsia="zh-CN"/>
              </w:rPr>
              <w:t>；</w:t>
            </w:r>
            <w:bookmarkEnd w:id="768"/>
          </w:p>
          <w:p w14:paraId="35FCD4DB">
            <w:pPr>
              <w:widowControl w:val="0"/>
              <w:bidi w:val="0"/>
              <w:jc w:val="both"/>
              <w:rPr>
                <w:rFonts w:hint="eastAsia" w:ascii="Times New Roman" w:hAnsi="Times New Roman" w:eastAsia="宋体" w:cs="Times New Roman"/>
                <w:b w:val="0"/>
                <w:bCs w:val="0"/>
                <w:color w:val="auto"/>
                <w:sz w:val="21"/>
                <w:szCs w:val="21"/>
                <w:highlight w:val="none"/>
                <w:vertAlign w:val="baseline"/>
                <w:lang w:val="en-US" w:eastAsia="zh-CN"/>
              </w:rPr>
            </w:pPr>
            <w:bookmarkStart w:id="769" w:name="sys2536045"/>
            <w:r>
              <w:rPr>
                <w:rFonts w:hint="eastAsia" w:ascii="Times New Roman" w:hAnsi="Times New Roman" w:eastAsia="宋体" w:cs="Times New Roman"/>
                <w:b w:val="0"/>
                <w:bCs w:val="0"/>
                <w:color w:val="auto"/>
                <w:sz w:val="21"/>
                <w:szCs w:val="21"/>
                <w:highlight w:val="none"/>
                <w:lang w:val="en-US" w:eastAsia="zh-CN"/>
              </w:rPr>
              <w:t>M</w:t>
            </w:r>
            <w:r>
              <w:rPr>
                <w:rFonts w:hint="eastAsia" w:ascii="Times New Roman" w:hAnsi="Times New Roman" w:eastAsia="宋体" w:cs="Times New Roman"/>
                <w:b w:val="0"/>
                <w:bCs w:val="0"/>
                <w:color w:val="auto"/>
                <w:sz w:val="21"/>
                <w:szCs w:val="21"/>
                <w:highlight w:val="none"/>
                <w:vertAlign w:val="subscript"/>
                <w:lang w:val="en-US" w:eastAsia="zh-CN"/>
              </w:rPr>
              <w:t>3</w:t>
            </w:r>
            <w:r>
              <w:rPr>
                <w:rFonts w:hint="eastAsia" w:ascii="Times New Roman" w:hAnsi="Times New Roman" w:eastAsia="宋体" w:cs="Times New Roman"/>
                <w:b w:val="0"/>
                <w:bCs w:val="0"/>
                <w:color w:val="auto"/>
                <w:sz w:val="21"/>
                <w:szCs w:val="21"/>
                <w:highlight w:val="none"/>
                <w:vertAlign w:val="baseline"/>
                <w:lang w:val="en-US" w:eastAsia="zh-CN"/>
              </w:rPr>
              <w:t>类车</w:t>
            </w:r>
            <w:r>
              <w:rPr>
                <w:rFonts w:hint="default" w:ascii="Times New Roman" w:hAnsi="Times New Roman" w:eastAsia="宋体" w:cs="Times New Roman"/>
                <w:b w:val="0"/>
                <w:bCs w:val="0"/>
                <w:color w:val="auto"/>
                <w:sz w:val="21"/>
                <w:szCs w:val="21"/>
                <w:highlight w:val="none"/>
                <w:vertAlign w:val="baseline"/>
                <w:lang w:val="en-US" w:eastAsia="zh-CN"/>
              </w:rPr>
              <w:t>指包括驾驶员座位在内座位数超过9座，且最大设计总质量超过5,000kg的载客汽车</w:t>
            </w:r>
            <w:r>
              <w:rPr>
                <w:rFonts w:hint="eastAsia" w:ascii="Times New Roman" w:hAnsi="Times New Roman" w:eastAsia="宋体" w:cs="Times New Roman"/>
                <w:b w:val="0"/>
                <w:bCs w:val="0"/>
                <w:color w:val="auto"/>
                <w:sz w:val="21"/>
                <w:szCs w:val="21"/>
                <w:highlight w:val="none"/>
                <w:vertAlign w:val="baseline"/>
                <w:lang w:val="en-US" w:eastAsia="zh-CN"/>
              </w:rPr>
              <w:t>；</w:t>
            </w:r>
            <w:bookmarkEnd w:id="769"/>
          </w:p>
          <w:p w14:paraId="7B2FB798">
            <w:pPr>
              <w:widowControl w:val="0"/>
              <w:bidi w:val="0"/>
              <w:jc w:val="both"/>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val="en-US" w:eastAsia="zh-CN"/>
              </w:rPr>
              <w:t>N</w:t>
            </w:r>
            <w:r>
              <w:rPr>
                <w:rFonts w:hint="eastAsia" w:ascii="Times New Roman" w:hAnsi="Times New Roman" w:eastAsia="宋体" w:cs="Times New Roman"/>
                <w:b w:val="0"/>
                <w:bCs w:val="0"/>
                <w:color w:val="auto"/>
                <w:sz w:val="21"/>
                <w:szCs w:val="21"/>
                <w:highlight w:val="none"/>
                <w:vertAlign w:val="subscript"/>
                <w:lang w:val="en-US" w:eastAsia="zh-CN"/>
              </w:rPr>
              <w:t>1</w:t>
            </w:r>
            <w:r>
              <w:rPr>
                <w:rFonts w:hint="eastAsia" w:ascii="Times New Roman" w:hAnsi="Times New Roman" w:eastAsia="宋体" w:cs="Times New Roman"/>
                <w:b w:val="0"/>
                <w:bCs w:val="0"/>
                <w:color w:val="auto"/>
                <w:sz w:val="21"/>
                <w:szCs w:val="21"/>
                <w:highlight w:val="none"/>
                <w:vertAlign w:val="baseline"/>
                <w:lang w:val="en-US" w:eastAsia="zh-CN"/>
              </w:rPr>
              <w:t>类车</w:t>
            </w:r>
            <w:r>
              <w:rPr>
                <w:rFonts w:hint="default" w:ascii="Times New Roman" w:hAnsi="Times New Roman" w:eastAsia="宋体" w:cs="Times New Roman"/>
                <w:b w:val="0"/>
                <w:bCs w:val="0"/>
                <w:color w:val="auto"/>
                <w:sz w:val="21"/>
                <w:szCs w:val="21"/>
                <w:highlight w:val="none"/>
                <w:vertAlign w:val="baseline"/>
                <w:lang w:val="en-US" w:eastAsia="zh-CN"/>
              </w:rPr>
              <w:t>指最大设计总质量不超过3,500kg的载货车辆</w:t>
            </w:r>
            <w:r>
              <w:rPr>
                <w:rFonts w:hint="eastAsia" w:ascii="Times New Roman" w:hAnsi="Times New Roman" w:eastAsia="宋体" w:cs="Times New Roman"/>
                <w:b w:val="0"/>
                <w:bCs w:val="0"/>
                <w:color w:val="auto"/>
                <w:sz w:val="21"/>
                <w:szCs w:val="21"/>
                <w:highlight w:val="none"/>
                <w:vertAlign w:val="baseline"/>
                <w:lang w:val="en-US" w:eastAsia="zh-CN"/>
              </w:rPr>
              <w:t>；</w:t>
            </w:r>
          </w:p>
          <w:p w14:paraId="40BD1F6C">
            <w:pPr>
              <w:widowControl w:val="0"/>
              <w:bidi w:val="0"/>
              <w:jc w:val="both"/>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val="en-US" w:eastAsia="zh-CN"/>
              </w:rPr>
              <w:t>N</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vertAlign w:val="baseline"/>
                <w:lang w:val="en-US" w:eastAsia="zh-CN"/>
              </w:rPr>
              <w:t>类车</w:t>
            </w:r>
            <w:r>
              <w:rPr>
                <w:rFonts w:hint="default" w:ascii="Times New Roman" w:hAnsi="Times New Roman" w:eastAsia="宋体" w:cs="Times New Roman"/>
                <w:b w:val="0"/>
                <w:bCs w:val="0"/>
                <w:color w:val="auto"/>
                <w:sz w:val="21"/>
                <w:szCs w:val="21"/>
                <w:highlight w:val="none"/>
                <w:vertAlign w:val="baseline"/>
                <w:lang w:val="en-US" w:eastAsia="zh-CN"/>
              </w:rPr>
              <w:t>指最大设计总质量超过3,500kg，但不超过12,000kg的载货车辆</w:t>
            </w:r>
            <w:r>
              <w:rPr>
                <w:rFonts w:hint="eastAsia" w:ascii="Times New Roman" w:hAnsi="Times New Roman" w:eastAsia="宋体" w:cs="Times New Roman"/>
                <w:b w:val="0"/>
                <w:bCs w:val="0"/>
                <w:color w:val="auto"/>
                <w:sz w:val="21"/>
                <w:szCs w:val="21"/>
                <w:highlight w:val="none"/>
                <w:vertAlign w:val="baseline"/>
                <w:lang w:val="en-US" w:eastAsia="zh-CN"/>
              </w:rPr>
              <w:t>；</w:t>
            </w:r>
          </w:p>
          <w:p w14:paraId="493A81F2">
            <w:pPr>
              <w:widowControl w:val="0"/>
              <w:bidi w:val="0"/>
              <w:jc w:val="both"/>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val="en-US" w:eastAsia="zh-CN"/>
              </w:rPr>
              <w:t>N</w:t>
            </w:r>
            <w:r>
              <w:rPr>
                <w:rFonts w:hint="eastAsia" w:ascii="Times New Roman" w:hAnsi="Times New Roman" w:eastAsia="宋体" w:cs="Times New Roman"/>
                <w:b w:val="0"/>
                <w:bCs w:val="0"/>
                <w:color w:val="auto"/>
                <w:sz w:val="21"/>
                <w:szCs w:val="21"/>
                <w:highlight w:val="none"/>
                <w:vertAlign w:val="subscript"/>
                <w:lang w:val="en-US" w:eastAsia="zh-CN"/>
              </w:rPr>
              <w:t>3</w:t>
            </w:r>
            <w:bookmarkStart w:id="770" w:name="OLE_LINK233"/>
            <w:r>
              <w:rPr>
                <w:rFonts w:hint="eastAsia" w:ascii="Times New Roman" w:hAnsi="Times New Roman" w:eastAsia="宋体" w:cs="Times New Roman"/>
                <w:b w:val="0"/>
                <w:bCs w:val="0"/>
                <w:color w:val="auto"/>
                <w:sz w:val="21"/>
                <w:szCs w:val="21"/>
                <w:highlight w:val="none"/>
                <w:vertAlign w:val="baseline"/>
                <w:lang w:val="en-US" w:eastAsia="zh-CN"/>
              </w:rPr>
              <w:t>类车</w:t>
            </w:r>
            <w:bookmarkEnd w:id="770"/>
            <w:bookmarkStart w:id="771" w:name="OLE_LINK235"/>
            <w:r>
              <w:rPr>
                <w:rFonts w:hint="default" w:ascii="Times New Roman" w:hAnsi="Times New Roman" w:eastAsia="宋体" w:cs="Times New Roman"/>
                <w:b w:val="0"/>
                <w:bCs w:val="0"/>
                <w:color w:val="auto"/>
                <w:sz w:val="21"/>
                <w:szCs w:val="21"/>
                <w:highlight w:val="none"/>
                <w:vertAlign w:val="baseline"/>
                <w:lang w:val="en-US" w:eastAsia="zh-CN"/>
              </w:rPr>
              <w:t>指最大设计总质量超过12,000kg的载货车辆</w:t>
            </w:r>
            <w:bookmarkEnd w:id="771"/>
            <w:r>
              <w:rPr>
                <w:rFonts w:hint="default" w:ascii="Times New Roman" w:hAnsi="Times New Roman" w:eastAsia="宋体" w:cs="Times New Roman"/>
                <w:b w:val="0"/>
                <w:bCs w:val="0"/>
                <w:color w:val="auto"/>
                <w:sz w:val="21"/>
                <w:szCs w:val="21"/>
                <w:highlight w:val="none"/>
                <w:vertAlign w:val="baseline"/>
                <w:lang w:val="en-US" w:eastAsia="zh-CN"/>
              </w:rPr>
              <w:t>。</w:t>
            </w:r>
          </w:p>
        </w:tc>
      </w:tr>
      <w:bookmarkEnd w:id="757"/>
    </w:tbl>
    <w:p w14:paraId="1D0923E9">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eastAsia"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2-30</w:t>
      </w:r>
      <w:r>
        <w:rPr>
          <w:rFonts w:hint="eastAsia" w:ascii="Times New Roman" w:hAnsi="Times New Roman" w:eastAsia="宋体" w:cs="Times New Roman"/>
          <w:b/>
          <w:bCs/>
          <w:color w:val="auto"/>
          <w:spacing w:val="-2"/>
          <w:sz w:val="24"/>
          <w:szCs w:val="24"/>
          <w:highlight w:val="none"/>
          <w:lang w:val="en-US" w:eastAsia="zh-CN"/>
        </w:rPr>
        <w:t xml:space="preserve">  无组织排放监控点VOCs浓度限值</w:t>
      </w:r>
      <w:bookmarkStart w:id="772" w:name="pindex2540"/>
      <w:bookmarkEnd w:id="772"/>
    </w:p>
    <w:tbl>
      <w:tblPr>
        <w:tblStyle w:val="20"/>
        <w:tblW w:w="865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4048"/>
        <w:gridCol w:w="4611"/>
      </w:tblGrid>
      <w:tr w14:paraId="4A41BE6C">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60" w:hRule="atLeast"/>
        </w:trPr>
        <w:tc>
          <w:tcPr>
            <w:tcW w:w="4048" w:type="dxa"/>
            <w:tcBorders>
              <w:tl2br w:val="nil"/>
              <w:tr2bl w:val="nil"/>
            </w:tcBorders>
            <w:vAlign w:val="center"/>
          </w:tcPr>
          <w:p w14:paraId="1E92D1A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bookmarkStart w:id="773" w:name="OLE_LINK238" w:colFirst="2" w:colLast="3"/>
            <w:r>
              <w:rPr>
                <w:rFonts w:hint="eastAsia" w:ascii="Times New Roman" w:hAnsi="Times New Roman" w:eastAsia="宋体" w:cs="Times New Roman"/>
                <w:b/>
                <w:bCs/>
                <w:color w:val="auto"/>
                <w:sz w:val="21"/>
                <w:szCs w:val="21"/>
                <w:highlight w:val="none"/>
                <w:lang w:val="en-US" w:eastAsia="zh-CN"/>
              </w:rPr>
              <w:t>项目</w:t>
            </w:r>
          </w:p>
        </w:tc>
        <w:tc>
          <w:tcPr>
            <w:tcW w:w="4611" w:type="dxa"/>
            <w:tcBorders>
              <w:tl2br w:val="nil"/>
              <w:tr2bl w:val="nil"/>
            </w:tcBorders>
            <w:vAlign w:val="center"/>
          </w:tcPr>
          <w:p w14:paraId="1E9B026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最高允许排放浓度（mg/m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lang w:val="en-US" w:eastAsia="zh-CN"/>
              </w:rPr>
              <w:t>）</w:t>
            </w:r>
          </w:p>
        </w:tc>
      </w:tr>
      <w:tr w14:paraId="02C17EEA">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048" w:type="dxa"/>
            <w:tcBorders>
              <w:tl2br w:val="nil"/>
              <w:tr2bl w:val="nil"/>
            </w:tcBorders>
            <w:shd w:val="clear" w:color="auto" w:fill="auto"/>
            <w:vAlign w:val="center"/>
          </w:tcPr>
          <w:p w14:paraId="2BB9568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苯</w:t>
            </w:r>
          </w:p>
        </w:tc>
        <w:tc>
          <w:tcPr>
            <w:tcW w:w="4611" w:type="dxa"/>
            <w:tcBorders>
              <w:tl2br w:val="nil"/>
              <w:tr2bl w:val="nil"/>
            </w:tcBorders>
            <w:vAlign w:val="center"/>
          </w:tcPr>
          <w:p w14:paraId="77E5082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w:t>
            </w:r>
          </w:p>
        </w:tc>
      </w:tr>
      <w:tr w14:paraId="23DBD1D9">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048" w:type="dxa"/>
            <w:tcBorders>
              <w:tl2br w:val="nil"/>
              <w:tr2bl w:val="nil"/>
            </w:tcBorders>
            <w:shd w:val="clear" w:color="auto" w:fill="auto"/>
            <w:vAlign w:val="center"/>
          </w:tcPr>
          <w:p w14:paraId="1369529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甲苯</w:t>
            </w:r>
          </w:p>
        </w:tc>
        <w:tc>
          <w:tcPr>
            <w:tcW w:w="4611" w:type="dxa"/>
            <w:tcBorders>
              <w:tl2br w:val="nil"/>
              <w:tr2bl w:val="nil"/>
            </w:tcBorders>
            <w:vAlign w:val="center"/>
          </w:tcPr>
          <w:p w14:paraId="3AE2EBB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0.6</w:t>
            </w:r>
          </w:p>
        </w:tc>
      </w:tr>
      <w:tr w14:paraId="0CDD7A11">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198" w:hRule="atLeast"/>
        </w:trPr>
        <w:tc>
          <w:tcPr>
            <w:tcW w:w="4048" w:type="dxa"/>
            <w:tcBorders>
              <w:tl2br w:val="nil"/>
              <w:tr2bl w:val="nil"/>
            </w:tcBorders>
            <w:shd w:val="clear" w:color="auto" w:fill="auto"/>
            <w:vAlign w:val="center"/>
          </w:tcPr>
          <w:p w14:paraId="7411E32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二甲苯</w:t>
            </w:r>
          </w:p>
        </w:tc>
        <w:tc>
          <w:tcPr>
            <w:tcW w:w="4611" w:type="dxa"/>
            <w:tcBorders>
              <w:tl2br w:val="nil"/>
              <w:tr2bl w:val="nil"/>
            </w:tcBorders>
            <w:vAlign w:val="center"/>
          </w:tcPr>
          <w:p w14:paraId="09DF80E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r>
      <w:tr w14:paraId="2E9C3891">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12" w:hRule="atLeast"/>
        </w:trPr>
        <w:tc>
          <w:tcPr>
            <w:tcW w:w="4048" w:type="dxa"/>
            <w:tcBorders>
              <w:tl2br w:val="nil"/>
              <w:tr2bl w:val="nil"/>
            </w:tcBorders>
            <w:shd w:val="clear" w:color="auto" w:fill="auto"/>
            <w:vAlign w:val="center"/>
          </w:tcPr>
          <w:p w14:paraId="4C2EDF8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苯系物</w:t>
            </w:r>
          </w:p>
        </w:tc>
        <w:tc>
          <w:tcPr>
            <w:tcW w:w="4611" w:type="dxa"/>
            <w:tcBorders>
              <w:tl2br w:val="nil"/>
              <w:tr2bl w:val="nil"/>
            </w:tcBorders>
            <w:vAlign w:val="center"/>
          </w:tcPr>
          <w:p w14:paraId="0EE2491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r>
      <w:tr w14:paraId="5C122592">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90" w:hRule="atLeast"/>
        </w:trPr>
        <w:tc>
          <w:tcPr>
            <w:tcW w:w="4048" w:type="dxa"/>
            <w:tcBorders>
              <w:tl2br w:val="nil"/>
              <w:tr2bl w:val="nil"/>
            </w:tcBorders>
            <w:vAlign w:val="center"/>
          </w:tcPr>
          <w:p w14:paraId="06FE571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TVOCs</w:t>
            </w:r>
          </w:p>
        </w:tc>
        <w:tc>
          <w:tcPr>
            <w:tcW w:w="4611" w:type="dxa"/>
            <w:tcBorders>
              <w:tl2br w:val="nil"/>
              <w:tr2bl w:val="nil"/>
            </w:tcBorders>
            <w:vAlign w:val="center"/>
          </w:tcPr>
          <w:p w14:paraId="6ACB890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r>
      <w:bookmarkEnd w:id="773"/>
    </w:tbl>
    <w:p w14:paraId="09F5B487">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outlineLvl w:val="9"/>
        <w:rPr>
          <w:rFonts w:hint="eastAsia" w:ascii="Times New Roman" w:hAnsi="Times New Roman" w:eastAsia="宋体" w:cs="Times New Roman"/>
          <w:color w:val="auto"/>
          <w:spacing w:val="-2"/>
          <w:sz w:val="24"/>
          <w:szCs w:val="24"/>
          <w:highlight w:val="none"/>
          <w:lang w:val="en-US" w:eastAsia="zh-CN"/>
        </w:rPr>
      </w:pPr>
      <w:bookmarkStart w:id="774" w:name="OLE_LINK250"/>
      <w:r>
        <w:rPr>
          <w:rFonts w:hint="eastAsia" w:ascii="Times New Roman" w:hAnsi="Times New Roman" w:eastAsia="宋体" w:cs="Times New Roman"/>
          <w:color w:val="auto"/>
          <w:spacing w:val="-2"/>
          <w:sz w:val="24"/>
          <w:szCs w:val="24"/>
          <w:highlight w:val="none"/>
          <w:lang w:val="en-US" w:eastAsia="zh-CN"/>
        </w:rPr>
        <w:t>（7）工程机械（含零部件）和钢结构制造业</w:t>
      </w:r>
      <w:bookmarkStart w:id="775" w:name="pindex2553"/>
      <w:bookmarkEnd w:id="775"/>
    </w:p>
    <w:bookmarkEnd w:id="774"/>
    <w:p w14:paraId="7CBE5B7C">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rPr>
          <w:rFonts w:hint="eastAsia" w:ascii="Times New Roman" w:hAnsi="Times New Roman" w:eastAsia="宋体" w:cs="Times New Roman"/>
          <w:color w:val="auto"/>
          <w:spacing w:val="-2"/>
          <w:sz w:val="24"/>
          <w:szCs w:val="24"/>
          <w:highlight w:val="none"/>
          <w:lang w:val="en-US" w:eastAsia="zh-CN"/>
        </w:rPr>
      </w:pPr>
      <w:bookmarkStart w:id="776" w:name="OLE_LINK750"/>
      <w:bookmarkStart w:id="777" w:name="sys2554075"/>
      <w:r>
        <w:rPr>
          <w:rFonts w:hint="eastAsia" w:ascii="Times New Roman" w:hAnsi="Times New Roman" w:eastAsia="宋体" w:cs="Times New Roman"/>
          <w:color w:val="auto"/>
          <w:spacing w:val="-2"/>
          <w:sz w:val="24"/>
          <w:szCs w:val="24"/>
          <w:highlight w:val="none"/>
          <w:lang w:val="en-US" w:eastAsia="zh-CN"/>
        </w:rPr>
        <w:t>区</w:t>
      </w:r>
      <w:bookmarkEnd w:id="743"/>
      <w:r>
        <w:rPr>
          <w:rFonts w:hint="eastAsia" w:ascii="Times New Roman" w:hAnsi="Times New Roman" w:eastAsia="宋体" w:cs="Times New Roman"/>
          <w:color w:val="auto"/>
          <w:spacing w:val="-2"/>
          <w:sz w:val="24"/>
          <w:szCs w:val="24"/>
          <w:highlight w:val="none"/>
          <w:lang w:val="en-US" w:eastAsia="zh-CN"/>
        </w:rPr>
        <w:t>内</w:t>
      </w:r>
      <w:bookmarkStart w:id="778" w:name="OLE_LINK241"/>
      <w:r>
        <w:rPr>
          <w:rFonts w:hint="eastAsia" w:ascii="Times New Roman" w:hAnsi="Times New Roman" w:eastAsia="宋体" w:cs="Times New Roman"/>
          <w:color w:val="auto"/>
          <w:spacing w:val="-2"/>
          <w:sz w:val="24"/>
          <w:szCs w:val="24"/>
          <w:highlight w:val="none"/>
          <w:lang w:val="en-US" w:eastAsia="zh-CN"/>
        </w:rPr>
        <w:t>工程机械（含零部件）和钢结构制造</w:t>
      </w:r>
      <w:bookmarkEnd w:id="778"/>
      <w:r>
        <w:rPr>
          <w:rFonts w:hint="eastAsia" w:ascii="Times New Roman" w:hAnsi="Times New Roman" w:eastAsia="宋体" w:cs="Times New Roman"/>
          <w:color w:val="auto"/>
          <w:spacing w:val="-2"/>
          <w:sz w:val="24"/>
          <w:szCs w:val="24"/>
          <w:highlight w:val="none"/>
          <w:lang w:val="en-US" w:eastAsia="zh-CN"/>
        </w:rPr>
        <w:t>企业废气</w:t>
      </w:r>
      <w:bookmarkStart w:id="779" w:name="OLE_LINK146"/>
      <w:r>
        <w:rPr>
          <w:rFonts w:hint="eastAsia" w:ascii="Times New Roman" w:hAnsi="Times New Roman" w:eastAsia="宋体" w:cs="Times New Roman"/>
          <w:color w:val="auto"/>
          <w:spacing w:val="-2"/>
          <w:sz w:val="24"/>
          <w:szCs w:val="24"/>
          <w:highlight w:val="none"/>
          <w:lang w:val="en-US" w:eastAsia="zh-CN"/>
        </w:rPr>
        <w:t>排放执行</w:t>
      </w:r>
      <w:bookmarkEnd w:id="779"/>
      <w:bookmarkStart w:id="780" w:name="OLE_LINK242"/>
      <w:r>
        <w:rPr>
          <w:rFonts w:hint="eastAsia" w:ascii="Times New Roman" w:hAnsi="Times New Roman" w:eastAsia="宋体" w:cs="Times New Roman"/>
          <w:color w:val="auto"/>
          <w:spacing w:val="-2"/>
          <w:sz w:val="24"/>
          <w:szCs w:val="24"/>
          <w:highlight w:val="none"/>
          <w:lang w:val="en-US" w:eastAsia="zh-CN"/>
        </w:rPr>
        <w:t>《表面涂装（工程机械和钢结构行业）大气污染物排放标准》（DB32/4147—2021）</w:t>
      </w:r>
      <w:bookmarkEnd w:id="776"/>
      <w:bookmarkEnd w:id="780"/>
      <w:bookmarkStart w:id="781" w:name="OLE_LINK154"/>
      <w:r>
        <w:rPr>
          <w:rFonts w:hint="eastAsia" w:ascii="Times New Roman" w:hAnsi="Times New Roman" w:eastAsia="宋体" w:cs="Times New Roman"/>
          <w:color w:val="auto"/>
          <w:spacing w:val="-2"/>
          <w:sz w:val="24"/>
          <w:szCs w:val="24"/>
          <w:highlight w:val="none"/>
          <w:lang w:val="en-US" w:eastAsia="zh-CN"/>
        </w:rPr>
        <w:t>中限值标准</w:t>
      </w:r>
      <w:bookmarkEnd w:id="781"/>
      <w:r>
        <w:rPr>
          <w:rFonts w:hint="eastAsia" w:ascii="Times New Roman" w:hAnsi="Times New Roman" w:eastAsia="宋体" w:cs="Times New Roman"/>
          <w:color w:val="auto"/>
          <w:spacing w:val="-2"/>
          <w:sz w:val="24"/>
          <w:szCs w:val="24"/>
          <w:highlight w:val="none"/>
          <w:lang w:val="en-US" w:eastAsia="zh-CN"/>
        </w:rPr>
        <w:t>；</w:t>
      </w:r>
      <w:bookmarkEnd w:id="777"/>
    </w:p>
    <w:p w14:paraId="6CEF0243">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eastAsia"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2-31</w:t>
      </w:r>
      <w:r>
        <w:rPr>
          <w:rFonts w:hint="eastAsia" w:ascii="Times New Roman" w:hAnsi="Times New Roman" w:eastAsia="宋体" w:cs="Times New Roman"/>
          <w:b/>
          <w:bCs/>
          <w:color w:val="auto"/>
          <w:spacing w:val="-2"/>
          <w:sz w:val="24"/>
          <w:szCs w:val="24"/>
          <w:highlight w:val="none"/>
          <w:lang w:val="en-US" w:eastAsia="zh-CN"/>
        </w:rPr>
        <w:t xml:space="preserve">  大气污染物排放限值</w:t>
      </w:r>
      <w:bookmarkStart w:id="782" w:name="pindex2555"/>
      <w:bookmarkEnd w:id="782"/>
    </w:p>
    <w:tbl>
      <w:tblPr>
        <w:tblStyle w:val="19"/>
        <w:tblW w:w="832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0"/>
        <w:gridCol w:w="1227"/>
        <w:gridCol w:w="2139"/>
        <w:gridCol w:w="1965"/>
        <w:gridCol w:w="2252"/>
      </w:tblGrid>
      <w:tr w14:paraId="6BE8B1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740" w:type="dxa"/>
            <w:tcBorders>
              <w:tl2br w:val="nil"/>
              <w:tr2bl w:val="nil"/>
            </w:tcBorders>
            <w:shd w:val="clear" w:color="auto" w:fill="auto"/>
            <w:vAlign w:val="center"/>
          </w:tcPr>
          <w:p w14:paraId="34E55F7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bookmarkStart w:id="783" w:name="OLE_LINK244" w:colFirst="0" w:colLast="4"/>
            <w:bookmarkStart w:id="784" w:name="_Hlk36214728"/>
            <w:r>
              <w:rPr>
                <w:rFonts w:hint="default" w:ascii="Times New Roman" w:hAnsi="Times New Roman" w:eastAsia="宋体" w:cs="Times New Roman"/>
                <w:b/>
                <w:bCs/>
                <w:color w:val="auto"/>
                <w:kern w:val="0"/>
                <w:sz w:val="21"/>
                <w:szCs w:val="21"/>
                <w:highlight w:val="none"/>
              </w:rPr>
              <w:t>序号</w:t>
            </w:r>
          </w:p>
        </w:tc>
        <w:tc>
          <w:tcPr>
            <w:tcW w:w="1227" w:type="dxa"/>
            <w:tcBorders>
              <w:tl2br w:val="nil"/>
              <w:tr2bl w:val="nil"/>
            </w:tcBorders>
            <w:shd w:val="clear" w:color="auto" w:fill="auto"/>
            <w:vAlign w:val="center"/>
          </w:tcPr>
          <w:p w14:paraId="5E8B896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项目</w:t>
            </w:r>
          </w:p>
        </w:tc>
        <w:tc>
          <w:tcPr>
            <w:tcW w:w="2139" w:type="dxa"/>
            <w:tcBorders>
              <w:tl2br w:val="nil"/>
              <w:tr2bl w:val="nil"/>
            </w:tcBorders>
            <w:shd w:val="clear" w:color="auto" w:fill="auto"/>
            <w:vAlign w:val="center"/>
          </w:tcPr>
          <w:p w14:paraId="2A23315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排放浓度（mg/m</w:t>
            </w:r>
            <w:r>
              <w:rPr>
                <w:rFonts w:hint="default" w:ascii="Times New Roman" w:hAnsi="Times New Roman" w:eastAsia="宋体" w:cs="Times New Roman"/>
                <w:b/>
                <w:bCs/>
                <w:color w:val="auto"/>
                <w:kern w:val="0"/>
                <w:sz w:val="21"/>
                <w:szCs w:val="21"/>
                <w:highlight w:val="none"/>
                <w:vertAlign w:val="superscript"/>
              </w:rPr>
              <w:t>3</w:t>
            </w:r>
            <w:r>
              <w:rPr>
                <w:rFonts w:hint="default" w:ascii="Times New Roman" w:hAnsi="Times New Roman" w:eastAsia="宋体" w:cs="Times New Roman"/>
                <w:b/>
                <w:bCs/>
                <w:color w:val="auto"/>
                <w:kern w:val="0"/>
                <w:sz w:val="21"/>
                <w:szCs w:val="21"/>
                <w:highlight w:val="none"/>
              </w:rPr>
              <w:t>）</w:t>
            </w:r>
          </w:p>
        </w:tc>
        <w:tc>
          <w:tcPr>
            <w:tcW w:w="1965" w:type="dxa"/>
            <w:tcBorders>
              <w:tl2br w:val="nil"/>
              <w:tr2bl w:val="nil"/>
            </w:tcBorders>
            <w:shd w:val="clear" w:color="auto" w:fill="auto"/>
            <w:vAlign w:val="center"/>
          </w:tcPr>
          <w:p w14:paraId="23280F2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排放速率</w:t>
            </w:r>
            <w:r>
              <w:rPr>
                <w:rFonts w:hint="default" w:ascii="Times New Roman" w:hAnsi="Times New Roman" w:eastAsia="宋体" w:cs="Times New Roman"/>
                <w:b/>
                <w:bCs/>
                <w:color w:val="auto"/>
                <w:kern w:val="0"/>
                <w:sz w:val="21"/>
                <w:szCs w:val="21"/>
                <w:highlight w:val="none"/>
                <w:vertAlign w:val="superscript"/>
              </w:rPr>
              <w:t>a</w:t>
            </w:r>
            <w:r>
              <w:rPr>
                <w:rFonts w:hint="default" w:ascii="Times New Roman" w:hAnsi="Times New Roman" w:eastAsia="宋体" w:cs="Times New Roman"/>
                <w:b/>
                <w:bCs/>
                <w:color w:val="auto"/>
                <w:kern w:val="0"/>
                <w:sz w:val="21"/>
                <w:szCs w:val="21"/>
                <w:highlight w:val="none"/>
              </w:rPr>
              <w:t xml:space="preserve"> (kg/h)</w:t>
            </w:r>
          </w:p>
        </w:tc>
        <w:tc>
          <w:tcPr>
            <w:tcW w:w="2252" w:type="dxa"/>
            <w:tcBorders>
              <w:tl2br w:val="nil"/>
              <w:tr2bl w:val="nil"/>
            </w:tcBorders>
            <w:shd w:val="clear" w:color="auto" w:fill="auto"/>
            <w:vAlign w:val="center"/>
          </w:tcPr>
          <w:p w14:paraId="52D90D8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污染物排放监控位置</w:t>
            </w:r>
          </w:p>
        </w:tc>
      </w:tr>
      <w:bookmarkEnd w:id="783"/>
      <w:tr w14:paraId="0308F4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740" w:type="dxa"/>
            <w:tcBorders>
              <w:tl2br w:val="nil"/>
              <w:tr2bl w:val="nil"/>
            </w:tcBorders>
            <w:shd w:val="clear" w:color="auto" w:fill="auto"/>
            <w:vAlign w:val="center"/>
          </w:tcPr>
          <w:p w14:paraId="58F9394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1227" w:type="dxa"/>
            <w:tcBorders>
              <w:tl2br w:val="nil"/>
              <w:tr2bl w:val="nil"/>
            </w:tcBorders>
            <w:shd w:val="clear" w:color="auto" w:fill="auto"/>
            <w:vAlign w:val="center"/>
          </w:tcPr>
          <w:p w14:paraId="6C16F06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苯</w:t>
            </w:r>
          </w:p>
        </w:tc>
        <w:tc>
          <w:tcPr>
            <w:tcW w:w="2139" w:type="dxa"/>
            <w:tcBorders>
              <w:tl2br w:val="nil"/>
              <w:tr2bl w:val="nil"/>
            </w:tcBorders>
            <w:shd w:val="clear" w:color="auto" w:fill="auto"/>
            <w:vAlign w:val="center"/>
          </w:tcPr>
          <w:p w14:paraId="471134D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0.5</w:t>
            </w:r>
          </w:p>
        </w:tc>
        <w:tc>
          <w:tcPr>
            <w:tcW w:w="1965" w:type="dxa"/>
            <w:tcBorders>
              <w:tl2br w:val="nil"/>
              <w:tr2bl w:val="nil"/>
            </w:tcBorders>
            <w:shd w:val="clear" w:color="auto" w:fill="auto"/>
            <w:vAlign w:val="center"/>
          </w:tcPr>
          <w:p w14:paraId="7A2540D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0.02</w:t>
            </w:r>
          </w:p>
        </w:tc>
        <w:tc>
          <w:tcPr>
            <w:tcW w:w="2252" w:type="dxa"/>
            <w:vMerge w:val="restart"/>
            <w:tcBorders>
              <w:tl2br w:val="nil"/>
              <w:tr2bl w:val="nil"/>
            </w:tcBorders>
            <w:shd w:val="clear" w:color="auto" w:fill="auto"/>
            <w:vAlign w:val="center"/>
          </w:tcPr>
          <w:p w14:paraId="0236954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车间或生产设施排气筒</w:t>
            </w:r>
          </w:p>
        </w:tc>
      </w:tr>
      <w:tr w14:paraId="131200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740" w:type="dxa"/>
            <w:tcBorders>
              <w:tl2br w:val="nil"/>
              <w:tr2bl w:val="nil"/>
            </w:tcBorders>
            <w:shd w:val="clear" w:color="auto" w:fill="auto"/>
            <w:vAlign w:val="center"/>
          </w:tcPr>
          <w:p w14:paraId="6381029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1227" w:type="dxa"/>
            <w:tcBorders>
              <w:tl2br w:val="nil"/>
              <w:tr2bl w:val="nil"/>
            </w:tcBorders>
            <w:shd w:val="clear" w:color="auto" w:fill="auto"/>
            <w:vAlign w:val="center"/>
          </w:tcPr>
          <w:p w14:paraId="674DAC9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苯系物</w:t>
            </w:r>
            <w:r>
              <w:rPr>
                <w:rFonts w:hint="default" w:ascii="Times New Roman" w:hAnsi="Times New Roman" w:eastAsia="宋体" w:cs="Times New Roman"/>
                <w:color w:val="auto"/>
                <w:kern w:val="0"/>
                <w:sz w:val="21"/>
                <w:szCs w:val="21"/>
                <w:highlight w:val="none"/>
                <w:vertAlign w:val="superscript"/>
              </w:rPr>
              <w:t>b</w:t>
            </w:r>
          </w:p>
        </w:tc>
        <w:tc>
          <w:tcPr>
            <w:tcW w:w="2139" w:type="dxa"/>
            <w:tcBorders>
              <w:tl2br w:val="nil"/>
              <w:tr2bl w:val="nil"/>
            </w:tcBorders>
            <w:shd w:val="clear" w:color="auto" w:fill="auto"/>
            <w:vAlign w:val="center"/>
          </w:tcPr>
          <w:p w14:paraId="29E2936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c>
          <w:tcPr>
            <w:tcW w:w="1965" w:type="dxa"/>
            <w:tcBorders>
              <w:tl2br w:val="nil"/>
              <w:tr2bl w:val="nil"/>
            </w:tcBorders>
            <w:shd w:val="clear" w:color="auto" w:fill="auto"/>
            <w:vAlign w:val="center"/>
          </w:tcPr>
          <w:p w14:paraId="743E27B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0.8</w:t>
            </w:r>
          </w:p>
        </w:tc>
        <w:tc>
          <w:tcPr>
            <w:tcW w:w="2252" w:type="dxa"/>
            <w:vMerge w:val="continue"/>
            <w:tcBorders>
              <w:tl2br w:val="nil"/>
              <w:tr2bl w:val="nil"/>
            </w:tcBorders>
            <w:shd w:val="clear" w:color="auto" w:fill="auto"/>
            <w:vAlign w:val="center"/>
          </w:tcPr>
          <w:p w14:paraId="0F85978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p>
        </w:tc>
      </w:tr>
      <w:tr w14:paraId="0CEF27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740" w:type="dxa"/>
            <w:tcBorders>
              <w:tl2br w:val="nil"/>
              <w:tr2bl w:val="nil"/>
            </w:tcBorders>
            <w:shd w:val="clear" w:color="auto" w:fill="auto"/>
            <w:vAlign w:val="center"/>
          </w:tcPr>
          <w:p w14:paraId="34A6A01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p>
        </w:tc>
        <w:tc>
          <w:tcPr>
            <w:tcW w:w="1227" w:type="dxa"/>
            <w:tcBorders>
              <w:tl2br w:val="nil"/>
              <w:tr2bl w:val="nil"/>
            </w:tcBorders>
            <w:shd w:val="clear" w:color="auto" w:fill="auto"/>
            <w:vAlign w:val="center"/>
          </w:tcPr>
          <w:p w14:paraId="7758C4C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非甲烷总烃</w:t>
            </w:r>
          </w:p>
        </w:tc>
        <w:tc>
          <w:tcPr>
            <w:tcW w:w="2139" w:type="dxa"/>
            <w:tcBorders>
              <w:tl2br w:val="nil"/>
              <w:tr2bl w:val="nil"/>
            </w:tcBorders>
            <w:shd w:val="clear" w:color="auto" w:fill="auto"/>
            <w:vAlign w:val="center"/>
          </w:tcPr>
          <w:p w14:paraId="238132F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50</w:t>
            </w:r>
          </w:p>
        </w:tc>
        <w:tc>
          <w:tcPr>
            <w:tcW w:w="1965" w:type="dxa"/>
            <w:tcBorders>
              <w:tl2br w:val="nil"/>
              <w:tr2bl w:val="nil"/>
            </w:tcBorders>
            <w:shd w:val="clear" w:color="auto" w:fill="auto"/>
            <w:vAlign w:val="center"/>
          </w:tcPr>
          <w:p w14:paraId="2E8D54E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1.8</w:t>
            </w:r>
          </w:p>
        </w:tc>
        <w:tc>
          <w:tcPr>
            <w:tcW w:w="2252" w:type="dxa"/>
            <w:vMerge w:val="continue"/>
            <w:tcBorders>
              <w:tl2br w:val="nil"/>
              <w:tr2bl w:val="nil"/>
            </w:tcBorders>
            <w:shd w:val="clear" w:color="auto" w:fill="auto"/>
            <w:vAlign w:val="center"/>
          </w:tcPr>
          <w:p w14:paraId="7EFEB83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p>
        </w:tc>
      </w:tr>
      <w:tr w14:paraId="053875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740" w:type="dxa"/>
            <w:tcBorders>
              <w:tl2br w:val="nil"/>
              <w:tr2bl w:val="nil"/>
            </w:tcBorders>
            <w:shd w:val="clear" w:color="auto" w:fill="auto"/>
            <w:vAlign w:val="center"/>
          </w:tcPr>
          <w:p w14:paraId="4DD1C2C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227" w:type="dxa"/>
            <w:tcBorders>
              <w:tl2br w:val="nil"/>
              <w:tr2bl w:val="nil"/>
            </w:tcBorders>
            <w:shd w:val="clear" w:color="auto" w:fill="auto"/>
            <w:vAlign w:val="center"/>
          </w:tcPr>
          <w:p w14:paraId="032A4F9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TVOC</w:t>
            </w:r>
            <w:r>
              <w:rPr>
                <w:rFonts w:hint="default" w:ascii="Times New Roman" w:hAnsi="Times New Roman" w:eastAsia="宋体" w:cs="Times New Roman"/>
                <w:color w:val="auto"/>
                <w:kern w:val="0"/>
                <w:sz w:val="21"/>
                <w:szCs w:val="21"/>
                <w:highlight w:val="none"/>
                <w:vertAlign w:val="superscript"/>
              </w:rPr>
              <w:t>c</w:t>
            </w:r>
          </w:p>
        </w:tc>
        <w:tc>
          <w:tcPr>
            <w:tcW w:w="2139" w:type="dxa"/>
            <w:tcBorders>
              <w:tl2br w:val="nil"/>
              <w:tr2bl w:val="nil"/>
            </w:tcBorders>
            <w:shd w:val="clear" w:color="auto" w:fill="auto"/>
            <w:vAlign w:val="center"/>
          </w:tcPr>
          <w:p w14:paraId="093B508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80</w:t>
            </w:r>
          </w:p>
        </w:tc>
        <w:tc>
          <w:tcPr>
            <w:tcW w:w="1965" w:type="dxa"/>
            <w:tcBorders>
              <w:tl2br w:val="nil"/>
              <w:tr2bl w:val="nil"/>
            </w:tcBorders>
            <w:shd w:val="clear" w:color="auto" w:fill="auto"/>
            <w:vAlign w:val="center"/>
          </w:tcPr>
          <w:p w14:paraId="438C551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2.7</w:t>
            </w:r>
          </w:p>
        </w:tc>
        <w:tc>
          <w:tcPr>
            <w:tcW w:w="2252" w:type="dxa"/>
            <w:vMerge w:val="continue"/>
            <w:tcBorders>
              <w:tl2br w:val="nil"/>
              <w:tr2bl w:val="nil"/>
            </w:tcBorders>
            <w:shd w:val="clear" w:color="auto" w:fill="auto"/>
            <w:vAlign w:val="center"/>
          </w:tcPr>
          <w:p w14:paraId="79A9E16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p>
        </w:tc>
      </w:tr>
      <w:tr w14:paraId="1E29C7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740" w:type="dxa"/>
            <w:tcBorders>
              <w:tl2br w:val="nil"/>
              <w:tr2bl w:val="nil"/>
            </w:tcBorders>
            <w:shd w:val="clear" w:color="auto" w:fill="auto"/>
            <w:vAlign w:val="center"/>
          </w:tcPr>
          <w:p w14:paraId="620BDD1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1227" w:type="dxa"/>
            <w:tcBorders>
              <w:tl2br w:val="nil"/>
              <w:tr2bl w:val="nil"/>
            </w:tcBorders>
            <w:shd w:val="clear" w:color="auto" w:fill="auto"/>
            <w:vAlign w:val="center"/>
          </w:tcPr>
          <w:p w14:paraId="7C2C935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颗粒物</w:t>
            </w:r>
          </w:p>
        </w:tc>
        <w:tc>
          <w:tcPr>
            <w:tcW w:w="2139" w:type="dxa"/>
            <w:tcBorders>
              <w:tl2br w:val="nil"/>
              <w:tr2bl w:val="nil"/>
            </w:tcBorders>
            <w:shd w:val="clear" w:color="auto" w:fill="auto"/>
            <w:vAlign w:val="center"/>
          </w:tcPr>
          <w:p w14:paraId="551E4DD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w:t>
            </w:r>
          </w:p>
        </w:tc>
        <w:tc>
          <w:tcPr>
            <w:tcW w:w="1965" w:type="dxa"/>
            <w:tcBorders>
              <w:tl2br w:val="nil"/>
              <w:tr2bl w:val="nil"/>
            </w:tcBorders>
            <w:shd w:val="clear" w:color="auto" w:fill="auto"/>
            <w:vAlign w:val="center"/>
          </w:tcPr>
          <w:p w14:paraId="069D497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0.6</w:t>
            </w:r>
          </w:p>
        </w:tc>
        <w:tc>
          <w:tcPr>
            <w:tcW w:w="2252" w:type="dxa"/>
            <w:vMerge w:val="continue"/>
            <w:tcBorders>
              <w:tl2br w:val="nil"/>
              <w:tr2bl w:val="nil"/>
            </w:tcBorders>
            <w:shd w:val="clear" w:color="auto" w:fill="auto"/>
            <w:vAlign w:val="center"/>
          </w:tcPr>
          <w:p w14:paraId="5B170BB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p>
        </w:tc>
      </w:tr>
      <w:tr w14:paraId="6B61BA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8323" w:type="dxa"/>
            <w:gridSpan w:val="5"/>
            <w:tcBorders>
              <w:tl2br w:val="nil"/>
              <w:tr2bl w:val="nil"/>
            </w:tcBorders>
            <w:shd w:val="clear" w:color="auto" w:fill="auto"/>
            <w:vAlign w:val="center"/>
          </w:tcPr>
          <w:p w14:paraId="552F3E02">
            <w:pPr>
              <w:keepNext w:val="0"/>
              <w:keepLines w:val="0"/>
              <w:pageBreakBefore w:val="0"/>
              <w:widowControl/>
              <w:kinsoku w:val="0"/>
              <w:wordWrap/>
              <w:overflowPunct/>
              <w:topLinePunct w:val="0"/>
              <w:autoSpaceDE w:val="0"/>
              <w:autoSpaceDN w:val="0"/>
              <w:bidi w:val="0"/>
              <w:adjustRightInd w:val="0"/>
              <w:snapToGrid w:val="0"/>
              <w:jc w:val="left"/>
              <w:textAlignment w:val="baseline"/>
              <w:rPr>
                <w:rFonts w:hint="default" w:ascii="Times New Roman" w:hAnsi="Times New Roman" w:eastAsia="宋体" w:cs="Times New Roman"/>
                <w:color w:val="auto"/>
                <w:kern w:val="0"/>
                <w:sz w:val="21"/>
                <w:szCs w:val="21"/>
                <w:highlight w:val="none"/>
              </w:rPr>
            </w:pPr>
            <w:bookmarkStart w:id="785" w:name="_Hlk17644949"/>
            <w:r>
              <w:rPr>
                <w:rFonts w:hint="default" w:ascii="Times New Roman" w:hAnsi="Times New Roman" w:eastAsia="宋体" w:cs="Times New Roman"/>
                <w:color w:val="auto"/>
                <w:kern w:val="0"/>
                <w:sz w:val="21"/>
                <w:szCs w:val="21"/>
                <w:highlight w:val="none"/>
                <w:vertAlign w:val="superscript"/>
              </w:rPr>
              <w:t>a</w:t>
            </w:r>
            <w:r>
              <w:rPr>
                <w:rFonts w:hint="default" w:ascii="Times New Roman" w:hAnsi="Times New Roman" w:eastAsia="宋体" w:cs="Times New Roman"/>
                <w:color w:val="auto"/>
                <w:kern w:val="0"/>
                <w:sz w:val="21"/>
                <w:szCs w:val="21"/>
                <w:highlight w:val="none"/>
              </w:rPr>
              <w:t>污染治理设施去除效率≥90%时，不执行排放速率限值要求。</w:t>
            </w:r>
          </w:p>
          <w:p w14:paraId="0D2DFF43">
            <w:pPr>
              <w:keepNext w:val="0"/>
              <w:keepLines w:val="0"/>
              <w:pageBreakBefore w:val="0"/>
              <w:widowControl/>
              <w:kinsoku w:val="0"/>
              <w:wordWrap/>
              <w:overflowPunct/>
              <w:topLinePunct w:val="0"/>
              <w:autoSpaceDE w:val="0"/>
              <w:autoSpaceDN w:val="0"/>
              <w:bidi w:val="0"/>
              <w:adjustRightInd w:val="0"/>
              <w:snapToGrid w:val="0"/>
              <w:spacing w:before="156" w:after="156"/>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vertAlign w:val="superscript"/>
              </w:rPr>
              <w:t>b</w:t>
            </w:r>
            <w:r>
              <w:rPr>
                <w:rFonts w:hint="default" w:ascii="Times New Roman" w:hAnsi="Times New Roman" w:eastAsia="宋体" w:cs="Times New Roman"/>
                <w:color w:val="auto"/>
                <w:kern w:val="0"/>
                <w:sz w:val="21"/>
                <w:szCs w:val="21"/>
                <w:highlight w:val="none"/>
              </w:rPr>
              <w:t>苯系物浓度为苯、甲苯、二甲苯、三甲苯、乙苯和苯乙烯质量浓度之和。其中，三甲苯待国家污染物监测技术规定发布后执行。</w:t>
            </w:r>
          </w:p>
          <w:p w14:paraId="106AC705">
            <w:pPr>
              <w:keepNext w:val="0"/>
              <w:keepLines w:val="0"/>
              <w:pageBreakBefore w:val="0"/>
              <w:widowControl/>
              <w:kinsoku w:val="0"/>
              <w:wordWrap/>
              <w:overflowPunct/>
              <w:topLinePunct w:val="0"/>
              <w:autoSpaceDE w:val="0"/>
              <w:autoSpaceDN w:val="0"/>
              <w:bidi w:val="0"/>
              <w:adjustRightInd w:val="0"/>
              <w:snapToGrid w:val="0"/>
              <w:spacing w:before="156" w:after="156"/>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vertAlign w:val="superscript"/>
              </w:rPr>
              <w:t>c</w:t>
            </w:r>
            <w:r>
              <w:rPr>
                <w:rFonts w:hint="default" w:ascii="Times New Roman" w:hAnsi="Times New Roman" w:eastAsia="宋体" w:cs="Times New Roman"/>
                <w:color w:val="auto"/>
                <w:kern w:val="0"/>
                <w:sz w:val="21"/>
                <w:szCs w:val="21"/>
                <w:highlight w:val="none"/>
              </w:rPr>
              <w:t>结合附录A和有关环境管理要求等，筛选确定计入TVOC的物质，采用规定的监测方法，对废气中的单项VOCs物质进行测量，加和得到VOCs物质的总量，以单项VOCs物质的质量浓度之和计。实际工作中，应按预期分析结果，对占总量90%以上的单项VOCs物质进行测量，加和得出。尚不具备分析方法的待国家污染物监测技术规定发布后实施。</w:t>
            </w:r>
          </w:p>
        </w:tc>
      </w:tr>
      <w:bookmarkEnd w:id="784"/>
      <w:bookmarkEnd w:id="785"/>
    </w:tbl>
    <w:p w14:paraId="4897A7E4">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eastAsia" w:ascii="Times New Roman" w:hAnsi="Times New Roman" w:eastAsia="宋体" w:cs="Times New Roman"/>
          <w:color w:val="auto"/>
          <w:spacing w:val="-2"/>
          <w:sz w:val="24"/>
          <w:szCs w:val="24"/>
          <w:highlight w:val="none"/>
          <w:lang w:val="en-US" w:eastAsia="zh-CN"/>
        </w:rPr>
      </w:pPr>
      <w:bookmarkStart w:id="786" w:name="OLE_LINK142"/>
      <w:bookmarkStart w:id="787" w:name="OLE_LINK247"/>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w:t>
      </w:r>
      <w:bookmarkEnd w:id="786"/>
      <w:r>
        <w:rPr>
          <w:rFonts w:hint="eastAsia" w:ascii="Times New Roman" w:hAnsi="Times New Roman" w:eastAsia="宋体" w:cs="Times New Roman"/>
          <w:b/>
          <w:bCs/>
          <w:color w:val="auto"/>
          <w:spacing w:val="-4"/>
          <w:sz w:val="24"/>
          <w:szCs w:val="24"/>
          <w:highlight w:val="none"/>
          <w:lang w:val="en-US" w:eastAsia="zh-CN"/>
        </w:rPr>
        <w:t>32</w:t>
      </w:r>
      <w:r>
        <w:rPr>
          <w:rFonts w:hint="eastAsia" w:ascii="Times New Roman" w:hAnsi="Times New Roman" w:eastAsia="宋体" w:cs="Times New Roman"/>
          <w:b/>
          <w:bCs/>
          <w:color w:val="auto"/>
          <w:spacing w:val="-2"/>
          <w:sz w:val="24"/>
          <w:szCs w:val="24"/>
          <w:highlight w:val="none"/>
          <w:lang w:val="en-US" w:eastAsia="zh-CN"/>
        </w:rPr>
        <w:t xml:space="preserve">  燃烧装置大气污染物排放限</w:t>
      </w:r>
      <w:bookmarkEnd w:id="787"/>
      <w:r>
        <w:rPr>
          <w:rFonts w:hint="eastAsia" w:ascii="Times New Roman" w:hAnsi="Times New Roman" w:eastAsia="宋体" w:cs="Times New Roman"/>
          <w:b/>
          <w:bCs/>
          <w:color w:val="auto"/>
          <w:spacing w:val="-2"/>
          <w:sz w:val="24"/>
          <w:szCs w:val="24"/>
          <w:highlight w:val="none"/>
          <w:lang w:val="en-US" w:eastAsia="zh-CN"/>
        </w:rPr>
        <w:t>值</w:t>
      </w:r>
      <w:bookmarkStart w:id="788" w:name="pindex2589"/>
      <w:bookmarkEnd w:id="788"/>
    </w:p>
    <w:tbl>
      <w:tblPr>
        <w:tblStyle w:val="19"/>
        <w:tblW w:w="8346" w:type="dxa"/>
        <w:tblInd w:w="16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5"/>
        <w:gridCol w:w="2014"/>
        <w:gridCol w:w="2268"/>
        <w:gridCol w:w="2989"/>
      </w:tblGrid>
      <w:tr w14:paraId="7FF1A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1075" w:type="dxa"/>
            <w:tcBorders>
              <w:tl2br w:val="nil"/>
              <w:tr2bl w:val="nil"/>
            </w:tcBorders>
            <w:vAlign w:val="center"/>
          </w:tcPr>
          <w:p w14:paraId="39996730">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b/>
                <w:bCs/>
                <w:color w:val="auto"/>
                <w:sz w:val="21"/>
                <w:szCs w:val="21"/>
                <w:highlight w:val="none"/>
              </w:rPr>
            </w:pPr>
            <w:bookmarkStart w:id="789" w:name="OLE_LINK246" w:colFirst="0" w:colLast="3"/>
            <w:bookmarkStart w:id="790" w:name="_Hlk56703599"/>
            <w:r>
              <w:rPr>
                <w:rFonts w:hint="default" w:ascii="Times New Roman" w:hAnsi="Times New Roman" w:eastAsia="宋体" w:cs="Times New Roman"/>
                <w:b/>
                <w:bCs/>
                <w:color w:val="auto"/>
                <w:sz w:val="21"/>
                <w:szCs w:val="21"/>
                <w:highlight w:val="none"/>
              </w:rPr>
              <w:t>序号</w:t>
            </w:r>
          </w:p>
        </w:tc>
        <w:tc>
          <w:tcPr>
            <w:tcW w:w="2014" w:type="dxa"/>
            <w:tcBorders>
              <w:tl2br w:val="nil"/>
              <w:tr2bl w:val="nil"/>
            </w:tcBorders>
            <w:vAlign w:val="center"/>
          </w:tcPr>
          <w:p w14:paraId="4D1877A0">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污染物项目</w:t>
            </w:r>
          </w:p>
        </w:tc>
        <w:tc>
          <w:tcPr>
            <w:tcW w:w="2268" w:type="dxa"/>
            <w:tcBorders>
              <w:tl2br w:val="nil"/>
              <w:tr2bl w:val="nil"/>
            </w:tcBorders>
            <w:vAlign w:val="center"/>
          </w:tcPr>
          <w:p w14:paraId="3EB21123">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排放限值</w:t>
            </w:r>
          </w:p>
        </w:tc>
        <w:tc>
          <w:tcPr>
            <w:tcW w:w="2989" w:type="dxa"/>
            <w:tcBorders>
              <w:tl2br w:val="nil"/>
              <w:tr2bl w:val="nil"/>
            </w:tcBorders>
            <w:vAlign w:val="center"/>
          </w:tcPr>
          <w:p w14:paraId="504847A7">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污染物排放监控位置</w:t>
            </w:r>
          </w:p>
        </w:tc>
      </w:tr>
      <w:bookmarkEnd w:id="789"/>
      <w:tr w14:paraId="7C81A2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1075" w:type="dxa"/>
            <w:tcBorders>
              <w:tl2br w:val="nil"/>
              <w:tr2bl w:val="nil"/>
            </w:tcBorders>
            <w:vAlign w:val="center"/>
          </w:tcPr>
          <w:p w14:paraId="01F8C58D">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014" w:type="dxa"/>
            <w:tcBorders>
              <w:tl2br w:val="nil"/>
              <w:tr2bl w:val="nil"/>
            </w:tcBorders>
            <w:vAlign w:val="center"/>
          </w:tcPr>
          <w:p w14:paraId="3FBF6F4A">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氮氧化物</w:t>
            </w:r>
          </w:p>
        </w:tc>
        <w:tc>
          <w:tcPr>
            <w:tcW w:w="2268" w:type="dxa"/>
            <w:tcBorders>
              <w:tl2br w:val="nil"/>
              <w:tr2bl w:val="nil"/>
            </w:tcBorders>
            <w:vAlign w:val="center"/>
          </w:tcPr>
          <w:p w14:paraId="2E1D4526">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 mg/m</w:t>
            </w:r>
            <w:r>
              <w:rPr>
                <w:rFonts w:hint="default" w:ascii="Times New Roman" w:hAnsi="Times New Roman" w:eastAsia="宋体" w:cs="Times New Roman"/>
                <w:color w:val="auto"/>
                <w:sz w:val="21"/>
                <w:szCs w:val="21"/>
                <w:highlight w:val="none"/>
                <w:vertAlign w:val="superscript"/>
              </w:rPr>
              <w:t>3</w:t>
            </w:r>
          </w:p>
        </w:tc>
        <w:tc>
          <w:tcPr>
            <w:tcW w:w="2989" w:type="dxa"/>
            <w:vMerge w:val="restart"/>
            <w:tcBorders>
              <w:tl2br w:val="nil"/>
              <w:tr2bl w:val="nil"/>
            </w:tcBorders>
            <w:vAlign w:val="center"/>
          </w:tcPr>
          <w:p w14:paraId="33F2966D">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燃烧（焚烧、氧化）装置排气筒</w:t>
            </w:r>
          </w:p>
        </w:tc>
      </w:tr>
      <w:tr w14:paraId="5A61B7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1075" w:type="dxa"/>
            <w:tcBorders>
              <w:tl2br w:val="nil"/>
              <w:tr2bl w:val="nil"/>
            </w:tcBorders>
            <w:vAlign w:val="center"/>
          </w:tcPr>
          <w:p w14:paraId="143E0681">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014" w:type="dxa"/>
            <w:tcBorders>
              <w:tl2br w:val="nil"/>
              <w:tr2bl w:val="nil"/>
            </w:tcBorders>
            <w:vAlign w:val="center"/>
          </w:tcPr>
          <w:p w14:paraId="2A8C3225">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二噁英类</w:t>
            </w:r>
            <w:r>
              <w:rPr>
                <w:rFonts w:hint="default" w:ascii="Times New Roman" w:hAnsi="Times New Roman" w:eastAsia="宋体" w:cs="Times New Roman"/>
                <w:color w:val="auto"/>
                <w:sz w:val="21"/>
                <w:szCs w:val="21"/>
                <w:highlight w:val="none"/>
                <w:vertAlign w:val="superscript"/>
              </w:rPr>
              <w:t>a</w:t>
            </w:r>
          </w:p>
        </w:tc>
        <w:tc>
          <w:tcPr>
            <w:tcW w:w="2268" w:type="dxa"/>
            <w:tcBorders>
              <w:tl2br w:val="nil"/>
              <w:tr2bl w:val="nil"/>
            </w:tcBorders>
            <w:vAlign w:val="center"/>
          </w:tcPr>
          <w:p w14:paraId="5F6C8085">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 ng-TEQ/m</w:t>
            </w:r>
            <w:r>
              <w:rPr>
                <w:rFonts w:hint="default" w:ascii="Times New Roman" w:hAnsi="Times New Roman" w:eastAsia="宋体" w:cs="Times New Roman"/>
                <w:color w:val="auto"/>
                <w:sz w:val="21"/>
                <w:szCs w:val="21"/>
                <w:highlight w:val="none"/>
                <w:vertAlign w:val="superscript"/>
              </w:rPr>
              <w:t>3</w:t>
            </w:r>
          </w:p>
        </w:tc>
        <w:tc>
          <w:tcPr>
            <w:tcW w:w="2989" w:type="dxa"/>
            <w:vMerge w:val="continue"/>
            <w:tcBorders>
              <w:tl2br w:val="nil"/>
              <w:tr2bl w:val="nil"/>
            </w:tcBorders>
            <w:vAlign w:val="center"/>
          </w:tcPr>
          <w:p w14:paraId="608B484E">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p>
        </w:tc>
      </w:tr>
      <w:tr w14:paraId="68D584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8346" w:type="dxa"/>
            <w:gridSpan w:val="4"/>
            <w:tcBorders>
              <w:tl2br w:val="nil"/>
              <w:tr2bl w:val="nil"/>
            </w:tcBorders>
          </w:tcPr>
          <w:p w14:paraId="71DA900F">
            <w:pPr>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vertAlign w:val="superscript"/>
              </w:rPr>
              <w:t>a</w:t>
            </w:r>
            <w:r>
              <w:rPr>
                <w:rFonts w:hint="default" w:ascii="Times New Roman" w:hAnsi="Times New Roman" w:eastAsia="宋体" w:cs="Times New Roman"/>
                <w:color w:val="auto"/>
                <w:sz w:val="21"/>
                <w:szCs w:val="21"/>
                <w:highlight w:val="none"/>
              </w:rPr>
              <w:t>仅处理含氯有机废气时，需监测该指标。</w:t>
            </w:r>
          </w:p>
        </w:tc>
      </w:tr>
      <w:bookmarkEnd w:id="790"/>
    </w:tbl>
    <w:p w14:paraId="2D5034E5">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default" w:ascii="Times New Roman" w:hAnsi="Times New Roman" w:cs="Times New Roman"/>
          <w:color w:val="auto"/>
          <w:szCs w:val="22"/>
          <w:highlight w:val="none"/>
          <w:vertAlign w:val="superscript"/>
        </w:rPr>
      </w:pPr>
      <w:bookmarkStart w:id="791" w:name="sys2603033"/>
      <w:r>
        <w:rPr>
          <w:rFonts w:hint="default" w:ascii="Times New Roman" w:hAnsi="Times New Roman" w:eastAsia="宋体" w:cs="Times New Roman"/>
          <w:b/>
          <w:bCs/>
          <w:color w:val="auto"/>
          <w:spacing w:val="-4"/>
          <w:sz w:val="24"/>
          <w:szCs w:val="24"/>
          <w:highlight w:val="none"/>
          <w:lang w:val="en-US" w:eastAsia="zh-CN"/>
        </w:rPr>
        <w:t>表3.2-3</w:t>
      </w:r>
      <w:r>
        <w:rPr>
          <w:rFonts w:hint="eastAsia" w:ascii="Times New Roman" w:hAnsi="Times New Roman" w:eastAsia="宋体" w:cs="Times New Roman"/>
          <w:b/>
          <w:bCs/>
          <w:color w:val="auto"/>
          <w:spacing w:val="-4"/>
          <w:sz w:val="24"/>
          <w:szCs w:val="24"/>
          <w:highlight w:val="none"/>
          <w:lang w:val="en-US" w:eastAsia="zh-CN"/>
        </w:rPr>
        <w:t>3</w:t>
      </w:r>
      <w:r>
        <w:rPr>
          <w:rFonts w:hint="default" w:ascii="Times New Roman" w:hAnsi="Times New Roman" w:eastAsia="宋体" w:cs="Times New Roman"/>
          <w:b/>
          <w:bCs/>
          <w:color w:val="auto"/>
          <w:spacing w:val="-2"/>
          <w:sz w:val="24"/>
          <w:szCs w:val="24"/>
          <w:highlight w:val="none"/>
          <w:lang w:val="en-US" w:eastAsia="zh-CN"/>
        </w:rPr>
        <w:t xml:space="preserve"> 厂区内大气污染物无组织排放限值（</w:t>
      </w:r>
      <w:bookmarkStart w:id="792" w:name="OLE_LINK249"/>
      <w:r>
        <w:rPr>
          <w:rFonts w:hint="default" w:ascii="Times New Roman" w:hAnsi="Times New Roman" w:cs="Times New Roman"/>
          <w:b/>
          <w:bCs/>
          <w:color w:val="auto"/>
          <w:szCs w:val="22"/>
          <w:highlight w:val="none"/>
        </w:rPr>
        <w:t>单位：mg/m</w:t>
      </w:r>
      <w:r>
        <w:rPr>
          <w:rFonts w:hint="default" w:ascii="Times New Roman" w:hAnsi="Times New Roman" w:cs="Times New Roman"/>
          <w:b/>
          <w:bCs/>
          <w:color w:val="auto"/>
          <w:szCs w:val="22"/>
          <w:highlight w:val="none"/>
          <w:vertAlign w:val="superscript"/>
        </w:rPr>
        <w:t>3</w:t>
      </w:r>
      <w:bookmarkEnd w:id="792"/>
      <w:r>
        <w:rPr>
          <w:rFonts w:hint="default" w:ascii="Times New Roman" w:hAnsi="Times New Roman" w:eastAsia="宋体" w:cs="Times New Roman"/>
          <w:b/>
          <w:bCs/>
          <w:color w:val="auto"/>
          <w:spacing w:val="-2"/>
          <w:sz w:val="24"/>
          <w:szCs w:val="24"/>
          <w:highlight w:val="none"/>
          <w:lang w:val="en-US" w:eastAsia="zh-CN"/>
        </w:rPr>
        <w:t>）</w:t>
      </w:r>
      <w:bookmarkEnd w:id="791"/>
      <w:bookmarkStart w:id="793" w:name="pindex2603"/>
      <w:bookmarkEnd w:id="793"/>
    </w:p>
    <w:tbl>
      <w:tblPr>
        <w:tblStyle w:val="19"/>
        <w:tblW w:w="8359" w:type="dxa"/>
        <w:tblInd w:w="15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3"/>
        <w:gridCol w:w="1730"/>
        <w:gridCol w:w="1134"/>
        <w:gridCol w:w="2551"/>
        <w:gridCol w:w="2281"/>
      </w:tblGrid>
      <w:tr w14:paraId="444BC1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63" w:type="dxa"/>
            <w:tcBorders>
              <w:tl2br w:val="nil"/>
              <w:tr2bl w:val="nil"/>
            </w:tcBorders>
            <w:vAlign w:val="center"/>
          </w:tcPr>
          <w:p w14:paraId="790A080F">
            <w:pPr>
              <w:jc w:val="center"/>
              <w:rPr>
                <w:rFonts w:hint="default" w:ascii="Times New Roman" w:hAnsi="Times New Roman" w:eastAsia="宋体" w:cs="Times New Roman"/>
                <w:b/>
                <w:bCs/>
                <w:color w:val="auto"/>
                <w:sz w:val="21"/>
                <w:szCs w:val="21"/>
                <w:highlight w:val="none"/>
              </w:rPr>
            </w:pPr>
            <w:bookmarkStart w:id="794" w:name="OLE_LINK248" w:colFirst="0" w:colLast="4"/>
            <w:bookmarkStart w:id="795" w:name="_Hlk36563304"/>
            <w:r>
              <w:rPr>
                <w:rFonts w:hint="default" w:ascii="Times New Roman" w:hAnsi="Times New Roman" w:eastAsia="宋体" w:cs="Times New Roman"/>
                <w:b/>
                <w:bCs/>
                <w:color w:val="auto"/>
                <w:sz w:val="21"/>
                <w:szCs w:val="21"/>
                <w:highlight w:val="none"/>
              </w:rPr>
              <w:t>序号</w:t>
            </w:r>
          </w:p>
        </w:tc>
        <w:tc>
          <w:tcPr>
            <w:tcW w:w="1730" w:type="dxa"/>
            <w:tcBorders>
              <w:tl2br w:val="nil"/>
              <w:tr2bl w:val="nil"/>
            </w:tcBorders>
            <w:vAlign w:val="center"/>
          </w:tcPr>
          <w:p w14:paraId="10E4239C">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污染物项目</w:t>
            </w:r>
          </w:p>
        </w:tc>
        <w:tc>
          <w:tcPr>
            <w:tcW w:w="1134" w:type="dxa"/>
            <w:tcBorders>
              <w:tl2br w:val="nil"/>
              <w:tr2bl w:val="nil"/>
            </w:tcBorders>
            <w:vAlign w:val="center"/>
          </w:tcPr>
          <w:p w14:paraId="1B36CA67">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浓度</w:t>
            </w:r>
          </w:p>
        </w:tc>
        <w:tc>
          <w:tcPr>
            <w:tcW w:w="2551" w:type="dxa"/>
            <w:tcBorders>
              <w:tl2br w:val="nil"/>
              <w:tr2bl w:val="nil"/>
            </w:tcBorders>
            <w:vAlign w:val="center"/>
          </w:tcPr>
          <w:p w14:paraId="1FFF83C6">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限值含义</w:t>
            </w:r>
          </w:p>
        </w:tc>
        <w:tc>
          <w:tcPr>
            <w:tcW w:w="2281" w:type="dxa"/>
            <w:tcBorders>
              <w:tl2br w:val="nil"/>
              <w:tr2bl w:val="nil"/>
            </w:tcBorders>
            <w:vAlign w:val="center"/>
          </w:tcPr>
          <w:p w14:paraId="286EF8CE">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无组织排放监控位置</w:t>
            </w:r>
          </w:p>
        </w:tc>
      </w:tr>
      <w:bookmarkEnd w:id="794"/>
      <w:tr w14:paraId="270A19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663" w:type="dxa"/>
            <w:tcBorders>
              <w:tl2br w:val="nil"/>
              <w:tr2bl w:val="nil"/>
            </w:tcBorders>
            <w:vAlign w:val="center"/>
          </w:tcPr>
          <w:p w14:paraId="2944090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730" w:type="dxa"/>
            <w:vMerge w:val="restart"/>
            <w:tcBorders>
              <w:tl2br w:val="nil"/>
              <w:tr2bl w:val="nil"/>
            </w:tcBorders>
            <w:vAlign w:val="center"/>
          </w:tcPr>
          <w:p w14:paraId="321B521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非甲烷总烃</w:t>
            </w:r>
          </w:p>
        </w:tc>
        <w:tc>
          <w:tcPr>
            <w:tcW w:w="1134" w:type="dxa"/>
            <w:tcBorders>
              <w:tl2br w:val="nil"/>
              <w:tr2bl w:val="nil"/>
            </w:tcBorders>
            <w:vAlign w:val="center"/>
          </w:tcPr>
          <w:p w14:paraId="5D2A3D6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2551" w:type="dxa"/>
            <w:tcBorders>
              <w:tl2br w:val="nil"/>
              <w:tr2bl w:val="nil"/>
            </w:tcBorders>
            <w:vAlign w:val="center"/>
          </w:tcPr>
          <w:p w14:paraId="3882D04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监控点处1 h平均浓度值</w:t>
            </w:r>
          </w:p>
        </w:tc>
        <w:tc>
          <w:tcPr>
            <w:tcW w:w="2281" w:type="dxa"/>
            <w:vMerge w:val="restart"/>
            <w:tcBorders>
              <w:tl2br w:val="nil"/>
              <w:tr2bl w:val="nil"/>
            </w:tcBorders>
            <w:vAlign w:val="center"/>
          </w:tcPr>
          <w:p w14:paraId="0D7D9D5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在厂房外设置监控点</w:t>
            </w:r>
          </w:p>
        </w:tc>
      </w:tr>
      <w:tr w14:paraId="2ED8DC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663" w:type="dxa"/>
            <w:tcBorders>
              <w:tl2br w:val="nil"/>
              <w:tr2bl w:val="nil"/>
            </w:tcBorders>
            <w:vAlign w:val="center"/>
          </w:tcPr>
          <w:p w14:paraId="4980355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730" w:type="dxa"/>
            <w:vMerge w:val="continue"/>
            <w:tcBorders>
              <w:tl2br w:val="nil"/>
              <w:tr2bl w:val="nil"/>
            </w:tcBorders>
            <w:vAlign w:val="center"/>
          </w:tcPr>
          <w:p w14:paraId="568BF4AB">
            <w:pPr>
              <w:jc w:val="center"/>
              <w:rPr>
                <w:rFonts w:hint="default" w:ascii="Times New Roman" w:hAnsi="Times New Roman" w:eastAsia="宋体" w:cs="Times New Roman"/>
                <w:color w:val="auto"/>
                <w:sz w:val="21"/>
                <w:szCs w:val="21"/>
                <w:highlight w:val="none"/>
              </w:rPr>
            </w:pPr>
          </w:p>
        </w:tc>
        <w:tc>
          <w:tcPr>
            <w:tcW w:w="1134" w:type="dxa"/>
            <w:tcBorders>
              <w:tl2br w:val="nil"/>
              <w:tr2bl w:val="nil"/>
            </w:tcBorders>
            <w:vAlign w:val="center"/>
          </w:tcPr>
          <w:p w14:paraId="523633B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2551" w:type="dxa"/>
            <w:tcBorders>
              <w:tl2br w:val="nil"/>
              <w:tr2bl w:val="nil"/>
            </w:tcBorders>
            <w:vAlign w:val="center"/>
          </w:tcPr>
          <w:p w14:paraId="0469D28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监控点处任意一次浓度值</w:t>
            </w:r>
          </w:p>
        </w:tc>
        <w:tc>
          <w:tcPr>
            <w:tcW w:w="2281" w:type="dxa"/>
            <w:vMerge w:val="continue"/>
            <w:tcBorders>
              <w:tl2br w:val="nil"/>
              <w:tr2bl w:val="nil"/>
            </w:tcBorders>
            <w:vAlign w:val="center"/>
          </w:tcPr>
          <w:p w14:paraId="6ABEA550">
            <w:pPr>
              <w:jc w:val="center"/>
              <w:rPr>
                <w:rFonts w:hint="default" w:ascii="Times New Roman" w:hAnsi="Times New Roman" w:eastAsia="宋体" w:cs="Times New Roman"/>
                <w:color w:val="auto"/>
                <w:sz w:val="21"/>
                <w:szCs w:val="21"/>
                <w:highlight w:val="none"/>
              </w:rPr>
            </w:pPr>
          </w:p>
        </w:tc>
      </w:tr>
      <w:bookmarkEnd w:id="795"/>
    </w:tbl>
    <w:p w14:paraId="309BC780">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outlineLvl w:val="9"/>
        <w:rPr>
          <w:rFonts w:hint="eastAsia" w:ascii="Times New Roman" w:hAnsi="Times New Roman" w:eastAsia="宋体" w:cs="Times New Roman"/>
          <w:color w:val="auto"/>
          <w:spacing w:val="-2"/>
          <w:sz w:val="24"/>
          <w:szCs w:val="24"/>
          <w:highlight w:val="none"/>
          <w:lang w:val="en-US" w:eastAsia="zh-CN"/>
        </w:rPr>
      </w:pPr>
      <w:bookmarkStart w:id="796" w:name="OLE_LINK259"/>
      <w:r>
        <w:rPr>
          <w:rFonts w:hint="eastAsia" w:ascii="Times New Roman" w:hAnsi="Times New Roman" w:eastAsia="宋体" w:cs="Times New Roman"/>
          <w:color w:val="auto"/>
          <w:spacing w:val="-2"/>
          <w:sz w:val="24"/>
          <w:szCs w:val="24"/>
          <w:highlight w:val="none"/>
          <w:lang w:val="en-US" w:eastAsia="zh-CN"/>
        </w:rPr>
        <w:t>（8）印刷业</w:t>
      </w:r>
      <w:bookmarkStart w:id="797" w:name="pindex2619"/>
      <w:bookmarkEnd w:id="797"/>
    </w:p>
    <w:bookmarkEnd w:id="796"/>
    <w:p w14:paraId="584D88AF">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rPr>
          <w:rFonts w:hint="eastAsia" w:ascii="Times New Roman" w:hAnsi="Times New Roman" w:eastAsia="宋体" w:cs="Times New Roman"/>
          <w:color w:val="auto"/>
          <w:spacing w:val="-2"/>
          <w:sz w:val="24"/>
          <w:szCs w:val="24"/>
          <w:highlight w:val="none"/>
          <w:lang w:val="en-US" w:eastAsia="zh-CN"/>
        </w:rPr>
      </w:pPr>
      <w:bookmarkStart w:id="798" w:name="OLE_LINK751"/>
      <w:bookmarkStart w:id="799" w:name="sys2620048"/>
      <w:r>
        <w:rPr>
          <w:rFonts w:hint="eastAsia" w:ascii="Times New Roman" w:hAnsi="Times New Roman" w:eastAsia="宋体" w:cs="Times New Roman"/>
          <w:color w:val="auto"/>
          <w:spacing w:val="-2"/>
          <w:sz w:val="24"/>
          <w:szCs w:val="24"/>
          <w:highlight w:val="none"/>
          <w:lang w:val="en-US" w:eastAsia="zh-CN"/>
        </w:rPr>
        <w:t>区内</w:t>
      </w:r>
      <w:bookmarkStart w:id="800" w:name="OLE_LINK251"/>
      <w:r>
        <w:rPr>
          <w:rFonts w:hint="eastAsia" w:ascii="Times New Roman" w:hAnsi="Times New Roman" w:eastAsia="宋体" w:cs="Times New Roman"/>
          <w:color w:val="auto"/>
          <w:spacing w:val="-2"/>
          <w:sz w:val="24"/>
          <w:szCs w:val="24"/>
          <w:highlight w:val="none"/>
          <w:lang w:val="en-US" w:eastAsia="zh-CN"/>
        </w:rPr>
        <w:t>印刷</w:t>
      </w:r>
      <w:bookmarkEnd w:id="800"/>
      <w:r>
        <w:rPr>
          <w:rFonts w:hint="eastAsia" w:ascii="Times New Roman" w:hAnsi="Times New Roman" w:eastAsia="宋体" w:cs="Times New Roman"/>
          <w:color w:val="auto"/>
          <w:spacing w:val="-2"/>
          <w:sz w:val="24"/>
          <w:szCs w:val="24"/>
          <w:highlight w:val="none"/>
          <w:lang w:val="en-US" w:eastAsia="zh-CN"/>
        </w:rPr>
        <w:t>企业</w:t>
      </w:r>
      <w:bookmarkStart w:id="801" w:name="OLE_LINK153"/>
      <w:r>
        <w:rPr>
          <w:rFonts w:hint="eastAsia" w:ascii="Times New Roman" w:hAnsi="Times New Roman" w:eastAsia="宋体" w:cs="Times New Roman"/>
          <w:color w:val="auto"/>
          <w:spacing w:val="-2"/>
          <w:sz w:val="24"/>
          <w:szCs w:val="24"/>
          <w:highlight w:val="none"/>
          <w:lang w:val="en-US" w:eastAsia="zh-CN"/>
        </w:rPr>
        <w:t>废气</w:t>
      </w:r>
      <w:bookmarkEnd w:id="801"/>
      <w:r>
        <w:rPr>
          <w:rFonts w:hint="eastAsia" w:ascii="Times New Roman" w:hAnsi="Times New Roman" w:eastAsia="宋体" w:cs="Times New Roman"/>
          <w:color w:val="auto"/>
          <w:spacing w:val="-2"/>
          <w:sz w:val="24"/>
          <w:szCs w:val="24"/>
          <w:highlight w:val="none"/>
          <w:lang w:val="en-US" w:eastAsia="zh-CN"/>
        </w:rPr>
        <w:t>排放执行</w:t>
      </w:r>
      <w:bookmarkStart w:id="802" w:name="OLE_LINK252"/>
      <w:r>
        <w:rPr>
          <w:rFonts w:hint="eastAsia" w:ascii="Times New Roman" w:hAnsi="Times New Roman" w:eastAsia="宋体" w:cs="Times New Roman"/>
          <w:color w:val="auto"/>
          <w:spacing w:val="-2"/>
          <w:sz w:val="24"/>
          <w:szCs w:val="24"/>
          <w:highlight w:val="none"/>
          <w:lang w:val="en-US" w:eastAsia="zh-CN"/>
        </w:rPr>
        <w:t>《印刷工业大气污染物排放标准》（DB32/4438-2022）</w:t>
      </w:r>
      <w:bookmarkEnd w:id="798"/>
      <w:bookmarkEnd w:id="802"/>
      <w:r>
        <w:rPr>
          <w:rFonts w:hint="eastAsia" w:ascii="Times New Roman" w:hAnsi="Times New Roman" w:eastAsia="宋体" w:cs="Times New Roman"/>
          <w:color w:val="auto"/>
          <w:spacing w:val="-2"/>
          <w:sz w:val="24"/>
          <w:szCs w:val="24"/>
          <w:highlight w:val="none"/>
          <w:lang w:val="en-US" w:eastAsia="zh-CN"/>
        </w:rPr>
        <w:t>中限值标准</w:t>
      </w:r>
      <w:bookmarkEnd w:id="799"/>
    </w:p>
    <w:p w14:paraId="7C8E1BCD">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eastAsia" w:ascii="Times New Roman" w:hAnsi="Times New Roman" w:eastAsia="宋体" w:cs="Times New Roman"/>
          <w:color w:val="auto"/>
          <w:spacing w:val="-2"/>
          <w:sz w:val="24"/>
          <w:szCs w:val="24"/>
          <w:highlight w:val="none"/>
          <w:lang w:val="en-US" w:eastAsia="zh-CN"/>
        </w:rPr>
      </w:pPr>
      <w:bookmarkStart w:id="803" w:name="OLE_LINK262"/>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2-34</w:t>
      </w:r>
      <w:r>
        <w:rPr>
          <w:rFonts w:hint="eastAsia" w:ascii="Times New Roman" w:hAnsi="Times New Roman" w:eastAsia="宋体" w:cs="Times New Roman"/>
          <w:b/>
          <w:bCs/>
          <w:color w:val="auto"/>
          <w:spacing w:val="-2"/>
          <w:sz w:val="24"/>
          <w:szCs w:val="24"/>
          <w:highlight w:val="none"/>
          <w:lang w:val="en-US" w:eastAsia="zh-CN"/>
        </w:rPr>
        <w:t xml:space="preserve">  大气污染物排放限值</w:t>
      </w:r>
      <w:bookmarkStart w:id="804" w:name="pindex2621"/>
      <w:bookmarkEnd w:id="804"/>
    </w:p>
    <w:tbl>
      <w:tblPr>
        <w:tblStyle w:val="19"/>
        <w:tblW w:w="832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5"/>
        <w:gridCol w:w="1282"/>
        <w:gridCol w:w="2139"/>
        <w:gridCol w:w="2088"/>
        <w:gridCol w:w="2129"/>
      </w:tblGrid>
      <w:tr w14:paraId="05B647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685" w:type="dxa"/>
            <w:tcBorders>
              <w:tl2br w:val="nil"/>
              <w:tr2bl w:val="nil"/>
            </w:tcBorders>
            <w:shd w:val="clear" w:color="auto" w:fill="auto"/>
            <w:vAlign w:val="center"/>
          </w:tcPr>
          <w:p w14:paraId="7CD0399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序号</w:t>
            </w:r>
          </w:p>
        </w:tc>
        <w:tc>
          <w:tcPr>
            <w:tcW w:w="1282" w:type="dxa"/>
            <w:tcBorders>
              <w:tl2br w:val="nil"/>
              <w:tr2bl w:val="nil"/>
            </w:tcBorders>
            <w:shd w:val="clear" w:color="auto" w:fill="auto"/>
            <w:vAlign w:val="center"/>
          </w:tcPr>
          <w:p w14:paraId="65E6A5D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项目</w:t>
            </w:r>
          </w:p>
        </w:tc>
        <w:tc>
          <w:tcPr>
            <w:tcW w:w="2139" w:type="dxa"/>
            <w:tcBorders>
              <w:tl2br w:val="nil"/>
              <w:tr2bl w:val="nil"/>
            </w:tcBorders>
            <w:shd w:val="clear" w:color="auto" w:fill="auto"/>
            <w:vAlign w:val="center"/>
          </w:tcPr>
          <w:p w14:paraId="49D260E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bookmarkStart w:id="805" w:name="OLE_LINK253"/>
            <w:r>
              <w:rPr>
                <w:rFonts w:hint="eastAsia" w:ascii="Times New Roman" w:hAnsi="Times New Roman" w:eastAsia="宋体" w:cs="Times New Roman"/>
                <w:b/>
                <w:bCs/>
                <w:color w:val="auto"/>
                <w:kern w:val="0"/>
                <w:sz w:val="21"/>
                <w:szCs w:val="21"/>
                <w:highlight w:val="none"/>
                <w:lang w:val="en-US" w:eastAsia="zh-CN"/>
              </w:rPr>
              <w:t>最高允许</w:t>
            </w:r>
            <w:bookmarkEnd w:id="805"/>
            <w:r>
              <w:rPr>
                <w:rFonts w:hint="default" w:ascii="Times New Roman" w:hAnsi="Times New Roman" w:eastAsia="宋体" w:cs="Times New Roman"/>
                <w:b/>
                <w:bCs/>
                <w:color w:val="auto"/>
                <w:kern w:val="0"/>
                <w:sz w:val="21"/>
                <w:szCs w:val="21"/>
                <w:highlight w:val="none"/>
              </w:rPr>
              <w:t>排放浓度</w:t>
            </w:r>
          </w:p>
          <w:p w14:paraId="16C2FE7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（mg/m</w:t>
            </w:r>
            <w:r>
              <w:rPr>
                <w:rFonts w:hint="default" w:ascii="Times New Roman" w:hAnsi="Times New Roman" w:eastAsia="宋体" w:cs="Times New Roman"/>
                <w:b/>
                <w:bCs/>
                <w:color w:val="auto"/>
                <w:kern w:val="0"/>
                <w:sz w:val="21"/>
                <w:szCs w:val="21"/>
                <w:highlight w:val="none"/>
                <w:vertAlign w:val="superscript"/>
              </w:rPr>
              <w:t>3</w:t>
            </w:r>
            <w:r>
              <w:rPr>
                <w:rFonts w:hint="default" w:ascii="Times New Roman" w:hAnsi="Times New Roman" w:eastAsia="宋体" w:cs="Times New Roman"/>
                <w:b/>
                <w:bCs/>
                <w:color w:val="auto"/>
                <w:kern w:val="0"/>
                <w:sz w:val="21"/>
                <w:szCs w:val="21"/>
                <w:highlight w:val="none"/>
              </w:rPr>
              <w:t>）</w:t>
            </w:r>
          </w:p>
        </w:tc>
        <w:tc>
          <w:tcPr>
            <w:tcW w:w="2088" w:type="dxa"/>
            <w:tcBorders>
              <w:tl2br w:val="nil"/>
              <w:tr2bl w:val="nil"/>
            </w:tcBorders>
            <w:shd w:val="clear" w:color="auto" w:fill="auto"/>
            <w:vAlign w:val="center"/>
          </w:tcPr>
          <w:p w14:paraId="0E6255C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b/>
                <w:bCs/>
                <w:color w:val="auto"/>
                <w:kern w:val="0"/>
                <w:sz w:val="21"/>
                <w:szCs w:val="21"/>
                <w:highlight w:val="none"/>
                <w:lang w:eastAsia="zh-CN"/>
              </w:rPr>
            </w:pPr>
            <w:r>
              <w:rPr>
                <w:rFonts w:hint="eastAsia" w:ascii="Times New Roman" w:hAnsi="Times New Roman" w:eastAsia="宋体" w:cs="Times New Roman"/>
                <w:b/>
                <w:bCs/>
                <w:color w:val="auto"/>
                <w:kern w:val="0"/>
                <w:sz w:val="21"/>
                <w:szCs w:val="21"/>
                <w:highlight w:val="none"/>
                <w:lang w:val="en-US" w:eastAsia="zh-CN"/>
              </w:rPr>
              <w:t>最高允许</w:t>
            </w:r>
            <w:r>
              <w:rPr>
                <w:rFonts w:hint="default" w:ascii="Times New Roman" w:hAnsi="Times New Roman" w:eastAsia="宋体" w:cs="Times New Roman"/>
                <w:b/>
                <w:bCs/>
                <w:color w:val="auto"/>
                <w:kern w:val="0"/>
                <w:sz w:val="21"/>
                <w:szCs w:val="21"/>
                <w:highlight w:val="none"/>
              </w:rPr>
              <w:t>排放速率</w:t>
            </w:r>
            <w:r>
              <w:rPr>
                <w:rFonts w:hint="eastAsia" w:ascii="Times New Roman" w:hAnsi="Times New Roman" w:eastAsia="宋体" w:cs="Times New Roman"/>
                <w:b/>
                <w:bCs/>
                <w:color w:val="auto"/>
                <w:kern w:val="0"/>
                <w:sz w:val="21"/>
                <w:szCs w:val="21"/>
                <w:highlight w:val="none"/>
                <w:vertAlign w:val="superscript"/>
                <w:lang w:val="en-US" w:eastAsia="zh-CN"/>
              </w:rPr>
              <w:t>d</w:t>
            </w:r>
            <w:r>
              <w:rPr>
                <w:rFonts w:hint="default" w:ascii="Times New Roman" w:hAnsi="Times New Roman" w:eastAsia="宋体" w:cs="Times New Roman"/>
                <w:b/>
                <w:bCs/>
                <w:color w:val="auto"/>
                <w:kern w:val="0"/>
                <w:sz w:val="21"/>
                <w:szCs w:val="21"/>
                <w:highlight w:val="none"/>
              </w:rPr>
              <w:t xml:space="preserve"> </w:t>
            </w:r>
            <w:r>
              <w:rPr>
                <w:rFonts w:hint="eastAsia" w:ascii="Times New Roman" w:hAnsi="Times New Roman" w:eastAsia="宋体" w:cs="Times New Roman"/>
                <w:b/>
                <w:bCs/>
                <w:color w:val="auto"/>
                <w:kern w:val="0"/>
                <w:sz w:val="21"/>
                <w:szCs w:val="21"/>
                <w:highlight w:val="none"/>
                <w:lang w:eastAsia="zh-CN"/>
              </w:rPr>
              <w:t>（</w:t>
            </w:r>
            <w:r>
              <w:rPr>
                <w:rFonts w:hint="default" w:ascii="Times New Roman" w:hAnsi="Times New Roman" w:eastAsia="宋体" w:cs="Times New Roman"/>
                <w:b/>
                <w:bCs/>
                <w:color w:val="auto"/>
                <w:kern w:val="0"/>
                <w:sz w:val="21"/>
                <w:szCs w:val="21"/>
                <w:highlight w:val="none"/>
              </w:rPr>
              <w:t>kg/h</w:t>
            </w:r>
            <w:r>
              <w:rPr>
                <w:rFonts w:hint="eastAsia" w:ascii="Times New Roman" w:hAnsi="Times New Roman" w:eastAsia="宋体" w:cs="Times New Roman"/>
                <w:b/>
                <w:bCs/>
                <w:color w:val="auto"/>
                <w:kern w:val="0"/>
                <w:sz w:val="21"/>
                <w:szCs w:val="21"/>
                <w:highlight w:val="none"/>
                <w:lang w:eastAsia="zh-CN"/>
              </w:rPr>
              <w:t>）</w:t>
            </w:r>
          </w:p>
        </w:tc>
        <w:tc>
          <w:tcPr>
            <w:tcW w:w="2129" w:type="dxa"/>
            <w:tcBorders>
              <w:tl2br w:val="nil"/>
              <w:tr2bl w:val="nil"/>
            </w:tcBorders>
            <w:shd w:val="clear" w:color="auto" w:fill="auto"/>
            <w:vAlign w:val="center"/>
          </w:tcPr>
          <w:p w14:paraId="6DE93CF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污染物排放监控位置</w:t>
            </w:r>
          </w:p>
        </w:tc>
      </w:tr>
      <w:tr w14:paraId="45ABDA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85" w:type="dxa"/>
            <w:tcBorders>
              <w:tl2br w:val="nil"/>
              <w:tr2bl w:val="nil"/>
            </w:tcBorders>
            <w:shd w:val="clear" w:color="auto" w:fill="auto"/>
            <w:vAlign w:val="center"/>
          </w:tcPr>
          <w:p w14:paraId="1F0FBCB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1282" w:type="dxa"/>
            <w:tcBorders>
              <w:tl2br w:val="nil"/>
              <w:tr2bl w:val="nil"/>
            </w:tcBorders>
            <w:shd w:val="clear" w:color="auto" w:fill="auto"/>
            <w:vAlign w:val="center"/>
          </w:tcPr>
          <w:p w14:paraId="55E697B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苯</w:t>
            </w:r>
          </w:p>
        </w:tc>
        <w:tc>
          <w:tcPr>
            <w:tcW w:w="2139" w:type="dxa"/>
            <w:tcBorders>
              <w:tl2br w:val="nil"/>
              <w:tr2bl w:val="nil"/>
            </w:tcBorders>
            <w:shd w:val="clear" w:color="auto" w:fill="auto"/>
            <w:vAlign w:val="center"/>
          </w:tcPr>
          <w:p w14:paraId="0EE5C71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0.5</w:t>
            </w:r>
          </w:p>
        </w:tc>
        <w:tc>
          <w:tcPr>
            <w:tcW w:w="2088" w:type="dxa"/>
            <w:tcBorders>
              <w:tl2br w:val="nil"/>
              <w:tr2bl w:val="nil"/>
            </w:tcBorders>
            <w:shd w:val="clear" w:color="auto" w:fill="auto"/>
            <w:vAlign w:val="center"/>
          </w:tcPr>
          <w:p w14:paraId="7D54EFF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0.02</w:t>
            </w:r>
          </w:p>
        </w:tc>
        <w:tc>
          <w:tcPr>
            <w:tcW w:w="2129" w:type="dxa"/>
            <w:vMerge w:val="restart"/>
            <w:tcBorders>
              <w:tl2br w:val="nil"/>
              <w:tr2bl w:val="nil"/>
            </w:tcBorders>
            <w:shd w:val="clear" w:color="auto" w:fill="auto"/>
            <w:vAlign w:val="center"/>
          </w:tcPr>
          <w:p w14:paraId="51A3F84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车间或生产设施排气筒</w:t>
            </w:r>
          </w:p>
        </w:tc>
      </w:tr>
      <w:tr w14:paraId="2FB563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685" w:type="dxa"/>
            <w:tcBorders>
              <w:tl2br w:val="nil"/>
              <w:tr2bl w:val="nil"/>
            </w:tcBorders>
            <w:shd w:val="clear" w:color="auto" w:fill="auto"/>
            <w:vAlign w:val="center"/>
          </w:tcPr>
          <w:p w14:paraId="5448380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1282" w:type="dxa"/>
            <w:tcBorders>
              <w:tl2br w:val="nil"/>
              <w:tr2bl w:val="nil"/>
            </w:tcBorders>
            <w:shd w:val="clear" w:color="auto" w:fill="auto"/>
            <w:vAlign w:val="center"/>
          </w:tcPr>
          <w:p w14:paraId="3B17B8F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苯系物</w:t>
            </w:r>
            <w:r>
              <w:rPr>
                <w:rFonts w:hint="eastAsia" w:ascii="Times New Roman" w:hAnsi="Times New Roman" w:eastAsia="宋体" w:cs="Times New Roman"/>
                <w:color w:val="auto"/>
                <w:kern w:val="0"/>
                <w:sz w:val="21"/>
                <w:szCs w:val="21"/>
                <w:highlight w:val="none"/>
                <w:vertAlign w:val="superscript"/>
                <w:lang w:val="en-US" w:eastAsia="zh-CN"/>
              </w:rPr>
              <w:t>a</w:t>
            </w:r>
          </w:p>
        </w:tc>
        <w:tc>
          <w:tcPr>
            <w:tcW w:w="2139" w:type="dxa"/>
            <w:tcBorders>
              <w:tl2br w:val="nil"/>
              <w:tr2bl w:val="nil"/>
            </w:tcBorders>
            <w:shd w:val="clear" w:color="auto" w:fill="auto"/>
            <w:vAlign w:val="center"/>
          </w:tcPr>
          <w:p w14:paraId="3E59A25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15</w:t>
            </w:r>
          </w:p>
        </w:tc>
        <w:tc>
          <w:tcPr>
            <w:tcW w:w="2088" w:type="dxa"/>
            <w:tcBorders>
              <w:tl2br w:val="nil"/>
              <w:tr2bl w:val="nil"/>
            </w:tcBorders>
            <w:shd w:val="clear" w:color="auto" w:fill="auto"/>
            <w:vAlign w:val="center"/>
          </w:tcPr>
          <w:p w14:paraId="2012DD8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0.5</w:t>
            </w:r>
          </w:p>
        </w:tc>
        <w:tc>
          <w:tcPr>
            <w:tcW w:w="2129" w:type="dxa"/>
            <w:vMerge w:val="continue"/>
            <w:tcBorders>
              <w:tl2br w:val="nil"/>
              <w:tr2bl w:val="nil"/>
            </w:tcBorders>
            <w:shd w:val="clear" w:color="auto" w:fill="auto"/>
            <w:vAlign w:val="center"/>
          </w:tcPr>
          <w:p w14:paraId="7089686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p>
        </w:tc>
      </w:tr>
      <w:tr w14:paraId="7BF475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685" w:type="dxa"/>
            <w:tcBorders>
              <w:tl2br w:val="nil"/>
              <w:tr2bl w:val="nil"/>
            </w:tcBorders>
            <w:shd w:val="clear" w:color="auto" w:fill="auto"/>
            <w:vAlign w:val="center"/>
          </w:tcPr>
          <w:p w14:paraId="18F3F5B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p>
        </w:tc>
        <w:tc>
          <w:tcPr>
            <w:tcW w:w="1282" w:type="dxa"/>
            <w:tcBorders>
              <w:tl2br w:val="nil"/>
              <w:tr2bl w:val="nil"/>
            </w:tcBorders>
            <w:shd w:val="clear" w:color="auto" w:fill="auto"/>
            <w:vAlign w:val="center"/>
          </w:tcPr>
          <w:p w14:paraId="7C14C60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非甲烷总烃</w:t>
            </w:r>
          </w:p>
        </w:tc>
        <w:tc>
          <w:tcPr>
            <w:tcW w:w="2139" w:type="dxa"/>
            <w:tcBorders>
              <w:tl2br w:val="nil"/>
              <w:tr2bl w:val="nil"/>
            </w:tcBorders>
            <w:shd w:val="clear" w:color="auto" w:fill="auto"/>
            <w:vAlign w:val="center"/>
          </w:tcPr>
          <w:p w14:paraId="5B78CB7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50</w:t>
            </w:r>
          </w:p>
        </w:tc>
        <w:tc>
          <w:tcPr>
            <w:tcW w:w="2088" w:type="dxa"/>
            <w:tcBorders>
              <w:tl2br w:val="nil"/>
              <w:tr2bl w:val="nil"/>
            </w:tcBorders>
            <w:shd w:val="clear" w:color="auto" w:fill="auto"/>
            <w:vAlign w:val="center"/>
          </w:tcPr>
          <w:p w14:paraId="19DAD67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1.8</w:t>
            </w:r>
          </w:p>
        </w:tc>
        <w:tc>
          <w:tcPr>
            <w:tcW w:w="2129" w:type="dxa"/>
            <w:vMerge w:val="continue"/>
            <w:tcBorders>
              <w:tl2br w:val="nil"/>
              <w:tr2bl w:val="nil"/>
            </w:tcBorders>
            <w:shd w:val="clear" w:color="auto" w:fill="auto"/>
            <w:vAlign w:val="center"/>
          </w:tcPr>
          <w:p w14:paraId="403A9CD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p>
        </w:tc>
      </w:tr>
      <w:bookmarkEnd w:id="803"/>
      <w:tr w14:paraId="2775DE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85" w:type="dxa"/>
            <w:tcBorders>
              <w:tl2br w:val="nil"/>
              <w:tr2bl w:val="nil"/>
            </w:tcBorders>
            <w:shd w:val="clear" w:color="auto" w:fill="auto"/>
            <w:vAlign w:val="center"/>
          </w:tcPr>
          <w:p w14:paraId="68DEE73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282" w:type="dxa"/>
            <w:tcBorders>
              <w:tl2br w:val="nil"/>
              <w:tr2bl w:val="nil"/>
            </w:tcBorders>
            <w:shd w:val="clear" w:color="auto" w:fill="auto"/>
            <w:vAlign w:val="center"/>
          </w:tcPr>
          <w:p w14:paraId="4C9771C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TVOC</w:t>
            </w:r>
            <w:bookmarkStart w:id="806" w:name="OLE_LINK254"/>
            <w:r>
              <w:rPr>
                <w:rFonts w:hint="eastAsia" w:ascii="Times New Roman" w:hAnsi="Times New Roman" w:eastAsia="宋体" w:cs="Times New Roman"/>
                <w:color w:val="auto"/>
                <w:kern w:val="0"/>
                <w:sz w:val="21"/>
                <w:szCs w:val="21"/>
                <w:highlight w:val="none"/>
                <w:vertAlign w:val="superscript"/>
                <w:lang w:val="en-US" w:eastAsia="zh-CN"/>
              </w:rPr>
              <w:t>b,</w:t>
            </w:r>
            <w:bookmarkEnd w:id="806"/>
            <w:r>
              <w:rPr>
                <w:rFonts w:hint="default" w:ascii="Times New Roman" w:hAnsi="Times New Roman" w:eastAsia="宋体" w:cs="Times New Roman"/>
                <w:color w:val="auto"/>
                <w:kern w:val="0"/>
                <w:sz w:val="21"/>
                <w:szCs w:val="21"/>
                <w:highlight w:val="none"/>
                <w:vertAlign w:val="superscript"/>
              </w:rPr>
              <w:t>c</w:t>
            </w:r>
          </w:p>
        </w:tc>
        <w:tc>
          <w:tcPr>
            <w:tcW w:w="2139" w:type="dxa"/>
            <w:tcBorders>
              <w:tl2br w:val="nil"/>
              <w:tr2bl w:val="nil"/>
            </w:tcBorders>
            <w:shd w:val="clear" w:color="auto" w:fill="auto"/>
            <w:vAlign w:val="center"/>
          </w:tcPr>
          <w:p w14:paraId="15802E6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70</w:t>
            </w:r>
          </w:p>
        </w:tc>
        <w:tc>
          <w:tcPr>
            <w:tcW w:w="2088" w:type="dxa"/>
            <w:tcBorders>
              <w:tl2br w:val="nil"/>
              <w:tr2bl w:val="nil"/>
            </w:tcBorders>
            <w:shd w:val="clear" w:color="auto" w:fill="auto"/>
            <w:vAlign w:val="center"/>
          </w:tcPr>
          <w:p w14:paraId="4C788E8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2.5</w:t>
            </w:r>
          </w:p>
        </w:tc>
        <w:tc>
          <w:tcPr>
            <w:tcW w:w="2129" w:type="dxa"/>
            <w:vMerge w:val="continue"/>
            <w:tcBorders>
              <w:tl2br w:val="nil"/>
              <w:tr2bl w:val="nil"/>
            </w:tcBorders>
            <w:shd w:val="clear" w:color="auto" w:fill="auto"/>
            <w:vAlign w:val="center"/>
          </w:tcPr>
          <w:p w14:paraId="1FC793E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p>
        </w:tc>
      </w:tr>
      <w:tr w14:paraId="694AFA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685" w:type="dxa"/>
            <w:tcBorders>
              <w:tl2br w:val="nil"/>
              <w:tr2bl w:val="nil"/>
            </w:tcBorders>
            <w:shd w:val="clear" w:color="auto" w:fill="auto"/>
            <w:vAlign w:val="center"/>
          </w:tcPr>
          <w:p w14:paraId="1234925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1282" w:type="dxa"/>
            <w:tcBorders>
              <w:tl2br w:val="nil"/>
              <w:tr2bl w:val="nil"/>
            </w:tcBorders>
            <w:shd w:val="clear" w:color="auto" w:fill="auto"/>
            <w:vAlign w:val="center"/>
          </w:tcPr>
          <w:p w14:paraId="34807A9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颗粒物</w:t>
            </w:r>
          </w:p>
        </w:tc>
        <w:tc>
          <w:tcPr>
            <w:tcW w:w="2139" w:type="dxa"/>
            <w:tcBorders>
              <w:tl2br w:val="nil"/>
              <w:tr2bl w:val="nil"/>
            </w:tcBorders>
            <w:shd w:val="clear" w:color="auto" w:fill="auto"/>
            <w:vAlign w:val="center"/>
          </w:tcPr>
          <w:p w14:paraId="5DCACF6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10</w:t>
            </w:r>
          </w:p>
        </w:tc>
        <w:tc>
          <w:tcPr>
            <w:tcW w:w="2088" w:type="dxa"/>
            <w:tcBorders>
              <w:tl2br w:val="nil"/>
              <w:tr2bl w:val="nil"/>
            </w:tcBorders>
            <w:shd w:val="clear" w:color="auto" w:fill="auto"/>
            <w:vAlign w:val="center"/>
          </w:tcPr>
          <w:p w14:paraId="7BF93D2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0.4</w:t>
            </w:r>
          </w:p>
        </w:tc>
        <w:tc>
          <w:tcPr>
            <w:tcW w:w="2129" w:type="dxa"/>
            <w:vMerge w:val="continue"/>
            <w:tcBorders>
              <w:tl2br w:val="nil"/>
              <w:tr2bl w:val="nil"/>
            </w:tcBorders>
            <w:shd w:val="clear" w:color="auto" w:fill="auto"/>
            <w:vAlign w:val="center"/>
          </w:tcPr>
          <w:p w14:paraId="3301078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p>
        </w:tc>
      </w:tr>
      <w:tr w14:paraId="543DA2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8323" w:type="dxa"/>
            <w:gridSpan w:val="5"/>
            <w:tcBorders>
              <w:tl2br w:val="nil"/>
              <w:tr2bl w:val="nil"/>
            </w:tcBorders>
            <w:shd w:val="clear" w:color="auto" w:fill="auto"/>
            <w:vAlign w:val="center"/>
          </w:tcPr>
          <w:p w14:paraId="221AD5CA">
            <w:pPr>
              <w:keepNext w:val="0"/>
              <w:keepLines w:val="0"/>
              <w:pageBreakBefore w:val="0"/>
              <w:widowControl/>
              <w:kinsoku w:val="0"/>
              <w:wordWrap/>
              <w:overflowPunct/>
              <w:topLinePunct w:val="0"/>
              <w:autoSpaceDE w:val="0"/>
              <w:autoSpaceDN w:val="0"/>
              <w:bidi w:val="0"/>
              <w:adjustRightInd w:val="0"/>
              <w:snapToGrid w:val="0"/>
              <w:jc w:val="left"/>
              <w:textAlignment w:val="baseline"/>
              <w:rPr>
                <w:rFonts w:hint="default" w:ascii="Times New Roman" w:hAnsi="Times New Roman" w:eastAsia="宋体" w:cs="Times New Roman"/>
                <w:color w:val="auto"/>
                <w:kern w:val="0"/>
                <w:sz w:val="21"/>
                <w:szCs w:val="21"/>
                <w:highlight w:val="none"/>
              </w:rPr>
            </w:pPr>
            <w:bookmarkStart w:id="807" w:name="OLE_LINK256"/>
            <w:bookmarkStart w:id="808" w:name="OLE_LINK257"/>
            <w:r>
              <w:rPr>
                <w:rFonts w:hint="eastAsia" w:ascii="Times New Roman" w:hAnsi="Times New Roman" w:eastAsia="宋体" w:cs="Times New Roman"/>
                <w:color w:val="auto"/>
                <w:kern w:val="0"/>
                <w:sz w:val="21"/>
                <w:szCs w:val="21"/>
                <w:highlight w:val="none"/>
                <w:vertAlign w:val="superscript"/>
                <w:lang w:val="en-US" w:eastAsia="zh-CN"/>
              </w:rPr>
              <w:t>a</w:t>
            </w:r>
            <w:r>
              <w:rPr>
                <w:rFonts w:hint="default" w:ascii="Times New Roman" w:hAnsi="Times New Roman" w:eastAsia="宋体" w:cs="Times New Roman"/>
                <w:color w:val="auto"/>
                <w:kern w:val="0"/>
                <w:sz w:val="21"/>
                <w:szCs w:val="21"/>
                <w:highlight w:val="none"/>
              </w:rPr>
              <w:t>苯、甲苯、二甲苯、三甲苯、乙苯和苯乙烯质量浓度之和。其中</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三甲苯待国家污染物监测技术规定发布后实施。</w:t>
            </w:r>
            <w:bookmarkEnd w:id="807"/>
            <w:bookmarkStart w:id="809" w:name="OLE_LINK255"/>
          </w:p>
          <w:p w14:paraId="0E0EE9EA">
            <w:pPr>
              <w:keepNext w:val="0"/>
              <w:keepLines w:val="0"/>
              <w:pageBreakBefore w:val="0"/>
              <w:widowControl/>
              <w:kinsoku w:val="0"/>
              <w:wordWrap/>
              <w:overflowPunct/>
              <w:topLinePunct w:val="0"/>
              <w:autoSpaceDE w:val="0"/>
              <w:autoSpaceDN w:val="0"/>
              <w:bidi w:val="0"/>
              <w:adjustRightInd w:val="0"/>
              <w:snapToGrid w:val="0"/>
              <w:jc w:val="left"/>
              <w:textAlignment w:val="baseline"/>
              <w:rPr>
                <w:rFonts w:hint="default" w:ascii="Times New Roman" w:hAnsi="Times New Roman" w:eastAsia="宋体" w:cs="Times New Roman"/>
                <w:color w:val="auto"/>
                <w:kern w:val="0"/>
                <w:sz w:val="21"/>
                <w:szCs w:val="21"/>
                <w:highlight w:val="none"/>
              </w:rPr>
            </w:pPr>
            <w:bookmarkStart w:id="810" w:name="sys2654091"/>
            <w:r>
              <w:rPr>
                <w:rFonts w:hint="default" w:ascii="Times New Roman" w:hAnsi="Times New Roman" w:eastAsia="宋体" w:cs="Times New Roman"/>
                <w:color w:val="auto"/>
                <w:kern w:val="0"/>
                <w:sz w:val="21"/>
                <w:szCs w:val="21"/>
                <w:highlight w:val="none"/>
                <w:vertAlign w:val="superscript"/>
              </w:rPr>
              <w:t>b</w:t>
            </w:r>
            <w:r>
              <w:rPr>
                <w:rFonts w:hint="default" w:ascii="Times New Roman" w:hAnsi="Times New Roman" w:eastAsia="宋体" w:cs="Times New Roman"/>
                <w:color w:val="auto"/>
                <w:kern w:val="0"/>
                <w:sz w:val="21"/>
                <w:szCs w:val="21"/>
                <w:highlight w:val="none"/>
              </w:rPr>
              <w:t>根据3.4定义</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企业使用的原料、生产工艺过程、生产的产品、副产品</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结合附录A和有关环境管理要求等</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筛选确定</w:t>
            </w:r>
            <w:r>
              <w:rPr>
                <w:rFonts w:hint="eastAsia" w:ascii="Times New Roman" w:hAnsi="Times New Roman" w:eastAsia="宋体" w:cs="Times New Roman"/>
                <w:color w:val="auto"/>
                <w:kern w:val="0"/>
                <w:sz w:val="21"/>
                <w:szCs w:val="21"/>
                <w:highlight w:val="none"/>
                <w:lang w:eastAsia="zh-CN"/>
              </w:rPr>
              <w:t>计入</w:t>
            </w:r>
            <w:r>
              <w:rPr>
                <w:rFonts w:hint="default" w:ascii="Times New Roman" w:hAnsi="Times New Roman" w:eastAsia="宋体" w:cs="Times New Roman"/>
                <w:color w:val="auto"/>
                <w:kern w:val="0"/>
                <w:sz w:val="21"/>
                <w:szCs w:val="21"/>
                <w:highlight w:val="none"/>
              </w:rPr>
              <w:t>TVOC的物质</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尚不具备分析方法的待国家污染物监测技术规定发布后实施。</w:t>
            </w:r>
            <w:bookmarkEnd w:id="809"/>
            <w:bookmarkEnd w:id="810"/>
          </w:p>
          <w:p w14:paraId="60F3C4C7">
            <w:pPr>
              <w:keepNext w:val="0"/>
              <w:keepLines w:val="0"/>
              <w:pageBreakBefore w:val="0"/>
              <w:widowControl/>
              <w:kinsoku w:val="0"/>
              <w:wordWrap/>
              <w:overflowPunct/>
              <w:topLinePunct w:val="0"/>
              <w:autoSpaceDE w:val="0"/>
              <w:autoSpaceDN w:val="0"/>
              <w:bidi w:val="0"/>
              <w:adjustRightInd w:val="0"/>
              <w:snapToGrid w:val="0"/>
              <w:jc w:val="left"/>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vertAlign w:val="superscript"/>
              </w:rPr>
              <w:t>c</w:t>
            </w:r>
            <w:r>
              <w:rPr>
                <w:rFonts w:hint="default" w:ascii="Times New Roman" w:hAnsi="Times New Roman" w:eastAsia="宋体" w:cs="Times New Roman"/>
                <w:color w:val="auto"/>
                <w:kern w:val="0"/>
                <w:sz w:val="21"/>
                <w:szCs w:val="21"/>
                <w:highlight w:val="none"/>
              </w:rPr>
              <w:t>凹版印刷、承印物为金属的平版印刷需监控该项目。</w:t>
            </w:r>
          </w:p>
          <w:p w14:paraId="496AAE39">
            <w:pPr>
              <w:keepNext w:val="0"/>
              <w:keepLines w:val="0"/>
              <w:pageBreakBefore w:val="0"/>
              <w:widowControl/>
              <w:kinsoku w:val="0"/>
              <w:wordWrap/>
              <w:overflowPunct/>
              <w:topLinePunct w:val="0"/>
              <w:autoSpaceDE w:val="0"/>
              <w:autoSpaceDN w:val="0"/>
              <w:bidi w:val="0"/>
              <w:adjustRightInd w:val="0"/>
              <w:snapToGrid w:val="0"/>
              <w:jc w:val="left"/>
              <w:textAlignment w:val="baseline"/>
              <w:rPr>
                <w:rFonts w:hint="default" w:ascii="Times New Roman" w:hAnsi="Times New Roman" w:eastAsia="宋体" w:cs="Times New Roman"/>
                <w:color w:val="auto"/>
                <w:kern w:val="0"/>
                <w:sz w:val="21"/>
                <w:szCs w:val="21"/>
                <w:highlight w:val="none"/>
              </w:rPr>
            </w:pPr>
            <w:bookmarkStart w:id="811" w:name="sys2656031"/>
            <w:r>
              <w:rPr>
                <w:rFonts w:hint="eastAsia" w:ascii="Times New Roman" w:hAnsi="Times New Roman" w:eastAsia="宋体" w:cs="Times New Roman"/>
                <w:color w:val="auto"/>
                <w:kern w:val="0"/>
                <w:sz w:val="21"/>
                <w:szCs w:val="21"/>
                <w:highlight w:val="none"/>
                <w:vertAlign w:val="superscript"/>
                <w:lang w:val="en-US" w:eastAsia="zh-CN"/>
              </w:rPr>
              <w:t>d</w:t>
            </w:r>
            <w:r>
              <w:rPr>
                <w:rFonts w:hint="default" w:ascii="Times New Roman" w:hAnsi="Times New Roman" w:eastAsia="宋体" w:cs="Times New Roman"/>
                <w:color w:val="auto"/>
                <w:kern w:val="0"/>
                <w:sz w:val="21"/>
                <w:szCs w:val="21"/>
                <w:highlight w:val="none"/>
              </w:rPr>
              <w:t>污染治理设施去除效率≥90%时，</w:t>
            </w:r>
            <w:r>
              <w:rPr>
                <w:rFonts w:hint="eastAsia" w:ascii="Times New Roman" w:hAnsi="Times New Roman" w:eastAsia="宋体" w:cs="Times New Roman"/>
                <w:color w:val="auto"/>
                <w:kern w:val="0"/>
                <w:sz w:val="21"/>
                <w:szCs w:val="21"/>
                <w:highlight w:val="none"/>
                <w:lang w:val="en-US" w:eastAsia="zh-CN"/>
              </w:rPr>
              <w:t>等同于符合</w:t>
            </w:r>
            <w:r>
              <w:rPr>
                <w:rFonts w:hint="default" w:ascii="Times New Roman" w:hAnsi="Times New Roman" w:eastAsia="宋体" w:cs="Times New Roman"/>
                <w:color w:val="auto"/>
                <w:kern w:val="0"/>
                <w:sz w:val="21"/>
                <w:szCs w:val="21"/>
                <w:highlight w:val="none"/>
              </w:rPr>
              <w:t>排放速率限值要求。</w:t>
            </w:r>
            <w:bookmarkEnd w:id="808"/>
            <w:bookmarkEnd w:id="811"/>
          </w:p>
        </w:tc>
      </w:tr>
    </w:tbl>
    <w:p w14:paraId="4BBADC91">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eastAsia"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2-35</w:t>
      </w:r>
      <w:r>
        <w:rPr>
          <w:rFonts w:hint="eastAsia" w:ascii="Times New Roman" w:hAnsi="Times New Roman" w:eastAsia="宋体" w:cs="Times New Roman"/>
          <w:b/>
          <w:bCs/>
          <w:color w:val="auto"/>
          <w:spacing w:val="-2"/>
          <w:sz w:val="24"/>
          <w:szCs w:val="24"/>
          <w:highlight w:val="none"/>
          <w:lang w:val="en-US" w:eastAsia="zh-CN"/>
        </w:rPr>
        <w:t xml:space="preserve">  燃烧装置大气污染物排放限值</w:t>
      </w:r>
      <w:bookmarkStart w:id="812" w:name="pindex2657"/>
      <w:bookmarkEnd w:id="812"/>
    </w:p>
    <w:tbl>
      <w:tblPr>
        <w:tblStyle w:val="19"/>
        <w:tblW w:w="8346" w:type="dxa"/>
        <w:tblInd w:w="16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5"/>
        <w:gridCol w:w="2014"/>
        <w:gridCol w:w="2268"/>
        <w:gridCol w:w="2989"/>
      </w:tblGrid>
      <w:tr w14:paraId="6D98F7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1075" w:type="dxa"/>
            <w:tcBorders>
              <w:tl2br w:val="nil"/>
              <w:tr2bl w:val="nil"/>
            </w:tcBorders>
            <w:vAlign w:val="center"/>
          </w:tcPr>
          <w:p w14:paraId="18BFC6A2">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2014" w:type="dxa"/>
            <w:tcBorders>
              <w:tl2br w:val="nil"/>
              <w:tr2bl w:val="nil"/>
            </w:tcBorders>
            <w:vAlign w:val="center"/>
          </w:tcPr>
          <w:p w14:paraId="75EFB5AB">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污染物项目</w:t>
            </w:r>
          </w:p>
        </w:tc>
        <w:tc>
          <w:tcPr>
            <w:tcW w:w="2268" w:type="dxa"/>
            <w:tcBorders>
              <w:tl2br w:val="nil"/>
              <w:tr2bl w:val="nil"/>
            </w:tcBorders>
            <w:vAlign w:val="center"/>
          </w:tcPr>
          <w:p w14:paraId="0C63EFCB">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eastAsia"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排放限值</w:t>
            </w:r>
            <w:r>
              <w:rPr>
                <w:rFonts w:hint="eastAsia"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eastAsia" w:ascii="Times New Roman" w:hAnsi="Times New Roman" w:eastAsia="宋体" w:cs="Times New Roman"/>
                <w:b/>
                <w:bCs/>
                <w:color w:val="auto"/>
                <w:sz w:val="21"/>
                <w:szCs w:val="21"/>
                <w:highlight w:val="none"/>
                <w:lang w:eastAsia="zh-CN"/>
              </w:rPr>
              <w:t>）</w:t>
            </w:r>
          </w:p>
        </w:tc>
        <w:tc>
          <w:tcPr>
            <w:tcW w:w="2989" w:type="dxa"/>
            <w:tcBorders>
              <w:tl2br w:val="nil"/>
              <w:tr2bl w:val="nil"/>
            </w:tcBorders>
            <w:vAlign w:val="center"/>
          </w:tcPr>
          <w:p w14:paraId="46DD1B6A">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污染物排放监控位置</w:t>
            </w:r>
          </w:p>
        </w:tc>
      </w:tr>
      <w:tr w14:paraId="526DE0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1075" w:type="dxa"/>
            <w:tcBorders>
              <w:tl2br w:val="nil"/>
              <w:tr2bl w:val="nil"/>
            </w:tcBorders>
            <w:vAlign w:val="center"/>
          </w:tcPr>
          <w:p w14:paraId="24E15A06">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014" w:type="dxa"/>
            <w:tcBorders>
              <w:tl2br w:val="nil"/>
              <w:tr2bl w:val="nil"/>
            </w:tcBorders>
            <w:vAlign w:val="center"/>
          </w:tcPr>
          <w:p w14:paraId="40D3331A">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二氧化硫</w:t>
            </w:r>
            <w:r>
              <w:rPr>
                <w:rFonts w:hint="default" w:ascii="Times New Roman" w:hAnsi="Times New Roman" w:eastAsia="宋体" w:cs="Times New Roman"/>
                <w:color w:val="auto"/>
                <w:sz w:val="21"/>
                <w:szCs w:val="21"/>
                <w:highlight w:val="none"/>
                <w:vertAlign w:val="superscript"/>
              </w:rPr>
              <w:t>a</w:t>
            </w:r>
          </w:p>
        </w:tc>
        <w:tc>
          <w:tcPr>
            <w:tcW w:w="2268" w:type="dxa"/>
            <w:tcBorders>
              <w:tl2br w:val="nil"/>
              <w:tr2bl w:val="nil"/>
            </w:tcBorders>
            <w:vAlign w:val="center"/>
          </w:tcPr>
          <w:p w14:paraId="38BEBAF7">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c>
          <w:tcPr>
            <w:tcW w:w="2989" w:type="dxa"/>
            <w:vMerge w:val="restart"/>
            <w:tcBorders>
              <w:tl2br w:val="nil"/>
              <w:tr2bl w:val="nil"/>
            </w:tcBorders>
            <w:vAlign w:val="center"/>
          </w:tcPr>
          <w:p w14:paraId="4204981C">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燃烧（焚烧、氧化）装置排气筒</w:t>
            </w:r>
          </w:p>
        </w:tc>
      </w:tr>
      <w:tr w14:paraId="545655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75" w:type="dxa"/>
            <w:tcBorders>
              <w:tl2br w:val="nil"/>
              <w:tr2bl w:val="nil"/>
            </w:tcBorders>
            <w:vAlign w:val="center"/>
          </w:tcPr>
          <w:p w14:paraId="2069BA36">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014" w:type="dxa"/>
            <w:tcBorders>
              <w:tl2br w:val="nil"/>
              <w:tr2bl w:val="nil"/>
            </w:tcBorders>
            <w:vAlign w:val="center"/>
          </w:tcPr>
          <w:p w14:paraId="17B47905">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氮氧化物</w:t>
            </w:r>
          </w:p>
        </w:tc>
        <w:tc>
          <w:tcPr>
            <w:tcW w:w="2268" w:type="dxa"/>
            <w:tcBorders>
              <w:tl2br w:val="nil"/>
              <w:tr2bl w:val="nil"/>
            </w:tcBorders>
            <w:vAlign w:val="center"/>
          </w:tcPr>
          <w:p w14:paraId="7D1B17A7">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p>
        </w:tc>
        <w:tc>
          <w:tcPr>
            <w:tcW w:w="2989" w:type="dxa"/>
            <w:vMerge w:val="continue"/>
            <w:tcBorders>
              <w:tl2br w:val="nil"/>
              <w:tr2bl w:val="nil"/>
            </w:tcBorders>
            <w:vAlign w:val="center"/>
          </w:tcPr>
          <w:p w14:paraId="06D47E39">
            <w:pPr>
              <w:keepNext w:val="0"/>
              <w:keepLines w:val="0"/>
              <w:pageBreakBefore w:val="0"/>
              <w:widowControl/>
              <w:kinsoku w:val="0"/>
              <w:wordWrap/>
              <w:overflowPunct/>
              <w:topLinePunct w:val="0"/>
              <w:autoSpaceDE w:val="0"/>
              <w:autoSpaceDN w:val="0"/>
              <w:bidi w:val="0"/>
              <w:adjustRightInd w:val="0"/>
              <w:snapToGrid w:val="0"/>
              <w:contextualSpacing/>
              <w:jc w:val="center"/>
              <w:textAlignment w:val="baseline"/>
              <w:rPr>
                <w:rFonts w:hint="default" w:ascii="Times New Roman" w:hAnsi="Times New Roman" w:eastAsia="宋体" w:cs="Times New Roman"/>
                <w:color w:val="auto"/>
                <w:sz w:val="21"/>
                <w:szCs w:val="21"/>
                <w:highlight w:val="none"/>
              </w:rPr>
            </w:pPr>
          </w:p>
        </w:tc>
      </w:tr>
      <w:tr w14:paraId="653DB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8346" w:type="dxa"/>
            <w:gridSpan w:val="4"/>
            <w:tcBorders>
              <w:tl2br w:val="nil"/>
              <w:tr2bl w:val="nil"/>
            </w:tcBorders>
          </w:tcPr>
          <w:p w14:paraId="4EA4E8B6">
            <w:pPr>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vertAlign w:val="superscript"/>
              </w:rPr>
              <w:t>a</w:t>
            </w:r>
            <w:bookmarkStart w:id="813" w:name="OLE_LINK258"/>
            <w:r>
              <w:rPr>
                <w:rFonts w:hint="eastAsia" w:ascii="Times New Roman" w:hAnsi="Times New Roman" w:eastAsia="宋体" w:cs="Times New Roman"/>
                <w:color w:val="auto"/>
                <w:sz w:val="21"/>
                <w:szCs w:val="21"/>
                <w:highlight w:val="none"/>
                <w:vertAlign w:val="baseline"/>
                <w:lang w:val="en-US" w:eastAsia="zh-CN"/>
              </w:rPr>
              <w:t>原辅材料</w:t>
            </w:r>
            <w:bookmarkEnd w:id="813"/>
            <w:r>
              <w:rPr>
                <w:rFonts w:hint="eastAsia" w:ascii="Times New Roman" w:hAnsi="Times New Roman" w:eastAsia="宋体" w:cs="Times New Roman"/>
                <w:color w:val="auto"/>
                <w:sz w:val="21"/>
                <w:szCs w:val="21"/>
                <w:highlight w:val="none"/>
                <w:vertAlign w:val="baseline"/>
                <w:lang w:val="en-US" w:eastAsia="zh-CN"/>
              </w:rPr>
              <w:t>成分含硫的</w:t>
            </w:r>
            <w:r>
              <w:rPr>
                <w:rFonts w:hint="default" w:ascii="Times New Roman" w:hAnsi="Times New Roman" w:eastAsia="宋体" w:cs="Times New Roman"/>
                <w:color w:val="auto"/>
                <w:sz w:val="21"/>
                <w:szCs w:val="21"/>
                <w:highlight w:val="none"/>
              </w:rPr>
              <w:t>，</w:t>
            </w:r>
            <w:sdt>
              <w:sdtPr>
                <w:rPr>
                  <w:color w:val="auto"/>
                  <w:highlight w:val="none"/>
                </w:rPr>
                <w:alias w:val="易错词检查"/>
                <w:tag w:val="auto"/>
                <w:id w:val="3112850"/>
              </w:sdtPr>
              <w:sdtEndPr>
                <w:rPr>
                  <w:color w:val="auto"/>
                  <w:highlight w:val="none"/>
                </w:rPr>
              </w:sdtEndPr>
              <w:sdtContent>
                <w:bookmarkStart w:id="814" w:name="bkReivew3112850"/>
                <w:r>
                  <w:rPr>
                    <w:rFonts w:hint="default" w:ascii="Times New Roman" w:hAnsi="Times New Roman" w:eastAsia="宋体" w:cs="Times New Roman"/>
                    <w:color w:val="auto"/>
                    <w:sz w:val="21"/>
                    <w:szCs w:val="21"/>
                    <w:highlight w:val="none"/>
                  </w:rPr>
                  <w:t>需</w:t>
                </w:r>
                <w:bookmarkEnd w:id="814"/>
              </w:sdtContent>
            </w:sdt>
            <w:r>
              <w:rPr>
                <w:rFonts w:hint="eastAsia" w:ascii="Times New Roman" w:hAnsi="Times New Roman" w:eastAsia="宋体" w:cs="Times New Roman"/>
                <w:color w:val="auto"/>
                <w:sz w:val="21"/>
                <w:szCs w:val="21"/>
                <w:highlight w:val="none"/>
                <w:lang w:val="en-US" w:eastAsia="zh-CN"/>
              </w:rPr>
              <w:t>监控该项目</w:t>
            </w:r>
            <w:r>
              <w:rPr>
                <w:rFonts w:hint="default" w:ascii="Times New Roman" w:hAnsi="Times New Roman" w:eastAsia="宋体" w:cs="Times New Roman"/>
                <w:color w:val="auto"/>
                <w:sz w:val="21"/>
                <w:szCs w:val="21"/>
                <w:highlight w:val="none"/>
              </w:rPr>
              <w:t>。</w:t>
            </w:r>
          </w:p>
        </w:tc>
      </w:tr>
    </w:tbl>
    <w:p w14:paraId="7F671153">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ascii="宋体" w:hAnsi="宋体"/>
          <w:color w:val="auto"/>
          <w:szCs w:val="22"/>
          <w:highlight w:val="none"/>
          <w:vertAlign w:val="superscript"/>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2-3</w:t>
      </w:r>
      <w:bookmarkStart w:id="815" w:name="OLE_LINK177"/>
      <w:r>
        <w:rPr>
          <w:rFonts w:hint="eastAsia" w:ascii="Times New Roman" w:hAnsi="Times New Roman" w:eastAsia="宋体" w:cs="Times New Roman"/>
          <w:b/>
          <w:bCs/>
          <w:color w:val="auto"/>
          <w:spacing w:val="-4"/>
          <w:sz w:val="24"/>
          <w:szCs w:val="24"/>
          <w:highlight w:val="none"/>
          <w:lang w:val="en-US" w:eastAsia="zh-CN"/>
        </w:rPr>
        <w:t>6</w:t>
      </w:r>
      <w:r>
        <w:rPr>
          <w:rFonts w:hint="eastAsia" w:ascii="Times New Roman" w:hAnsi="Times New Roman" w:eastAsia="宋体" w:cs="Times New Roman"/>
          <w:b/>
          <w:bCs/>
          <w:color w:val="auto"/>
          <w:spacing w:val="-2"/>
          <w:sz w:val="24"/>
          <w:szCs w:val="24"/>
          <w:highlight w:val="none"/>
          <w:lang w:val="en-US" w:eastAsia="zh-CN"/>
        </w:rPr>
        <w:t xml:space="preserve"> </w:t>
      </w:r>
      <w:bookmarkStart w:id="816" w:name="OLE_LINK147"/>
      <w:r>
        <w:rPr>
          <w:rFonts w:hint="eastAsia" w:ascii="Times New Roman" w:hAnsi="Times New Roman" w:eastAsia="宋体" w:cs="Times New Roman"/>
          <w:b/>
          <w:bCs/>
          <w:color w:val="auto"/>
          <w:spacing w:val="-2"/>
          <w:sz w:val="24"/>
          <w:szCs w:val="24"/>
          <w:highlight w:val="none"/>
          <w:lang w:val="en-US" w:eastAsia="zh-CN"/>
        </w:rPr>
        <w:t xml:space="preserve"> </w:t>
      </w:r>
      <w:bookmarkEnd w:id="815"/>
      <w:r>
        <w:rPr>
          <w:rFonts w:hint="eastAsia" w:ascii="Times New Roman" w:hAnsi="Times New Roman" w:eastAsia="宋体" w:cs="Times New Roman"/>
          <w:b/>
          <w:bCs/>
          <w:color w:val="auto"/>
          <w:spacing w:val="-2"/>
          <w:sz w:val="24"/>
          <w:szCs w:val="24"/>
          <w:highlight w:val="none"/>
          <w:lang w:val="en-US" w:eastAsia="zh-CN"/>
        </w:rPr>
        <w:t>厂区内VOCs无组织排放限值</w:t>
      </w:r>
      <w:bookmarkEnd w:id="816"/>
      <w:bookmarkStart w:id="817" w:name="pindex2671"/>
      <w:bookmarkEnd w:id="817"/>
    </w:p>
    <w:tbl>
      <w:tblPr>
        <w:tblStyle w:val="19"/>
        <w:tblW w:w="8337" w:type="dxa"/>
        <w:tblInd w:w="15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74"/>
        <w:gridCol w:w="1521"/>
        <w:gridCol w:w="2741"/>
        <w:gridCol w:w="2201"/>
      </w:tblGrid>
      <w:tr w14:paraId="77B9CC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874" w:type="dxa"/>
            <w:tcBorders>
              <w:tl2br w:val="nil"/>
              <w:tr2bl w:val="nil"/>
            </w:tcBorders>
            <w:vAlign w:val="center"/>
          </w:tcPr>
          <w:p w14:paraId="27378BEA">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污染物项目</w:t>
            </w:r>
          </w:p>
        </w:tc>
        <w:tc>
          <w:tcPr>
            <w:tcW w:w="1521" w:type="dxa"/>
            <w:tcBorders>
              <w:tl2br w:val="nil"/>
              <w:tr2bl w:val="nil"/>
            </w:tcBorders>
            <w:vAlign w:val="center"/>
          </w:tcPr>
          <w:p w14:paraId="02802FE8">
            <w:pPr>
              <w:jc w:val="center"/>
              <w:rPr>
                <w:rFonts w:hint="default"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lang w:val="en-US" w:eastAsia="zh-CN"/>
              </w:rPr>
              <w:t>监控点限值</w:t>
            </w:r>
            <w:r>
              <w:rPr>
                <w:rFonts w:ascii="宋体" w:hAnsi="宋体"/>
                <w:b/>
                <w:bCs/>
                <w:color w:val="auto"/>
                <w:szCs w:val="22"/>
                <w:highlight w:val="none"/>
              </w:rPr>
              <w:t>mg/m</w:t>
            </w:r>
            <w:r>
              <w:rPr>
                <w:rFonts w:ascii="宋体" w:hAnsi="宋体"/>
                <w:b/>
                <w:bCs/>
                <w:color w:val="auto"/>
                <w:szCs w:val="22"/>
                <w:highlight w:val="none"/>
                <w:vertAlign w:val="superscript"/>
              </w:rPr>
              <w:t>3</w:t>
            </w:r>
          </w:p>
        </w:tc>
        <w:tc>
          <w:tcPr>
            <w:tcW w:w="2741" w:type="dxa"/>
            <w:tcBorders>
              <w:tl2br w:val="nil"/>
              <w:tr2bl w:val="nil"/>
            </w:tcBorders>
            <w:vAlign w:val="center"/>
          </w:tcPr>
          <w:p w14:paraId="5816664C">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限值含义</w:t>
            </w:r>
          </w:p>
        </w:tc>
        <w:tc>
          <w:tcPr>
            <w:tcW w:w="2201" w:type="dxa"/>
            <w:tcBorders>
              <w:tl2br w:val="nil"/>
              <w:tr2bl w:val="nil"/>
            </w:tcBorders>
            <w:vAlign w:val="center"/>
          </w:tcPr>
          <w:p w14:paraId="0196C1D3">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无组织排放监控位置</w:t>
            </w:r>
          </w:p>
        </w:tc>
      </w:tr>
      <w:tr w14:paraId="38C884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874" w:type="dxa"/>
            <w:vMerge w:val="restart"/>
            <w:tcBorders>
              <w:tl2br w:val="nil"/>
              <w:tr2bl w:val="nil"/>
            </w:tcBorders>
            <w:vAlign w:val="center"/>
          </w:tcPr>
          <w:p w14:paraId="2A3C811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非甲烷总烃</w:t>
            </w:r>
          </w:p>
        </w:tc>
        <w:tc>
          <w:tcPr>
            <w:tcW w:w="1521" w:type="dxa"/>
            <w:tcBorders>
              <w:tl2br w:val="nil"/>
              <w:tr2bl w:val="nil"/>
            </w:tcBorders>
            <w:vAlign w:val="center"/>
          </w:tcPr>
          <w:p w14:paraId="5392DC2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2741" w:type="dxa"/>
            <w:tcBorders>
              <w:tl2br w:val="nil"/>
              <w:tr2bl w:val="nil"/>
            </w:tcBorders>
            <w:vAlign w:val="center"/>
          </w:tcPr>
          <w:p w14:paraId="647C5C2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监控点处1h平均浓度值</w:t>
            </w:r>
          </w:p>
        </w:tc>
        <w:tc>
          <w:tcPr>
            <w:tcW w:w="2201" w:type="dxa"/>
            <w:vMerge w:val="restart"/>
            <w:tcBorders>
              <w:tl2br w:val="nil"/>
              <w:tr2bl w:val="nil"/>
            </w:tcBorders>
            <w:vAlign w:val="center"/>
          </w:tcPr>
          <w:p w14:paraId="1D728FA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在厂房外设置监控点</w:t>
            </w:r>
          </w:p>
        </w:tc>
      </w:tr>
      <w:tr w14:paraId="234F33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874" w:type="dxa"/>
            <w:vMerge w:val="continue"/>
            <w:tcBorders>
              <w:tl2br w:val="nil"/>
              <w:tr2bl w:val="nil"/>
            </w:tcBorders>
            <w:vAlign w:val="center"/>
          </w:tcPr>
          <w:p w14:paraId="68913508">
            <w:pPr>
              <w:jc w:val="center"/>
              <w:rPr>
                <w:rFonts w:hint="default" w:ascii="Times New Roman" w:hAnsi="Times New Roman" w:eastAsia="宋体" w:cs="Times New Roman"/>
                <w:color w:val="auto"/>
                <w:sz w:val="21"/>
                <w:szCs w:val="21"/>
                <w:highlight w:val="none"/>
              </w:rPr>
            </w:pPr>
          </w:p>
        </w:tc>
        <w:tc>
          <w:tcPr>
            <w:tcW w:w="1521" w:type="dxa"/>
            <w:tcBorders>
              <w:tl2br w:val="nil"/>
              <w:tr2bl w:val="nil"/>
            </w:tcBorders>
            <w:vAlign w:val="center"/>
          </w:tcPr>
          <w:p w14:paraId="52CA7F2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2741" w:type="dxa"/>
            <w:tcBorders>
              <w:tl2br w:val="nil"/>
              <w:tr2bl w:val="nil"/>
            </w:tcBorders>
            <w:vAlign w:val="center"/>
          </w:tcPr>
          <w:p w14:paraId="28553FD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监控点处任意一次浓度值</w:t>
            </w:r>
          </w:p>
        </w:tc>
        <w:tc>
          <w:tcPr>
            <w:tcW w:w="2201" w:type="dxa"/>
            <w:vMerge w:val="continue"/>
            <w:tcBorders>
              <w:tl2br w:val="nil"/>
              <w:tr2bl w:val="nil"/>
            </w:tcBorders>
            <w:vAlign w:val="center"/>
          </w:tcPr>
          <w:p w14:paraId="0D0EA77D">
            <w:pPr>
              <w:jc w:val="center"/>
              <w:rPr>
                <w:rFonts w:hint="default" w:ascii="Times New Roman" w:hAnsi="Times New Roman" w:eastAsia="宋体" w:cs="Times New Roman"/>
                <w:color w:val="auto"/>
                <w:sz w:val="21"/>
                <w:szCs w:val="21"/>
                <w:highlight w:val="none"/>
              </w:rPr>
            </w:pPr>
          </w:p>
        </w:tc>
      </w:tr>
    </w:tbl>
    <w:p w14:paraId="2F550CDF">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outlineLvl w:val="9"/>
        <w:rPr>
          <w:rFonts w:hint="eastAsia" w:ascii="Times New Roman" w:hAnsi="Times New Roman" w:eastAsia="宋体" w:cs="Times New Roman"/>
          <w:color w:val="auto"/>
          <w:spacing w:val="-2"/>
          <w:sz w:val="24"/>
          <w:szCs w:val="24"/>
          <w:highlight w:val="none"/>
          <w:lang w:val="en-US" w:eastAsia="zh-CN"/>
        </w:rPr>
      </w:pPr>
      <w:bookmarkStart w:id="818" w:name="OLE_LINK260"/>
      <w:r>
        <w:rPr>
          <w:rFonts w:hint="eastAsia" w:ascii="Times New Roman" w:hAnsi="Times New Roman" w:eastAsia="宋体" w:cs="Times New Roman"/>
          <w:color w:val="auto"/>
          <w:spacing w:val="-2"/>
          <w:sz w:val="24"/>
          <w:szCs w:val="24"/>
          <w:highlight w:val="none"/>
          <w:lang w:val="en-US" w:eastAsia="zh-CN"/>
        </w:rPr>
        <w:t>（9）印刷业</w:t>
      </w:r>
      <w:bookmarkEnd w:id="818"/>
      <w:bookmarkStart w:id="819" w:name="pindex2684"/>
      <w:bookmarkEnd w:id="819"/>
    </w:p>
    <w:p w14:paraId="4C9D6ACE">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rPr>
          <w:rFonts w:hint="eastAsia" w:ascii="Times New Roman" w:hAnsi="Times New Roman" w:eastAsia="宋体" w:cs="Times New Roman"/>
          <w:color w:val="auto"/>
          <w:spacing w:val="-2"/>
          <w:sz w:val="24"/>
          <w:szCs w:val="24"/>
          <w:highlight w:val="none"/>
          <w:lang w:val="en-US" w:eastAsia="zh-CN"/>
        </w:rPr>
      </w:pPr>
      <w:bookmarkStart w:id="820" w:name="OLE_LINK752"/>
      <w:bookmarkStart w:id="821" w:name="sys2685058"/>
      <w:r>
        <w:rPr>
          <w:rFonts w:hint="eastAsia" w:ascii="Times New Roman" w:hAnsi="Times New Roman" w:eastAsia="宋体" w:cs="Times New Roman"/>
          <w:color w:val="auto"/>
          <w:spacing w:val="-2"/>
          <w:sz w:val="24"/>
          <w:szCs w:val="24"/>
          <w:highlight w:val="none"/>
          <w:lang w:val="en-US" w:eastAsia="zh-CN"/>
        </w:rPr>
        <w:t>区内家具制造业废气排放执行</w:t>
      </w:r>
      <w:bookmarkStart w:id="822" w:name="OLE_LINK261"/>
      <w:r>
        <w:rPr>
          <w:rFonts w:hint="eastAsia" w:ascii="Times New Roman" w:hAnsi="Times New Roman" w:eastAsia="宋体" w:cs="Times New Roman"/>
          <w:color w:val="auto"/>
          <w:spacing w:val="-2"/>
          <w:sz w:val="24"/>
          <w:szCs w:val="24"/>
          <w:highlight w:val="none"/>
          <w:lang w:val="en-US" w:eastAsia="zh-CN"/>
        </w:rPr>
        <w:t>《表面涂装（家具制造业）挥发性有机物排放标准》（DB32/3152-2016）</w:t>
      </w:r>
      <w:bookmarkEnd w:id="820"/>
      <w:bookmarkEnd w:id="822"/>
      <w:r>
        <w:rPr>
          <w:rFonts w:hint="eastAsia" w:ascii="Times New Roman" w:hAnsi="Times New Roman" w:eastAsia="宋体" w:cs="Times New Roman"/>
          <w:color w:val="auto"/>
          <w:spacing w:val="-2"/>
          <w:sz w:val="24"/>
          <w:szCs w:val="24"/>
          <w:highlight w:val="none"/>
          <w:lang w:val="en-US" w:eastAsia="zh-CN"/>
        </w:rPr>
        <w:t>中限值标准。</w:t>
      </w:r>
      <w:bookmarkEnd w:id="821"/>
    </w:p>
    <w:p w14:paraId="6E87A2C4">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eastAsia" w:ascii="Times New Roman" w:hAnsi="Times New Roman" w:eastAsia="宋体" w:cs="Times New Roman"/>
          <w:color w:val="auto"/>
          <w:spacing w:val="-2"/>
          <w:sz w:val="24"/>
          <w:szCs w:val="24"/>
          <w:highlight w:val="none"/>
          <w:lang w:val="en-US" w:eastAsia="zh-CN"/>
        </w:rPr>
      </w:pPr>
      <w:bookmarkStart w:id="823" w:name="OLE_LINK263"/>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2-37</w:t>
      </w:r>
      <w:r>
        <w:rPr>
          <w:rFonts w:hint="eastAsia" w:ascii="Times New Roman" w:hAnsi="Times New Roman" w:eastAsia="宋体" w:cs="Times New Roman"/>
          <w:b/>
          <w:bCs/>
          <w:color w:val="auto"/>
          <w:spacing w:val="-2"/>
          <w:sz w:val="24"/>
          <w:szCs w:val="24"/>
          <w:highlight w:val="none"/>
          <w:lang w:val="en-US" w:eastAsia="zh-CN"/>
        </w:rPr>
        <w:t xml:space="preserve">  企业排气筒VOCs排放限值</w:t>
      </w:r>
      <w:bookmarkStart w:id="824" w:name="pindex2686"/>
      <w:bookmarkEnd w:id="824"/>
    </w:p>
    <w:tbl>
      <w:tblPr>
        <w:tblStyle w:val="19"/>
        <w:tblW w:w="83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17"/>
        <w:gridCol w:w="2165"/>
        <w:gridCol w:w="2364"/>
        <w:gridCol w:w="1912"/>
      </w:tblGrid>
      <w:tr w14:paraId="6507E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17" w:type="dxa"/>
            <w:tcBorders>
              <w:tl2br w:val="nil"/>
              <w:tr2bl w:val="nil"/>
            </w:tcBorders>
            <w:shd w:val="clear" w:color="auto" w:fill="auto"/>
            <w:vAlign w:val="center"/>
          </w:tcPr>
          <w:p w14:paraId="6CD4DE3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eastAsia" w:ascii="Times New Roman" w:hAnsi="Times New Roman" w:eastAsia="宋体" w:cs="Times New Roman"/>
                <w:b/>
                <w:bCs/>
                <w:color w:val="auto"/>
                <w:kern w:val="0"/>
                <w:sz w:val="21"/>
                <w:szCs w:val="21"/>
                <w:highlight w:val="none"/>
                <w:lang w:val="en-US" w:eastAsia="zh-CN"/>
              </w:rPr>
              <w:t>污染物</w:t>
            </w:r>
            <w:r>
              <w:rPr>
                <w:rFonts w:hint="default" w:ascii="Times New Roman" w:hAnsi="Times New Roman" w:eastAsia="宋体" w:cs="Times New Roman"/>
                <w:b/>
                <w:bCs/>
                <w:color w:val="auto"/>
                <w:kern w:val="0"/>
                <w:sz w:val="21"/>
                <w:szCs w:val="21"/>
                <w:highlight w:val="none"/>
              </w:rPr>
              <w:t>项目</w:t>
            </w:r>
          </w:p>
        </w:tc>
        <w:tc>
          <w:tcPr>
            <w:tcW w:w="2165" w:type="dxa"/>
            <w:tcBorders>
              <w:tl2br w:val="nil"/>
              <w:tr2bl w:val="nil"/>
            </w:tcBorders>
            <w:shd w:val="clear" w:color="auto" w:fill="auto"/>
            <w:vAlign w:val="center"/>
          </w:tcPr>
          <w:p w14:paraId="293A032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eastAsia" w:ascii="Times New Roman" w:hAnsi="Times New Roman" w:eastAsia="宋体" w:cs="Times New Roman"/>
                <w:b/>
                <w:bCs/>
                <w:color w:val="auto"/>
                <w:kern w:val="0"/>
                <w:sz w:val="21"/>
                <w:szCs w:val="21"/>
                <w:highlight w:val="none"/>
                <w:lang w:val="en-US" w:eastAsia="zh-CN"/>
              </w:rPr>
              <w:t>最高允许</w:t>
            </w:r>
            <w:r>
              <w:rPr>
                <w:rFonts w:hint="default" w:ascii="Times New Roman" w:hAnsi="Times New Roman" w:eastAsia="宋体" w:cs="Times New Roman"/>
                <w:b/>
                <w:bCs/>
                <w:color w:val="auto"/>
                <w:kern w:val="0"/>
                <w:sz w:val="21"/>
                <w:szCs w:val="21"/>
                <w:highlight w:val="none"/>
              </w:rPr>
              <w:t>排放浓度</w:t>
            </w:r>
          </w:p>
          <w:p w14:paraId="6B4D4E1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（mg/m</w:t>
            </w:r>
            <w:r>
              <w:rPr>
                <w:rFonts w:hint="default" w:ascii="Times New Roman" w:hAnsi="Times New Roman" w:eastAsia="宋体" w:cs="Times New Roman"/>
                <w:b/>
                <w:bCs/>
                <w:color w:val="auto"/>
                <w:kern w:val="0"/>
                <w:sz w:val="21"/>
                <w:szCs w:val="21"/>
                <w:highlight w:val="none"/>
                <w:vertAlign w:val="superscript"/>
              </w:rPr>
              <w:t>3</w:t>
            </w:r>
            <w:r>
              <w:rPr>
                <w:rFonts w:hint="default" w:ascii="Times New Roman" w:hAnsi="Times New Roman" w:eastAsia="宋体" w:cs="Times New Roman"/>
                <w:b/>
                <w:bCs/>
                <w:color w:val="auto"/>
                <w:kern w:val="0"/>
                <w:sz w:val="21"/>
                <w:szCs w:val="21"/>
                <w:highlight w:val="none"/>
              </w:rPr>
              <w:t>）</w:t>
            </w:r>
          </w:p>
        </w:tc>
        <w:tc>
          <w:tcPr>
            <w:tcW w:w="2364" w:type="dxa"/>
            <w:tcBorders>
              <w:tl2br w:val="nil"/>
              <w:tr2bl w:val="nil"/>
            </w:tcBorders>
            <w:shd w:val="clear" w:color="auto" w:fill="auto"/>
            <w:vAlign w:val="center"/>
          </w:tcPr>
          <w:p w14:paraId="1448072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eastAsia" w:ascii="Times New Roman" w:hAnsi="Times New Roman" w:eastAsia="宋体" w:cs="Times New Roman"/>
                <w:b/>
                <w:bCs/>
                <w:color w:val="auto"/>
                <w:kern w:val="0"/>
                <w:sz w:val="21"/>
                <w:szCs w:val="21"/>
                <w:highlight w:val="none"/>
                <w:lang w:val="en-US" w:eastAsia="zh-CN"/>
              </w:rPr>
              <w:t>最高允许</w:t>
            </w:r>
            <w:r>
              <w:rPr>
                <w:rFonts w:hint="default" w:ascii="Times New Roman" w:hAnsi="Times New Roman" w:eastAsia="宋体" w:cs="Times New Roman"/>
                <w:b/>
                <w:bCs/>
                <w:color w:val="auto"/>
                <w:kern w:val="0"/>
                <w:sz w:val="21"/>
                <w:szCs w:val="21"/>
                <w:highlight w:val="none"/>
              </w:rPr>
              <w:t>排放速率</w:t>
            </w:r>
          </w:p>
          <w:p w14:paraId="673C13D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eastAsia" w:ascii="Times New Roman" w:hAnsi="Times New Roman" w:eastAsia="宋体" w:cs="Times New Roman"/>
                <w:b/>
                <w:bCs/>
                <w:color w:val="auto"/>
                <w:kern w:val="0"/>
                <w:sz w:val="21"/>
                <w:szCs w:val="21"/>
                <w:highlight w:val="none"/>
                <w:lang w:eastAsia="zh-CN"/>
              </w:rPr>
              <w:t>（</w:t>
            </w:r>
            <w:r>
              <w:rPr>
                <w:rFonts w:hint="default" w:ascii="Times New Roman" w:hAnsi="Times New Roman" w:eastAsia="宋体" w:cs="Times New Roman"/>
                <w:b/>
                <w:bCs/>
                <w:color w:val="auto"/>
                <w:kern w:val="0"/>
                <w:sz w:val="21"/>
                <w:szCs w:val="21"/>
                <w:highlight w:val="none"/>
              </w:rPr>
              <w:t>kg/h</w:t>
            </w:r>
            <w:r>
              <w:rPr>
                <w:rFonts w:hint="eastAsia" w:ascii="Times New Roman" w:hAnsi="Times New Roman" w:eastAsia="宋体" w:cs="Times New Roman"/>
                <w:b/>
                <w:bCs/>
                <w:color w:val="auto"/>
                <w:kern w:val="0"/>
                <w:sz w:val="21"/>
                <w:szCs w:val="21"/>
                <w:highlight w:val="none"/>
                <w:lang w:eastAsia="zh-CN"/>
              </w:rPr>
              <w:t>）</w:t>
            </w:r>
          </w:p>
        </w:tc>
        <w:tc>
          <w:tcPr>
            <w:tcW w:w="1912" w:type="dxa"/>
            <w:tcBorders>
              <w:tl2br w:val="nil"/>
              <w:tr2bl w:val="nil"/>
            </w:tcBorders>
            <w:shd w:val="clear" w:color="auto" w:fill="auto"/>
            <w:vAlign w:val="center"/>
          </w:tcPr>
          <w:p w14:paraId="0EA2AF8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污染物排放</w:t>
            </w:r>
          </w:p>
          <w:p w14:paraId="0234579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监控位置</w:t>
            </w:r>
          </w:p>
        </w:tc>
      </w:tr>
      <w:tr w14:paraId="5EC64E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17" w:type="dxa"/>
            <w:tcBorders>
              <w:tl2br w:val="nil"/>
              <w:tr2bl w:val="nil"/>
            </w:tcBorders>
            <w:shd w:val="clear" w:color="auto" w:fill="auto"/>
            <w:vAlign w:val="center"/>
          </w:tcPr>
          <w:p w14:paraId="6A67D98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苯</w:t>
            </w:r>
          </w:p>
        </w:tc>
        <w:tc>
          <w:tcPr>
            <w:tcW w:w="2165" w:type="dxa"/>
            <w:tcBorders>
              <w:tl2br w:val="nil"/>
              <w:tr2bl w:val="nil"/>
            </w:tcBorders>
            <w:shd w:val="clear" w:color="auto" w:fill="auto"/>
            <w:vAlign w:val="center"/>
          </w:tcPr>
          <w:p w14:paraId="14F9DE6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w:t>
            </w:r>
          </w:p>
        </w:tc>
        <w:tc>
          <w:tcPr>
            <w:tcW w:w="2364" w:type="dxa"/>
            <w:tcBorders>
              <w:tl2br w:val="nil"/>
              <w:tr2bl w:val="nil"/>
            </w:tcBorders>
            <w:shd w:val="clear" w:color="auto" w:fill="auto"/>
            <w:vAlign w:val="center"/>
          </w:tcPr>
          <w:p w14:paraId="749310B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0.36</w:t>
            </w:r>
          </w:p>
        </w:tc>
        <w:tc>
          <w:tcPr>
            <w:tcW w:w="1912" w:type="dxa"/>
            <w:vMerge w:val="restart"/>
            <w:tcBorders>
              <w:tl2br w:val="nil"/>
              <w:tr2bl w:val="nil"/>
            </w:tcBorders>
            <w:shd w:val="clear" w:color="auto" w:fill="auto"/>
            <w:vAlign w:val="center"/>
          </w:tcPr>
          <w:p w14:paraId="1E7D1F7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车间或生产设施排气筒</w:t>
            </w:r>
          </w:p>
        </w:tc>
      </w:tr>
      <w:bookmarkEnd w:id="823"/>
      <w:tr w14:paraId="43BAFE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17" w:type="dxa"/>
            <w:tcBorders>
              <w:tl2br w:val="nil"/>
              <w:tr2bl w:val="nil"/>
            </w:tcBorders>
            <w:shd w:val="clear" w:color="auto" w:fill="auto"/>
            <w:vAlign w:val="center"/>
          </w:tcPr>
          <w:p w14:paraId="57991EE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甲苯与二甲苯合计</w:t>
            </w:r>
          </w:p>
        </w:tc>
        <w:tc>
          <w:tcPr>
            <w:tcW w:w="2165" w:type="dxa"/>
            <w:tcBorders>
              <w:tl2br w:val="nil"/>
              <w:tr2bl w:val="nil"/>
            </w:tcBorders>
            <w:shd w:val="clear" w:color="auto" w:fill="auto"/>
            <w:vAlign w:val="center"/>
          </w:tcPr>
          <w:p w14:paraId="2FAD672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w:t>
            </w:r>
          </w:p>
        </w:tc>
        <w:tc>
          <w:tcPr>
            <w:tcW w:w="2364" w:type="dxa"/>
            <w:tcBorders>
              <w:tl2br w:val="nil"/>
              <w:tr2bl w:val="nil"/>
            </w:tcBorders>
            <w:shd w:val="clear" w:color="auto" w:fill="auto"/>
            <w:vAlign w:val="center"/>
          </w:tcPr>
          <w:p w14:paraId="01D36D8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0.96</w:t>
            </w:r>
          </w:p>
        </w:tc>
        <w:tc>
          <w:tcPr>
            <w:tcW w:w="1912" w:type="dxa"/>
            <w:vMerge w:val="continue"/>
            <w:tcBorders>
              <w:tl2br w:val="nil"/>
              <w:tr2bl w:val="nil"/>
            </w:tcBorders>
            <w:shd w:val="clear" w:color="auto" w:fill="auto"/>
            <w:vAlign w:val="center"/>
          </w:tcPr>
          <w:p w14:paraId="5FC86FA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p>
        </w:tc>
      </w:tr>
      <w:tr w14:paraId="5C147A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17" w:type="dxa"/>
            <w:tcBorders>
              <w:tl2br w:val="nil"/>
              <w:tr2bl w:val="nil"/>
            </w:tcBorders>
            <w:shd w:val="clear" w:color="auto" w:fill="auto"/>
            <w:vAlign w:val="center"/>
          </w:tcPr>
          <w:p w14:paraId="6AD0585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TVOC</w:t>
            </w:r>
          </w:p>
        </w:tc>
        <w:tc>
          <w:tcPr>
            <w:tcW w:w="2165" w:type="dxa"/>
            <w:tcBorders>
              <w:tl2br w:val="nil"/>
              <w:tr2bl w:val="nil"/>
            </w:tcBorders>
            <w:shd w:val="clear" w:color="auto" w:fill="auto"/>
            <w:vAlign w:val="center"/>
          </w:tcPr>
          <w:p w14:paraId="0BA734C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40</w:t>
            </w:r>
          </w:p>
        </w:tc>
        <w:tc>
          <w:tcPr>
            <w:tcW w:w="2364" w:type="dxa"/>
            <w:tcBorders>
              <w:tl2br w:val="nil"/>
              <w:tr2bl w:val="nil"/>
            </w:tcBorders>
            <w:shd w:val="clear" w:color="auto" w:fill="auto"/>
            <w:vAlign w:val="center"/>
          </w:tcPr>
          <w:p w14:paraId="7937E98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2.9</w:t>
            </w:r>
          </w:p>
        </w:tc>
        <w:tc>
          <w:tcPr>
            <w:tcW w:w="1912" w:type="dxa"/>
            <w:vMerge w:val="continue"/>
            <w:tcBorders>
              <w:tl2br w:val="nil"/>
              <w:tr2bl w:val="nil"/>
            </w:tcBorders>
            <w:shd w:val="clear" w:color="auto" w:fill="auto"/>
            <w:vAlign w:val="center"/>
          </w:tcPr>
          <w:p w14:paraId="55354DC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rPr>
            </w:pPr>
          </w:p>
        </w:tc>
      </w:tr>
    </w:tbl>
    <w:p w14:paraId="57C59583">
      <w:pPr>
        <w:keepNext w:val="0"/>
        <w:keepLines w:val="0"/>
        <w:pageBreakBefore w:val="0"/>
        <w:widowControl/>
        <w:kinsoku/>
        <w:wordWrap/>
        <w:overflowPunct/>
        <w:topLinePunct w:val="0"/>
        <w:autoSpaceDE w:val="0"/>
        <w:autoSpaceDN w:val="0"/>
        <w:bidi w:val="0"/>
        <w:adjustRightInd w:val="0"/>
        <w:snapToGrid w:val="0"/>
        <w:spacing w:before="33" w:line="240" w:lineRule="auto"/>
        <w:ind w:right="136"/>
        <w:jc w:val="center"/>
        <w:textAlignment w:val="baseline"/>
        <w:rPr>
          <w:rFonts w:hint="eastAsia"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2-38  </w:t>
      </w:r>
      <w:r>
        <w:rPr>
          <w:rFonts w:hint="eastAsia" w:ascii="Times New Roman" w:hAnsi="Times New Roman" w:eastAsia="宋体" w:cs="Times New Roman"/>
          <w:b/>
          <w:bCs/>
          <w:color w:val="auto"/>
          <w:spacing w:val="-2"/>
          <w:sz w:val="24"/>
          <w:szCs w:val="24"/>
          <w:highlight w:val="none"/>
          <w:lang w:val="en-US" w:eastAsia="zh-CN"/>
        </w:rPr>
        <w:t xml:space="preserve"> 无组织排放监控点浓度限值</w:t>
      </w:r>
      <w:bookmarkStart w:id="825" w:name="OLE_LINK265"/>
      <w:r>
        <w:rPr>
          <w:rFonts w:hint="default" w:ascii="Times New Roman" w:hAnsi="Times New Roman" w:eastAsia="宋体" w:cs="Times New Roman"/>
          <w:b/>
          <w:bCs/>
          <w:color w:val="auto"/>
          <w:kern w:val="0"/>
          <w:sz w:val="24"/>
          <w:szCs w:val="24"/>
          <w:highlight w:val="none"/>
        </w:rPr>
        <w:t>（</w:t>
      </w:r>
      <w:bookmarkStart w:id="826" w:name="OLE_LINK264"/>
      <w:r>
        <w:rPr>
          <w:rFonts w:hint="eastAsia" w:ascii="Times New Roman" w:hAnsi="Times New Roman" w:eastAsia="宋体" w:cs="Times New Roman"/>
          <w:b/>
          <w:bCs/>
          <w:color w:val="auto"/>
          <w:kern w:val="0"/>
          <w:sz w:val="24"/>
          <w:szCs w:val="24"/>
          <w:highlight w:val="none"/>
          <w:lang w:val="en-US" w:eastAsia="zh-CN"/>
        </w:rPr>
        <w:t>单位：</w:t>
      </w:r>
      <w:r>
        <w:rPr>
          <w:rFonts w:hint="default" w:ascii="Times New Roman" w:hAnsi="Times New Roman" w:eastAsia="宋体" w:cs="Times New Roman"/>
          <w:b/>
          <w:bCs/>
          <w:color w:val="auto"/>
          <w:kern w:val="0"/>
          <w:sz w:val="24"/>
          <w:szCs w:val="24"/>
          <w:highlight w:val="none"/>
        </w:rPr>
        <w:t>mg/m</w:t>
      </w:r>
      <w:r>
        <w:rPr>
          <w:rFonts w:hint="default" w:ascii="Times New Roman" w:hAnsi="Times New Roman" w:eastAsia="宋体" w:cs="Times New Roman"/>
          <w:b/>
          <w:bCs/>
          <w:color w:val="auto"/>
          <w:kern w:val="0"/>
          <w:sz w:val="24"/>
          <w:szCs w:val="24"/>
          <w:highlight w:val="none"/>
          <w:vertAlign w:val="superscript"/>
        </w:rPr>
        <w:t>3</w:t>
      </w:r>
      <w:bookmarkEnd w:id="826"/>
      <w:r>
        <w:rPr>
          <w:rFonts w:hint="default" w:ascii="Times New Roman" w:hAnsi="Times New Roman" w:eastAsia="宋体" w:cs="Times New Roman"/>
          <w:b/>
          <w:bCs/>
          <w:color w:val="auto"/>
          <w:kern w:val="0"/>
          <w:sz w:val="24"/>
          <w:szCs w:val="24"/>
          <w:highlight w:val="none"/>
        </w:rPr>
        <w:t>）</w:t>
      </w:r>
      <w:bookmarkStart w:id="827" w:name="pindex2706"/>
      <w:bookmarkEnd w:id="827"/>
    </w:p>
    <w:bookmarkEnd w:id="825"/>
    <w:tbl>
      <w:tblPr>
        <w:tblStyle w:val="19"/>
        <w:tblW w:w="84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4"/>
        <w:gridCol w:w="1930"/>
        <w:gridCol w:w="1907"/>
        <w:gridCol w:w="1907"/>
        <w:gridCol w:w="1542"/>
      </w:tblGrid>
      <w:tr w14:paraId="79DDE5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78" w:hRule="atLeast"/>
          <w:jc w:val="center"/>
        </w:trPr>
        <w:tc>
          <w:tcPr>
            <w:tcW w:w="1114" w:type="dxa"/>
            <w:tcBorders>
              <w:tl2br w:val="nil"/>
              <w:tr2bl w:val="nil"/>
            </w:tcBorders>
            <w:shd w:val="clear" w:color="auto" w:fill="auto"/>
            <w:vAlign w:val="center"/>
          </w:tcPr>
          <w:p w14:paraId="076FB49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rPr>
            </w:pPr>
            <w:r>
              <w:rPr>
                <w:rFonts w:hint="eastAsia" w:ascii="Times New Roman" w:hAnsi="Times New Roman" w:eastAsia="宋体" w:cs="Times New Roman"/>
                <w:b/>
                <w:bCs/>
                <w:color w:val="auto"/>
                <w:kern w:val="0"/>
                <w:sz w:val="21"/>
                <w:szCs w:val="21"/>
                <w:highlight w:val="none"/>
                <w:lang w:val="en-US" w:eastAsia="zh-CN"/>
              </w:rPr>
              <w:t>污染物</w:t>
            </w:r>
            <w:r>
              <w:rPr>
                <w:rFonts w:hint="default" w:ascii="Times New Roman" w:hAnsi="Times New Roman" w:eastAsia="宋体" w:cs="Times New Roman"/>
                <w:b/>
                <w:bCs/>
                <w:color w:val="auto"/>
                <w:kern w:val="0"/>
                <w:sz w:val="21"/>
                <w:szCs w:val="21"/>
                <w:highlight w:val="none"/>
              </w:rPr>
              <w:t>项目</w:t>
            </w:r>
          </w:p>
        </w:tc>
        <w:tc>
          <w:tcPr>
            <w:tcW w:w="1930" w:type="dxa"/>
            <w:tcBorders>
              <w:tl2br w:val="nil"/>
              <w:tr2bl w:val="nil"/>
            </w:tcBorders>
            <w:shd w:val="clear" w:color="auto" w:fill="auto"/>
            <w:vAlign w:val="center"/>
          </w:tcPr>
          <w:p w14:paraId="522B164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b/>
                <w:bCs/>
                <w:color w:val="auto"/>
                <w:kern w:val="0"/>
                <w:sz w:val="21"/>
                <w:szCs w:val="21"/>
                <w:highlight w:val="none"/>
                <w:lang w:val="en-US" w:eastAsia="zh-CN"/>
              </w:rPr>
            </w:pPr>
            <w:r>
              <w:rPr>
                <w:rFonts w:hint="eastAsia" w:ascii="Times New Roman" w:hAnsi="Times New Roman" w:eastAsia="宋体" w:cs="Times New Roman"/>
                <w:b/>
                <w:bCs/>
                <w:color w:val="auto"/>
                <w:kern w:val="0"/>
                <w:sz w:val="21"/>
                <w:szCs w:val="21"/>
                <w:highlight w:val="none"/>
                <w:lang w:val="en-US" w:eastAsia="zh-CN"/>
              </w:rPr>
              <w:t>苯</w:t>
            </w:r>
          </w:p>
        </w:tc>
        <w:tc>
          <w:tcPr>
            <w:tcW w:w="1907" w:type="dxa"/>
            <w:tcBorders>
              <w:tl2br w:val="nil"/>
              <w:tr2bl w:val="nil"/>
            </w:tcBorders>
            <w:shd w:val="clear" w:color="auto" w:fill="auto"/>
            <w:vAlign w:val="center"/>
          </w:tcPr>
          <w:p w14:paraId="4266FFF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lang w:val="en-US" w:eastAsia="zh-CN"/>
              </w:rPr>
            </w:pPr>
            <w:r>
              <w:rPr>
                <w:rFonts w:hint="eastAsia" w:ascii="Times New Roman" w:hAnsi="Times New Roman" w:eastAsia="宋体" w:cs="Times New Roman"/>
                <w:b/>
                <w:bCs/>
                <w:color w:val="auto"/>
                <w:kern w:val="0"/>
                <w:sz w:val="21"/>
                <w:szCs w:val="21"/>
                <w:highlight w:val="none"/>
                <w:lang w:val="en-US" w:eastAsia="zh-CN"/>
              </w:rPr>
              <w:t>甲苯</w:t>
            </w:r>
          </w:p>
        </w:tc>
        <w:tc>
          <w:tcPr>
            <w:tcW w:w="1907" w:type="dxa"/>
            <w:tcBorders>
              <w:tl2br w:val="nil"/>
              <w:tr2bl w:val="nil"/>
            </w:tcBorders>
            <w:shd w:val="clear" w:color="auto" w:fill="auto"/>
            <w:vAlign w:val="center"/>
          </w:tcPr>
          <w:p w14:paraId="6B7EFD6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b/>
                <w:bCs/>
                <w:color w:val="auto"/>
                <w:kern w:val="0"/>
                <w:sz w:val="21"/>
                <w:szCs w:val="21"/>
                <w:highlight w:val="none"/>
                <w:lang w:val="en-US" w:eastAsia="zh-CN"/>
              </w:rPr>
            </w:pPr>
            <w:r>
              <w:rPr>
                <w:rFonts w:hint="eastAsia" w:ascii="Times New Roman" w:hAnsi="Times New Roman" w:eastAsia="宋体" w:cs="Times New Roman"/>
                <w:b/>
                <w:bCs/>
                <w:color w:val="auto"/>
                <w:kern w:val="0"/>
                <w:sz w:val="21"/>
                <w:szCs w:val="21"/>
                <w:highlight w:val="none"/>
                <w:lang w:val="en-US" w:eastAsia="zh-CN"/>
              </w:rPr>
              <w:t>二甲苯</w:t>
            </w:r>
          </w:p>
        </w:tc>
        <w:tc>
          <w:tcPr>
            <w:tcW w:w="1542" w:type="dxa"/>
            <w:tcBorders>
              <w:tl2br w:val="nil"/>
              <w:tr2bl w:val="nil"/>
            </w:tcBorders>
            <w:shd w:val="clear" w:color="auto" w:fill="auto"/>
            <w:vAlign w:val="center"/>
          </w:tcPr>
          <w:p w14:paraId="0857823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kern w:val="0"/>
                <w:sz w:val="21"/>
                <w:szCs w:val="21"/>
                <w:highlight w:val="none"/>
                <w:lang w:val="en-US" w:eastAsia="zh-CN"/>
              </w:rPr>
            </w:pPr>
            <w:r>
              <w:rPr>
                <w:rFonts w:hint="eastAsia" w:ascii="Times New Roman" w:hAnsi="Times New Roman" w:eastAsia="宋体" w:cs="Times New Roman"/>
                <w:b/>
                <w:bCs/>
                <w:color w:val="auto"/>
                <w:kern w:val="0"/>
                <w:sz w:val="21"/>
                <w:szCs w:val="21"/>
                <w:highlight w:val="none"/>
                <w:lang w:val="en-US" w:eastAsia="zh-CN"/>
              </w:rPr>
              <w:t>TVOC</w:t>
            </w:r>
          </w:p>
        </w:tc>
      </w:tr>
      <w:tr w14:paraId="0B388F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14" w:type="dxa"/>
            <w:tcBorders>
              <w:tl2br w:val="nil"/>
              <w:tr2bl w:val="nil"/>
            </w:tcBorders>
            <w:shd w:val="clear" w:color="auto" w:fill="auto"/>
            <w:vAlign w:val="center"/>
          </w:tcPr>
          <w:p w14:paraId="4EE88FF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rPr>
              <w:t>浓度限值</w:t>
            </w:r>
          </w:p>
        </w:tc>
        <w:tc>
          <w:tcPr>
            <w:tcW w:w="1930" w:type="dxa"/>
            <w:tcBorders>
              <w:tl2br w:val="nil"/>
              <w:tr2bl w:val="nil"/>
            </w:tcBorders>
            <w:shd w:val="clear" w:color="auto" w:fill="auto"/>
            <w:vAlign w:val="center"/>
          </w:tcPr>
          <w:p w14:paraId="61E7EDE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0.10</w:t>
            </w:r>
          </w:p>
        </w:tc>
        <w:tc>
          <w:tcPr>
            <w:tcW w:w="1907" w:type="dxa"/>
            <w:tcBorders>
              <w:tl2br w:val="nil"/>
              <w:tr2bl w:val="nil"/>
            </w:tcBorders>
            <w:shd w:val="clear" w:color="auto" w:fill="auto"/>
            <w:vAlign w:val="center"/>
          </w:tcPr>
          <w:p w14:paraId="5164520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0.60</w:t>
            </w:r>
          </w:p>
        </w:tc>
        <w:tc>
          <w:tcPr>
            <w:tcW w:w="1907" w:type="dxa"/>
            <w:tcBorders>
              <w:tl2br w:val="nil"/>
              <w:tr2bl w:val="nil"/>
            </w:tcBorders>
            <w:shd w:val="clear" w:color="auto" w:fill="auto"/>
            <w:vAlign w:val="center"/>
          </w:tcPr>
          <w:p w14:paraId="50A6349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0.20</w:t>
            </w:r>
          </w:p>
        </w:tc>
        <w:tc>
          <w:tcPr>
            <w:tcW w:w="1542" w:type="dxa"/>
            <w:tcBorders>
              <w:tl2br w:val="nil"/>
              <w:tr2bl w:val="nil"/>
            </w:tcBorders>
            <w:shd w:val="clear" w:color="auto" w:fill="auto"/>
            <w:vAlign w:val="center"/>
          </w:tcPr>
          <w:p w14:paraId="0BD0023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w:t>
            </w:r>
          </w:p>
        </w:tc>
      </w:tr>
    </w:tbl>
    <w:p w14:paraId="278D3942">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360" w:lineRule="auto"/>
        <w:ind w:right="136" w:rightChars="0" w:firstLine="472" w:firstLineChars="200"/>
        <w:jc w:val="both"/>
        <w:textAlignment w:val="baseline"/>
        <w:outlineLvl w:val="9"/>
        <w:rPr>
          <w:rFonts w:hint="eastAsia" w:ascii="Times New Roman" w:hAnsi="Times New Roman" w:eastAsia="宋体" w:cs="Times New Roman"/>
          <w:color w:val="auto"/>
          <w:spacing w:val="-2"/>
          <w:sz w:val="24"/>
          <w:szCs w:val="24"/>
          <w:highlight w:val="none"/>
          <w:lang w:val="en-US" w:eastAsia="zh-CN"/>
        </w:rPr>
      </w:pPr>
      <w:r>
        <w:rPr>
          <w:rFonts w:hint="eastAsia" w:ascii="Times New Roman" w:hAnsi="Times New Roman" w:eastAsia="宋体" w:cs="Times New Roman"/>
          <w:snapToGrid w:val="0"/>
          <w:color w:val="auto"/>
          <w:spacing w:val="-2"/>
          <w:kern w:val="0"/>
          <w:sz w:val="24"/>
          <w:szCs w:val="24"/>
          <w:highlight w:val="none"/>
          <w:lang w:val="en-US" w:eastAsia="zh-CN" w:bidi="ar-SA"/>
        </w:rPr>
        <w:t>（10）</w:t>
      </w:r>
      <w:r>
        <w:rPr>
          <w:rFonts w:hint="eastAsia" w:ascii="Times New Roman" w:hAnsi="Times New Roman" w:eastAsia="宋体" w:cs="Times New Roman"/>
          <w:color w:val="auto"/>
          <w:spacing w:val="-2"/>
          <w:sz w:val="24"/>
          <w:szCs w:val="24"/>
          <w:highlight w:val="none"/>
          <w:lang w:val="en-US" w:eastAsia="zh-CN"/>
        </w:rPr>
        <w:t>锅炉</w:t>
      </w:r>
      <w:bookmarkStart w:id="828" w:name="pindex2717"/>
      <w:bookmarkEnd w:id="828"/>
    </w:p>
    <w:p w14:paraId="15EBF5AB">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360" w:lineRule="auto"/>
        <w:ind w:right="136" w:rightChars="0" w:firstLine="472" w:firstLineChars="200"/>
        <w:jc w:val="both"/>
        <w:textAlignment w:val="baseline"/>
        <w:rPr>
          <w:rFonts w:hint="eastAsia" w:ascii="Times New Roman" w:hAnsi="Times New Roman" w:eastAsia="宋体" w:cs="Times New Roman"/>
          <w:color w:val="auto"/>
          <w:spacing w:val="-2"/>
          <w:sz w:val="24"/>
          <w:szCs w:val="24"/>
          <w:highlight w:val="none"/>
          <w:lang w:val="en-US" w:eastAsia="zh-CN"/>
        </w:rPr>
      </w:pPr>
      <w:bookmarkStart w:id="829" w:name="OLE_LINK754"/>
      <w:bookmarkStart w:id="830" w:name="sys2718056"/>
      <w:r>
        <w:rPr>
          <w:rFonts w:hint="default" w:ascii="Times New Roman" w:hAnsi="Times New Roman" w:eastAsia="宋体" w:cs="Times New Roman"/>
          <w:color w:val="auto"/>
          <w:spacing w:val="-2"/>
          <w:sz w:val="24"/>
          <w:szCs w:val="24"/>
          <w:highlight w:val="none"/>
          <w:lang w:val="en-US" w:eastAsia="zh-CN"/>
        </w:rPr>
        <w:t>区内企业根据需要使用天然气供热，废气排放执行《锅炉大气污染物排放标准》</w:t>
      </w:r>
      <w:r>
        <w:rPr>
          <w:rFonts w:hint="eastAsia" w:ascii="Times New Roman" w:hAnsi="Times New Roman" w:eastAsia="宋体" w:cs="Times New Roman"/>
          <w:color w:val="auto"/>
          <w:spacing w:val="-2"/>
          <w:sz w:val="24"/>
          <w:szCs w:val="24"/>
          <w:highlight w:val="none"/>
          <w:lang w:val="en-US" w:eastAsia="zh-CN"/>
        </w:rPr>
        <w:t>（DB32/4385-2022）</w:t>
      </w:r>
      <w:bookmarkEnd w:id="829"/>
      <w:r>
        <w:rPr>
          <w:rFonts w:hint="default" w:ascii="Times New Roman" w:hAnsi="Times New Roman" w:eastAsia="宋体" w:cs="Times New Roman"/>
          <w:color w:val="auto"/>
          <w:spacing w:val="-2"/>
          <w:sz w:val="24"/>
          <w:szCs w:val="24"/>
          <w:highlight w:val="none"/>
          <w:lang w:val="en-US" w:eastAsia="zh-CN"/>
        </w:rPr>
        <w:t>表</w:t>
      </w:r>
      <w:r>
        <w:rPr>
          <w:rFonts w:hint="eastAsia" w:ascii="Times New Roman" w:hAnsi="Times New Roman" w:eastAsia="宋体" w:cs="Times New Roman"/>
          <w:color w:val="auto"/>
          <w:spacing w:val="-2"/>
          <w:sz w:val="24"/>
          <w:szCs w:val="24"/>
          <w:highlight w:val="none"/>
          <w:lang w:val="en-US" w:eastAsia="zh-CN"/>
        </w:rPr>
        <w:t>1</w:t>
      </w:r>
      <w:r>
        <w:rPr>
          <w:rFonts w:hint="default" w:ascii="Times New Roman" w:hAnsi="Times New Roman" w:eastAsia="宋体" w:cs="Times New Roman"/>
          <w:color w:val="auto"/>
          <w:spacing w:val="-2"/>
          <w:sz w:val="24"/>
          <w:szCs w:val="24"/>
          <w:highlight w:val="none"/>
          <w:lang w:val="en-US" w:eastAsia="zh-CN"/>
        </w:rPr>
        <w:t>限值</w:t>
      </w:r>
      <w:bookmarkStart w:id="831" w:name="OLE_LINK130"/>
      <w:r>
        <w:rPr>
          <w:rFonts w:hint="eastAsia" w:ascii="Times New Roman" w:hAnsi="Times New Roman" w:eastAsia="宋体" w:cs="Times New Roman"/>
          <w:color w:val="auto"/>
          <w:spacing w:val="-2"/>
          <w:sz w:val="24"/>
          <w:szCs w:val="24"/>
          <w:highlight w:val="none"/>
          <w:lang w:val="en-US" w:eastAsia="zh-CN"/>
        </w:rPr>
        <w:t>。</w:t>
      </w:r>
      <w:bookmarkEnd w:id="830"/>
      <w:bookmarkEnd w:id="831"/>
    </w:p>
    <w:p w14:paraId="5F94DAD0">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default" w:ascii="宋体" w:hAnsi="宋体" w:eastAsia="宋体" w:cs="宋体"/>
          <w:b/>
          <w:bCs/>
          <w:color w:val="auto"/>
          <w:spacing w:val="-4"/>
          <w:sz w:val="24"/>
          <w:szCs w:val="24"/>
          <w:highlight w:val="none"/>
          <w:lang w:val="en-US" w:eastAsia="zh-CN"/>
        </w:rPr>
      </w:pPr>
      <w:bookmarkStart w:id="832" w:name="OLE_LINK270"/>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2-39  锅炉大气污染物排放浓度限值</w:t>
      </w:r>
      <w:bookmarkStart w:id="833" w:name="pindex2719"/>
      <w:bookmarkEnd w:id="833"/>
    </w:p>
    <w:bookmarkEnd w:id="832"/>
    <w:tbl>
      <w:tblPr>
        <w:tblStyle w:val="20"/>
        <w:tblW w:w="858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3"/>
        <w:gridCol w:w="862"/>
        <w:gridCol w:w="2403"/>
        <w:gridCol w:w="765"/>
        <w:gridCol w:w="675"/>
        <w:gridCol w:w="675"/>
        <w:gridCol w:w="870"/>
        <w:gridCol w:w="777"/>
        <w:gridCol w:w="923"/>
      </w:tblGrid>
      <w:tr w14:paraId="6B01A4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vMerge w:val="restart"/>
            <w:tcBorders>
              <w:tl2br w:val="nil"/>
              <w:tr2bl w:val="nil"/>
            </w:tcBorders>
            <w:vAlign w:val="center"/>
          </w:tcPr>
          <w:p w14:paraId="0777DD0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序号</w:t>
            </w:r>
          </w:p>
        </w:tc>
        <w:tc>
          <w:tcPr>
            <w:tcW w:w="3265" w:type="dxa"/>
            <w:gridSpan w:val="2"/>
            <w:vMerge w:val="restart"/>
            <w:tcBorders>
              <w:tl2br w:val="nil"/>
              <w:tr2bl w:val="nil"/>
            </w:tcBorders>
            <w:vAlign w:val="center"/>
          </w:tcPr>
          <w:p w14:paraId="7980672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rPr>
            </w:pPr>
            <w:r>
              <w:rPr>
                <w:rFonts w:hint="eastAsia" w:ascii="Times New Roman" w:hAnsi="Times New Roman" w:eastAsia="宋体" w:cs="Times New Roman"/>
                <w:b/>
                <w:bCs/>
                <w:color w:val="auto"/>
                <w:spacing w:val="-4"/>
                <w:sz w:val="21"/>
                <w:szCs w:val="21"/>
                <w:highlight w:val="none"/>
                <w:vertAlign w:val="baseline"/>
                <w:lang w:val="en-US" w:eastAsia="zh-CN"/>
              </w:rPr>
              <w:t>污染物项目</w:t>
            </w:r>
          </w:p>
        </w:tc>
        <w:tc>
          <w:tcPr>
            <w:tcW w:w="765" w:type="dxa"/>
            <w:vMerge w:val="restart"/>
            <w:tcBorders>
              <w:tl2br w:val="nil"/>
              <w:tr2bl w:val="nil"/>
            </w:tcBorders>
            <w:vAlign w:val="center"/>
          </w:tcPr>
          <w:p w14:paraId="7821A30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燃煤锅炉</w:t>
            </w:r>
          </w:p>
        </w:tc>
        <w:tc>
          <w:tcPr>
            <w:tcW w:w="675" w:type="dxa"/>
            <w:vMerge w:val="restart"/>
            <w:tcBorders>
              <w:tl2br w:val="nil"/>
              <w:tr2bl w:val="nil"/>
            </w:tcBorders>
            <w:vAlign w:val="center"/>
          </w:tcPr>
          <w:p w14:paraId="073D8FC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燃油锅炉</w:t>
            </w:r>
          </w:p>
        </w:tc>
        <w:tc>
          <w:tcPr>
            <w:tcW w:w="675" w:type="dxa"/>
            <w:vMerge w:val="restart"/>
            <w:tcBorders>
              <w:tl2br w:val="nil"/>
              <w:tr2bl w:val="nil"/>
            </w:tcBorders>
            <w:vAlign w:val="center"/>
          </w:tcPr>
          <w:p w14:paraId="51CCB56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燃气锅炉</w:t>
            </w:r>
          </w:p>
        </w:tc>
        <w:tc>
          <w:tcPr>
            <w:tcW w:w="1647" w:type="dxa"/>
            <w:gridSpan w:val="2"/>
            <w:tcBorders>
              <w:tl2br w:val="nil"/>
              <w:tr2bl w:val="nil"/>
            </w:tcBorders>
            <w:vAlign w:val="center"/>
          </w:tcPr>
          <w:p w14:paraId="383A2CD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rPr>
            </w:pPr>
            <w:r>
              <w:rPr>
                <w:rFonts w:hint="eastAsia" w:ascii="Times New Roman" w:hAnsi="Times New Roman" w:eastAsia="宋体" w:cs="Times New Roman"/>
                <w:b/>
                <w:bCs/>
                <w:color w:val="auto"/>
                <w:spacing w:val="-4"/>
                <w:sz w:val="21"/>
                <w:szCs w:val="21"/>
                <w:highlight w:val="none"/>
                <w:vertAlign w:val="baseline"/>
                <w:lang w:val="en-US" w:eastAsia="zh-CN"/>
              </w:rPr>
              <w:t>燃生物质锅炉</w:t>
            </w:r>
          </w:p>
        </w:tc>
        <w:tc>
          <w:tcPr>
            <w:tcW w:w="923" w:type="dxa"/>
            <w:vMerge w:val="restart"/>
            <w:tcBorders>
              <w:tl2br w:val="nil"/>
              <w:tr2bl w:val="nil"/>
            </w:tcBorders>
            <w:vAlign w:val="center"/>
          </w:tcPr>
          <w:p w14:paraId="467C28B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污染物排放监控位置</w:t>
            </w:r>
          </w:p>
        </w:tc>
      </w:tr>
      <w:tr w14:paraId="2AAFEA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vMerge w:val="continue"/>
            <w:tcBorders>
              <w:tl2br w:val="nil"/>
              <w:tr2bl w:val="nil"/>
            </w:tcBorders>
            <w:vAlign w:val="center"/>
          </w:tcPr>
          <w:p w14:paraId="2C5F6BB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rPr>
            </w:pPr>
          </w:p>
        </w:tc>
        <w:tc>
          <w:tcPr>
            <w:tcW w:w="3265" w:type="dxa"/>
            <w:gridSpan w:val="2"/>
            <w:vMerge w:val="continue"/>
            <w:tcBorders>
              <w:tl2br w:val="nil"/>
              <w:tr2bl w:val="nil"/>
            </w:tcBorders>
            <w:vAlign w:val="center"/>
          </w:tcPr>
          <w:p w14:paraId="70A7AA7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rPr>
            </w:pPr>
          </w:p>
        </w:tc>
        <w:tc>
          <w:tcPr>
            <w:tcW w:w="765" w:type="dxa"/>
            <w:vMerge w:val="continue"/>
            <w:tcBorders>
              <w:tl2br w:val="nil"/>
              <w:tr2bl w:val="nil"/>
            </w:tcBorders>
            <w:vAlign w:val="center"/>
          </w:tcPr>
          <w:p w14:paraId="0F6C436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rPr>
            </w:pPr>
          </w:p>
        </w:tc>
        <w:tc>
          <w:tcPr>
            <w:tcW w:w="675" w:type="dxa"/>
            <w:vMerge w:val="continue"/>
            <w:tcBorders>
              <w:tl2br w:val="nil"/>
              <w:tr2bl w:val="nil"/>
            </w:tcBorders>
            <w:vAlign w:val="center"/>
          </w:tcPr>
          <w:p w14:paraId="50CE454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rPr>
            </w:pPr>
          </w:p>
        </w:tc>
        <w:tc>
          <w:tcPr>
            <w:tcW w:w="675" w:type="dxa"/>
            <w:vMerge w:val="continue"/>
            <w:tcBorders>
              <w:tl2br w:val="nil"/>
              <w:tr2bl w:val="nil"/>
            </w:tcBorders>
            <w:vAlign w:val="center"/>
          </w:tcPr>
          <w:p w14:paraId="06F9DE5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rPr>
            </w:pPr>
          </w:p>
        </w:tc>
        <w:tc>
          <w:tcPr>
            <w:tcW w:w="870" w:type="dxa"/>
            <w:tcBorders>
              <w:tl2br w:val="nil"/>
              <w:tr2bl w:val="nil"/>
            </w:tcBorders>
            <w:vAlign w:val="center"/>
          </w:tcPr>
          <w:p w14:paraId="0F0D541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城市建成区</w:t>
            </w:r>
          </w:p>
        </w:tc>
        <w:tc>
          <w:tcPr>
            <w:tcW w:w="777" w:type="dxa"/>
            <w:tcBorders>
              <w:tl2br w:val="nil"/>
              <w:tr2bl w:val="nil"/>
            </w:tcBorders>
            <w:vAlign w:val="center"/>
          </w:tcPr>
          <w:p w14:paraId="27EA480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其他区域</w:t>
            </w:r>
          </w:p>
        </w:tc>
        <w:tc>
          <w:tcPr>
            <w:tcW w:w="923" w:type="dxa"/>
            <w:vMerge w:val="continue"/>
            <w:tcBorders>
              <w:tl2br w:val="nil"/>
              <w:tr2bl w:val="nil"/>
            </w:tcBorders>
            <w:vAlign w:val="center"/>
          </w:tcPr>
          <w:p w14:paraId="6D29E6D2">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rPr>
            </w:pPr>
          </w:p>
        </w:tc>
      </w:tr>
      <w:tr w14:paraId="4B1538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tcBorders>
              <w:tl2br w:val="nil"/>
              <w:tr2bl w:val="nil"/>
            </w:tcBorders>
            <w:vAlign w:val="center"/>
          </w:tcPr>
          <w:p w14:paraId="31C90BF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1</w:t>
            </w:r>
          </w:p>
        </w:tc>
        <w:tc>
          <w:tcPr>
            <w:tcW w:w="3265" w:type="dxa"/>
            <w:gridSpan w:val="2"/>
            <w:tcBorders>
              <w:tl2br w:val="nil"/>
              <w:tr2bl w:val="nil"/>
            </w:tcBorders>
            <w:vAlign w:val="center"/>
          </w:tcPr>
          <w:p w14:paraId="72FF2F8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颗粒物/（mg/m</w:t>
            </w:r>
            <w:r>
              <w:rPr>
                <w:rFonts w:hint="eastAsia" w:ascii="Times New Roman" w:hAnsi="Times New Roman" w:eastAsia="宋体" w:cs="Times New Roman"/>
                <w:color w:val="auto"/>
                <w:spacing w:val="-4"/>
                <w:sz w:val="21"/>
                <w:szCs w:val="21"/>
                <w:highlight w:val="none"/>
                <w:vertAlign w:val="superscript"/>
                <w:lang w:val="en-US" w:eastAsia="zh-CN"/>
              </w:rPr>
              <w:t>3</w:t>
            </w:r>
            <w:r>
              <w:rPr>
                <w:rFonts w:hint="eastAsia" w:ascii="Times New Roman" w:hAnsi="Times New Roman" w:eastAsia="宋体" w:cs="Times New Roman"/>
                <w:color w:val="auto"/>
                <w:spacing w:val="-4"/>
                <w:sz w:val="21"/>
                <w:szCs w:val="21"/>
                <w:highlight w:val="none"/>
                <w:vertAlign w:val="baseline"/>
                <w:lang w:val="en-US" w:eastAsia="zh-CN"/>
              </w:rPr>
              <w:t>）</w:t>
            </w:r>
          </w:p>
        </w:tc>
        <w:tc>
          <w:tcPr>
            <w:tcW w:w="765" w:type="dxa"/>
            <w:tcBorders>
              <w:tl2br w:val="nil"/>
              <w:tr2bl w:val="nil"/>
            </w:tcBorders>
            <w:vAlign w:val="center"/>
          </w:tcPr>
          <w:p w14:paraId="4AE6C4C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10</w:t>
            </w:r>
          </w:p>
        </w:tc>
        <w:tc>
          <w:tcPr>
            <w:tcW w:w="675" w:type="dxa"/>
            <w:tcBorders>
              <w:tl2br w:val="nil"/>
              <w:tr2bl w:val="nil"/>
            </w:tcBorders>
            <w:vAlign w:val="center"/>
          </w:tcPr>
          <w:p w14:paraId="2BAC529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10</w:t>
            </w:r>
          </w:p>
        </w:tc>
        <w:tc>
          <w:tcPr>
            <w:tcW w:w="675" w:type="dxa"/>
            <w:tcBorders>
              <w:tl2br w:val="nil"/>
              <w:tr2bl w:val="nil"/>
            </w:tcBorders>
            <w:vAlign w:val="center"/>
          </w:tcPr>
          <w:p w14:paraId="7C334FB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10</w:t>
            </w:r>
          </w:p>
        </w:tc>
        <w:tc>
          <w:tcPr>
            <w:tcW w:w="870" w:type="dxa"/>
            <w:tcBorders>
              <w:tl2br w:val="nil"/>
              <w:tr2bl w:val="nil"/>
            </w:tcBorders>
            <w:vAlign w:val="center"/>
          </w:tcPr>
          <w:p w14:paraId="5C9A7E4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10</w:t>
            </w:r>
          </w:p>
        </w:tc>
        <w:tc>
          <w:tcPr>
            <w:tcW w:w="777" w:type="dxa"/>
            <w:tcBorders>
              <w:tl2br w:val="nil"/>
              <w:tr2bl w:val="nil"/>
            </w:tcBorders>
            <w:vAlign w:val="center"/>
          </w:tcPr>
          <w:p w14:paraId="6C4AD32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20</w:t>
            </w:r>
          </w:p>
        </w:tc>
        <w:tc>
          <w:tcPr>
            <w:tcW w:w="923" w:type="dxa"/>
            <w:vMerge w:val="restart"/>
            <w:tcBorders>
              <w:tl2br w:val="nil"/>
              <w:tr2bl w:val="nil"/>
            </w:tcBorders>
            <w:vAlign w:val="center"/>
          </w:tcPr>
          <w:p w14:paraId="2554807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烟囱或烟道</w:t>
            </w:r>
          </w:p>
        </w:tc>
      </w:tr>
      <w:tr w14:paraId="0CE4E6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tcBorders>
              <w:tl2br w:val="nil"/>
              <w:tr2bl w:val="nil"/>
            </w:tcBorders>
            <w:vAlign w:val="center"/>
          </w:tcPr>
          <w:p w14:paraId="7FAE7F9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2</w:t>
            </w:r>
          </w:p>
        </w:tc>
        <w:tc>
          <w:tcPr>
            <w:tcW w:w="3265" w:type="dxa"/>
            <w:gridSpan w:val="2"/>
            <w:tcBorders>
              <w:tl2br w:val="nil"/>
              <w:tr2bl w:val="nil"/>
            </w:tcBorders>
            <w:vAlign w:val="center"/>
          </w:tcPr>
          <w:p w14:paraId="0E9B860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二氧化硫/（mg/m</w:t>
            </w:r>
            <w:r>
              <w:rPr>
                <w:rFonts w:hint="eastAsia" w:ascii="Times New Roman" w:hAnsi="Times New Roman" w:eastAsia="宋体" w:cs="Times New Roman"/>
                <w:color w:val="auto"/>
                <w:spacing w:val="-4"/>
                <w:sz w:val="21"/>
                <w:szCs w:val="21"/>
                <w:highlight w:val="none"/>
                <w:vertAlign w:val="superscript"/>
                <w:lang w:val="en-US" w:eastAsia="zh-CN"/>
              </w:rPr>
              <w:t>3</w:t>
            </w:r>
            <w:r>
              <w:rPr>
                <w:rFonts w:hint="eastAsia" w:ascii="Times New Roman" w:hAnsi="Times New Roman" w:eastAsia="宋体" w:cs="Times New Roman"/>
                <w:color w:val="auto"/>
                <w:spacing w:val="-4"/>
                <w:sz w:val="21"/>
                <w:szCs w:val="21"/>
                <w:highlight w:val="none"/>
                <w:vertAlign w:val="baseline"/>
                <w:lang w:val="en-US" w:eastAsia="zh-CN"/>
              </w:rPr>
              <w:t>）</w:t>
            </w:r>
          </w:p>
        </w:tc>
        <w:tc>
          <w:tcPr>
            <w:tcW w:w="765" w:type="dxa"/>
            <w:tcBorders>
              <w:tl2br w:val="nil"/>
              <w:tr2bl w:val="nil"/>
            </w:tcBorders>
            <w:vAlign w:val="center"/>
          </w:tcPr>
          <w:p w14:paraId="25EC9E4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35</w:t>
            </w:r>
          </w:p>
        </w:tc>
        <w:tc>
          <w:tcPr>
            <w:tcW w:w="675" w:type="dxa"/>
            <w:tcBorders>
              <w:tl2br w:val="nil"/>
              <w:tr2bl w:val="nil"/>
            </w:tcBorders>
            <w:vAlign w:val="center"/>
          </w:tcPr>
          <w:p w14:paraId="65CCF1D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35</w:t>
            </w:r>
          </w:p>
        </w:tc>
        <w:tc>
          <w:tcPr>
            <w:tcW w:w="675" w:type="dxa"/>
            <w:tcBorders>
              <w:tl2br w:val="nil"/>
              <w:tr2bl w:val="nil"/>
            </w:tcBorders>
            <w:vAlign w:val="center"/>
          </w:tcPr>
          <w:p w14:paraId="7E95432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35</w:t>
            </w:r>
          </w:p>
        </w:tc>
        <w:tc>
          <w:tcPr>
            <w:tcW w:w="870" w:type="dxa"/>
            <w:tcBorders>
              <w:tl2br w:val="nil"/>
              <w:tr2bl w:val="nil"/>
            </w:tcBorders>
            <w:vAlign w:val="center"/>
          </w:tcPr>
          <w:p w14:paraId="441613C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35</w:t>
            </w:r>
          </w:p>
        </w:tc>
        <w:tc>
          <w:tcPr>
            <w:tcW w:w="777" w:type="dxa"/>
            <w:tcBorders>
              <w:tl2br w:val="nil"/>
              <w:tr2bl w:val="nil"/>
            </w:tcBorders>
            <w:vAlign w:val="center"/>
          </w:tcPr>
          <w:p w14:paraId="7B81568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50</w:t>
            </w:r>
          </w:p>
        </w:tc>
        <w:tc>
          <w:tcPr>
            <w:tcW w:w="923" w:type="dxa"/>
            <w:vMerge w:val="continue"/>
            <w:tcBorders>
              <w:tl2br w:val="nil"/>
              <w:tr2bl w:val="nil"/>
            </w:tcBorders>
            <w:vAlign w:val="center"/>
          </w:tcPr>
          <w:p w14:paraId="6A3001E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p>
        </w:tc>
      </w:tr>
      <w:tr w14:paraId="62F106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tcBorders>
              <w:tl2br w:val="nil"/>
              <w:tr2bl w:val="nil"/>
            </w:tcBorders>
            <w:vAlign w:val="center"/>
          </w:tcPr>
          <w:p w14:paraId="1DB809E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3</w:t>
            </w:r>
          </w:p>
        </w:tc>
        <w:tc>
          <w:tcPr>
            <w:tcW w:w="3265" w:type="dxa"/>
            <w:gridSpan w:val="2"/>
            <w:tcBorders>
              <w:tl2br w:val="nil"/>
              <w:tr2bl w:val="nil"/>
            </w:tcBorders>
            <w:vAlign w:val="center"/>
          </w:tcPr>
          <w:p w14:paraId="33FA5C5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氮氧化物（以NO</w:t>
            </w:r>
            <w:r>
              <w:rPr>
                <w:rFonts w:hint="eastAsia" w:ascii="Times New Roman" w:hAnsi="Times New Roman" w:eastAsia="宋体" w:cs="Times New Roman"/>
                <w:color w:val="auto"/>
                <w:spacing w:val="-4"/>
                <w:sz w:val="21"/>
                <w:szCs w:val="21"/>
                <w:highlight w:val="none"/>
                <w:vertAlign w:val="subscript"/>
                <w:lang w:val="en-US" w:eastAsia="zh-CN"/>
              </w:rPr>
              <w:t>2</w:t>
            </w:r>
            <w:r>
              <w:rPr>
                <w:rFonts w:hint="eastAsia" w:ascii="Times New Roman" w:hAnsi="Times New Roman" w:eastAsia="宋体" w:cs="Times New Roman"/>
                <w:color w:val="auto"/>
                <w:spacing w:val="-4"/>
                <w:sz w:val="21"/>
                <w:szCs w:val="21"/>
                <w:highlight w:val="none"/>
                <w:vertAlign w:val="baseline"/>
                <w:lang w:val="en-US" w:eastAsia="zh-CN"/>
              </w:rPr>
              <w:t>计）/（mg/m</w:t>
            </w:r>
            <w:r>
              <w:rPr>
                <w:rFonts w:hint="eastAsia" w:ascii="Times New Roman" w:hAnsi="Times New Roman" w:eastAsia="宋体" w:cs="Times New Roman"/>
                <w:color w:val="auto"/>
                <w:spacing w:val="-4"/>
                <w:sz w:val="21"/>
                <w:szCs w:val="21"/>
                <w:highlight w:val="none"/>
                <w:vertAlign w:val="superscript"/>
                <w:lang w:val="en-US" w:eastAsia="zh-CN"/>
              </w:rPr>
              <w:t>3</w:t>
            </w:r>
            <w:r>
              <w:rPr>
                <w:rFonts w:hint="eastAsia" w:ascii="Times New Roman" w:hAnsi="Times New Roman" w:eastAsia="宋体" w:cs="Times New Roman"/>
                <w:color w:val="auto"/>
                <w:spacing w:val="-4"/>
                <w:sz w:val="21"/>
                <w:szCs w:val="21"/>
                <w:highlight w:val="none"/>
                <w:vertAlign w:val="baseline"/>
                <w:lang w:val="en-US" w:eastAsia="zh-CN"/>
              </w:rPr>
              <w:t>）</w:t>
            </w:r>
          </w:p>
        </w:tc>
        <w:tc>
          <w:tcPr>
            <w:tcW w:w="765" w:type="dxa"/>
            <w:tcBorders>
              <w:tl2br w:val="nil"/>
              <w:tr2bl w:val="nil"/>
            </w:tcBorders>
            <w:vAlign w:val="center"/>
          </w:tcPr>
          <w:p w14:paraId="705CE44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50</w:t>
            </w:r>
          </w:p>
        </w:tc>
        <w:tc>
          <w:tcPr>
            <w:tcW w:w="675" w:type="dxa"/>
            <w:tcBorders>
              <w:tl2br w:val="nil"/>
              <w:tr2bl w:val="nil"/>
            </w:tcBorders>
            <w:vAlign w:val="center"/>
          </w:tcPr>
          <w:p w14:paraId="60A107D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50</w:t>
            </w:r>
          </w:p>
        </w:tc>
        <w:tc>
          <w:tcPr>
            <w:tcW w:w="675" w:type="dxa"/>
            <w:tcBorders>
              <w:tl2br w:val="nil"/>
              <w:tr2bl w:val="nil"/>
            </w:tcBorders>
            <w:vAlign w:val="center"/>
          </w:tcPr>
          <w:p w14:paraId="6B7921E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50</w:t>
            </w:r>
          </w:p>
        </w:tc>
        <w:tc>
          <w:tcPr>
            <w:tcW w:w="870" w:type="dxa"/>
            <w:tcBorders>
              <w:tl2br w:val="nil"/>
              <w:tr2bl w:val="nil"/>
            </w:tcBorders>
            <w:vAlign w:val="center"/>
          </w:tcPr>
          <w:p w14:paraId="3C7E2D4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50</w:t>
            </w:r>
          </w:p>
        </w:tc>
        <w:tc>
          <w:tcPr>
            <w:tcW w:w="777" w:type="dxa"/>
            <w:tcBorders>
              <w:tl2br w:val="nil"/>
              <w:tr2bl w:val="nil"/>
            </w:tcBorders>
            <w:vAlign w:val="center"/>
          </w:tcPr>
          <w:p w14:paraId="1485E10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150</w:t>
            </w:r>
          </w:p>
        </w:tc>
        <w:tc>
          <w:tcPr>
            <w:tcW w:w="923" w:type="dxa"/>
            <w:vMerge w:val="continue"/>
            <w:tcBorders>
              <w:tl2br w:val="nil"/>
              <w:tr2bl w:val="nil"/>
            </w:tcBorders>
            <w:vAlign w:val="center"/>
          </w:tcPr>
          <w:p w14:paraId="2C36C50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p>
        </w:tc>
      </w:tr>
      <w:tr w14:paraId="05944F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tcBorders>
              <w:tl2br w:val="nil"/>
              <w:tr2bl w:val="nil"/>
            </w:tcBorders>
            <w:vAlign w:val="center"/>
          </w:tcPr>
          <w:p w14:paraId="2C813B5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4</w:t>
            </w:r>
          </w:p>
        </w:tc>
        <w:tc>
          <w:tcPr>
            <w:tcW w:w="3265" w:type="dxa"/>
            <w:gridSpan w:val="2"/>
            <w:tcBorders>
              <w:tl2br w:val="nil"/>
              <w:tr2bl w:val="nil"/>
            </w:tcBorders>
            <w:vAlign w:val="center"/>
          </w:tcPr>
          <w:p w14:paraId="7ED86D6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汞及其化合物/（mg/m</w:t>
            </w:r>
            <w:r>
              <w:rPr>
                <w:rFonts w:hint="eastAsia" w:ascii="Times New Roman" w:hAnsi="Times New Roman" w:eastAsia="宋体" w:cs="Times New Roman"/>
                <w:color w:val="auto"/>
                <w:spacing w:val="-4"/>
                <w:sz w:val="21"/>
                <w:szCs w:val="21"/>
                <w:highlight w:val="none"/>
                <w:vertAlign w:val="superscript"/>
                <w:lang w:val="en-US" w:eastAsia="zh-CN"/>
              </w:rPr>
              <w:t>3</w:t>
            </w:r>
            <w:r>
              <w:rPr>
                <w:rFonts w:hint="eastAsia" w:ascii="Times New Roman" w:hAnsi="Times New Roman" w:eastAsia="宋体" w:cs="Times New Roman"/>
                <w:color w:val="auto"/>
                <w:spacing w:val="-4"/>
                <w:sz w:val="21"/>
                <w:szCs w:val="21"/>
                <w:highlight w:val="none"/>
                <w:vertAlign w:val="baseline"/>
                <w:lang w:val="en-US" w:eastAsia="zh-CN"/>
              </w:rPr>
              <w:t>）</w:t>
            </w:r>
          </w:p>
        </w:tc>
        <w:tc>
          <w:tcPr>
            <w:tcW w:w="765" w:type="dxa"/>
            <w:tcBorders>
              <w:tl2br w:val="nil"/>
              <w:tr2bl w:val="nil"/>
            </w:tcBorders>
            <w:vAlign w:val="center"/>
          </w:tcPr>
          <w:p w14:paraId="27BADD6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0.03</w:t>
            </w:r>
          </w:p>
        </w:tc>
        <w:tc>
          <w:tcPr>
            <w:tcW w:w="675" w:type="dxa"/>
            <w:tcBorders>
              <w:tl2br w:val="nil"/>
              <w:tr2bl w:val="nil"/>
            </w:tcBorders>
            <w:vAlign w:val="center"/>
          </w:tcPr>
          <w:p w14:paraId="6CD8748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w:t>
            </w:r>
          </w:p>
        </w:tc>
        <w:tc>
          <w:tcPr>
            <w:tcW w:w="675" w:type="dxa"/>
            <w:tcBorders>
              <w:tl2br w:val="nil"/>
              <w:tr2bl w:val="nil"/>
            </w:tcBorders>
            <w:vAlign w:val="center"/>
          </w:tcPr>
          <w:p w14:paraId="68B5B276">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w:t>
            </w:r>
          </w:p>
        </w:tc>
        <w:tc>
          <w:tcPr>
            <w:tcW w:w="870" w:type="dxa"/>
            <w:tcBorders>
              <w:tl2br w:val="nil"/>
              <w:tr2bl w:val="nil"/>
            </w:tcBorders>
            <w:vAlign w:val="center"/>
          </w:tcPr>
          <w:p w14:paraId="03B2E4CD">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0.03</w:t>
            </w:r>
          </w:p>
        </w:tc>
        <w:tc>
          <w:tcPr>
            <w:tcW w:w="777" w:type="dxa"/>
            <w:tcBorders>
              <w:tl2br w:val="nil"/>
              <w:tr2bl w:val="nil"/>
            </w:tcBorders>
            <w:vAlign w:val="center"/>
          </w:tcPr>
          <w:p w14:paraId="59DE191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0.03</w:t>
            </w:r>
          </w:p>
        </w:tc>
        <w:tc>
          <w:tcPr>
            <w:tcW w:w="923" w:type="dxa"/>
            <w:vMerge w:val="continue"/>
            <w:tcBorders>
              <w:tl2br w:val="nil"/>
              <w:tr2bl w:val="nil"/>
            </w:tcBorders>
            <w:vAlign w:val="center"/>
          </w:tcPr>
          <w:p w14:paraId="0998B033">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p>
        </w:tc>
      </w:tr>
      <w:tr w14:paraId="1BA586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vMerge w:val="restart"/>
            <w:tcBorders>
              <w:tl2br w:val="nil"/>
              <w:tr2bl w:val="nil"/>
            </w:tcBorders>
            <w:vAlign w:val="center"/>
          </w:tcPr>
          <w:p w14:paraId="523BACB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5</w:t>
            </w:r>
          </w:p>
        </w:tc>
        <w:tc>
          <w:tcPr>
            <w:tcW w:w="862" w:type="dxa"/>
            <w:vMerge w:val="restart"/>
            <w:tcBorders>
              <w:tl2br w:val="nil"/>
              <w:tr2bl w:val="nil"/>
            </w:tcBorders>
            <w:vAlign w:val="center"/>
          </w:tcPr>
          <w:p w14:paraId="58A832E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氨</w:t>
            </w:r>
          </w:p>
          <w:p w14:paraId="486B818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（mg/m</w:t>
            </w:r>
            <w:r>
              <w:rPr>
                <w:rFonts w:hint="eastAsia" w:ascii="Times New Roman" w:hAnsi="Times New Roman" w:eastAsia="宋体" w:cs="Times New Roman"/>
                <w:color w:val="auto"/>
                <w:spacing w:val="-4"/>
                <w:sz w:val="21"/>
                <w:szCs w:val="21"/>
                <w:highlight w:val="none"/>
                <w:vertAlign w:val="superscript"/>
                <w:lang w:val="en-US" w:eastAsia="zh-CN"/>
              </w:rPr>
              <w:t>3</w:t>
            </w:r>
            <w:r>
              <w:rPr>
                <w:rFonts w:hint="eastAsia" w:ascii="Times New Roman" w:hAnsi="Times New Roman" w:eastAsia="宋体" w:cs="Times New Roman"/>
                <w:color w:val="auto"/>
                <w:spacing w:val="-4"/>
                <w:sz w:val="21"/>
                <w:szCs w:val="21"/>
                <w:highlight w:val="none"/>
                <w:vertAlign w:val="baseline"/>
                <w:lang w:val="en-US" w:eastAsia="zh-CN"/>
              </w:rPr>
              <w:t>）</w:t>
            </w:r>
          </w:p>
        </w:tc>
        <w:tc>
          <w:tcPr>
            <w:tcW w:w="2403" w:type="dxa"/>
            <w:tcBorders>
              <w:tl2br w:val="nil"/>
              <w:tr2bl w:val="nil"/>
            </w:tcBorders>
            <w:vAlign w:val="center"/>
          </w:tcPr>
          <w:p w14:paraId="3E06B3F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r>
              <w:rPr>
                <w:rFonts w:hint="default" w:ascii="Times New Roman" w:hAnsi="Times New Roman" w:eastAsia="宋体" w:cs="Times New Roman"/>
                <w:color w:val="auto"/>
                <w:spacing w:val="-4"/>
                <w:sz w:val="21"/>
                <w:szCs w:val="21"/>
                <w:highlight w:val="none"/>
                <w:vertAlign w:val="baseline"/>
              </w:rPr>
              <w:t>采用选择性非催化还原法（SNCR）脱硝工艺</w:t>
            </w:r>
          </w:p>
        </w:tc>
        <w:tc>
          <w:tcPr>
            <w:tcW w:w="3762" w:type="dxa"/>
            <w:gridSpan w:val="5"/>
            <w:tcBorders>
              <w:tl2br w:val="nil"/>
              <w:tr2bl w:val="nil"/>
            </w:tcBorders>
            <w:vAlign w:val="center"/>
          </w:tcPr>
          <w:p w14:paraId="355F1B8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8</w:t>
            </w:r>
          </w:p>
        </w:tc>
        <w:tc>
          <w:tcPr>
            <w:tcW w:w="923" w:type="dxa"/>
            <w:vMerge w:val="continue"/>
            <w:tcBorders>
              <w:tl2br w:val="nil"/>
              <w:tr2bl w:val="nil"/>
            </w:tcBorders>
            <w:vAlign w:val="center"/>
          </w:tcPr>
          <w:p w14:paraId="6CC3ACC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p>
        </w:tc>
      </w:tr>
      <w:tr w14:paraId="521ED7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vMerge w:val="continue"/>
            <w:tcBorders>
              <w:tl2br w:val="nil"/>
              <w:tr2bl w:val="nil"/>
            </w:tcBorders>
            <w:vAlign w:val="center"/>
          </w:tcPr>
          <w:p w14:paraId="7FAC99D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p>
        </w:tc>
        <w:tc>
          <w:tcPr>
            <w:tcW w:w="862" w:type="dxa"/>
            <w:vMerge w:val="continue"/>
            <w:tcBorders>
              <w:tl2br w:val="nil"/>
              <w:tr2bl w:val="nil"/>
            </w:tcBorders>
            <w:vAlign w:val="center"/>
          </w:tcPr>
          <w:p w14:paraId="71BDBC8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p>
        </w:tc>
        <w:tc>
          <w:tcPr>
            <w:tcW w:w="2403" w:type="dxa"/>
            <w:tcBorders>
              <w:tl2br w:val="nil"/>
              <w:tr2bl w:val="nil"/>
            </w:tcBorders>
            <w:vAlign w:val="center"/>
          </w:tcPr>
          <w:p w14:paraId="11C5F2E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r>
              <w:rPr>
                <w:rFonts w:hint="default" w:ascii="Times New Roman" w:hAnsi="Times New Roman" w:eastAsia="宋体" w:cs="Times New Roman"/>
                <w:color w:val="auto"/>
                <w:spacing w:val="-4"/>
                <w:sz w:val="21"/>
                <w:szCs w:val="21"/>
                <w:highlight w:val="none"/>
                <w:vertAlign w:val="baseline"/>
              </w:rPr>
              <w:t>采用选择性催化还原法（SCR）脱硝工艺及新建锅炉采用SNCR-SCR脱硝工艺</w:t>
            </w:r>
          </w:p>
        </w:tc>
        <w:tc>
          <w:tcPr>
            <w:tcW w:w="3762" w:type="dxa"/>
            <w:gridSpan w:val="5"/>
            <w:tcBorders>
              <w:tl2br w:val="nil"/>
              <w:tr2bl w:val="nil"/>
            </w:tcBorders>
            <w:vAlign w:val="center"/>
          </w:tcPr>
          <w:p w14:paraId="31E164E1">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2.28</w:t>
            </w:r>
          </w:p>
        </w:tc>
        <w:tc>
          <w:tcPr>
            <w:tcW w:w="923" w:type="dxa"/>
            <w:vMerge w:val="continue"/>
            <w:tcBorders>
              <w:tl2br w:val="nil"/>
              <w:tr2bl w:val="nil"/>
            </w:tcBorders>
            <w:vAlign w:val="center"/>
          </w:tcPr>
          <w:p w14:paraId="687769B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p>
        </w:tc>
      </w:tr>
      <w:tr w14:paraId="525357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vMerge w:val="continue"/>
            <w:tcBorders>
              <w:tl2br w:val="nil"/>
              <w:tr2bl w:val="nil"/>
            </w:tcBorders>
            <w:vAlign w:val="center"/>
          </w:tcPr>
          <w:p w14:paraId="2EB2576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p>
        </w:tc>
        <w:tc>
          <w:tcPr>
            <w:tcW w:w="862" w:type="dxa"/>
            <w:vMerge w:val="continue"/>
            <w:tcBorders>
              <w:tl2br w:val="nil"/>
              <w:tr2bl w:val="nil"/>
            </w:tcBorders>
            <w:vAlign w:val="center"/>
          </w:tcPr>
          <w:p w14:paraId="66DF1F3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p>
        </w:tc>
        <w:tc>
          <w:tcPr>
            <w:tcW w:w="2403" w:type="dxa"/>
            <w:tcBorders>
              <w:tl2br w:val="nil"/>
              <w:tr2bl w:val="nil"/>
            </w:tcBorders>
            <w:vAlign w:val="center"/>
          </w:tcPr>
          <w:p w14:paraId="0F39DE10">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r>
              <w:rPr>
                <w:rFonts w:hint="default" w:ascii="Times New Roman" w:hAnsi="Times New Roman" w:eastAsia="宋体" w:cs="Times New Roman"/>
                <w:color w:val="auto"/>
                <w:spacing w:val="-4"/>
                <w:sz w:val="21"/>
                <w:szCs w:val="21"/>
                <w:highlight w:val="none"/>
                <w:vertAlign w:val="baseline"/>
              </w:rPr>
              <w:t>在用锅炉采用SNCR-SCR脱硝工艺</w:t>
            </w:r>
          </w:p>
        </w:tc>
        <w:tc>
          <w:tcPr>
            <w:tcW w:w="3762" w:type="dxa"/>
            <w:gridSpan w:val="5"/>
            <w:tcBorders>
              <w:tl2br w:val="nil"/>
              <w:tr2bl w:val="nil"/>
            </w:tcBorders>
            <w:vAlign w:val="center"/>
          </w:tcPr>
          <w:p w14:paraId="1CB36C2C">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3.8</w:t>
            </w:r>
          </w:p>
        </w:tc>
        <w:tc>
          <w:tcPr>
            <w:tcW w:w="923" w:type="dxa"/>
            <w:vMerge w:val="continue"/>
            <w:tcBorders>
              <w:tl2br w:val="nil"/>
              <w:tr2bl w:val="nil"/>
            </w:tcBorders>
            <w:vAlign w:val="center"/>
          </w:tcPr>
          <w:p w14:paraId="1C87C84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p>
        </w:tc>
      </w:tr>
      <w:tr w14:paraId="1E3601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vMerge w:val="continue"/>
            <w:tcBorders>
              <w:tl2br w:val="nil"/>
              <w:tr2bl w:val="nil"/>
            </w:tcBorders>
            <w:vAlign w:val="center"/>
          </w:tcPr>
          <w:p w14:paraId="701036CB">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p>
        </w:tc>
        <w:tc>
          <w:tcPr>
            <w:tcW w:w="862" w:type="dxa"/>
            <w:vMerge w:val="continue"/>
            <w:tcBorders>
              <w:tl2br w:val="nil"/>
              <w:tr2bl w:val="nil"/>
            </w:tcBorders>
            <w:vAlign w:val="center"/>
          </w:tcPr>
          <w:p w14:paraId="444B9A69">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p>
        </w:tc>
        <w:tc>
          <w:tcPr>
            <w:tcW w:w="2403" w:type="dxa"/>
            <w:tcBorders>
              <w:tl2br w:val="nil"/>
              <w:tr2bl w:val="nil"/>
            </w:tcBorders>
            <w:vAlign w:val="center"/>
          </w:tcPr>
          <w:p w14:paraId="53D71FF7">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r>
              <w:rPr>
                <w:rFonts w:hint="default" w:ascii="Times New Roman" w:hAnsi="Times New Roman" w:eastAsia="宋体" w:cs="Times New Roman"/>
                <w:color w:val="auto"/>
                <w:spacing w:val="-4"/>
                <w:sz w:val="21"/>
                <w:szCs w:val="21"/>
                <w:highlight w:val="none"/>
                <w:vertAlign w:val="baseline"/>
              </w:rPr>
              <w:t>采用氨法脱硫工艺</w:t>
            </w:r>
          </w:p>
        </w:tc>
        <w:tc>
          <w:tcPr>
            <w:tcW w:w="3762" w:type="dxa"/>
            <w:gridSpan w:val="5"/>
            <w:tcBorders>
              <w:tl2br w:val="nil"/>
              <w:tr2bl w:val="nil"/>
            </w:tcBorders>
            <w:vAlign w:val="center"/>
          </w:tcPr>
          <w:p w14:paraId="4132860A">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3</w:t>
            </w:r>
          </w:p>
        </w:tc>
        <w:tc>
          <w:tcPr>
            <w:tcW w:w="923" w:type="dxa"/>
            <w:vMerge w:val="continue"/>
            <w:tcBorders>
              <w:tl2br w:val="nil"/>
              <w:tr2bl w:val="nil"/>
            </w:tcBorders>
            <w:vAlign w:val="center"/>
          </w:tcPr>
          <w:p w14:paraId="638F606F">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p>
        </w:tc>
      </w:tr>
      <w:tr w14:paraId="20A9E1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3" w:type="dxa"/>
            <w:tcBorders>
              <w:tl2br w:val="nil"/>
              <w:tr2bl w:val="nil"/>
            </w:tcBorders>
            <w:vAlign w:val="center"/>
          </w:tcPr>
          <w:p w14:paraId="60F8DBE4">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6</w:t>
            </w:r>
          </w:p>
        </w:tc>
        <w:tc>
          <w:tcPr>
            <w:tcW w:w="3265" w:type="dxa"/>
            <w:gridSpan w:val="2"/>
            <w:tcBorders>
              <w:tl2br w:val="nil"/>
              <w:tr2bl w:val="nil"/>
            </w:tcBorders>
            <w:vAlign w:val="center"/>
          </w:tcPr>
          <w:p w14:paraId="31E411BE">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rPr>
            </w:pPr>
            <w:r>
              <w:rPr>
                <w:rFonts w:hint="eastAsia" w:ascii="Times New Roman" w:hAnsi="Times New Roman" w:eastAsia="宋体" w:cs="Times New Roman"/>
                <w:color w:val="auto"/>
                <w:spacing w:val="-4"/>
                <w:sz w:val="21"/>
                <w:szCs w:val="21"/>
                <w:highlight w:val="none"/>
                <w:vertAlign w:val="baseline"/>
                <w:lang w:val="en-US" w:eastAsia="zh-CN"/>
              </w:rPr>
              <w:t>烟气黑度（格林曼黑度）/级</w:t>
            </w:r>
          </w:p>
        </w:tc>
        <w:tc>
          <w:tcPr>
            <w:tcW w:w="3762" w:type="dxa"/>
            <w:gridSpan w:val="5"/>
            <w:tcBorders>
              <w:tl2br w:val="nil"/>
              <w:tr2bl w:val="nil"/>
            </w:tcBorders>
            <w:vAlign w:val="center"/>
          </w:tcPr>
          <w:p w14:paraId="08B76618">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1</w:t>
            </w:r>
          </w:p>
        </w:tc>
        <w:tc>
          <w:tcPr>
            <w:tcW w:w="923" w:type="dxa"/>
            <w:tcBorders>
              <w:tl2br w:val="nil"/>
              <w:tr2bl w:val="nil"/>
            </w:tcBorders>
            <w:vAlign w:val="center"/>
          </w:tcPr>
          <w:p w14:paraId="2EB72115">
            <w:pPr>
              <w:keepNext w:val="0"/>
              <w:keepLines w:val="0"/>
              <w:pageBreakBefore w:val="0"/>
              <w:widowControl w:val="0"/>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color w:val="auto"/>
                <w:spacing w:val="-4"/>
                <w:sz w:val="21"/>
                <w:szCs w:val="21"/>
                <w:highlight w:val="none"/>
                <w:vertAlign w:val="baseline"/>
                <w:lang w:val="en-US" w:eastAsia="zh-CN"/>
              </w:rPr>
            </w:pPr>
            <w:r>
              <w:rPr>
                <w:rFonts w:hint="eastAsia" w:ascii="Times New Roman" w:hAnsi="Times New Roman" w:eastAsia="宋体" w:cs="Times New Roman"/>
                <w:color w:val="auto"/>
                <w:spacing w:val="-4"/>
                <w:sz w:val="21"/>
                <w:szCs w:val="21"/>
                <w:highlight w:val="none"/>
                <w:vertAlign w:val="baseline"/>
                <w:lang w:val="en-US" w:eastAsia="zh-CN"/>
              </w:rPr>
              <w:t>烟囱排放口</w:t>
            </w:r>
          </w:p>
        </w:tc>
      </w:tr>
    </w:tbl>
    <w:p w14:paraId="0B6FC730">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360" w:lineRule="auto"/>
        <w:ind w:right="136" w:rightChars="0" w:firstLine="472" w:firstLineChars="200"/>
        <w:jc w:val="both"/>
        <w:textAlignment w:val="baseline"/>
        <w:outlineLvl w:val="9"/>
        <w:rPr>
          <w:rFonts w:hint="default"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snapToGrid w:val="0"/>
          <w:color w:val="auto"/>
          <w:spacing w:val="-2"/>
          <w:kern w:val="0"/>
          <w:sz w:val="24"/>
          <w:szCs w:val="24"/>
          <w:highlight w:val="none"/>
          <w:lang w:val="en-US" w:eastAsia="zh-CN" w:bidi="ar-SA"/>
        </w:rPr>
        <w:t>（1</w:t>
      </w:r>
      <w:r>
        <w:rPr>
          <w:rFonts w:hint="eastAsia" w:ascii="Times New Roman" w:hAnsi="Times New Roman" w:eastAsia="宋体" w:cs="Times New Roman"/>
          <w:snapToGrid w:val="0"/>
          <w:color w:val="auto"/>
          <w:spacing w:val="-2"/>
          <w:kern w:val="0"/>
          <w:sz w:val="24"/>
          <w:szCs w:val="24"/>
          <w:highlight w:val="none"/>
          <w:lang w:val="en-US" w:eastAsia="zh-CN" w:bidi="ar-SA"/>
        </w:rPr>
        <w:t>1</w:t>
      </w:r>
      <w:r>
        <w:rPr>
          <w:rFonts w:hint="default" w:ascii="Times New Roman" w:hAnsi="Times New Roman" w:eastAsia="宋体" w:cs="Times New Roman"/>
          <w:snapToGrid w:val="0"/>
          <w:color w:val="auto"/>
          <w:spacing w:val="-2"/>
          <w:kern w:val="0"/>
          <w:sz w:val="24"/>
          <w:szCs w:val="24"/>
          <w:highlight w:val="none"/>
          <w:lang w:val="en-US" w:eastAsia="zh-CN" w:bidi="ar-SA"/>
        </w:rPr>
        <w:t>）</w:t>
      </w:r>
      <w:r>
        <w:rPr>
          <w:rFonts w:hint="eastAsia" w:ascii="Times New Roman" w:hAnsi="Times New Roman" w:eastAsia="宋体" w:cs="Times New Roman"/>
          <w:color w:val="auto"/>
          <w:spacing w:val="-2"/>
          <w:sz w:val="24"/>
          <w:szCs w:val="24"/>
          <w:highlight w:val="none"/>
          <w:lang w:val="en-US" w:eastAsia="zh-CN"/>
        </w:rPr>
        <w:t>炉窑</w:t>
      </w:r>
      <w:bookmarkStart w:id="834" w:name="pindex2792"/>
      <w:bookmarkEnd w:id="834"/>
    </w:p>
    <w:p w14:paraId="5B9F30D3">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360" w:lineRule="auto"/>
        <w:ind w:right="136" w:rightChars="0" w:firstLine="472" w:firstLineChars="200"/>
        <w:jc w:val="both"/>
        <w:textAlignment w:val="baseline"/>
        <w:rPr>
          <w:rFonts w:hint="eastAsia" w:ascii="Times New Roman" w:hAnsi="Times New Roman" w:eastAsia="宋体" w:cs="Times New Roman"/>
          <w:color w:val="auto"/>
          <w:spacing w:val="-2"/>
          <w:sz w:val="24"/>
          <w:szCs w:val="24"/>
          <w:highlight w:val="none"/>
          <w:lang w:val="en-US" w:eastAsia="zh-CN"/>
        </w:rPr>
      </w:pPr>
      <w:bookmarkStart w:id="835" w:name="OLE_LINK266"/>
      <w:r>
        <w:rPr>
          <w:rFonts w:hint="default" w:ascii="Times New Roman" w:hAnsi="Times New Roman" w:eastAsia="宋体" w:cs="Times New Roman"/>
          <w:color w:val="auto"/>
          <w:spacing w:val="-2"/>
          <w:sz w:val="24"/>
          <w:szCs w:val="24"/>
          <w:highlight w:val="none"/>
          <w:lang w:val="en-US" w:eastAsia="zh-CN"/>
        </w:rPr>
        <w:t>工业</w:t>
      </w:r>
      <w:r>
        <w:rPr>
          <w:rFonts w:hint="eastAsia" w:ascii="Times New Roman" w:hAnsi="Times New Roman" w:eastAsia="宋体" w:cs="Times New Roman"/>
          <w:color w:val="auto"/>
          <w:spacing w:val="-2"/>
          <w:sz w:val="24"/>
          <w:szCs w:val="24"/>
          <w:highlight w:val="none"/>
          <w:lang w:val="en-US" w:eastAsia="zh-CN"/>
        </w:rPr>
        <w:t>炉窑</w:t>
      </w:r>
      <w:r>
        <w:rPr>
          <w:rFonts w:hint="default" w:ascii="Times New Roman" w:hAnsi="Times New Roman" w:eastAsia="宋体" w:cs="Times New Roman"/>
          <w:color w:val="auto"/>
          <w:spacing w:val="-2"/>
          <w:sz w:val="24"/>
          <w:szCs w:val="24"/>
          <w:highlight w:val="none"/>
          <w:lang w:val="en-US" w:eastAsia="zh-CN"/>
        </w:rPr>
        <w:t>污染物执行</w:t>
      </w:r>
      <w:bookmarkStart w:id="836" w:name="OLE_LINK267"/>
      <w:r>
        <w:rPr>
          <w:rFonts w:hint="default" w:ascii="Times New Roman" w:hAnsi="Times New Roman" w:eastAsia="宋体" w:cs="Times New Roman"/>
          <w:color w:val="auto"/>
          <w:spacing w:val="-2"/>
          <w:sz w:val="24"/>
          <w:szCs w:val="24"/>
          <w:highlight w:val="none"/>
          <w:lang w:val="en-US" w:eastAsia="zh-CN"/>
        </w:rPr>
        <w:t>《工业</w:t>
      </w:r>
      <w:r>
        <w:rPr>
          <w:rFonts w:hint="eastAsia" w:ascii="Times New Roman" w:hAnsi="Times New Roman" w:eastAsia="宋体" w:cs="Times New Roman"/>
          <w:color w:val="auto"/>
          <w:spacing w:val="-2"/>
          <w:sz w:val="24"/>
          <w:szCs w:val="24"/>
          <w:highlight w:val="none"/>
          <w:lang w:val="en-US" w:eastAsia="zh-CN"/>
        </w:rPr>
        <w:t>炉窑</w:t>
      </w:r>
      <w:r>
        <w:rPr>
          <w:rFonts w:hint="default" w:ascii="Times New Roman" w:hAnsi="Times New Roman" w:eastAsia="宋体" w:cs="Times New Roman"/>
          <w:color w:val="auto"/>
          <w:spacing w:val="-2"/>
          <w:sz w:val="24"/>
          <w:szCs w:val="24"/>
          <w:highlight w:val="none"/>
          <w:lang w:val="en-US" w:eastAsia="zh-CN"/>
        </w:rPr>
        <w:t>大气污染物排放标准》</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DB32/3728-2020</w:t>
      </w:r>
      <w:r>
        <w:rPr>
          <w:rFonts w:hint="eastAsia" w:ascii="Times New Roman" w:hAnsi="Times New Roman" w:eastAsia="宋体" w:cs="Times New Roman"/>
          <w:color w:val="auto"/>
          <w:spacing w:val="-2"/>
          <w:sz w:val="24"/>
          <w:szCs w:val="24"/>
          <w:highlight w:val="none"/>
          <w:lang w:val="en-US" w:eastAsia="zh-CN"/>
        </w:rPr>
        <w:t>）</w:t>
      </w:r>
      <w:bookmarkEnd w:id="836"/>
      <w:r>
        <w:rPr>
          <w:rFonts w:hint="eastAsia" w:ascii="Times New Roman" w:hAnsi="Times New Roman" w:eastAsia="宋体" w:cs="Times New Roman"/>
          <w:color w:val="auto"/>
          <w:spacing w:val="-2"/>
          <w:sz w:val="24"/>
          <w:szCs w:val="24"/>
          <w:highlight w:val="none"/>
          <w:lang w:val="en-US" w:eastAsia="zh-CN"/>
        </w:rPr>
        <w:t>中</w:t>
      </w:r>
      <w:bookmarkStart w:id="837" w:name="OLE_LINK268"/>
      <w:r>
        <w:rPr>
          <w:rFonts w:hint="default" w:ascii="Times New Roman" w:hAnsi="Times New Roman" w:eastAsia="宋体" w:cs="Times New Roman"/>
          <w:color w:val="auto"/>
          <w:spacing w:val="-2"/>
          <w:sz w:val="24"/>
          <w:szCs w:val="24"/>
          <w:highlight w:val="none"/>
          <w:lang w:val="en-US" w:eastAsia="zh-CN"/>
        </w:rPr>
        <w:t>标准</w:t>
      </w:r>
      <w:bookmarkEnd w:id="837"/>
      <w:r>
        <w:rPr>
          <w:rFonts w:hint="default" w:ascii="Times New Roman" w:hAnsi="Times New Roman" w:eastAsia="宋体" w:cs="Times New Roman"/>
          <w:color w:val="auto"/>
          <w:spacing w:val="-2"/>
          <w:sz w:val="24"/>
          <w:szCs w:val="24"/>
          <w:highlight w:val="none"/>
          <w:lang w:val="en-US" w:eastAsia="zh-CN"/>
        </w:rPr>
        <w:t>限值</w:t>
      </w:r>
      <w:r>
        <w:rPr>
          <w:rFonts w:hint="eastAsia" w:ascii="Times New Roman" w:hAnsi="Times New Roman" w:eastAsia="宋体" w:cs="Times New Roman"/>
          <w:color w:val="auto"/>
          <w:spacing w:val="-2"/>
          <w:sz w:val="24"/>
          <w:szCs w:val="24"/>
          <w:highlight w:val="none"/>
          <w:lang w:val="en-US" w:eastAsia="zh-CN"/>
        </w:rPr>
        <w:t>。</w:t>
      </w:r>
    </w:p>
    <w:p w14:paraId="3B48E679">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default" w:ascii="宋体" w:hAnsi="宋体" w:eastAsia="宋体" w:cs="宋体"/>
          <w:b/>
          <w:bCs/>
          <w:color w:val="auto"/>
          <w:spacing w:val="-4"/>
          <w:sz w:val="24"/>
          <w:szCs w:val="24"/>
          <w:highlight w:val="none"/>
          <w:lang w:val="en-US" w:eastAsia="zh-CN"/>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2-40  大气污染物排放浓度限值</w:t>
      </w:r>
      <w:bookmarkStart w:id="838" w:name="pindex2794"/>
      <w:bookmarkEnd w:id="838"/>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autofit"/>
        <w:tblCellMar>
          <w:top w:w="0" w:type="dxa"/>
          <w:left w:w="108" w:type="dxa"/>
          <w:bottom w:w="0" w:type="dxa"/>
          <w:right w:w="108" w:type="dxa"/>
        </w:tblCellMar>
      </w:tblPr>
      <w:tblGrid>
        <w:gridCol w:w="818"/>
        <w:gridCol w:w="1445"/>
        <w:gridCol w:w="1485"/>
        <w:gridCol w:w="2557"/>
        <w:gridCol w:w="2270"/>
      </w:tblGrid>
      <w:tr w14:paraId="4D0DC2FF">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PrEx>
        <w:tc>
          <w:tcPr>
            <w:tcW w:w="822" w:type="dxa"/>
            <w:tcBorders>
              <w:tl2br w:val="nil"/>
              <w:tr2bl w:val="nil"/>
            </w:tcBorders>
            <w:vAlign w:val="center"/>
          </w:tcPr>
          <w:p w14:paraId="55E7EBE3">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b/>
                <w:bCs/>
                <w:color w:val="auto"/>
                <w:spacing w:val="-2"/>
                <w:sz w:val="21"/>
                <w:szCs w:val="21"/>
                <w:highlight w:val="none"/>
                <w:vertAlign w:val="baseline"/>
                <w:lang w:val="en-US" w:eastAsia="zh-CN"/>
              </w:rPr>
            </w:pPr>
            <w:bookmarkStart w:id="839" w:name="OLE_LINK276" w:colFirst="0" w:colLast="0"/>
            <w:r>
              <w:rPr>
                <w:rFonts w:hint="default" w:ascii="Times New Roman" w:hAnsi="Times New Roman" w:eastAsia="宋体" w:cs="Times New Roman"/>
                <w:b/>
                <w:bCs/>
                <w:color w:val="auto"/>
                <w:spacing w:val="-2"/>
                <w:sz w:val="21"/>
                <w:szCs w:val="21"/>
                <w:highlight w:val="none"/>
                <w:vertAlign w:val="baseline"/>
                <w:lang w:val="en-US" w:eastAsia="zh-CN"/>
              </w:rPr>
              <w:t>序号</w:t>
            </w:r>
          </w:p>
        </w:tc>
        <w:tc>
          <w:tcPr>
            <w:tcW w:w="2959" w:type="dxa"/>
            <w:gridSpan w:val="2"/>
            <w:tcBorders>
              <w:tl2br w:val="nil"/>
              <w:tr2bl w:val="nil"/>
            </w:tcBorders>
            <w:vAlign w:val="center"/>
          </w:tcPr>
          <w:p w14:paraId="35608943">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b/>
                <w:bCs/>
                <w:color w:val="auto"/>
                <w:spacing w:val="-2"/>
                <w:sz w:val="21"/>
                <w:szCs w:val="21"/>
                <w:highlight w:val="none"/>
                <w:vertAlign w:val="baseline"/>
                <w:lang w:val="en-US" w:eastAsia="zh-CN"/>
              </w:rPr>
            </w:pPr>
            <w:r>
              <w:rPr>
                <w:rFonts w:hint="default" w:ascii="Times New Roman" w:hAnsi="Times New Roman" w:eastAsia="宋体" w:cs="Times New Roman"/>
                <w:b/>
                <w:bCs/>
                <w:color w:val="auto"/>
                <w:spacing w:val="-2"/>
                <w:sz w:val="21"/>
                <w:szCs w:val="21"/>
                <w:highlight w:val="none"/>
                <w:vertAlign w:val="baseline"/>
                <w:lang w:val="en-US" w:eastAsia="zh-CN"/>
              </w:rPr>
              <w:t>污染物项目</w:t>
            </w:r>
          </w:p>
        </w:tc>
        <w:tc>
          <w:tcPr>
            <w:tcW w:w="2577" w:type="dxa"/>
            <w:tcBorders>
              <w:tl2br w:val="nil"/>
              <w:tr2bl w:val="nil"/>
            </w:tcBorders>
            <w:vAlign w:val="center"/>
          </w:tcPr>
          <w:p w14:paraId="46AA96F5">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b/>
                <w:bCs/>
                <w:color w:val="auto"/>
                <w:spacing w:val="-2"/>
                <w:sz w:val="21"/>
                <w:szCs w:val="21"/>
                <w:highlight w:val="none"/>
                <w:vertAlign w:val="baseline"/>
                <w:lang w:val="en-US" w:eastAsia="zh-CN"/>
              </w:rPr>
            </w:pPr>
            <w:r>
              <w:rPr>
                <w:rFonts w:hint="default" w:ascii="Times New Roman" w:hAnsi="Times New Roman" w:eastAsia="宋体" w:cs="Times New Roman"/>
                <w:b/>
                <w:bCs/>
                <w:color w:val="auto"/>
                <w:spacing w:val="-2"/>
                <w:sz w:val="21"/>
                <w:szCs w:val="21"/>
                <w:highlight w:val="none"/>
                <w:vertAlign w:val="baseline"/>
                <w:lang w:val="en-US" w:eastAsia="zh-CN"/>
              </w:rPr>
              <w:t>排放限值</w:t>
            </w:r>
          </w:p>
        </w:tc>
        <w:tc>
          <w:tcPr>
            <w:tcW w:w="2293" w:type="dxa"/>
            <w:tcBorders>
              <w:tl2br w:val="nil"/>
              <w:tr2bl w:val="nil"/>
            </w:tcBorders>
            <w:vAlign w:val="center"/>
          </w:tcPr>
          <w:p w14:paraId="452E7781">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b/>
                <w:bCs/>
                <w:color w:val="auto"/>
                <w:spacing w:val="-2"/>
                <w:sz w:val="21"/>
                <w:szCs w:val="21"/>
                <w:highlight w:val="none"/>
                <w:vertAlign w:val="baseline"/>
                <w:lang w:val="en-US" w:eastAsia="zh-CN"/>
              </w:rPr>
            </w:pPr>
            <w:r>
              <w:rPr>
                <w:rFonts w:hint="default" w:ascii="Times New Roman" w:hAnsi="Times New Roman" w:eastAsia="宋体" w:cs="Times New Roman"/>
                <w:b/>
                <w:bCs/>
                <w:color w:val="auto"/>
                <w:spacing w:val="-2"/>
                <w:sz w:val="21"/>
                <w:szCs w:val="21"/>
                <w:highlight w:val="none"/>
                <w:vertAlign w:val="baseline"/>
                <w:lang w:val="en-US" w:eastAsia="zh-CN"/>
              </w:rPr>
              <w:t>污染物排放监控位置</w:t>
            </w:r>
          </w:p>
        </w:tc>
      </w:tr>
      <w:tr w14:paraId="79E56C3A">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22" w:type="dxa"/>
            <w:tcBorders>
              <w:tl2br w:val="nil"/>
              <w:tr2bl w:val="nil"/>
            </w:tcBorders>
            <w:shd w:val="clear" w:color="auto" w:fill="auto"/>
            <w:vAlign w:val="center"/>
          </w:tcPr>
          <w:p w14:paraId="1C544955">
            <w:pPr>
              <w:widowControl/>
              <w:jc w:val="center"/>
              <w:rPr>
                <w:rFonts w:hint="default" w:ascii="Times New Roman" w:hAnsi="Times New Roman" w:eastAsia="宋体" w:cs="Times New Roman"/>
                <w:snapToGrid w:val="0"/>
                <w:color w:val="auto"/>
                <w:kern w:val="0"/>
                <w:sz w:val="21"/>
                <w:szCs w:val="21"/>
                <w:highlight w:val="none"/>
                <w:lang w:val="en-US" w:eastAsia="zh-CN" w:bidi="ar-SA"/>
              </w:rPr>
            </w:pPr>
            <w:bookmarkStart w:id="840" w:name="OLE_LINK280" w:colFirst="0" w:colLast="0"/>
            <w:bookmarkStart w:id="841" w:name="OLE_LINK271" w:colFirst="1" w:colLast="2"/>
            <w:r>
              <w:rPr>
                <w:rFonts w:hint="default" w:ascii="Times New Roman" w:hAnsi="Times New Roman" w:eastAsia="宋体" w:cs="Times New Roman"/>
                <w:color w:val="auto"/>
                <w:kern w:val="0"/>
                <w:sz w:val="21"/>
                <w:szCs w:val="21"/>
                <w:highlight w:val="none"/>
              </w:rPr>
              <w:t>1</w:t>
            </w:r>
          </w:p>
        </w:tc>
        <w:tc>
          <w:tcPr>
            <w:tcW w:w="2959" w:type="dxa"/>
            <w:gridSpan w:val="2"/>
            <w:tcBorders>
              <w:tl2br w:val="nil"/>
              <w:tr2bl w:val="nil"/>
            </w:tcBorders>
            <w:vAlign w:val="center"/>
          </w:tcPr>
          <w:p w14:paraId="1E3DEBED">
            <w:pPr>
              <w:widowControl w:val="0"/>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颗粒物</w:t>
            </w:r>
          </w:p>
        </w:tc>
        <w:tc>
          <w:tcPr>
            <w:tcW w:w="2577" w:type="dxa"/>
            <w:tcBorders>
              <w:tl2br w:val="nil"/>
              <w:tr2bl w:val="nil"/>
            </w:tcBorders>
            <w:vAlign w:val="center"/>
          </w:tcPr>
          <w:p w14:paraId="704C04B2">
            <w:pPr>
              <w:widowControl w:val="0"/>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20 mg/m</w:t>
            </w:r>
            <w:r>
              <w:rPr>
                <w:rFonts w:hint="default" w:ascii="Times New Roman" w:hAnsi="Times New Roman" w:eastAsia="宋体" w:cs="Times New Roman"/>
                <w:color w:val="auto"/>
                <w:sz w:val="21"/>
                <w:szCs w:val="21"/>
                <w:highlight w:val="none"/>
                <w:vertAlign w:val="superscript"/>
              </w:rPr>
              <w:t>3</w:t>
            </w:r>
          </w:p>
        </w:tc>
        <w:tc>
          <w:tcPr>
            <w:tcW w:w="2293" w:type="dxa"/>
            <w:vMerge w:val="restart"/>
            <w:tcBorders>
              <w:tl2br w:val="nil"/>
              <w:tr2bl w:val="nil"/>
            </w:tcBorders>
            <w:vAlign w:val="center"/>
          </w:tcPr>
          <w:p w14:paraId="5909FBFB">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车间或生产设施排气筒</w:t>
            </w:r>
          </w:p>
        </w:tc>
      </w:tr>
      <w:tr w14:paraId="4537764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22" w:type="dxa"/>
            <w:tcBorders>
              <w:tl2br w:val="nil"/>
              <w:tr2bl w:val="nil"/>
            </w:tcBorders>
            <w:shd w:val="clear" w:color="auto" w:fill="auto"/>
            <w:vAlign w:val="center"/>
          </w:tcPr>
          <w:p w14:paraId="773F33D7">
            <w:pPr>
              <w:widowControl/>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2</w:t>
            </w:r>
          </w:p>
        </w:tc>
        <w:tc>
          <w:tcPr>
            <w:tcW w:w="2959" w:type="dxa"/>
            <w:gridSpan w:val="2"/>
            <w:tcBorders>
              <w:tl2br w:val="nil"/>
              <w:tr2bl w:val="nil"/>
            </w:tcBorders>
            <w:vAlign w:val="center"/>
          </w:tcPr>
          <w:p w14:paraId="7B026356">
            <w:pPr>
              <w:widowControl w:val="0"/>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二氧化硫</w:t>
            </w:r>
          </w:p>
        </w:tc>
        <w:tc>
          <w:tcPr>
            <w:tcW w:w="2577" w:type="dxa"/>
            <w:tcBorders>
              <w:tl2br w:val="nil"/>
              <w:tr2bl w:val="nil"/>
            </w:tcBorders>
            <w:vAlign w:val="center"/>
          </w:tcPr>
          <w:p w14:paraId="697742CA">
            <w:pPr>
              <w:widowControl w:val="0"/>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80 mg/m</w:t>
            </w:r>
            <w:r>
              <w:rPr>
                <w:rFonts w:hint="default" w:ascii="Times New Roman" w:hAnsi="Times New Roman" w:eastAsia="宋体" w:cs="Times New Roman"/>
                <w:color w:val="auto"/>
                <w:sz w:val="21"/>
                <w:szCs w:val="21"/>
                <w:highlight w:val="none"/>
                <w:vertAlign w:val="superscript"/>
              </w:rPr>
              <w:t>3</w:t>
            </w:r>
          </w:p>
        </w:tc>
        <w:tc>
          <w:tcPr>
            <w:tcW w:w="2293" w:type="dxa"/>
            <w:vMerge w:val="continue"/>
            <w:tcBorders>
              <w:tl2br w:val="nil"/>
              <w:tr2bl w:val="nil"/>
            </w:tcBorders>
            <w:vAlign w:val="center"/>
          </w:tcPr>
          <w:p w14:paraId="128C06DD">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p>
        </w:tc>
      </w:tr>
      <w:bookmarkEnd w:id="840"/>
      <w:tr w14:paraId="51EA1EF6">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22" w:type="dxa"/>
            <w:tcBorders>
              <w:tl2br w:val="nil"/>
              <w:tr2bl w:val="nil"/>
            </w:tcBorders>
            <w:shd w:val="clear" w:color="auto" w:fill="auto"/>
            <w:vAlign w:val="center"/>
          </w:tcPr>
          <w:p w14:paraId="60EB0628">
            <w:pPr>
              <w:widowControl/>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3</w:t>
            </w:r>
          </w:p>
        </w:tc>
        <w:tc>
          <w:tcPr>
            <w:tcW w:w="2959" w:type="dxa"/>
            <w:gridSpan w:val="2"/>
            <w:tcBorders>
              <w:tl2br w:val="nil"/>
              <w:tr2bl w:val="nil"/>
            </w:tcBorders>
            <w:vAlign w:val="center"/>
          </w:tcPr>
          <w:p w14:paraId="12D4C386">
            <w:pPr>
              <w:widowControl w:val="0"/>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氮氧化物</w:t>
            </w:r>
          </w:p>
        </w:tc>
        <w:tc>
          <w:tcPr>
            <w:tcW w:w="2577" w:type="dxa"/>
            <w:tcBorders>
              <w:tl2br w:val="nil"/>
              <w:tr2bl w:val="nil"/>
            </w:tcBorders>
            <w:vAlign w:val="center"/>
          </w:tcPr>
          <w:p w14:paraId="36E8315C">
            <w:pPr>
              <w:widowControl w:val="0"/>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180 mg/m</w:t>
            </w:r>
            <w:r>
              <w:rPr>
                <w:rFonts w:hint="default" w:ascii="Times New Roman" w:hAnsi="Times New Roman" w:eastAsia="宋体" w:cs="Times New Roman"/>
                <w:color w:val="auto"/>
                <w:sz w:val="21"/>
                <w:szCs w:val="21"/>
                <w:highlight w:val="none"/>
                <w:vertAlign w:val="superscript"/>
              </w:rPr>
              <w:t>3</w:t>
            </w:r>
          </w:p>
        </w:tc>
        <w:tc>
          <w:tcPr>
            <w:tcW w:w="2293" w:type="dxa"/>
            <w:vMerge w:val="continue"/>
            <w:tcBorders>
              <w:tl2br w:val="nil"/>
              <w:tr2bl w:val="nil"/>
            </w:tcBorders>
            <w:vAlign w:val="center"/>
          </w:tcPr>
          <w:p w14:paraId="1B72DEE3">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p>
        </w:tc>
      </w:tr>
      <w:tr w14:paraId="3C4C9180">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22" w:type="dxa"/>
            <w:tcBorders>
              <w:tl2br w:val="nil"/>
              <w:tr2bl w:val="nil"/>
            </w:tcBorders>
            <w:shd w:val="clear" w:color="auto" w:fill="auto"/>
            <w:vAlign w:val="center"/>
          </w:tcPr>
          <w:p w14:paraId="1F9E3D92">
            <w:pPr>
              <w:widowControl/>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4</w:t>
            </w:r>
          </w:p>
        </w:tc>
        <w:tc>
          <w:tcPr>
            <w:tcW w:w="2959" w:type="dxa"/>
            <w:gridSpan w:val="2"/>
            <w:tcBorders>
              <w:tl2br w:val="nil"/>
              <w:tr2bl w:val="nil"/>
            </w:tcBorders>
            <w:vAlign w:val="center"/>
          </w:tcPr>
          <w:p w14:paraId="62AA540A">
            <w:pPr>
              <w:widowControl w:val="0"/>
              <w:jc w:val="center"/>
              <w:rPr>
                <w:rFonts w:hint="default" w:ascii="Times New Roman" w:hAnsi="Times New Roman" w:eastAsia="宋体" w:cs="Times New Roman"/>
                <w:color w:val="auto"/>
                <w:spacing w:val="-2"/>
                <w:sz w:val="21"/>
                <w:szCs w:val="21"/>
                <w:highlight w:val="none"/>
                <w:vertAlign w:val="baseline"/>
                <w:lang w:val="en-US" w:eastAsia="zh-CN"/>
              </w:rPr>
            </w:pPr>
            <w:bookmarkStart w:id="842" w:name="OLE_LINK281"/>
            <w:r>
              <w:rPr>
                <w:rFonts w:hint="default" w:ascii="Times New Roman" w:hAnsi="Times New Roman" w:eastAsia="宋体" w:cs="Times New Roman"/>
                <w:color w:val="auto"/>
                <w:kern w:val="0"/>
                <w:sz w:val="21"/>
                <w:szCs w:val="21"/>
                <w:highlight w:val="none"/>
              </w:rPr>
              <w:t>烟气黑度</w:t>
            </w:r>
            <w:bookmarkEnd w:id="842"/>
          </w:p>
        </w:tc>
        <w:tc>
          <w:tcPr>
            <w:tcW w:w="2577" w:type="dxa"/>
            <w:tcBorders>
              <w:tl2br w:val="nil"/>
              <w:tr2bl w:val="nil"/>
            </w:tcBorders>
            <w:vAlign w:val="center"/>
          </w:tcPr>
          <w:p w14:paraId="5AD0DF5D">
            <w:pPr>
              <w:widowControl w:val="0"/>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林格曼黑度</w:t>
            </w:r>
            <w:r>
              <w:rPr>
                <w:rFonts w:hint="default" w:ascii="Times New Roman" w:hAnsi="Times New Roman" w:eastAsia="宋体" w:cs="Times New Roman"/>
                <w:color w:val="auto"/>
                <w:sz w:val="21"/>
                <w:szCs w:val="21"/>
                <w:highlight w:val="none"/>
              </w:rPr>
              <w:t>1 </w:t>
            </w:r>
            <w:r>
              <w:rPr>
                <w:rFonts w:hint="default" w:ascii="Times New Roman" w:hAnsi="Times New Roman" w:eastAsia="宋体" w:cs="Times New Roman"/>
                <w:color w:val="auto"/>
                <w:kern w:val="0"/>
                <w:sz w:val="21"/>
                <w:szCs w:val="21"/>
                <w:highlight w:val="none"/>
              </w:rPr>
              <w:t>级</w:t>
            </w:r>
          </w:p>
        </w:tc>
        <w:tc>
          <w:tcPr>
            <w:tcW w:w="2293" w:type="dxa"/>
            <w:vMerge w:val="continue"/>
            <w:tcBorders>
              <w:tl2br w:val="nil"/>
              <w:tr2bl w:val="nil"/>
            </w:tcBorders>
            <w:vAlign w:val="center"/>
          </w:tcPr>
          <w:p w14:paraId="14317CBC">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p>
        </w:tc>
      </w:tr>
      <w:bookmarkEnd w:id="841"/>
      <w:tr w14:paraId="4047F76A">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22" w:type="dxa"/>
            <w:tcBorders>
              <w:tl2br w:val="nil"/>
              <w:tr2bl w:val="nil"/>
            </w:tcBorders>
            <w:vAlign w:val="center"/>
          </w:tcPr>
          <w:p w14:paraId="5213C4D2">
            <w:pPr>
              <w:widowControl/>
              <w:jc w:val="center"/>
              <w:rPr>
                <w:rFonts w:hint="default" w:ascii="Times New Roman" w:hAnsi="Times New Roman" w:eastAsia="宋体" w:cs="Times New Roman"/>
                <w:color w:val="auto"/>
                <w:kern w:val="0"/>
                <w:sz w:val="21"/>
                <w:szCs w:val="21"/>
                <w:highlight w:val="none"/>
                <w:lang w:val="en-US" w:eastAsia="zh-CN"/>
              </w:rPr>
            </w:pPr>
            <w:bookmarkStart w:id="843" w:name="OLE_LINK279" w:colFirst="0" w:colLast="0"/>
            <w:r>
              <w:rPr>
                <w:rFonts w:hint="default" w:ascii="Times New Roman" w:hAnsi="Times New Roman" w:eastAsia="宋体" w:cs="Times New Roman"/>
                <w:color w:val="auto"/>
                <w:kern w:val="0"/>
                <w:sz w:val="21"/>
                <w:szCs w:val="21"/>
                <w:highlight w:val="none"/>
                <w:lang w:val="en-US" w:eastAsia="zh-CN"/>
              </w:rPr>
              <w:t>5</w:t>
            </w:r>
          </w:p>
        </w:tc>
        <w:tc>
          <w:tcPr>
            <w:tcW w:w="2959" w:type="dxa"/>
            <w:gridSpan w:val="2"/>
            <w:tcBorders>
              <w:tl2br w:val="nil"/>
              <w:tr2bl w:val="nil"/>
            </w:tcBorders>
            <w:shd w:val="clear" w:color="auto" w:fill="auto"/>
            <w:vAlign w:val="center"/>
          </w:tcPr>
          <w:p w14:paraId="517A50B9">
            <w:pPr>
              <w:widowControl/>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氟化物（以F计）</w:t>
            </w:r>
          </w:p>
        </w:tc>
        <w:tc>
          <w:tcPr>
            <w:tcW w:w="2577" w:type="dxa"/>
            <w:tcBorders>
              <w:tl2br w:val="nil"/>
              <w:tr2bl w:val="nil"/>
            </w:tcBorders>
            <w:shd w:val="clear" w:color="auto" w:fill="auto"/>
            <w:vAlign w:val="center"/>
          </w:tcPr>
          <w:p w14:paraId="3D3A8F60">
            <w:pPr>
              <w:widowControl/>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6.0</w:t>
            </w:r>
          </w:p>
        </w:tc>
        <w:tc>
          <w:tcPr>
            <w:tcW w:w="2293" w:type="dxa"/>
            <w:vMerge w:val="continue"/>
            <w:tcBorders>
              <w:tl2br w:val="nil"/>
              <w:tr2bl w:val="nil"/>
            </w:tcBorders>
            <w:vAlign w:val="center"/>
          </w:tcPr>
          <w:p w14:paraId="42111BA8">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p>
        </w:tc>
      </w:tr>
      <w:tr w14:paraId="5DAF670F">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22" w:type="dxa"/>
            <w:vMerge w:val="restart"/>
            <w:tcBorders>
              <w:tl2br w:val="nil"/>
              <w:tr2bl w:val="nil"/>
            </w:tcBorders>
            <w:vAlign w:val="center"/>
          </w:tcPr>
          <w:p w14:paraId="6276EA9E">
            <w:pPr>
              <w:widowControl/>
              <w:jc w:val="center"/>
              <w:rPr>
                <w:rFonts w:hint="default" w:ascii="Times New Roman" w:hAnsi="Times New Roman" w:eastAsia="宋体" w:cs="Times New Roman"/>
                <w:color w:val="auto"/>
                <w:kern w:val="0"/>
                <w:sz w:val="21"/>
                <w:szCs w:val="21"/>
                <w:highlight w:val="none"/>
                <w:lang w:val="en-US" w:eastAsia="zh-CN"/>
              </w:rPr>
            </w:pPr>
            <w:bookmarkStart w:id="844" w:name="OLE_LINK278" w:colFirst="0" w:colLast="1"/>
            <w:bookmarkStart w:id="845" w:name="OLE_LINK277" w:colFirst="1" w:colLast="1"/>
            <w:bookmarkStart w:id="846" w:name="OLE_LINK273" w:colFirst="3" w:colLast="3"/>
            <w:bookmarkStart w:id="847" w:name="OLE_LINK272" w:colFirst="2" w:colLast="2"/>
            <w:bookmarkStart w:id="848" w:name="OLE_LINK275" w:colFirst="0" w:colLast="0"/>
            <w:r>
              <w:rPr>
                <w:rFonts w:hint="default" w:ascii="Times New Roman" w:hAnsi="Times New Roman" w:eastAsia="宋体" w:cs="Times New Roman"/>
                <w:color w:val="auto"/>
                <w:kern w:val="0"/>
                <w:sz w:val="21"/>
                <w:szCs w:val="21"/>
                <w:highlight w:val="none"/>
                <w:lang w:val="en-US" w:eastAsia="zh-CN"/>
              </w:rPr>
              <w:t>6</w:t>
            </w:r>
          </w:p>
        </w:tc>
        <w:tc>
          <w:tcPr>
            <w:tcW w:w="1459" w:type="dxa"/>
            <w:vMerge w:val="restart"/>
            <w:tcBorders>
              <w:tl2br w:val="nil"/>
              <w:tr2bl w:val="nil"/>
            </w:tcBorders>
            <w:vAlign w:val="center"/>
          </w:tcPr>
          <w:p w14:paraId="41BB31BD">
            <w:pPr>
              <w:widowControl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铅及其化合物</w:t>
            </w:r>
          </w:p>
        </w:tc>
        <w:tc>
          <w:tcPr>
            <w:tcW w:w="1500" w:type="dxa"/>
            <w:tcBorders>
              <w:tl2br w:val="nil"/>
              <w:tr2bl w:val="nil"/>
            </w:tcBorders>
            <w:vAlign w:val="center"/>
          </w:tcPr>
          <w:p w14:paraId="6C9A86F5">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金属熔炼炉</w:t>
            </w:r>
          </w:p>
        </w:tc>
        <w:tc>
          <w:tcPr>
            <w:tcW w:w="2577" w:type="dxa"/>
            <w:tcBorders>
              <w:tl2br w:val="nil"/>
              <w:tr2bl w:val="nil"/>
            </w:tcBorders>
            <w:vAlign w:val="center"/>
          </w:tcPr>
          <w:p w14:paraId="6C49CF7B">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0.70</w:t>
            </w:r>
          </w:p>
        </w:tc>
        <w:tc>
          <w:tcPr>
            <w:tcW w:w="2293" w:type="dxa"/>
            <w:vMerge w:val="continue"/>
            <w:tcBorders>
              <w:tl2br w:val="nil"/>
              <w:tr2bl w:val="nil"/>
            </w:tcBorders>
            <w:vAlign w:val="center"/>
          </w:tcPr>
          <w:p w14:paraId="3D3AD402">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p>
        </w:tc>
      </w:tr>
      <w:tr w14:paraId="266696A4">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22" w:type="dxa"/>
            <w:vMerge w:val="continue"/>
            <w:tcBorders>
              <w:tl2br w:val="nil"/>
              <w:tr2bl w:val="nil"/>
            </w:tcBorders>
            <w:vAlign w:val="center"/>
          </w:tcPr>
          <w:p w14:paraId="772331F5">
            <w:pPr>
              <w:widowControl/>
              <w:jc w:val="center"/>
              <w:rPr>
                <w:rFonts w:hint="default" w:ascii="Times New Roman" w:hAnsi="Times New Roman" w:eastAsia="宋体" w:cs="Times New Roman"/>
                <w:color w:val="auto"/>
                <w:kern w:val="0"/>
                <w:sz w:val="21"/>
                <w:szCs w:val="21"/>
                <w:highlight w:val="none"/>
                <w:lang w:val="en-US" w:eastAsia="zh-CN"/>
              </w:rPr>
            </w:pPr>
          </w:p>
        </w:tc>
        <w:tc>
          <w:tcPr>
            <w:tcW w:w="1459" w:type="dxa"/>
            <w:vMerge w:val="continue"/>
            <w:tcBorders>
              <w:tl2br w:val="nil"/>
              <w:tr2bl w:val="nil"/>
            </w:tcBorders>
            <w:vAlign w:val="center"/>
          </w:tcPr>
          <w:p w14:paraId="61A9057D">
            <w:pPr>
              <w:widowControl w:val="0"/>
              <w:jc w:val="center"/>
              <w:rPr>
                <w:rFonts w:hint="default" w:ascii="Times New Roman" w:hAnsi="Times New Roman" w:eastAsia="宋体" w:cs="Times New Roman"/>
                <w:color w:val="auto"/>
                <w:kern w:val="0"/>
                <w:sz w:val="21"/>
                <w:szCs w:val="21"/>
                <w:highlight w:val="none"/>
                <w:lang w:val="en-US" w:eastAsia="zh-CN"/>
              </w:rPr>
            </w:pPr>
          </w:p>
        </w:tc>
        <w:tc>
          <w:tcPr>
            <w:tcW w:w="1500" w:type="dxa"/>
            <w:tcBorders>
              <w:tl2br w:val="nil"/>
              <w:tr2bl w:val="nil"/>
            </w:tcBorders>
            <w:vAlign w:val="center"/>
          </w:tcPr>
          <w:p w14:paraId="45F3EC2A">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其他炉窑</w:t>
            </w:r>
          </w:p>
        </w:tc>
        <w:tc>
          <w:tcPr>
            <w:tcW w:w="2577" w:type="dxa"/>
            <w:tcBorders>
              <w:tl2br w:val="nil"/>
              <w:tr2bl w:val="nil"/>
            </w:tcBorders>
            <w:vAlign w:val="center"/>
          </w:tcPr>
          <w:p w14:paraId="36BF0259">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0.10</w:t>
            </w:r>
          </w:p>
        </w:tc>
        <w:tc>
          <w:tcPr>
            <w:tcW w:w="2293" w:type="dxa"/>
            <w:vMerge w:val="continue"/>
            <w:tcBorders>
              <w:tl2br w:val="nil"/>
              <w:tr2bl w:val="nil"/>
            </w:tcBorders>
            <w:vAlign w:val="center"/>
          </w:tcPr>
          <w:p w14:paraId="06937EA6">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p>
        </w:tc>
      </w:tr>
      <w:tr w14:paraId="64A5BFF0">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22" w:type="dxa"/>
            <w:vMerge w:val="restart"/>
            <w:tcBorders>
              <w:tl2br w:val="nil"/>
              <w:tr2bl w:val="nil"/>
            </w:tcBorders>
            <w:vAlign w:val="center"/>
          </w:tcPr>
          <w:p w14:paraId="4EB77FBC">
            <w:pPr>
              <w:widowControl/>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7</w:t>
            </w:r>
          </w:p>
        </w:tc>
        <w:tc>
          <w:tcPr>
            <w:tcW w:w="1459" w:type="dxa"/>
            <w:vMerge w:val="restart"/>
            <w:tcBorders>
              <w:tl2br w:val="nil"/>
              <w:tr2bl w:val="nil"/>
            </w:tcBorders>
            <w:vAlign w:val="center"/>
          </w:tcPr>
          <w:p w14:paraId="5FA1E5D1">
            <w:pPr>
              <w:widowControl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汞及其化合物</w:t>
            </w:r>
          </w:p>
        </w:tc>
        <w:tc>
          <w:tcPr>
            <w:tcW w:w="1500" w:type="dxa"/>
            <w:tcBorders>
              <w:tl2br w:val="nil"/>
              <w:tr2bl w:val="nil"/>
            </w:tcBorders>
            <w:vAlign w:val="center"/>
          </w:tcPr>
          <w:p w14:paraId="79469B02">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金属熔炼炉</w:t>
            </w:r>
          </w:p>
        </w:tc>
        <w:tc>
          <w:tcPr>
            <w:tcW w:w="2577" w:type="dxa"/>
            <w:tcBorders>
              <w:tl2br w:val="nil"/>
              <w:tr2bl w:val="nil"/>
            </w:tcBorders>
            <w:vAlign w:val="center"/>
          </w:tcPr>
          <w:p w14:paraId="673905CD">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0.05</w:t>
            </w:r>
          </w:p>
        </w:tc>
        <w:tc>
          <w:tcPr>
            <w:tcW w:w="2293" w:type="dxa"/>
            <w:vMerge w:val="continue"/>
            <w:tcBorders>
              <w:tl2br w:val="nil"/>
              <w:tr2bl w:val="nil"/>
            </w:tcBorders>
            <w:vAlign w:val="center"/>
          </w:tcPr>
          <w:p w14:paraId="45E70935">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p>
        </w:tc>
      </w:tr>
      <w:bookmarkEnd w:id="844"/>
      <w:bookmarkEnd w:id="845"/>
      <w:tr w14:paraId="3470248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22" w:type="dxa"/>
            <w:vMerge w:val="continue"/>
            <w:tcBorders>
              <w:tl2br w:val="nil"/>
              <w:tr2bl w:val="nil"/>
            </w:tcBorders>
            <w:vAlign w:val="center"/>
          </w:tcPr>
          <w:p w14:paraId="0C986557">
            <w:pPr>
              <w:widowControl/>
              <w:jc w:val="center"/>
              <w:rPr>
                <w:rFonts w:hint="default" w:ascii="Times New Roman" w:hAnsi="Times New Roman" w:eastAsia="宋体" w:cs="Times New Roman"/>
                <w:color w:val="auto"/>
                <w:kern w:val="0"/>
                <w:sz w:val="21"/>
                <w:szCs w:val="21"/>
                <w:highlight w:val="none"/>
                <w:lang w:val="en-US" w:eastAsia="zh-CN"/>
              </w:rPr>
            </w:pPr>
          </w:p>
        </w:tc>
        <w:tc>
          <w:tcPr>
            <w:tcW w:w="1459" w:type="dxa"/>
            <w:vMerge w:val="continue"/>
            <w:tcBorders>
              <w:tl2br w:val="nil"/>
              <w:tr2bl w:val="nil"/>
            </w:tcBorders>
            <w:vAlign w:val="center"/>
          </w:tcPr>
          <w:p w14:paraId="30F6CE51">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p>
        </w:tc>
        <w:tc>
          <w:tcPr>
            <w:tcW w:w="1500" w:type="dxa"/>
            <w:tcBorders>
              <w:tl2br w:val="nil"/>
              <w:tr2bl w:val="nil"/>
            </w:tcBorders>
            <w:vAlign w:val="center"/>
          </w:tcPr>
          <w:p w14:paraId="028B9ABC">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其他炉窑</w:t>
            </w:r>
          </w:p>
        </w:tc>
        <w:tc>
          <w:tcPr>
            <w:tcW w:w="2577" w:type="dxa"/>
            <w:tcBorders>
              <w:tl2br w:val="nil"/>
              <w:tr2bl w:val="nil"/>
            </w:tcBorders>
            <w:vAlign w:val="center"/>
          </w:tcPr>
          <w:p w14:paraId="27DC9D8C">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0.01</w:t>
            </w:r>
          </w:p>
        </w:tc>
        <w:tc>
          <w:tcPr>
            <w:tcW w:w="2293" w:type="dxa"/>
            <w:vMerge w:val="continue"/>
            <w:tcBorders>
              <w:tl2br w:val="nil"/>
              <w:tr2bl w:val="nil"/>
            </w:tcBorders>
            <w:vAlign w:val="center"/>
          </w:tcPr>
          <w:p w14:paraId="068508D6">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p>
        </w:tc>
      </w:tr>
      <w:bookmarkEnd w:id="846"/>
      <w:bookmarkEnd w:id="847"/>
      <w:tr w14:paraId="5442A33C">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PrEx>
        <w:tc>
          <w:tcPr>
            <w:tcW w:w="822" w:type="dxa"/>
            <w:tcBorders>
              <w:tl2br w:val="nil"/>
              <w:tr2bl w:val="nil"/>
            </w:tcBorders>
            <w:vAlign w:val="center"/>
          </w:tcPr>
          <w:p w14:paraId="48840226">
            <w:pPr>
              <w:widowControl/>
              <w:jc w:val="center"/>
              <w:rPr>
                <w:rFonts w:hint="default" w:ascii="Times New Roman" w:hAnsi="Times New Roman" w:eastAsia="宋体" w:cs="Times New Roman"/>
                <w:color w:val="auto"/>
                <w:kern w:val="0"/>
                <w:sz w:val="21"/>
                <w:szCs w:val="21"/>
                <w:highlight w:val="none"/>
                <w:lang w:val="en-US" w:eastAsia="zh-CN"/>
              </w:rPr>
            </w:pPr>
            <w:bookmarkStart w:id="849" w:name="OLE_LINK274" w:colFirst="1" w:colLast="2"/>
            <w:r>
              <w:rPr>
                <w:rFonts w:hint="default" w:ascii="Times New Roman" w:hAnsi="Times New Roman" w:eastAsia="宋体" w:cs="Times New Roman"/>
                <w:color w:val="auto"/>
                <w:kern w:val="0"/>
                <w:sz w:val="21"/>
                <w:szCs w:val="21"/>
                <w:highlight w:val="none"/>
                <w:lang w:val="en-US" w:eastAsia="zh-CN"/>
              </w:rPr>
              <w:t>8</w:t>
            </w:r>
          </w:p>
        </w:tc>
        <w:tc>
          <w:tcPr>
            <w:tcW w:w="2959" w:type="dxa"/>
            <w:gridSpan w:val="2"/>
            <w:tcBorders>
              <w:tl2br w:val="nil"/>
              <w:tr2bl w:val="nil"/>
            </w:tcBorders>
            <w:vAlign w:val="center"/>
          </w:tcPr>
          <w:p w14:paraId="01250341">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铍及其化合物</w:t>
            </w:r>
          </w:p>
        </w:tc>
        <w:tc>
          <w:tcPr>
            <w:tcW w:w="2577" w:type="dxa"/>
            <w:tcBorders>
              <w:tl2br w:val="nil"/>
              <w:tr2bl w:val="nil"/>
            </w:tcBorders>
            <w:vAlign w:val="center"/>
          </w:tcPr>
          <w:p w14:paraId="0EC207C2">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0.010</w:t>
            </w:r>
          </w:p>
        </w:tc>
        <w:tc>
          <w:tcPr>
            <w:tcW w:w="2293" w:type="dxa"/>
            <w:vMerge w:val="continue"/>
            <w:tcBorders>
              <w:tl2br w:val="nil"/>
              <w:tr2bl w:val="nil"/>
            </w:tcBorders>
            <w:vAlign w:val="center"/>
          </w:tcPr>
          <w:p w14:paraId="4DB337BC">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p>
        </w:tc>
      </w:tr>
      <w:tr w14:paraId="1550F60A">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22" w:type="dxa"/>
            <w:tcBorders>
              <w:tl2br w:val="nil"/>
              <w:tr2bl w:val="nil"/>
            </w:tcBorders>
            <w:vAlign w:val="center"/>
          </w:tcPr>
          <w:p w14:paraId="00DA147B">
            <w:pPr>
              <w:widowControl/>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9</w:t>
            </w:r>
          </w:p>
        </w:tc>
        <w:tc>
          <w:tcPr>
            <w:tcW w:w="2959" w:type="dxa"/>
            <w:gridSpan w:val="2"/>
            <w:tcBorders>
              <w:tl2br w:val="nil"/>
              <w:tr2bl w:val="nil"/>
            </w:tcBorders>
            <w:vAlign w:val="center"/>
          </w:tcPr>
          <w:p w14:paraId="79C9E3D8">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沥青烟</w:t>
            </w:r>
          </w:p>
        </w:tc>
        <w:tc>
          <w:tcPr>
            <w:tcW w:w="2577" w:type="dxa"/>
            <w:tcBorders>
              <w:tl2br w:val="nil"/>
              <w:tr2bl w:val="nil"/>
            </w:tcBorders>
            <w:vAlign w:val="center"/>
          </w:tcPr>
          <w:p w14:paraId="500B100B">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5</w:t>
            </w:r>
            <w:r>
              <w:rPr>
                <w:rFonts w:hint="default" w:ascii="Times New Roman" w:hAnsi="Times New Roman" w:eastAsia="宋体" w:cs="Times New Roman"/>
                <w:color w:val="auto"/>
                <w:sz w:val="21"/>
                <w:szCs w:val="21"/>
                <w:highlight w:val="none"/>
                <w:vertAlign w:val="superscript"/>
              </w:rPr>
              <w:t>a</w:t>
            </w:r>
            <w:r>
              <w:rPr>
                <w:rFonts w:hint="default" w:ascii="Times New Roman" w:hAnsi="Times New Roman" w:eastAsia="宋体" w:cs="Times New Roman"/>
                <w:color w:val="auto"/>
                <w:kern w:val="0"/>
                <w:sz w:val="21"/>
                <w:szCs w:val="21"/>
                <w:highlight w:val="none"/>
              </w:rPr>
              <w:t>/20</w:t>
            </w:r>
            <w:r>
              <w:rPr>
                <w:rFonts w:hint="default" w:ascii="Times New Roman" w:hAnsi="Times New Roman" w:eastAsia="宋体" w:cs="Times New Roman"/>
                <w:color w:val="auto"/>
                <w:sz w:val="21"/>
                <w:szCs w:val="21"/>
                <w:highlight w:val="none"/>
                <w:vertAlign w:val="superscript"/>
              </w:rPr>
              <w:t>b</w:t>
            </w:r>
          </w:p>
        </w:tc>
        <w:tc>
          <w:tcPr>
            <w:tcW w:w="2293" w:type="dxa"/>
            <w:vMerge w:val="continue"/>
            <w:tcBorders>
              <w:tl2br w:val="nil"/>
              <w:tr2bl w:val="nil"/>
            </w:tcBorders>
            <w:vAlign w:val="center"/>
          </w:tcPr>
          <w:p w14:paraId="045336C4">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p>
        </w:tc>
      </w:tr>
      <w:tr w14:paraId="49B6C8FC">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22" w:type="dxa"/>
            <w:tcBorders>
              <w:tl2br w:val="nil"/>
              <w:tr2bl w:val="nil"/>
            </w:tcBorders>
            <w:vAlign w:val="center"/>
          </w:tcPr>
          <w:p w14:paraId="1A791B35">
            <w:pPr>
              <w:widowControl/>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w:t>
            </w:r>
          </w:p>
        </w:tc>
        <w:tc>
          <w:tcPr>
            <w:tcW w:w="2959" w:type="dxa"/>
            <w:gridSpan w:val="2"/>
            <w:tcBorders>
              <w:tl2br w:val="nil"/>
              <w:tr2bl w:val="nil"/>
            </w:tcBorders>
            <w:vAlign w:val="center"/>
          </w:tcPr>
          <w:p w14:paraId="04D71338">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苯并（a）芘</w:t>
            </w:r>
          </w:p>
        </w:tc>
        <w:tc>
          <w:tcPr>
            <w:tcW w:w="2577" w:type="dxa"/>
            <w:tcBorders>
              <w:tl2br w:val="nil"/>
              <w:tr2bl w:val="nil"/>
            </w:tcBorders>
            <w:vAlign w:val="center"/>
          </w:tcPr>
          <w:p w14:paraId="06DEB663">
            <w:pPr>
              <w:widowControl/>
              <w:jc w:val="center"/>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0.000 3</w:t>
            </w:r>
          </w:p>
        </w:tc>
        <w:tc>
          <w:tcPr>
            <w:tcW w:w="2293" w:type="dxa"/>
            <w:vMerge w:val="continue"/>
            <w:tcBorders>
              <w:tl2br w:val="nil"/>
              <w:tr2bl w:val="nil"/>
            </w:tcBorders>
            <w:vAlign w:val="center"/>
          </w:tcPr>
          <w:p w14:paraId="0767438A">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center"/>
              <w:textAlignment w:val="baseline"/>
              <w:rPr>
                <w:rFonts w:hint="default" w:ascii="Times New Roman" w:hAnsi="Times New Roman" w:eastAsia="宋体" w:cs="Times New Roman"/>
                <w:color w:val="auto"/>
                <w:spacing w:val="-2"/>
                <w:sz w:val="21"/>
                <w:szCs w:val="21"/>
                <w:highlight w:val="none"/>
                <w:vertAlign w:val="baseline"/>
                <w:lang w:val="en-US" w:eastAsia="zh-CN"/>
              </w:rPr>
            </w:pPr>
          </w:p>
        </w:tc>
      </w:tr>
      <w:bookmarkEnd w:id="839"/>
      <w:bookmarkEnd w:id="843"/>
      <w:bookmarkEnd w:id="848"/>
      <w:bookmarkEnd w:id="849"/>
      <w:tr w14:paraId="60B3BC8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8651" w:type="dxa"/>
            <w:gridSpan w:val="5"/>
            <w:tcBorders>
              <w:tl2br w:val="nil"/>
              <w:tr2bl w:val="nil"/>
            </w:tcBorders>
            <w:vAlign w:val="center"/>
          </w:tcPr>
          <w:p w14:paraId="75CD30C6">
            <w:pPr>
              <w:widowControl/>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vertAlign w:val="superscript"/>
              </w:rPr>
              <w:t xml:space="preserve">a    </w:t>
            </w:r>
            <w:r>
              <w:rPr>
                <w:rFonts w:hint="default" w:ascii="Times New Roman" w:hAnsi="Times New Roman" w:eastAsia="宋体" w:cs="Times New Roman"/>
                <w:color w:val="auto"/>
                <w:sz w:val="21"/>
                <w:szCs w:val="21"/>
                <w:highlight w:val="none"/>
              </w:rPr>
              <w:t>   GB3095环境空气功能区一类区内市政、建筑施工临时用沥青加热炉以及一类区内1997年1月1日前安装的工业炉窑。</w:t>
            </w:r>
          </w:p>
          <w:p w14:paraId="7A3998CF">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240" w:lineRule="auto"/>
              <w:ind w:right="136" w:rightChars="0"/>
              <w:jc w:val="left"/>
              <w:textAlignment w:val="baseline"/>
              <w:rPr>
                <w:rFonts w:hint="default" w:ascii="Times New Roman" w:hAnsi="Times New Roman" w:eastAsia="宋体" w:cs="Times New Roman"/>
                <w:color w:val="auto"/>
                <w:spacing w:val="-2"/>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superscript"/>
              </w:rPr>
              <w:t xml:space="preserve">b    </w:t>
            </w:r>
            <w:r>
              <w:rPr>
                <w:rFonts w:hint="default" w:ascii="Times New Roman" w:hAnsi="Times New Roman" w:eastAsia="宋体" w:cs="Times New Roman"/>
                <w:color w:val="auto"/>
                <w:sz w:val="21"/>
                <w:szCs w:val="21"/>
                <w:highlight w:val="none"/>
              </w:rPr>
              <w:t>  GB3095环境空气功能区二类区。</w:t>
            </w:r>
          </w:p>
        </w:tc>
      </w:tr>
    </w:tbl>
    <w:p w14:paraId="04D777ED">
      <w:pPr>
        <w:jc w:val="center"/>
        <w:rPr>
          <w:rFonts w:hint="eastAsia" w:ascii="Times New Roman" w:hAnsi="Times New Roman" w:eastAsia="宋体" w:cs="Times New Roman"/>
          <w:color w:val="auto"/>
          <w:spacing w:val="-2"/>
          <w:sz w:val="24"/>
          <w:szCs w:val="24"/>
          <w:highlight w:val="none"/>
          <w:lang w:val="en-US" w:eastAsia="zh-CN"/>
        </w:rPr>
      </w:pPr>
      <w:bookmarkStart w:id="850" w:name="OLE_LINK283"/>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2-41  工业炉窑无组织排放总悬浮颗粒物浓度限值（</w:t>
      </w:r>
      <w:bookmarkStart w:id="851" w:name="OLE_LINK282"/>
      <w:r>
        <w:rPr>
          <w:rFonts w:hint="eastAsia" w:ascii="宋体" w:hAnsi="宋体"/>
          <w:b/>
          <w:bCs/>
          <w:color w:val="auto"/>
          <w:sz w:val="24"/>
          <w:szCs w:val="24"/>
          <w:highlight w:val="none"/>
        </w:rPr>
        <w:t>单位</w:t>
      </w:r>
      <w:r>
        <w:rPr>
          <w:rFonts w:hint="eastAsia" w:ascii="宋体" w:hAnsi="宋体" w:eastAsia="宋体"/>
          <w:b/>
          <w:bCs/>
          <w:color w:val="auto"/>
          <w:sz w:val="24"/>
          <w:szCs w:val="24"/>
          <w:highlight w:val="none"/>
          <w:lang w:eastAsia="zh-CN"/>
        </w:rPr>
        <w:t>：</w:t>
      </w:r>
      <w:r>
        <w:rPr>
          <w:rFonts w:hint="default" w:ascii="Times New Roman" w:hAnsi="Times New Roman" w:cs="Times New Roman"/>
          <w:b/>
          <w:bCs/>
          <w:color w:val="auto"/>
          <w:sz w:val="24"/>
          <w:szCs w:val="24"/>
          <w:highlight w:val="none"/>
        </w:rPr>
        <w:t>mg/m</w:t>
      </w:r>
      <w:r>
        <w:rPr>
          <w:rFonts w:hint="default" w:ascii="Times New Roman" w:hAnsi="Times New Roman" w:cs="Times New Roman"/>
          <w:b/>
          <w:bCs/>
          <w:color w:val="auto"/>
          <w:sz w:val="24"/>
          <w:szCs w:val="24"/>
          <w:highlight w:val="none"/>
          <w:vertAlign w:val="superscript"/>
        </w:rPr>
        <w:t>3</w:t>
      </w:r>
      <w:bookmarkEnd w:id="851"/>
      <w:r>
        <w:rPr>
          <w:rFonts w:hint="eastAsia" w:ascii="Times New Roman" w:hAnsi="Times New Roman" w:eastAsia="宋体" w:cs="Times New Roman"/>
          <w:b/>
          <w:bCs/>
          <w:color w:val="auto"/>
          <w:spacing w:val="-4"/>
          <w:sz w:val="24"/>
          <w:szCs w:val="24"/>
          <w:highlight w:val="none"/>
          <w:lang w:val="en-US" w:eastAsia="zh-CN"/>
        </w:rPr>
        <w:t>）</w:t>
      </w:r>
      <w:bookmarkEnd w:id="850"/>
      <w:bookmarkStart w:id="852" w:name="pindex2853"/>
      <w:bookmarkEnd w:id="852"/>
    </w:p>
    <w:tbl>
      <w:tblPr>
        <w:tblStyle w:val="19"/>
        <w:tblW w:w="8620" w:type="dxa"/>
        <w:jc w:val="center"/>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
      <w:tblGrid>
        <w:gridCol w:w="711"/>
        <w:gridCol w:w="2804"/>
        <w:gridCol w:w="2268"/>
        <w:gridCol w:w="2837"/>
      </w:tblGrid>
      <w:tr w14:paraId="4C5CB5ED">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171" w:hRule="atLeast"/>
          <w:jc w:val="center"/>
        </w:trPr>
        <w:tc>
          <w:tcPr>
            <w:tcW w:w="711" w:type="dxa"/>
            <w:tcBorders>
              <w:tl2br w:val="nil"/>
              <w:tr2bl w:val="nil"/>
            </w:tcBorders>
            <w:noWrap w:val="0"/>
            <w:vAlign w:val="center"/>
          </w:tcPr>
          <w:p w14:paraId="095C699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序号</w:t>
            </w:r>
          </w:p>
        </w:tc>
        <w:tc>
          <w:tcPr>
            <w:tcW w:w="2804" w:type="dxa"/>
            <w:tcBorders>
              <w:tl2br w:val="nil"/>
              <w:tr2bl w:val="nil"/>
            </w:tcBorders>
            <w:noWrap w:val="0"/>
            <w:vAlign w:val="center"/>
          </w:tcPr>
          <w:p w14:paraId="464D94E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工业炉窑安装位置</w:t>
            </w:r>
          </w:p>
        </w:tc>
        <w:tc>
          <w:tcPr>
            <w:tcW w:w="2268" w:type="dxa"/>
            <w:tcBorders>
              <w:tl2br w:val="nil"/>
              <w:tr2bl w:val="nil"/>
            </w:tcBorders>
            <w:noWrap w:val="0"/>
            <w:vAlign w:val="center"/>
          </w:tcPr>
          <w:p w14:paraId="06EB9F1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工业炉窑类别</w:t>
            </w:r>
          </w:p>
        </w:tc>
        <w:tc>
          <w:tcPr>
            <w:tcW w:w="2837" w:type="dxa"/>
            <w:tcBorders>
              <w:tl2br w:val="nil"/>
              <w:tr2bl w:val="nil"/>
            </w:tcBorders>
            <w:noWrap w:val="0"/>
            <w:vAlign w:val="center"/>
          </w:tcPr>
          <w:p w14:paraId="63E4EF3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总悬浮颗粒物浓度限值</w:t>
            </w:r>
          </w:p>
        </w:tc>
      </w:tr>
      <w:tr w14:paraId="49355FC1">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161" w:hRule="atLeast"/>
          <w:jc w:val="center"/>
        </w:trPr>
        <w:tc>
          <w:tcPr>
            <w:tcW w:w="711" w:type="dxa"/>
            <w:tcBorders>
              <w:tl2br w:val="nil"/>
              <w:tr2bl w:val="nil"/>
            </w:tcBorders>
            <w:noWrap w:val="0"/>
            <w:vAlign w:val="center"/>
          </w:tcPr>
          <w:p w14:paraId="1EBE8CF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2804" w:type="dxa"/>
            <w:vMerge w:val="restart"/>
            <w:tcBorders>
              <w:tl2br w:val="nil"/>
              <w:tr2bl w:val="nil"/>
            </w:tcBorders>
            <w:noWrap w:val="0"/>
            <w:vAlign w:val="center"/>
          </w:tcPr>
          <w:p w14:paraId="079105E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有厂房生产车间</w:t>
            </w:r>
          </w:p>
        </w:tc>
        <w:tc>
          <w:tcPr>
            <w:tcW w:w="2268" w:type="dxa"/>
            <w:tcBorders>
              <w:tl2br w:val="nil"/>
              <w:tr2bl w:val="nil"/>
            </w:tcBorders>
            <w:noWrap w:val="0"/>
            <w:vAlign w:val="center"/>
          </w:tcPr>
          <w:p w14:paraId="25558C8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金属熔炼炉</w:t>
            </w:r>
          </w:p>
        </w:tc>
        <w:tc>
          <w:tcPr>
            <w:tcW w:w="2837" w:type="dxa"/>
            <w:tcBorders>
              <w:tl2br w:val="nil"/>
              <w:tr2bl w:val="nil"/>
            </w:tcBorders>
            <w:noWrap w:val="0"/>
            <w:vAlign w:val="center"/>
          </w:tcPr>
          <w:p w14:paraId="01D1D48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8.0</w:t>
            </w:r>
          </w:p>
        </w:tc>
      </w:tr>
      <w:tr w14:paraId="038A66C9">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226" w:hRule="atLeast"/>
          <w:jc w:val="center"/>
        </w:trPr>
        <w:tc>
          <w:tcPr>
            <w:tcW w:w="711" w:type="dxa"/>
            <w:tcBorders>
              <w:tl2br w:val="nil"/>
              <w:tr2bl w:val="nil"/>
            </w:tcBorders>
            <w:noWrap w:val="0"/>
            <w:vAlign w:val="center"/>
          </w:tcPr>
          <w:p w14:paraId="4738BCE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2804" w:type="dxa"/>
            <w:vMerge w:val="continue"/>
            <w:tcBorders>
              <w:tl2br w:val="nil"/>
              <w:tr2bl w:val="nil"/>
            </w:tcBorders>
            <w:noWrap w:val="0"/>
            <w:vAlign w:val="center"/>
          </w:tcPr>
          <w:p w14:paraId="5929289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p>
        </w:tc>
        <w:tc>
          <w:tcPr>
            <w:tcW w:w="2268" w:type="dxa"/>
            <w:tcBorders>
              <w:tl2br w:val="nil"/>
              <w:tr2bl w:val="nil"/>
            </w:tcBorders>
            <w:noWrap w:val="0"/>
            <w:vAlign w:val="center"/>
          </w:tcPr>
          <w:p w14:paraId="124100D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其他炉窑</w:t>
            </w:r>
          </w:p>
        </w:tc>
        <w:tc>
          <w:tcPr>
            <w:tcW w:w="2837" w:type="dxa"/>
            <w:tcBorders>
              <w:tl2br w:val="nil"/>
              <w:tr2bl w:val="nil"/>
            </w:tcBorders>
            <w:noWrap w:val="0"/>
            <w:vAlign w:val="center"/>
          </w:tcPr>
          <w:p w14:paraId="059D230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r>
      <w:tr w14:paraId="25AC018E">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221" w:hRule="atLeast"/>
          <w:jc w:val="center"/>
        </w:trPr>
        <w:tc>
          <w:tcPr>
            <w:tcW w:w="711" w:type="dxa"/>
            <w:tcBorders>
              <w:tl2br w:val="nil"/>
              <w:tr2bl w:val="nil"/>
            </w:tcBorders>
            <w:noWrap w:val="0"/>
            <w:vAlign w:val="center"/>
          </w:tcPr>
          <w:p w14:paraId="558CC4B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p>
        </w:tc>
        <w:tc>
          <w:tcPr>
            <w:tcW w:w="2804" w:type="dxa"/>
            <w:tcBorders>
              <w:tl2br w:val="nil"/>
              <w:tr2bl w:val="nil"/>
            </w:tcBorders>
            <w:noWrap w:val="0"/>
            <w:vAlign w:val="center"/>
          </w:tcPr>
          <w:p w14:paraId="563B98E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无完整厂房生产车间</w:t>
            </w:r>
          </w:p>
        </w:tc>
        <w:tc>
          <w:tcPr>
            <w:tcW w:w="2268" w:type="dxa"/>
            <w:tcBorders>
              <w:tl2br w:val="nil"/>
              <w:tr2bl w:val="nil"/>
            </w:tcBorders>
            <w:noWrap w:val="0"/>
            <w:vAlign w:val="center"/>
          </w:tcPr>
          <w:p w14:paraId="1B8E658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各种工业炉窑</w:t>
            </w:r>
          </w:p>
        </w:tc>
        <w:tc>
          <w:tcPr>
            <w:tcW w:w="2837" w:type="dxa"/>
            <w:tcBorders>
              <w:tl2br w:val="nil"/>
              <w:tr2bl w:val="nil"/>
            </w:tcBorders>
            <w:noWrap w:val="0"/>
            <w:vAlign w:val="center"/>
          </w:tcPr>
          <w:p w14:paraId="1203B8F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r>
      <w:bookmarkEnd w:id="835"/>
    </w:tbl>
    <w:p w14:paraId="04E18B7B">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360" w:lineRule="auto"/>
        <w:ind w:right="136" w:rightChars="0" w:firstLine="472" w:firstLineChars="200"/>
        <w:jc w:val="both"/>
        <w:textAlignment w:val="baseline"/>
        <w:outlineLvl w:val="9"/>
        <w:rPr>
          <w:rFonts w:hint="default" w:ascii="Times New Roman" w:hAnsi="Times New Roman" w:eastAsia="宋体" w:cs="Times New Roman"/>
          <w:color w:val="auto"/>
          <w:spacing w:val="-2"/>
          <w:sz w:val="24"/>
          <w:szCs w:val="24"/>
          <w:highlight w:val="none"/>
          <w:lang w:val="en-US" w:eastAsia="zh-CN"/>
        </w:rPr>
      </w:pPr>
      <w:bookmarkStart w:id="853" w:name="OLE_LINK284"/>
      <w:r>
        <w:rPr>
          <w:rFonts w:hint="default" w:ascii="Times New Roman" w:hAnsi="Times New Roman" w:eastAsia="宋体" w:cs="Times New Roman"/>
          <w:snapToGrid w:val="0"/>
          <w:color w:val="auto"/>
          <w:spacing w:val="-2"/>
          <w:kern w:val="0"/>
          <w:sz w:val="24"/>
          <w:szCs w:val="24"/>
          <w:highlight w:val="none"/>
          <w:lang w:val="en-US" w:eastAsia="zh-CN" w:bidi="ar-SA"/>
        </w:rPr>
        <w:t>（1</w:t>
      </w:r>
      <w:r>
        <w:rPr>
          <w:rFonts w:hint="eastAsia" w:ascii="Times New Roman" w:hAnsi="Times New Roman" w:eastAsia="宋体" w:cs="Times New Roman"/>
          <w:snapToGrid w:val="0"/>
          <w:color w:val="auto"/>
          <w:spacing w:val="-2"/>
          <w:kern w:val="0"/>
          <w:sz w:val="24"/>
          <w:szCs w:val="24"/>
          <w:highlight w:val="none"/>
          <w:lang w:val="en-US" w:eastAsia="zh-CN" w:bidi="ar-SA"/>
        </w:rPr>
        <w:t>2</w:t>
      </w:r>
      <w:r>
        <w:rPr>
          <w:rFonts w:hint="default" w:ascii="Times New Roman" w:hAnsi="Times New Roman" w:eastAsia="宋体" w:cs="Times New Roman"/>
          <w:snapToGrid w:val="0"/>
          <w:color w:val="auto"/>
          <w:spacing w:val="-2"/>
          <w:kern w:val="0"/>
          <w:sz w:val="24"/>
          <w:szCs w:val="24"/>
          <w:highlight w:val="none"/>
          <w:lang w:val="en-US" w:eastAsia="zh-CN" w:bidi="ar-SA"/>
        </w:rPr>
        <w:t>）</w:t>
      </w:r>
      <w:r>
        <w:rPr>
          <w:rFonts w:hint="default" w:ascii="Times New Roman" w:hAnsi="Times New Roman" w:eastAsia="宋体" w:cs="Times New Roman"/>
          <w:color w:val="auto"/>
          <w:spacing w:val="-2"/>
          <w:sz w:val="24"/>
          <w:szCs w:val="24"/>
          <w:highlight w:val="none"/>
          <w:lang w:val="en-US" w:eastAsia="zh-CN"/>
        </w:rPr>
        <w:t>供热企业</w:t>
      </w:r>
      <w:bookmarkStart w:id="854" w:name="pindex2870"/>
      <w:bookmarkEnd w:id="854"/>
    </w:p>
    <w:bookmarkEnd w:id="668"/>
    <w:bookmarkEnd w:id="853"/>
    <w:p w14:paraId="3C1694DF">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472" w:firstLineChars="200"/>
        <w:jc w:val="both"/>
        <w:textAlignment w:val="baseline"/>
        <w:rPr>
          <w:rFonts w:hint="eastAsia" w:ascii="Times New Roman" w:hAnsi="Times New Roman" w:eastAsia="宋体" w:cs="Times New Roman"/>
          <w:color w:val="auto"/>
          <w:spacing w:val="-2"/>
          <w:sz w:val="24"/>
          <w:szCs w:val="24"/>
          <w:highlight w:val="none"/>
          <w:lang w:val="en-US" w:eastAsia="zh-CN"/>
        </w:rPr>
      </w:pPr>
      <w:bookmarkStart w:id="855" w:name="OLE_LINK156"/>
      <w:bookmarkStart w:id="856" w:name="OLE_LINK756"/>
      <w:bookmarkStart w:id="857" w:name="sys28710118"/>
      <w:r>
        <w:rPr>
          <w:rFonts w:hint="default" w:ascii="Times New Roman" w:hAnsi="Times New Roman" w:eastAsia="宋体" w:cs="Times New Roman"/>
          <w:color w:val="auto"/>
          <w:spacing w:val="-2"/>
          <w:sz w:val="24"/>
          <w:szCs w:val="24"/>
          <w:highlight w:val="none"/>
          <w:lang w:val="en-US" w:eastAsia="zh-CN"/>
        </w:rPr>
        <w:t>区内集中供热企业有</w:t>
      </w:r>
      <w:bookmarkStart w:id="858" w:name="OLE_LINK159"/>
      <w:r>
        <w:rPr>
          <w:rFonts w:hint="default" w:ascii="Times New Roman" w:hAnsi="Times New Roman" w:eastAsia="宋体" w:cs="Times New Roman"/>
          <w:color w:val="auto"/>
          <w:spacing w:val="-2"/>
          <w:sz w:val="24"/>
          <w:szCs w:val="24"/>
          <w:highlight w:val="none"/>
          <w:lang w:val="en-US" w:eastAsia="zh-CN"/>
        </w:rPr>
        <w:t>南京</w:t>
      </w:r>
      <w:bookmarkStart w:id="859" w:name="OLE_LINK157"/>
      <w:r>
        <w:rPr>
          <w:rFonts w:hint="default" w:ascii="Times New Roman" w:hAnsi="Times New Roman" w:eastAsia="宋体" w:cs="Times New Roman"/>
          <w:color w:val="auto"/>
          <w:spacing w:val="-2"/>
          <w:sz w:val="24"/>
          <w:szCs w:val="24"/>
          <w:highlight w:val="none"/>
          <w:lang w:val="en-US" w:eastAsia="zh-CN"/>
        </w:rPr>
        <w:t>协鑫</w:t>
      </w:r>
      <w:bookmarkEnd w:id="859"/>
      <w:r>
        <w:rPr>
          <w:rFonts w:hint="default" w:ascii="Times New Roman" w:hAnsi="Times New Roman" w:eastAsia="宋体" w:cs="Times New Roman"/>
          <w:color w:val="auto"/>
          <w:spacing w:val="-2"/>
          <w:sz w:val="24"/>
          <w:szCs w:val="24"/>
          <w:highlight w:val="none"/>
          <w:lang w:val="en-US" w:eastAsia="zh-CN"/>
        </w:rPr>
        <w:t>燃机热电有限公</w:t>
      </w:r>
      <w:bookmarkEnd w:id="855"/>
      <w:r>
        <w:rPr>
          <w:rFonts w:hint="default" w:ascii="Times New Roman" w:hAnsi="Times New Roman" w:eastAsia="宋体" w:cs="Times New Roman"/>
          <w:color w:val="auto"/>
          <w:spacing w:val="-2"/>
          <w:sz w:val="24"/>
          <w:szCs w:val="24"/>
          <w:highlight w:val="none"/>
          <w:lang w:val="en-US" w:eastAsia="zh-CN"/>
        </w:rPr>
        <w:t>司</w:t>
      </w:r>
      <w:bookmarkEnd w:id="858"/>
      <w:r>
        <w:rPr>
          <w:rFonts w:hint="default" w:ascii="Times New Roman" w:hAnsi="Times New Roman" w:eastAsia="宋体" w:cs="Times New Roman"/>
          <w:color w:val="auto"/>
          <w:spacing w:val="-2"/>
          <w:sz w:val="24"/>
          <w:szCs w:val="24"/>
          <w:highlight w:val="none"/>
          <w:lang w:val="en-US" w:eastAsia="zh-CN"/>
        </w:rPr>
        <w:t>锅炉</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排放的烟尘、SO</w:t>
      </w:r>
      <w:r>
        <w:rPr>
          <w:rFonts w:hint="eastAsia" w:ascii="Times New Roman" w:hAnsi="Times New Roman" w:eastAsia="宋体" w:cs="Times New Roman"/>
          <w:color w:val="auto"/>
          <w:spacing w:val="-2"/>
          <w:sz w:val="24"/>
          <w:szCs w:val="24"/>
          <w:highlight w:val="none"/>
          <w:vertAlign w:val="subscript"/>
          <w:lang w:val="en-US" w:eastAsia="zh-CN"/>
        </w:rPr>
        <w:t>2</w:t>
      </w:r>
      <w:r>
        <w:rPr>
          <w:rFonts w:hint="default" w:ascii="Times New Roman" w:hAnsi="Times New Roman" w:eastAsia="宋体" w:cs="Times New Roman"/>
          <w:color w:val="auto"/>
          <w:spacing w:val="-2"/>
          <w:sz w:val="24"/>
          <w:szCs w:val="24"/>
          <w:highlight w:val="none"/>
          <w:lang w:val="en-US" w:eastAsia="zh-CN"/>
        </w:rPr>
        <w:t>、NOx执行</w:t>
      </w:r>
      <w:bookmarkStart w:id="860" w:name="OLE_LINK285"/>
      <w:r>
        <w:rPr>
          <w:rFonts w:hint="default" w:ascii="Times New Roman" w:hAnsi="Times New Roman" w:eastAsia="宋体" w:cs="Times New Roman"/>
          <w:color w:val="auto"/>
          <w:spacing w:val="-2"/>
          <w:sz w:val="24"/>
          <w:szCs w:val="24"/>
          <w:highlight w:val="none"/>
          <w:lang w:val="en-US" w:eastAsia="zh-CN"/>
        </w:rPr>
        <w:t>《火电厂大气污染物排放标准》</w:t>
      </w:r>
      <w:r>
        <w:rPr>
          <w:rFonts w:hint="eastAsia" w:ascii="Times New Roman" w:hAnsi="Times New Roman" w:eastAsia="宋体" w:cs="Times New Roman"/>
          <w:color w:val="auto"/>
          <w:spacing w:val="-2"/>
          <w:sz w:val="24"/>
          <w:szCs w:val="24"/>
          <w:highlight w:val="none"/>
          <w:lang w:val="en-US" w:eastAsia="zh-CN"/>
        </w:rPr>
        <w:t>（</w:t>
      </w:r>
      <w:r>
        <w:rPr>
          <w:rFonts w:hint="default" w:ascii="Times New Roman" w:hAnsi="Times New Roman" w:eastAsia="宋体" w:cs="Times New Roman"/>
          <w:color w:val="auto"/>
          <w:spacing w:val="-2"/>
          <w:sz w:val="24"/>
          <w:szCs w:val="24"/>
          <w:highlight w:val="none"/>
          <w:lang w:val="en-US" w:eastAsia="zh-CN"/>
        </w:rPr>
        <w:t>GB13223-2011</w:t>
      </w:r>
      <w:r>
        <w:rPr>
          <w:rFonts w:hint="eastAsia" w:ascii="Times New Roman" w:hAnsi="Times New Roman" w:eastAsia="宋体" w:cs="Times New Roman"/>
          <w:color w:val="auto"/>
          <w:spacing w:val="-2"/>
          <w:sz w:val="24"/>
          <w:szCs w:val="24"/>
          <w:highlight w:val="none"/>
          <w:lang w:val="en-US" w:eastAsia="zh-CN"/>
        </w:rPr>
        <w:t>）</w:t>
      </w:r>
      <w:bookmarkEnd w:id="860"/>
      <w:r>
        <w:rPr>
          <w:rFonts w:hint="default" w:ascii="Times New Roman" w:hAnsi="Times New Roman" w:eastAsia="宋体" w:cs="Times New Roman"/>
          <w:color w:val="auto"/>
          <w:spacing w:val="-2"/>
          <w:sz w:val="24"/>
          <w:szCs w:val="24"/>
          <w:highlight w:val="none"/>
          <w:lang w:val="en-US" w:eastAsia="zh-CN"/>
        </w:rPr>
        <w:t>中表2的特别排放限值</w:t>
      </w:r>
      <w:r>
        <w:rPr>
          <w:rFonts w:hint="eastAsia" w:ascii="Times New Roman" w:hAnsi="Times New Roman" w:eastAsia="宋体" w:cs="Times New Roman"/>
          <w:color w:val="auto"/>
          <w:spacing w:val="-2"/>
          <w:sz w:val="24"/>
          <w:szCs w:val="24"/>
          <w:highlight w:val="none"/>
          <w:lang w:val="en-US" w:eastAsia="zh-CN"/>
        </w:rPr>
        <w:t>、</w:t>
      </w:r>
      <w:bookmarkStart w:id="861" w:name="OLE_LINK161"/>
      <w:r>
        <w:rPr>
          <w:rFonts w:hint="eastAsia" w:ascii="Times New Roman" w:hAnsi="Times New Roman" w:eastAsia="宋体" w:cs="Times New Roman"/>
          <w:color w:val="auto"/>
          <w:spacing w:val="-2"/>
          <w:sz w:val="24"/>
          <w:szCs w:val="24"/>
          <w:highlight w:val="none"/>
          <w:lang w:val="en-US" w:eastAsia="zh-CN"/>
        </w:rPr>
        <w:t>《固定式燃气轮机大气污染物排放标准》（DB32/3967-2021）</w:t>
      </w:r>
      <w:bookmarkEnd w:id="861"/>
      <w:r>
        <w:rPr>
          <w:rFonts w:hint="eastAsia" w:ascii="Times New Roman" w:hAnsi="Times New Roman" w:eastAsia="宋体" w:cs="Times New Roman"/>
          <w:color w:val="auto"/>
          <w:spacing w:val="-2"/>
          <w:sz w:val="24"/>
          <w:szCs w:val="24"/>
          <w:highlight w:val="none"/>
          <w:lang w:val="en-US" w:eastAsia="zh-CN"/>
        </w:rPr>
        <w:t>中限值标准</w:t>
      </w:r>
      <w:bookmarkEnd w:id="669"/>
      <w:bookmarkEnd w:id="856"/>
      <w:r>
        <w:rPr>
          <w:rFonts w:hint="eastAsia" w:ascii="Times New Roman" w:hAnsi="Times New Roman" w:eastAsia="宋体" w:cs="Times New Roman"/>
          <w:color w:val="auto"/>
          <w:spacing w:val="-2"/>
          <w:sz w:val="24"/>
          <w:szCs w:val="24"/>
          <w:highlight w:val="none"/>
          <w:lang w:val="en-US" w:eastAsia="zh-CN"/>
        </w:rPr>
        <w:t>。</w:t>
      </w:r>
      <w:bookmarkEnd w:id="857"/>
    </w:p>
    <w:p w14:paraId="2D5C8533">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eastAsia" w:ascii="Times New Roman" w:hAnsi="Times New Roman" w:eastAsia="宋体" w:cs="Times New Roman"/>
          <w:b/>
          <w:bCs/>
          <w:color w:val="auto"/>
          <w:spacing w:val="-4"/>
          <w:sz w:val="24"/>
          <w:szCs w:val="24"/>
          <w:highlight w:val="none"/>
          <w:lang w:val="en-US" w:eastAsia="zh-CN"/>
        </w:rPr>
      </w:pPr>
      <w:bookmarkStart w:id="862" w:name="OLE_LINK118"/>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2-42  </w:t>
      </w:r>
      <w:r>
        <w:rPr>
          <w:rFonts w:hint="default" w:ascii="Times New Roman" w:hAnsi="Times New Roman" w:eastAsia="宋体" w:cs="Times New Roman"/>
          <w:b/>
          <w:bCs/>
          <w:color w:val="auto"/>
          <w:spacing w:val="-4"/>
          <w:sz w:val="24"/>
          <w:szCs w:val="24"/>
          <w:highlight w:val="none"/>
          <w:lang w:val="en-US" w:eastAsia="zh-CN"/>
        </w:rPr>
        <w:t xml:space="preserve"> </w:t>
      </w:r>
      <w:r>
        <w:rPr>
          <w:rFonts w:hint="eastAsia" w:ascii="Times New Roman" w:hAnsi="Times New Roman" w:eastAsia="宋体" w:cs="Times New Roman"/>
          <w:b/>
          <w:bCs/>
          <w:color w:val="auto"/>
          <w:spacing w:val="-4"/>
          <w:sz w:val="24"/>
          <w:szCs w:val="24"/>
          <w:highlight w:val="none"/>
          <w:lang w:val="en-US" w:eastAsia="zh-CN"/>
        </w:rPr>
        <w:t>热电厂锅炉尾气排放限值</w:t>
      </w:r>
      <w:bookmarkStart w:id="863" w:name="pindex2872"/>
      <w:bookmarkEnd w:id="863"/>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1695"/>
        <w:gridCol w:w="2346"/>
        <w:gridCol w:w="1726"/>
        <w:gridCol w:w="1951"/>
      </w:tblGrid>
      <w:tr w14:paraId="036A4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8" w:type="dxa"/>
            <w:tcBorders>
              <w:tl2br w:val="nil"/>
              <w:tr2bl w:val="nil"/>
            </w:tcBorders>
            <w:vAlign w:val="center"/>
          </w:tcPr>
          <w:p w14:paraId="7E583FFB">
            <w:pPr>
              <w:widowControl w:val="0"/>
              <w:spacing w:before="35" w:line="220" w:lineRule="auto"/>
              <w:jc w:val="center"/>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序号</w:t>
            </w:r>
          </w:p>
        </w:tc>
        <w:tc>
          <w:tcPr>
            <w:tcW w:w="1697" w:type="dxa"/>
            <w:tcBorders>
              <w:tl2br w:val="nil"/>
              <w:tr2bl w:val="nil"/>
            </w:tcBorders>
            <w:vAlign w:val="center"/>
          </w:tcPr>
          <w:p w14:paraId="2EF1C0FD">
            <w:pPr>
              <w:widowControl w:val="0"/>
              <w:spacing w:before="35" w:line="220" w:lineRule="auto"/>
              <w:jc w:val="center"/>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燃料和设施类型</w:t>
            </w:r>
          </w:p>
        </w:tc>
        <w:tc>
          <w:tcPr>
            <w:tcW w:w="2349" w:type="dxa"/>
            <w:tcBorders>
              <w:tl2br w:val="nil"/>
              <w:tr2bl w:val="nil"/>
            </w:tcBorders>
            <w:vAlign w:val="center"/>
          </w:tcPr>
          <w:p w14:paraId="2670D35D">
            <w:pPr>
              <w:widowControl w:val="0"/>
              <w:spacing w:before="35" w:line="220" w:lineRule="auto"/>
              <w:jc w:val="center"/>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污染物</w:t>
            </w:r>
          </w:p>
        </w:tc>
        <w:tc>
          <w:tcPr>
            <w:tcW w:w="1727" w:type="dxa"/>
            <w:tcBorders>
              <w:tl2br w:val="nil"/>
              <w:tr2bl w:val="nil"/>
            </w:tcBorders>
            <w:vAlign w:val="center"/>
          </w:tcPr>
          <w:p w14:paraId="4A85B966">
            <w:pPr>
              <w:widowControl w:val="0"/>
              <w:spacing w:before="35" w:line="220" w:lineRule="auto"/>
              <w:jc w:val="center"/>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最高允许排放浓度（</w:t>
            </w:r>
            <w:r>
              <w:rPr>
                <w:rFonts w:hint="eastAsia" w:ascii="Times New Roman" w:hAnsi="Times New Roman" w:eastAsia="宋体" w:cs="Times New Roman"/>
                <w:b/>
                <w:bCs/>
                <w:color w:val="auto"/>
                <w:spacing w:val="-4"/>
                <w:sz w:val="21"/>
                <w:szCs w:val="21"/>
                <w:highlight w:val="none"/>
                <w:lang w:val="en-US" w:eastAsia="zh-CN"/>
              </w:rPr>
              <w:t>mg/m</w:t>
            </w:r>
            <w:r>
              <w:rPr>
                <w:rFonts w:hint="eastAsia" w:ascii="Times New Roman" w:hAnsi="Times New Roman" w:eastAsia="宋体" w:cs="Times New Roman"/>
                <w:b/>
                <w:bCs/>
                <w:color w:val="auto"/>
                <w:spacing w:val="-4"/>
                <w:sz w:val="21"/>
                <w:szCs w:val="21"/>
                <w:highlight w:val="none"/>
                <w:vertAlign w:val="superscript"/>
                <w:lang w:val="en-US" w:eastAsia="zh-CN"/>
              </w:rPr>
              <w:t>3</w:t>
            </w:r>
            <w:r>
              <w:rPr>
                <w:rFonts w:hint="eastAsia" w:ascii="Times New Roman" w:hAnsi="Times New Roman" w:eastAsia="宋体" w:cs="Times New Roman"/>
                <w:b/>
                <w:bCs/>
                <w:color w:val="auto"/>
                <w:spacing w:val="-4"/>
                <w:sz w:val="21"/>
                <w:szCs w:val="21"/>
                <w:highlight w:val="none"/>
                <w:vertAlign w:val="baseline"/>
                <w:lang w:val="en-US" w:eastAsia="zh-CN"/>
              </w:rPr>
              <w:t>）</w:t>
            </w:r>
          </w:p>
        </w:tc>
        <w:tc>
          <w:tcPr>
            <w:tcW w:w="1952" w:type="dxa"/>
            <w:tcBorders>
              <w:tl2br w:val="nil"/>
              <w:tr2bl w:val="nil"/>
            </w:tcBorders>
            <w:vAlign w:val="center"/>
          </w:tcPr>
          <w:p w14:paraId="1DC03EE3">
            <w:pPr>
              <w:widowControl w:val="0"/>
              <w:spacing w:before="35" w:line="220" w:lineRule="auto"/>
              <w:jc w:val="center"/>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标准来源</w:t>
            </w:r>
          </w:p>
        </w:tc>
      </w:tr>
      <w:tr w14:paraId="5C4909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8" w:type="dxa"/>
            <w:tcBorders>
              <w:tl2br w:val="nil"/>
              <w:tr2bl w:val="nil"/>
            </w:tcBorders>
            <w:vAlign w:val="center"/>
          </w:tcPr>
          <w:p w14:paraId="7B160405">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w:t>
            </w:r>
          </w:p>
        </w:tc>
        <w:tc>
          <w:tcPr>
            <w:tcW w:w="1697" w:type="dxa"/>
            <w:vMerge w:val="restart"/>
            <w:tcBorders>
              <w:tl2br w:val="nil"/>
              <w:tr2bl w:val="nil"/>
            </w:tcBorders>
            <w:vAlign w:val="center"/>
          </w:tcPr>
          <w:p w14:paraId="215B7205">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燃气轮机组</w:t>
            </w:r>
          </w:p>
        </w:tc>
        <w:tc>
          <w:tcPr>
            <w:tcW w:w="2349" w:type="dxa"/>
            <w:tcBorders>
              <w:tl2br w:val="nil"/>
              <w:tr2bl w:val="nil"/>
            </w:tcBorders>
            <w:vAlign w:val="center"/>
          </w:tcPr>
          <w:p w14:paraId="4D865136">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烟尘</w:t>
            </w:r>
          </w:p>
        </w:tc>
        <w:tc>
          <w:tcPr>
            <w:tcW w:w="1727" w:type="dxa"/>
            <w:tcBorders>
              <w:tl2br w:val="nil"/>
              <w:tr2bl w:val="nil"/>
            </w:tcBorders>
            <w:vAlign w:val="center"/>
          </w:tcPr>
          <w:p w14:paraId="250CE3C9">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w:t>
            </w:r>
          </w:p>
        </w:tc>
        <w:tc>
          <w:tcPr>
            <w:tcW w:w="1952" w:type="dxa"/>
            <w:vMerge w:val="restart"/>
            <w:tcBorders>
              <w:tl2br w:val="nil"/>
              <w:tr2bl w:val="nil"/>
            </w:tcBorders>
            <w:vAlign w:val="center"/>
          </w:tcPr>
          <w:p w14:paraId="77FFB1B2">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default" w:ascii="Times New Roman" w:hAnsi="Times New Roman" w:eastAsia="宋体" w:cs="Times New Roman"/>
                <w:b w:val="0"/>
                <w:bCs w:val="0"/>
                <w:color w:val="auto"/>
                <w:spacing w:val="-4"/>
                <w:sz w:val="21"/>
                <w:szCs w:val="21"/>
                <w:highlight w:val="none"/>
                <w:vertAlign w:val="baseline"/>
                <w:lang w:val="en-US" w:eastAsia="zh-CN"/>
              </w:rPr>
              <w:t>《火电厂大气污染物排放标准》（GB13223-2011）中表2的特别排放限值</w:t>
            </w:r>
          </w:p>
        </w:tc>
      </w:tr>
      <w:tr w14:paraId="0FDCE3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8" w:type="dxa"/>
            <w:tcBorders>
              <w:tl2br w:val="nil"/>
              <w:tr2bl w:val="nil"/>
            </w:tcBorders>
            <w:vAlign w:val="center"/>
          </w:tcPr>
          <w:p w14:paraId="23779012">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w:t>
            </w:r>
          </w:p>
        </w:tc>
        <w:tc>
          <w:tcPr>
            <w:tcW w:w="1697" w:type="dxa"/>
            <w:vMerge w:val="continue"/>
            <w:tcBorders>
              <w:tl2br w:val="nil"/>
              <w:tr2bl w:val="nil"/>
            </w:tcBorders>
            <w:vAlign w:val="center"/>
          </w:tcPr>
          <w:p w14:paraId="1EB1B440">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2349" w:type="dxa"/>
            <w:tcBorders>
              <w:tl2br w:val="nil"/>
              <w:tr2bl w:val="nil"/>
            </w:tcBorders>
            <w:vAlign w:val="center"/>
          </w:tcPr>
          <w:p w14:paraId="6AF8A023">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二氧化硫</w:t>
            </w:r>
          </w:p>
        </w:tc>
        <w:tc>
          <w:tcPr>
            <w:tcW w:w="1727" w:type="dxa"/>
            <w:tcBorders>
              <w:tl2br w:val="nil"/>
              <w:tr2bl w:val="nil"/>
            </w:tcBorders>
            <w:vAlign w:val="center"/>
          </w:tcPr>
          <w:p w14:paraId="71932885">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35</w:t>
            </w:r>
          </w:p>
        </w:tc>
        <w:tc>
          <w:tcPr>
            <w:tcW w:w="1952" w:type="dxa"/>
            <w:vMerge w:val="continue"/>
            <w:tcBorders>
              <w:tl2br w:val="nil"/>
              <w:tr2bl w:val="nil"/>
            </w:tcBorders>
            <w:vAlign w:val="center"/>
          </w:tcPr>
          <w:p w14:paraId="722405E1">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p>
        </w:tc>
      </w:tr>
      <w:tr w14:paraId="2ECEAB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8" w:type="dxa"/>
            <w:tcBorders>
              <w:tl2br w:val="nil"/>
              <w:tr2bl w:val="nil"/>
            </w:tcBorders>
            <w:vAlign w:val="center"/>
          </w:tcPr>
          <w:p w14:paraId="4F7E59B0">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w:t>
            </w:r>
          </w:p>
        </w:tc>
        <w:tc>
          <w:tcPr>
            <w:tcW w:w="1697" w:type="dxa"/>
            <w:vMerge w:val="continue"/>
            <w:tcBorders>
              <w:tl2br w:val="nil"/>
              <w:tr2bl w:val="nil"/>
            </w:tcBorders>
            <w:vAlign w:val="center"/>
          </w:tcPr>
          <w:p w14:paraId="6BDCD236">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2349" w:type="dxa"/>
            <w:tcBorders>
              <w:tl2br w:val="nil"/>
              <w:tr2bl w:val="nil"/>
            </w:tcBorders>
            <w:vAlign w:val="center"/>
          </w:tcPr>
          <w:p w14:paraId="1430EEAA">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氮氧化物（以NO</w:t>
            </w:r>
            <w:r>
              <w:rPr>
                <w:rFonts w:hint="eastAsia" w:ascii="Times New Roman" w:hAnsi="Times New Roman" w:eastAsia="宋体" w:cs="Times New Roman"/>
                <w:b w:val="0"/>
                <w:bCs w:val="0"/>
                <w:color w:val="auto"/>
                <w:spacing w:val="-4"/>
                <w:sz w:val="21"/>
                <w:szCs w:val="21"/>
                <w:highlight w:val="none"/>
                <w:vertAlign w:val="subscript"/>
                <w:lang w:val="en-US" w:eastAsia="zh-CN"/>
              </w:rPr>
              <w:t>2</w:t>
            </w:r>
            <w:r>
              <w:rPr>
                <w:rFonts w:hint="eastAsia" w:ascii="Times New Roman" w:hAnsi="Times New Roman" w:eastAsia="宋体" w:cs="Times New Roman"/>
                <w:b w:val="0"/>
                <w:bCs w:val="0"/>
                <w:color w:val="auto"/>
                <w:spacing w:val="-4"/>
                <w:sz w:val="21"/>
                <w:szCs w:val="21"/>
                <w:highlight w:val="none"/>
                <w:vertAlign w:val="baseline"/>
                <w:lang w:val="en-US" w:eastAsia="zh-CN"/>
              </w:rPr>
              <w:t>计）</w:t>
            </w:r>
          </w:p>
        </w:tc>
        <w:tc>
          <w:tcPr>
            <w:tcW w:w="1727" w:type="dxa"/>
            <w:tcBorders>
              <w:tl2br w:val="nil"/>
              <w:tr2bl w:val="nil"/>
            </w:tcBorders>
            <w:vAlign w:val="center"/>
          </w:tcPr>
          <w:p w14:paraId="02A9F4B5">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50</w:t>
            </w:r>
          </w:p>
        </w:tc>
        <w:tc>
          <w:tcPr>
            <w:tcW w:w="1952" w:type="dxa"/>
            <w:vMerge w:val="continue"/>
            <w:tcBorders>
              <w:tl2br w:val="nil"/>
              <w:tr2bl w:val="nil"/>
            </w:tcBorders>
            <w:vAlign w:val="center"/>
          </w:tcPr>
          <w:p w14:paraId="104AB837">
            <w:pPr>
              <w:widowControl w:val="0"/>
              <w:spacing w:before="35" w:line="220" w:lineRule="auto"/>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p>
        </w:tc>
      </w:tr>
    </w:tbl>
    <w:p w14:paraId="1E4B324B">
      <w:pPr>
        <w:spacing w:before="35" w:line="220" w:lineRule="auto"/>
        <w:jc w:val="center"/>
        <w:rPr>
          <w:rFonts w:hint="eastAsia" w:ascii="Times New Roman" w:hAnsi="Times New Roman" w:eastAsia="宋体" w:cs="Times New Roman"/>
          <w:b/>
          <w:bCs/>
          <w:color w:val="auto"/>
          <w:spacing w:val="-4"/>
          <w:sz w:val="24"/>
          <w:szCs w:val="24"/>
          <w:highlight w:val="none"/>
          <w:lang w:val="en-US" w:eastAsia="zh-CN"/>
        </w:rPr>
      </w:pPr>
      <w:bookmarkStart w:id="864" w:name="sys2893035"/>
      <w:bookmarkStart w:id="865" w:name="OLE_LINK162"/>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2-43  </w:t>
      </w:r>
      <w:r>
        <w:rPr>
          <w:rFonts w:hint="default" w:ascii="Times New Roman" w:hAnsi="Times New Roman" w:eastAsia="宋体" w:cs="Times New Roman"/>
          <w:b/>
          <w:bCs/>
          <w:color w:val="auto"/>
          <w:spacing w:val="-4"/>
          <w:sz w:val="24"/>
          <w:szCs w:val="24"/>
          <w:highlight w:val="none"/>
          <w:lang w:val="en-US" w:eastAsia="zh-CN"/>
        </w:rPr>
        <w:t>固定式燃气轮机大气污染物排放限值</w:t>
      </w:r>
      <w:r>
        <w:rPr>
          <w:rFonts w:hint="eastAsia" w:ascii="Times New Roman" w:hAnsi="Times New Roman" w:eastAsia="宋体" w:cs="Times New Roman"/>
          <w:b/>
          <w:bCs/>
          <w:color w:val="auto"/>
          <w:spacing w:val="-4"/>
          <w:sz w:val="24"/>
          <w:szCs w:val="24"/>
          <w:highlight w:val="none"/>
          <w:lang w:val="en-US" w:eastAsia="zh-CN"/>
        </w:rPr>
        <w:t>（单位：</w:t>
      </w:r>
      <w:bookmarkStart w:id="866" w:name="OLE_LINK163"/>
      <w:r>
        <w:rPr>
          <w:rFonts w:hint="default" w:ascii="Times New Roman" w:hAnsi="Times New Roman" w:eastAsia="宋体" w:cs="Times New Roman"/>
          <w:color w:val="auto"/>
          <w:sz w:val="24"/>
          <w:szCs w:val="24"/>
          <w:highlight w:val="none"/>
        </w:rPr>
        <w:t>mg/m</w:t>
      </w:r>
      <w:r>
        <w:rPr>
          <w:rFonts w:hint="default" w:ascii="Times New Roman" w:hAnsi="Times New Roman" w:eastAsia="宋体" w:cs="Times New Roman"/>
          <w:color w:val="auto"/>
          <w:sz w:val="24"/>
          <w:szCs w:val="24"/>
          <w:highlight w:val="none"/>
          <w:vertAlign w:val="superscript"/>
        </w:rPr>
        <w:t>3</w:t>
      </w:r>
      <w:bookmarkEnd w:id="866"/>
      <w:r>
        <w:rPr>
          <w:rFonts w:hint="eastAsia" w:ascii="Times New Roman" w:hAnsi="Times New Roman" w:eastAsia="宋体" w:cs="Times New Roman"/>
          <w:b/>
          <w:bCs/>
          <w:color w:val="auto"/>
          <w:spacing w:val="-4"/>
          <w:sz w:val="24"/>
          <w:szCs w:val="24"/>
          <w:highlight w:val="none"/>
          <w:lang w:val="en-US" w:eastAsia="zh-CN"/>
        </w:rPr>
        <w:t>）</w:t>
      </w:r>
      <w:bookmarkEnd w:id="864"/>
      <w:bookmarkStart w:id="867" w:name="pindex2893"/>
      <w:bookmarkEnd w:id="867"/>
    </w:p>
    <w:bookmarkEnd w:id="865"/>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78"/>
        <w:gridCol w:w="2032"/>
        <w:gridCol w:w="4265"/>
      </w:tblGrid>
      <w:tr w14:paraId="1F2BCB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96" w:type="dxa"/>
            <w:tcBorders>
              <w:tl2br w:val="nil"/>
              <w:tr2bl w:val="nil"/>
            </w:tcBorders>
            <w:vAlign w:val="center"/>
          </w:tcPr>
          <w:p w14:paraId="00ECB062">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污染物</w:t>
            </w:r>
          </w:p>
        </w:tc>
        <w:tc>
          <w:tcPr>
            <w:tcW w:w="2050" w:type="dxa"/>
            <w:tcBorders>
              <w:tl2br w:val="nil"/>
              <w:tr2bl w:val="nil"/>
            </w:tcBorders>
            <w:vAlign w:val="center"/>
          </w:tcPr>
          <w:p w14:paraId="6CB0E528">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排放限值</w:t>
            </w:r>
          </w:p>
        </w:tc>
        <w:tc>
          <w:tcPr>
            <w:tcW w:w="4305" w:type="dxa"/>
            <w:tcBorders>
              <w:tl2br w:val="nil"/>
              <w:tr2bl w:val="nil"/>
            </w:tcBorders>
            <w:vAlign w:val="center"/>
          </w:tcPr>
          <w:p w14:paraId="0473C677">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执行时间</w:t>
            </w:r>
          </w:p>
        </w:tc>
      </w:tr>
      <w:tr w14:paraId="338252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96" w:type="dxa"/>
            <w:vMerge w:val="restart"/>
            <w:tcBorders>
              <w:tl2br w:val="nil"/>
              <w:tr2bl w:val="nil"/>
            </w:tcBorders>
            <w:vAlign w:val="center"/>
          </w:tcPr>
          <w:p w14:paraId="2C1C333D">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bookmarkStart w:id="868" w:name="OLE_LINK165" w:colFirst="0" w:colLast="2"/>
            <w:r>
              <w:rPr>
                <w:rFonts w:hint="eastAsia" w:ascii="Times New Roman" w:hAnsi="Times New Roman" w:eastAsia="宋体" w:cs="Times New Roman"/>
                <w:b w:val="0"/>
                <w:bCs w:val="0"/>
                <w:color w:val="auto"/>
                <w:spacing w:val="-4"/>
                <w:sz w:val="21"/>
                <w:szCs w:val="21"/>
                <w:highlight w:val="none"/>
                <w:vertAlign w:val="baseline"/>
                <w:lang w:val="en-US" w:eastAsia="zh-CN"/>
              </w:rPr>
              <w:t>氮氧化物（以NO</w:t>
            </w:r>
            <w:bookmarkStart w:id="869" w:name="OLE_LINK164"/>
            <w:r>
              <w:rPr>
                <w:rFonts w:hint="eastAsia" w:ascii="Times New Roman" w:hAnsi="Times New Roman" w:eastAsia="宋体" w:cs="Times New Roman"/>
                <w:b w:val="0"/>
                <w:bCs w:val="0"/>
                <w:color w:val="auto"/>
                <w:spacing w:val="-4"/>
                <w:sz w:val="21"/>
                <w:szCs w:val="21"/>
                <w:highlight w:val="none"/>
                <w:vertAlign w:val="subscript"/>
                <w:lang w:val="en-US" w:eastAsia="zh-CN"/>
              </w:rPr>
              <w:t>2</w:t>
            </w:r>
            <w:bookmarkEnd w:id="869"/>
            <w:r>
              <w:rPr>
                <w:rFonts w:hint="eastAsia" w:ascii="Times New Roman" w:hAnsi="Times New Roman" w:eastAsia="宋体" w:cs="Times New Roman"/>
                <w:b w:val="0"/>
                <w:bCs w:val="0"/>
                <w:color w:val="auto"/>
                <w:spacing w:val="-4"/>
                <w:sz w:val="21"/>
                <w:szCs w:val="21"/>
                <w:highlight w:val="none"/>
                <w:vertAlign w:val="baseline"/>
                <w:lang w:val="en-US" w:eastAsia="zh-CN"/>
              </w:rPr>
              <w:t>计）</w:t>
            </w:r>
          </w:p>
        </w:tc>
        <w:tc>
          <w:tcPr>
            <w:tcW w:w="2050" w:type="dxa"/>
            <w:tcBorders>
              <w:tl2br w:val="nil"/>
              <w:tr2bl w:val="nil"/>
            </w:tcBorders>
            <w:vAlign w:val="center"/>
          </w:tcPr>
          <w:p w14:paraId="2772ADE7">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30</w:t>
            </w:r>
          </w:p>
        </w:tc>
        <w:tc>
          <w:tcPr>
            <w:tcW w:w="4305" w:type="dxa"/>
            <w:tcBorders>
              <w:tl2br w:val="nil"/>
              <w:tr2bl w:val="nil"/>
            </w:tcBorders>
            <w:vAlign w:val="center"/>
          </w:tcPr>
          <w:p w14:paraId="366F36E5">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现有固定式燃气轮机：自2023年1月1日起</w:t>
            </w:r>
          </w:p>
        </w:tc>
      </w:tr>
      <w:tr w14:paraId="4E8D34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96" w:type="dxa"/>
            <w:vMerge w:val="continue"/>
            <w:tcBorders>
              <w:tl2br w:val="nil"/>
              <w:tr2bl w:val="nil"/>
            </w:tcBorders>
            <w:vAlign w:val="center"/>
          </w:tcPr>
          <w:p w14:paraId="1E5F62B6">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2050" w:type="dxa"/>
            <w:tcBorders>
              <w:tl2br w:val="nil"/>
              <w:tr2bl w:val="nil"/>
            </w:tcBorders>
            <w:vAlign w:val="center"/>
          </w:tcPr>
          <w:p w14:paraId="01209C75">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15</w:t>
            </w:r>
          </w:p>
        </w:tc>
        <w:tc>
          <w:tcPr>
            <w:tcW w:w="4305" w:type="dxa"/>
            <w:tcBorders>
              <w:tl2br w:val="nil"/>
              <w:tr2bl w:val="nil"/>
            </w:tcBorders>
            <w:vAlign w:val="center"/>
          </w:tcPr>
          <w:p w14:paraId="5A135820">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新建固定式燃气轮机：自本标准实施之日起</w:t>
            </w:r>
          </w:p>
        </w:tc>
      </w:tr>
      <w:bookmarkEnd w:id="862"/>
      <w:bookmarkEnd w:id="868"/>
    </w:tbl>
    <w:p w14:paraId="44242CBF">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360" w:lineRule="auto"/>
        <w:ind w:right="136" w:rightChars="0" w:firstLine="472" w:firstLineChars="200"/>
        <w:jc w:val="both"/>
        <w:textAlignment w:val="baseline"/>
        <w:outlineLvl w:val="9"/>
        <w:rPr>
          <w:rFonts w:hint="default" w:ascii="Times New Roman" w:hAnsi="Times New Roman" w:eastAsia="宋体" w:cs="Times New Roman"/>
          <w:color w:val="auto"/>
          <w:spacing w:val="-2"/>
          <w:sz w:val="24"/>
          <w:szCs w:val="24"/>
          <w:highlight w:val="none"/>
          <w:lang w:val="en-US" w:eastAsia="zh-CN"/>
        </w:rPr>
      </w:pPr>
      <w:bookmarkStart w:id="870" w:name="OLE_LINK290"/>
      <w:r>
        <w:rPr>
          <w:rFonts w:hint="default" w:ascii="Times New Roman" w:hAnsi="Times New Roman" w:eastAsia="宋体" w:cs="Times New Roman"/>
          <w:snapToGrid w:val="0"/>
          <w:color w:val="auto"/>
          <w:spacing w:val="-2"/>
          <w:kern w:val="0"/>
          <w:sz w:val="24"/>
          <w:szCs w:val="24"/>
          <w:highlight w:val="none"/>
          <w:lang w:val="en-US" w:eastAsia="zh-CN" w:bidi="ar-SA"/>
        </w:rPr>
        <w:t>（1</w:t>
      </w:r>
      <w:r>
        <w:rPr>
          <w:rFonts w:hint="eastAsia" w:ascii="Times New Roman" w:hAnsi="Times New Roman" w:eastAsia="宋体" w:cs="Times New Roman"/>
          <w:snapToGrid w:val="0"/>
          <w:color w:val="auto"/>
          <w:spacing w:val="-2"/>
          <w:kern w:val="0"/>
          <w:sz w:val="24"/>
          <w:szCs w:val="24"/>
          <w:highlight w:val="none"/>
          <w:lang w:val="en-US" w:eastAsia="zh-CN" w:bidi="ar-SA"/>
        </w:rPr>
        <w:t>3</w:t>
      </w:r>
      <w:r>
        <w:rPr>
          <w:rFonts w:hint="default" w:ascii="Times New Roman" w:hAnsi="Times New Roman" w:eastAsia="宋体" w:cs="Times New Roman"/>
          <w:snapToGrid w:val="0"/>
          <w:color w:val="auto"/>
          <w:spacing w:val="-2"/>
          <w:kern w:val="0"/>
          <w:sz w:val="24"/>
          <w:szCs w:val="24"/>
          <w:highlight w:val="none"/>
          <w:lang w:val="en-US" w:eastAsia="zh-CN" w:bidi="ar-SA"/>
        </w:rPr>
        <w:t>）</w:t>
      </w:r>
      <w:r>
        <w:rPr>
          <w:rFonts w:hint="eastAsia" w:ascii="Times New Roman" w:hAnsi="Times New Roman" w:eastAsia="宋体" w:cs="Times New Roman"/>
          <w:color w:val="auto"/>
          <w:spacing w:val="-2"/>
          <w:sz w:val="24"/>
          <w:szCs w:val="24"/>
          <w:highlight w:val="none"/>
          <w:lang w:val="en-US" w:eastAsia="zh-CN"/>
        </w:rPr>
        <w:t>饮食业油烟</w:t>
      </w:r>
      <w:bookmarkStart w:id="871" w:name="pindex2903"/>
      <w:bookmarkEnd w:id="871"/>
    </w:p>
    <w:bookmarkEnd w:id="870"/>
    <w:p w14:paraId="41E34EBE">
      <w:pPr>
        <w:pStyle w:val="38"/>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kern w:val="2"/>
          <w:sz w:val="24"/>
          <w:szCs w:val="24"/>
          <w:highlight w:val="none"/>
          <w:lang w:val="en-US" w:eastAsia="zh-CN" w:bidi="ar-SA"/>
        </w:rPr>
      </w:pPr>
      <w:bookmarkStart w:id="872" w:name="sys2904045"/>
      <w:bookmarkStart w:id="873" w:name="OLE_LINK286"/>
      <w:r>
        <w:rPr>
          <w:rFonts w:hint="default" w:ascii="Times New Roman" w:hAnsi="Times New Roman" w:eastAsia="宋体" w:cs="Times New Roman"/>
          <w:color w:val="auto"/>
          <w:kern w:val="2"/>
          <w:sz w:val="24"/>
          <w:szCs w:val="24"/>
          <w:highlight w:val="none"/>
          <w:lang w:val="en-US" w:eastAsia="zh-CN" w:bidi="ar-SA"/>
        </w:rPr>
        <w:t>评估范围内餐饮行业及企业食堂等《饮食业油烟排放标准（试行）》（GB18483-2001）。</w:t>
      </w:r>
      <w:bookmarkEnd w:id="872"/>
    </w:p>
    <w:p w14:paraId="6F06859A">
      <w:pPr>
        <w:pStyle w:val="6"/>
        <w:numPr>
          <w:ilvl w:val="0"/>
          <w:numId w:val="0"/>
        </w:numPr>
        <w:bidi w:val="0"/>
        <w:ind w:leftChars="0"/>
        <w:jc w:val="center"/>
        <w:rPr>
          <w:rFonts w:hint="default" w:ascii="Times New Roman" w:hAnsi="Times New Roman" w:cs="Times New Roman"/>
          <w:color w:val="auto"/>
          <w:sz w:val="24"/>
          <w:szCs w:val="24"/>
          <w:highlight w:val="none"/>
        </w:rPr>
      </w:pPr>
      <w:bookmarkStart w:id="874" w:name="OLE_LINK287"/>
      <w:bookmarkStart w:id="875" w:name="_Hlk83663081"/>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2-44  </w:t>
      </w:r>
      <w:r>
        <w:rPr>
          <w:rFonts w:hint="default" w:ascii="Times New Roman" w:hAnsi="Times New Roman" w:cs="Times New Roman"/>
          <w:color w:val="auto"/>
          <w:sz w:val="24"/>
          <w:szCs w:val="24"/>
          <w:highlight w:val="none"/>
        </w:rPr>
        <w:t>饮食业油烟排放标准</w:t>
      </w:r>
      <w:r>
        <w:rPr>
          <w:rFonts w:hint="eastAsia" w:ascii="Times New Roman" w:hAnsi="Times New Roman" w:cs="Times New Roman"/>
          <w:color w:val="auto"/>
          <w:sz w:val="24"/>
          <w:szCs w:val="24"/>
          <w:highlight w:val="none"/>
          <w:lang w:eastAsia="zh-CN"/>
        </w:rPr>
        <w:t>（试行）</w:t>
      </w:r>
      <w:bookmarkStart w:id="876" w:name="pindex2905"/>
      <w:bookmarkEnd w:id="876"/>
    </w:p>
    <w:bookmarkEnd w:id="874"/>
    <w:bookmarkEnd w:id="875"/>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570"/>
        <w:gridCol w:w="2283"/>
        <w:gridCol w:w="2425"/>
        <w:gridCol w:w="2081"/>
      </w:tblGrid>
      <w:tr w14:paraId="7E8C7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blHeader/>
          <w:jc w:val="center"/>
        </w:trPr>
        <w:tc>
          <w:tcPr>
            <w:tcW w:w="2304" w:type="pct"/>
            <w:gridSpan w:val="2"/>
            <w:noWrap w:val="0"/>
            <w:vAlign w:val="center"/>
          </w:tcPr>
          <w:p w14:paraId="3A256D35">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规模</w:t>
            </w:r>
          </w:p>
        </w:tc>
        <w:tc>
          <w:tcPr>
            <w:tcW w:w="1450" w:type="pct"/>
            <w:vMerge w:val="restart"/>
            <w:noWrap w:val="0"/>
            <w:vAlign w:val="center"/>
          </w:tcPr>
          <w:p w14:paraId="7AA8F7F7">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最高允许排放浓度</w:t>
            </w:r>
          </w:p>
          <w:p w14:paraId="4002C6E1">
            <w:pPr>
              <w:spacing w:line="240" w:lineRule="auto"/>
              <w:jc w:val="center"/>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bCs/>
                <w:color w:val="auto"/>
                <w:sz w:val="21"/>
                <w:szCs w:val="21"/>
                <w:highlight w:val="none"/>
              </w:rPr>
              <w:t>（mg/m</w:t>
            </w:r>
            <w:r>
              <w:rPr>
                <w:rFonts w:hint="default" w:ascii="Times New Roman" w:hAnsi="Times New Roman" w:eastAsia="宋体" w:cs="Times New Roman"/>
                <w:b/>
                <w:bCs/>
                <w:color w:val="auto"/>
                <w:sz w:val="21"/>
                <w:szCs w:val="21"/>
                <w:highlight w:val="none"/>
                <w:vertAlign w:val="superscript"/>
              </w:rPr>
              <w:t>3</w:t>
            </w:r>
            <w:r>
              <w:rPr>
                <w:rFonts w:hint="eastAsia" w:ascii="Times New Roman" w:hAnsi="Times New Roman" w:eastAsia="宋体" w:cs="Times New Roman"/>
                <w:b/>
                <w:bCs/>
                <w:color w:val="auto"/>
                <w:sz w:val="21"/>
                <w:szCs w:val="21"/>
                <w:highlight w:val="none"/>
                <w:lang w:val="en-US" w:eastAsia="zh-CN"/>
              </w:rPr>
              <w:t>）</w:t>
            </w:r>
          </w:p>
        </w:tc>
        <w:tc>
          <w:tcPr>
            <w:tcW w:w="1244" w:type="pct"/>
            <w:vMerge w:val="restart"/>
            <w:noWrap w:val="0"/>
            <w:vAlign w:val="center"/>
          </w:tcPr>
          <w:p w14:paraId="144A3ECF">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净化设施最低去除率（%）</w:t>
            </w:r>
          </w:p>
        </w:tc>
      </w:tr>
      <w:tr w14:paraId="28FEF3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939" w:type="pct"/>
            <w:noWrap w:val="0"/>
            <w:vAlign w:val="center"/>
          </w:tcPr>
          <w:p w14:paraId="3BB1DB21">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类型</w:t>
            </w:r>
          </w:p>
        </w:tc>
        <w:tc>
          <w:tcPr>
            <w:tcW w:w="1365" w:type="pct"/>
            <w:noWrap w:val="0"/>
            <w:vAlign w:val="center"/>
          </w:tcPr>
          <w:p w14:paraId="0F2783D8">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基准灶头数</w:t>
            </w:r>
          </w:p>
        </w:tc>
        <w:tc>
          <w:tcPr>
            <w:tcW w:w="1450" w:type="pct"/>
            <w:vMerge w:val="continue"/>
            <w:noWrap w:val="0"/>
            <w:vAlign w:val="center"/>
          </w:tcPr>
          <w:p w14:paraId="184D04E6">
            <w:pPr>
              <w:spacing w:line="240" w:lineRule="auto"/>
              <w:jc w:val="center"/>
              <w:rPr>
                <w:rFonts w:hint="default" w:ascii="Times New Roman" w:hAnsi="Times New Roman" w:eastAsia="宋体" w:cs="Times New Roman"/>
                <w:b/>
                <w:bCs/>
                <w:color w:val="auto"/>
                <w:sz w:val="21"/>
                <w:szCs w:val="21"/>
                <w:highlight w:val="none"/>
              </w:rPr>
            </w:pPr>
          </w:p>
        </w:tc>
        <w:tc>
          <w:tcPr>
            <w:tcW w:w="1244" w:type="pct"/>
            <w:vMerge w:val="continue"/>
            <w:noWrap w:val="0"/>
            <w:vAlign w:val="center"/>
          </w:tcPr>
          <w:p w14:paraId="39905885">
            <w:pPr>
              <w:spacing w:line="240" w:lineRule="auto"/>
              <w:jc w:val="center"/>
              <w:rPr>
                <w:rFonts w:hint="default" w:ascii="Times New Roman" w:hAnsi="Times New Roman" w:eastAsia="宋体" w:cs="Times New Roman"/>
                <w:b/>
                <w:bCs/>
                <w:color w:val="auto"/>
                <w:sz w:val="21"/>
                <w:szCs w:val="21"/>
                <w:highlight w:val="none"/>
              </w:rPr>
            </w:pPr>
          </w:p>
        </w:tc>
      </w:tr>
      <w:tr w14:paraId="4190D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939" w:type="pct"/>
            <w:noWrap w:val="0"/>
            <w:vAlign w:val="center"/>
          </w:tcPr>
          <w:p w14:paraId="7E491052">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小型</w:t>
            </w:r>
          </w:p>
        </w:tc>
        <w:tc>
          <w:tcPr>
            <w:tcW w:w="1365" w:type="pct"/>
            <w:noWrap w:val="0"/>
            <w:vAlign w:val="center"/>
          </w:tcPr>
          <w:p w14:paraId="20AFD168">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&lt;3</w:t>
            </w:r>
          </w:p>
        </w:tc>
        <w:tc>
          <w:tcPr>
            <w:tcW w:w="1450" w:type="pct"/>
            <w:vMerge w:val="restart"/>
            <w:noWrap w:val="0"/>
            <w:vAlign w:val="center"/>
          </w:tcPr>
          <w:p w14:paraId="4626974F">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2.0</w:t>
            </w:r>
          </w:p>
        </w:tc>
        <w:tc>
          <w:tcPr>
            <w:tcW w:w="1244" w:type="pct"/>
            <w:noWrap w:val="0"/>
            <w:vAlign w:val="center"/>
          </w:tcPr>
          <w:p w14:paraId="16C07317">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60</w:t>
            </w:r>
          </w:p>
        </w:tc>
      </w:tr>
      <w:tr w14:paraId="70E803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939" w:type="pct"/>
            <w:noWrap w:val="0"/>
            <w:vAlign w:val="center"/>
          </w:tcPr>
          <w:p w14:paraId="60756768">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中型</w:t>
            </w:r>
          </w:p>
        </w:tc>
        <w:tc>
          <w:tcPr>
            <w:tcW w:w="1365" w:type="pct"/>
            <w:noWrap w:val="0"/>
            <w:vAlign w:val="center"/>
          </w:tcPr>
          <w:p w14:paraId="5D1C9C2A">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≥3</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&lt;6</w:t>
            </w:r>
          </w:p>
        </w:tc>
        <w:tc>
          <w:tcPr>
            <w:tcW w:w="1450" w:type="pct"/>
            <w:vMerge w:val="continue"/>
            <w:noWrap w:val="0"/>
            <w:vAlign w:val="center"/>
          </w:tcPr>
          <w:p w14:paraId="7988F1AE">
            <w:pPr>
              <w:spacing w:line="240" w:lineRule="auto"/>
              <w:jc w:val="center"/>
              <w:rPr>
                <w:rFonts w:hint="default" w:ascii="Times New Roman" w:hAnsi="Times New Roman" w:eastAsia="宋体" w:cs="Times New Roman"/>
                <w:b w:val="0"/>
                <w:bCs w:val="0"/>
                <w:color w:val="auto"/>
                <w:sz w:val="21"/>
                <w:szCs w:val="21"/>
                <w:highlight w:val="none"/>
              </w:rPr>
            </w:pPr>
          </w:p>
        </w:tc>
        <w:tc>
          <w:tcPr>
            <w:tcW w:w="1244" w:type="pct"/>
            <w:noWrap w:val="0"/>
            <w:vAlign w:val="center"/>
          </w:tcPr>
          <w:p w14:paraId="624A1C13">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75</w:t>
            </w:r>
          </w:p>
        </w:tc>
      </w:tr>
      <w:tr w14:paraId="11335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939" w:type="pct"/>
            <w:noWrap w:val="0"/>
            <w:vAlign w:val="center"/>
          </w:tcPr>
          <w:p w14:paraId="45B68AA6">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大型</w:t>
            </w:r>
          </w:p>
        </w:tc>
        <w:tc>
          <w:tcPr>
            <w:tcW w:w="1365" w:type="pct"/>
            <w:noWrap w:val="0"/>
            <w:vAlign w:val="center"/>
          </w:tcPr>
          <w:p w14:paraId="56D68F50">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≥6</w:t>
            </w:r>
          </w:p>
        </w:tc>
        <w:tc>
          <w:tcPr>
            <w:tcW w:w="1450" w:type="pct"/>
            <w:vMerge w:val="continue"/>
            <w:noWrap w:val="0"/>
            <w:vAlign w:val="center"/>
          </w:tcPr>
          <w:p w14:paraId="64E5F048">
            <w:pPr>
              <w:spacing w:line="240" w:lineRule="auto"/>
              <w:jc w:val="center"/>
              <w:rPr>
                <w:rFonts w:hint="default" w:ascii="Times New Roman" w:hAnsi="Times New Roman" w:eastAsia="宋体" w:cs="Times New Roman"/>
                <w:b w:val="0"/>
                <w:bCs w:val="0"/>
                <w:color w:val="auto"/>
                <w:sz w:val="21"/>
                <w:szCs w:val="21"/>
                <w:highlight w:val="none"/>
              </w:rPr>
            </w:pPr>
          </w:p>
        </w:tc>
        <w:tc>
          <w:tcPr>
            <w:tcW w:w="1244" w:type="pct"/>
            <w:noWrap w:val="0"/>
            <w:vAlign w:val="center"/>
          </w:tcPr>
          <w:p w14:paraId="7A25C4DE">
            <w:pPr>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85</w:t>
            </w:r>
          </w:p>
        </w:tc>
      </w:tr>
      <w:bookmarkEnd w:id="873"/>
    </w:tbl>
    <w:p w14:paraId="16F2A036">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9"/>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3.</w:t>
      </w:r>
      <w:r>
        <w:rPr>
          <w:rFonts w:hint="eastAsia" w:ascii="Times New Roman" w:hAnsi="Times New Roman" w:eastAsia="宋体" w:cs="Times New Roman"/>
          <w:b/>
          <w:bCs/>
          <w:color w:val="auto"/>
          <w:sz w:val="24"/>
          <w:szCs w:val="24"/>
          <w:highlight w:val="none"/>
          <w:lang w:val="en-US" w:eastAsia="zh-CN"/>
        </w:rPr>
        <w:t>2.2</w:t>
      </w:r>
      <w:r>
        <w:rPr>
          <w:rFonts w:hint="default" w:ascii="Times New Roman" w:hAnsi="Times New Roman" w:eastAsia="宋体" w:cs="Times New Roman"/>
          <w:b/>
          <w:bCs/>
          <w:color w:val="auto"/>
          <w:sz w:val="24"/>
          <w:szCs w:val="24"/>
          <w:highlight w:val="none"/>
        </w:rPr>
        <w:t>.2水污染物排放标准</w:t>
      </w:r>
      <w:bookmarkStart w:id="877" w:name="pindex2926"/>
      <w:bookmarkEnd w:id="877"/>
    </w:p>
    <w:p w14:paraId="7E5F29CE">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360" w:lineRule="auto"/>
        <w:ind w:right="136" w:rightChars="0" w:firstLine="480" w:firstLineChars="200"/>
        <w:jc w:val="both"/>
        <w:textAlignment w:val="baseline"/>
        <w:outlineLvl w:val="9"/>
        <w:rPr>
          <w:rFonts w:hint="default" w:ascii="Times New Roman" w:hAnsi="Times New Roman" w:eastAsia="宋体" w:cs="Times New Roman"/>
          <w:color w:val="auto"/>
          <w:spacing w:val="-2"/>
          <w:sz w:val="24"/>
          <w:szCs w:val="24"/>
          <w:highlight w:val="none"/>
          <w:lang w:val="en-US" w:eastAsia="zh-CN"/>
        </w:rPr>
      </w:pPr>
      <w:bookmarkStart w:id="878" w:name="OLE_LINK292"/>
      <w:bookmarkStart w:id="879" w:name="OLE_LINK291"/>
      <w:r>
        <w:rPr>
          <w:rFonts w:hint="default" w:ascii="Times New Roman" w:hAnsi="Times New Roman" w:eastAsia="宋体" w:cs="Times New Roman"/>
          <w:b w:val="0"/>
          <w:bCs w:val="0"/>
          <w:color w:val="auto"/>
          <w:sz w:val="24"/>
          <w:szCs w:val="24"/>
          <w:highlight w:val="none"/>
          <w:lang w:val="en-US" w:eastAsia="zh-CN"/>
        </w:rPr>
        <w:t>1、</w:t>
      </w:r>
      <w:r>
        <w:rPr>
          <w:rFonts w:hint="eastAsia"/>
          <w:b w:val="0"/>
          <w:bCs w:val="0"/>
          <w:color w:val="auto"/>
          <w:sz w:val="24"/>
          <w:szCs w:val="24"/>
          <w:highlight w:val="none"/>
        </w:rPr>
        <w:t>区域集中式污水处理厂</w:t>
      </w:r>
      <w:bookmarkEnd w:id="878"/>
      <w:bookmarkEnd w:id="879"/>
      <w:bookmarkStart w:id="880" w:name="pindex2927"/>
      <w:bookmarkEnd w:id="880"/>
    </w:p>
    <w:p w14:paraId="5809187E">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68" w:firstLineChars="200"/>
        <w:jc w:val="both"/>
        <w:textAlignment w:val="baseline"/>
        <w:rPr>
          <w:rFonts w:hint="eastAsia" w:ascii="Times New Roman" w:hAnsi="Times New Roman" w:eastAsia="宋体" w:cs="Times New Roman"/>
          <w:color w:val="auto"/>
          <w:spacing w:val="-3"/>
          <w:sz w:val="24"/>
          <w:szCs w:val="24"/>
          <w:highlight w:val="none"/>
          <w:lang w:eastAsia="zh-CN"/>
        </w:rPr>
      </w:pPr>
      <w:r>
        <w:rPr>
          <w:rFonts w:hint="eastAsia" w:ascii="Times New Roman" w:hAnsi="Times New Roman" w:eastAsia="宋体" w:cs="Times New Roman"/>
          <w:color w:val="auto"/>
          <w:spacing w:val="-3"/>
          <w:sz w:val="24"/>
          <w:szCs w:val="24"/>
          <w:highlight w:val="none"/>
          <w:lang w:val="en-US" w:eastAsia="zh-CN"/>
        </w:rPr>
        <w:t>本次评估范围废水接管污水处理厂共两座，</w:t>
      </w:r>
      <w:r>
        <w:rPr>
          <w:rFonts w:hint="default" w:ascii="Times New Roman" w:hAnsi="Times New Roman" w:eastAsia="宋体" w:cs="Times New Roman"/>
          <w:color w:val="auto"/>
          <w:spacing w:val="-3"/>
          <w:sz w:val="24"/>
          <w:szCs w:val="24"/>
          <w:highlight w:val="none"/>
        </w:rPr>
        <w:t>分别为江宁开发区污水处理厂</w:t>
      </w:r>
      <w:r>
        <w:rPr>
          <w:rFonts w:hint="eastAsia" w:ascii="Times New Roman" w:hAnsi="Times New Roman" w:eastAsia="宋体" w:cs="Times New Roman"/>
          <w:color w:val="auto"/>
          <w:spacing w:val="-3"/>
          <w:sz w:val="24"/>
          <w:szCs w:val="24"/>
          <w:highlight w:val="none"/>
          <w:lang w:eastAsia="zh-CN"/>
        </w:rPr>
        <w:t>（</w:t>
      </w:r>
      <w:r>
        <w:rPr>
          <w:rFonts w:hint="eastAsia" w:ascii="Times New Roman" w:hAnsi="Times New Roman" w:eastAsia="宋体" w:cs="Times New Roman"/>
          <w:color w:val="auto"/>
          <w:spacing w:val="-3"/>
          <w:sz w:val="24"/>
          <w:szCs w:val="24"/>
          <w:highlight w:val="none"/>
          <w:lang w:val="en-US" w:eastAsia="zh-CN"/>
        </w:rPr>
        <w:t>区内</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和开发区南区污水处理厂</w:t>
      </w:r>
      <w:r>
        <w:rPr>
          <w:rFonts w:hint="eastAsia" w:ascii="Times New Roman" w:hAnsi="Times New Roman" w:eastAsia="宋体" w:cs="Times New Roman"/>
          <w:color w:val="auto"/>
          <w:spacing w:val="-3"/>
          <w:sz w:val="24"/>
          <w:szCs w:val="24"/>
          <w:highlight w:val="none"/>
          <w:lang w:eastAsia="zh-CN"/>
        </w:rPr>
        <w:t>（</w:t>
      </w:r>
      <w:r>
        <w:rPr>
          <w:rFonts w:hint="eastAsia" w:ascii="Times New Roman" w:hAnsi="Times New Roman" w:eastAsia="宋体" w:cs="Times New Roman"/>
          <w:color w:val="auto"/>
          <w:spacing w:val="-3"/>
          <w:sz w:val="24"/>
          <w:szCs w:val="24"/>
          <w:highlight w:val="none"/>
          <w:lang w:val="en-US" w:eastAsia="zh-CN"/>
        </w:rPr>
        <w:t>区外</w:t>
      </w:r>
      <w:r>
        <w:rPr>
          <w:rFonts w:hint="eastAsia" w:ascii="Times New Roman" w:hAnsi="Times New Roman" w:eastAsia="宋体" w:cs="Times New Roman"/>
          <w:color w:val="auto"/>
          <w:spacing w:val="-3"/>
          <w:sz w:val="24"/>
          <w:szCs w:val="24"/>
          <w:highlight w:val="none"/>
          <w:lang w:eastAsia="zh-CN"/>
        </w:rPr>
        <w:t>）。</w:t>
      </w:r>
    </w:p>
    <w:p w14:paraId="54F05081">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68" w:firstLineChars="200"/>
        <w:jc w:val="both"/>
        <w:textAlignment w:val="baseline"/>
        <w:rPr>
          <w:rFonts w:hint="eastAsia" w:ascii="Times New Roman" w:hAnsi="Times New Roman" w:eastAsia="宋体" w:cs="Times New Roman"/>
          <w:color w:val="auto"/>
          <w:spacing w:val="-3"/>
          <w:sz w:val="24"/>
          <w:szCs w:val="24"/>
          <w:highlight w:val="none"/>
          <w:lang w:val="en-US" w:eastAsia="zh-CN"/>
        </w:rPr>
      </w:pPr>
      <w:r>
        <w:rPr>
          <w:rFonts w:hint="default" w:ascii="Times New Roman" w:hAnsi="Times New Roman" w:eastAsia="宋体" w:cs="Times New Roman"/>
          <w:color w:val="auto"/>
          <w:spacing w:val="-3"/>
          <w:sz w:val="24"/>
          <w:szCs w:val="24"/>
          <w:highlight w:val="none"/>
          <w:lang w:val="en-US" w:eastAsia="zh-CN"/>
        </w:rPr>
        <w:t>南区污水处理厂</w:t>
      </w:r>
      <w:bookmarkStart w:id="881" w:name="OLE_LINK296"/>
      <w:r>
        <w:rPr>
          <w:rFonts w:hint="eastAsia" w:ascii="Times New Roman" w:hAnsi="Times New Roman" w:eastAsia="宋体" w:cs="Times New Roman"/>
          <w:color w:val="auto"/>
          <w:spacing w:val="-3"/>
          <w:sz w:val="24"/>
          <w:szCs w:val="24"/>
          <w:highlight w:val="none"/>
          <w:lang w:val="en-US" w:eastAsia="zh-CN"/>
        </w:rPr>
        <w:t>接管标准：</w:t>
      </w:r>
      <w:r>
        <w:rPr>
          <w:rFonts w:hint="default" w:ascii="Times New Roman" w:hAnsi="Times New Roman" w:eastAsia="宋体" w:cs="Times New Roman"/>
          <w:color w:val="auto"/>
          <w:spacing w:val="-3"/>
          <w:sz w:val="24"/>
          <w:szCs w:val="24"/>
          <w:highlight w:val="none"/>
          <w:lang w:val="en-US" w:eastAsia="zh-CN"/>
        </w:rPr>
        <w:t>pH、COD、SS、氨氮、TP执行南区污水处理厂接管标准，动植物油执行《污水综合排放标准》（GB8978-1996）</w:t>
      </w:r>
      <w:bookmarkEnd w:id="881"/>
      <w:r>
        <w:rPr>
          <w:rFonts w:hint="eastAsia" w:ascii="Times New Roman" w:hAnsi="Times New Roman" w:eastAsia="宋体" w:cs="Times New Roman"/>
          <w:color w:val="auto"/>
          <w:spacing w:val="-3"/>
          <w:sz w:val="24"/>
          <w:szCs w:val="24"/>
          <w:highlight w:val="none"/>
          <w:lang w:val="en-US" w:eastAsia="zh-CN"/>
        </w:rPr>
        <w:t>；</w:t>
      </w:r>
    </w:p>
    <w:p w14:paraId="2430C3E8">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68" w:firstLineChars="200"/>
        <w:jc w:val="both"/>
        <w:textAlignment w:val="baseline"/>
        <w:rPr>
          <w:rFonts w:hint="default" w:ascii="Times New Roman" w:hAnsi="Times New Roman" w:eastAsia="宋体" w:cs="Times New Roman"/>
          <w:color w:val="auto"/>
          <w:spacing w:val="-3"/>
          <w:sz w:val="24"/>
          <w:szCs w:val="24"/>
          <w:highlight w:val="none"/>
          <w:lang w:val="en-US" w:eastAsia="zh-CN"/>
        </w:rPr>
      </w:pPr>
      <w:r>
        <w:rPr>
          <w:rFonts w:hint="default" w:ascii="Times New Roman" w:hAnsi="Times New Roman" w:eastAsia="宋体" w:cs="Times New Roman"/>
          <w:color w:val="auto"/>
          <w:spacing w:val="-3"/>
          <w:sz w:val="24"/>
          <w:szCs w:val="24"/>
          <w:highlight w:val="none"/>
          <w:lang w:val="en-US" w:eastAsia="zh-CN"/>
        </w:rPr>
        <w:t>开发区污水处理厂</w:t>
      </w:r>
      <w:r>
        <w:rPr>
          <w:rFonts w:hint="eastAsia" w:ascii="Times New Roman" w:hAnsi="Times New Roman" w:eastAsia="宋体" w:cs="Times New Roman"/>
          <w:color w:val="auto"/>
          <w:spacing w:val="-3"/>
          <w:sz w:val="24"/>
          <w:szCs w:val="24"/>
          <w:highlight w:val="none"/>
          <w:lang w:val="en-US" w:eastAsia="zh-CN"/>
        </w:rPr>
        <w:t>接管标准执行《污水综合排放标准》（GB8978-1996）表4中的三级标准和《污水排入城镇下水道水质标准》（GB/T31962-2015）中的B等级标准。</w:t>
      </w:r>
      <w:bookmarkStart w:id="882" w:name="pindex2930"/>
      <w:bookmarkEnd w:id="882"/>
    </w:p>
    <w:p w14:paraId="344A79C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color w:val="auto"/>
          <w:sz w:val="24"/>
          <w:szCs w:val="24"/>
          <w:highlight w:val="none"/>
          <w:vertAlign w:val="baseline"/>
          <w:lang w:val="en-US" w:eastAsia="zh-CN"/>
        </w:rPr>
      </w:pPr>
      <w:bookmarkStart w:id="883" w:name="_Ref485455040"/>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2-45  </w:t>
      </w:r>
      <w:r>
        <w:rPr>
          <w:rFonts w:hint="eastAsia" w:ascii="Times New Roman" w:hAnsi="Times New Roman" w:eastAsia="宋体" w:cs="Times New Roman"/>
          <w:b/>
          <w:bCs/>
          <w:color w:val="auto"/>
          <w:sz w:val="24"/>
          <w:szCs w:val="24"/>
          <w:highlight w:val="none"/>
          <w:vertAlign w:val="baseline"/>
          <w:lang w:val="en-US" w:eastAsia="zh-CN"/>
        </w:rPr>
        <w:t xml:space="preserve"> 污水处理厂接管标准</w:t>
      </w:r>
      <w:bookmarkStart w:id="884" w:name="pindex2931"/>
      <w:bookmarkEnd w:id="884"/>
    </w:p>
    <w:tbl>
      <w:tblPr>
        <w:tblStyle w:val="19"/>
        <w:tblW w:w="4912"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1529"/>
        <w:gridCol w:w="2598"/>
        <w:gridCol w:w="2770"/>
      </w:tblGrid>
      <w:tr w14:paraId="2EEC2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905" w:type="pct"/>
            <w:noWrap w:val="0"/>
            <w:vAlign w:val="center"/>
          </w:tcPr>
          <w:p w14:paraId="06E8BA2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污染物名称</w:t>
            </w:r>
          </w:p>
        </w:tc>
        <w:tc>
          <w:tcPr>
            <w:tcW w:w="907" w:type="pct"/>
            <w:noWrap w:val="0"/>
            <w:vAlign w:val="center"/>
          </w:tcPr>
          <w:p w14:paraId="79E60C5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eastAsia" w:ascii="Times New Roman" w:hAnsi="Times New Roman" w:eastAsia="宋体" w:cs="Times New Roman"/>
                <w:b/>
                <w:color w:val="auto"/>
                <w:sz w:val="21"/>
                <w:szCs w:val="21"/>
                <w:highlight w:val="none"/>
                <w:lang w:eastAsia="zh-CN"/>
              </w:rPr>
            </w:pPr>
            <w:r>
              <w:rPr>
                <w:rFonts w:hint="eastAsia" w:ascii="Times New Roman" w:hAnsi="Times New Roman" w:eastAsia="宋体" w:cs="Times New Roman"/>
                <w:b/>
                <w:color w:val="auto"/>
                <w:sz w:val="21"/>
                <w:szCs w:val="21"/>
                <w:highlight w:val="none"/>
                <w:lang w:val="en-US" w:eastAsia="zh-CN"/>
              </w:rPr>
              <w:t>单位</w:t>
            </w:r>
          </w:p>
        </w:tc>
        <w:tc>
          <w:tcPr>
            <w:tcW w:w="1541" w:type="pct"/>
            <w:noWrap w:val="0"/>
            <w:vAlign w:val="center"/>
          </w:tcPr>
          <w:p w14:paraId="257D56F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南区污水处理厂接管标准</w:t>
            </w:r>
          </w:p>
        </w:tc>
        <w:tc>
          <w:tcPr>
            <w:tcW w:w="1644" w:type="pct"/>
            <w:noWrap w:val="0"/>
            <w:vAlign w:val="center"/>
          </w:tcPr>
          <w:p w14:paraId="2B4FC0F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开发区污水处理厂接管标准</w:t>
            </w:r>
          </w:p>
        </w:tc>
      </w:tr>
      <w:tr w14:paraId="432B63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5" w:type="pct"/>
            <w:noWrap w:val="0"/>
            <w:vAlign w:val="center"/>
          </w:tcPr>
          <w:p w14:paraId="31A65DC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pH（无量纲）</w:t>
            </w:r>
          </w:p>
        </w:tc>
        <w:tc>
          <w:tcPr>
            <w:tcW w:w="907" w:type="pct"/>
            <w:noWrap w:val="0"/>
            <w:vAlign w:val="center"/>
          </w:tcPr>
          <w:p w14:paraId="61369C9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541" w:type="pct"/>
            <w:shd w:val="clear" w:color="auto" w:fill="auto"/>
            <w:noWrap w:val="0"/>
            <w:vAlign w:val="center"/>
          </w:tcPr>
          <w:p w14:paraId="56E5F42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6~9</w:t>
            </w:r>
          </w:p>
        </w:tc>
        <w:tc>
          <w:tcPr>
            <w:tcW w:w="1644" w:type="pct"/>
            <w:noWrap w:val="0"/>
            <w:vAlign w:val="center"/>
          </w:tcPr>
          <w:p w14:paraId="6BE381C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6-9</w:t>
            </w:r>
          </w:p>
        </w:tc>
      </w:tr>
      <w:tr w14:paraId="09CBBA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905" w:type="pct"/>
            <w:noWrap w:val="0"/>
            <w:vAlign w:val="center"/>
          </w:tcPr>
          <w:p w14:paraId="7D69069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907" w:type="pct"/>
            <w:noWrap w:val="0"/>
            <w:vAlign w:val="center"/>
          </w:tcPr>
          <w:p w14:paraId="685852A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Times New Roman" w:cs="Times New Roman"/>
                <w:color w:val="auto"/>
                <w:spacing w:val="5"/>
                <w:w w:val="104"/>
                <w:sz w:val="19"/>
                <w:szCs w:val="19"/>
                <w:highlight w:val="none"/>
              </w:rPr>
              <w:t>mg/L</w:t>
            </w:r>
          </w:p>
        </w:tc>
        <w:tc>
          <w:tcPr>
            <w:tcW w:w="1541" w:type="pct"/>
            <w:shd w:val="clear" w:color="auto" w:fill="auto"/>
            <w:noWrap w:val="0"/>
            <w:vAlign w:val="center"/>
          </w:tcPr>
          <w:p w14:paraId="54950C8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400</w:t>
            </w:r>
          </w:p>
        </w:tc>
        <w:tc>
          <w:tcPr>
            <w:tcW w:w="1644" w:type="pct"/>
            <w:noWrap w:val="0"/>
            <w:vAlign w:val="center"/>
          </w:tcPr>
          <w:p w14:paraId="70A94F8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500</w:t>
            </w:r>
          </w:p>
        </w:tc>
      </w:tr>
      <w:tr w14:paraId="27EB2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905" w:type="pct"/>
            <w:noWrap w:val="0"/>
            <w:vAlign w:val="center"/>
          </w:tcPr>
          <w:p w14:paraId="7F94DFE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907" w:type="pct"/>
            <w:noWrap w:val="0"/>
            <w:vAlign w:val="center"/>
          </w:tcPr>
          <w:p w14:paraId="441F957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Times New Roman" w:cs="Times New Roman"/>
                <w:color w:val="auto"/>
                <w:spacing w:val="5"/>
                <w:w w:val="104"/>
                <w:sz w:val="19"/>
                <w:szCs w:val="19"/>
                <w:highlight w:val="none"/>
              </w:rPr>
              <w:t>mg/L</w:t>
            </w:r>
          </w:p>
        </w:tc>
        <w:tc>
          <w:tcPr>
            <w:tcW w:w="1541" w:type="pct"/>
            <w:shd w:val="clear" w:color="auto" w:fill="auto"/>
            <w:noWrap w:val="0"/>
            <w:vAlign w:val="center"/>
          </w:tcPr>
          <w:p w14:paraId="00E7A4A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250</w:t>
            </w:r>
          </w:p>
        </w:tc>
        <w:tc>
          <w:tcPr>
            <w:tcW w:w="1644" w:type="pct"/>
            <w:noWrap w:val="0"/>
            <w:vAlign w:val="center"/>
          </w:tcPr>
          <w:p w14:paraId="161E595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400</w:t>
            </w:r>
          </w:p>
        </w:tc>
      </w:tr>
      <w:tr w14:paraId="7A40F4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 w:hRule="atLeast"/>
        </w:trPr>
        <w:tc>
          <w:tcPr>
            <w:tcW w:w="905" w:type="pct"/>
            <w:noWrap w:val="0"/>
            <w:vAlign w:val="center"/>
          </w:tcPr>
          <w:p w14:paraId="62CBB64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907" w:type="pct"/>
            <w:noWrap w:val="0"/>
            <w:vAlign w:val="center"/>
          </w:tcPr>
          <w:p w14:paraId="4BF6EC1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Times New Roman" w:cs="Times New Roman"/>
                <w:color w:val="auto"/>
                <w:spacing w:val="5"/>
                <w:w w:val="104"/>
                <w:sz w:val="19"/>
                <w:szCs w:val="19"/>
                <w:highlight w:val="none"/>
              </w:rPr>
              <w:t>mg/L</w:t>
            </w:r>
          </w:p>
        </w:tc>
        <w:tc>
          <w:tcPr>
            <w:tcW w:w="1541" w:type="pct"/>
            <w:shd w:val="clear" w:color="auto" w:fill="auto"/>
            <w:noWrap w:val="0"/>
            <w:vAlign w:val="center"/>
          </w:tcPr>
          <w:p w14:paraId="4AD7927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35</w:t>
            </w:r>
          </w:p>
        </w:tc>
        <w:tc>
          <w:tcPr>
            <w:tcW w:w="1644" w:type="pct"/>
            <w:noWrap w:val="0"/>
            <w:vAlign w:val="center"/>
          </w:tcPr>
          <w:p w14:paraId="2203172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w:t>
            </w:r>
          </w:p>
        </w:tc>
      </w:tr>
      <w:tr w14:paraId="7E8D5B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905" w:type="pct"/>
            <w:noWrap w:val="0"/>
            <w:vAlign w:val="center"/>
          </w:tcPr>
          <w:p w14:paraId="386900E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总氮</w:t>
            </w:r>
          </w:p>
        </w:tc>
        <w:tc>
          <w:tcPr>
            <w:tcW w:w="907" w:type="pct"/>
            <w:noWrap w:val="0"/>
            <w:vAlign w:val="center"/>
          </w:tcPr>
          <w:p w14:paraId="6731E19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Times New Roman" w:cs="Times New Roman"/>
                <w:color w:val="auto"/>
                <w:spacing w:val="5"/>
                <w:w w:val="104"/>
                <w:sz w:val="19"/>
                <w:szCs w:val="19"/>
                <w:highlight w:val="none"/>
              </w:rPr>
              <w:t>mg/L</w:t>
            </w:r>
          </w:p>
        </w:tc>
        <w:tc>
          <w:tcPr>
            <w:tcW w:w="1541" w:type="pct"/>
            <w:shd w:val="clear" w:color="auto" w:fill="auto"/>
            <w:noWrap w:val="0"/>
            <w:vAlign w:val="center"/>
          </w:tcPr>
          <w:p w14:paraId="5B6EFFE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45</w:t>
            </w:r>
          </w:p>
        </w:tc>
        <w:tc>
          <w:tcPr>
            <w:tcW w:w="1644" w:type="pct"/>
            <w:noWrap w:val="0"/>
            <w:vAlign w:val="center"/>
          </w:tcPr>
          <w:p w14:paraId="7A77B65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70</w:t>
            </w:r>
          </w:p>
        </w:tc>
      </w:tr>
      <w:tr w14:paraId="44E253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trPr>
        <w:tc>
          <w:tcPr>
            <w:tcW w:w="905" w:type="pct"/>
            <w:noWrap w:val="0"/>
            <w:vAlign w:val="center"/>
          </w:tcPr>
          <w:p w14:paraId="21F0105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总磷</w:t>
            </w:r>
          </w:p>
        </w:tc>
        <w:tc>
          <w:tcPr>
            <w:tcW w:w="907" w:type="pct"/>
            <w:noWrap w:val="0"/>
            <w:vAlign w:val="center"/>
          </w:tcPr>
          <w:p w14:paraId="39299CD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bookmarkStart w:id="885" w:name="OLE_LINK295"/>
            <w:r>
              <w:rPr>
                <w:rFonts w:hint="default" w:ascii="Times New Roman" w:hAnsi="Times New Roman" w:eastAsia="Times New Roman" w:cs="Times New Roman"/>
                <w:color w:val="auto"/>
                <w:spacing w:val="5"/>
                <w:w w:val="104"/>
                <w:sz w:val="19"/>
                <w:szCs w:val="19"/>
                <w:highlight w:val="none"/>
              </w:rPr>
              <w:t>mg/L</w:t>
            </w:r>
            <w:bookmarkEnd w:id="885"/>
          </w:p>
        </w:tc>
        <w:tc>
          <w:tcPr>
            <w:tcW w:w="1541" w:type="pct"/>
            <w:shd w:val="clear" w:color="auto" w:fill="auto"/>
            <w:noWrap w:val="0"/>
            <w:vAlign w:val="center"/>
          </w:tcPr>
          <w:p w14:paraId="2E3F62A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4</w:t>
            </w:r>
          </w:p>
        </w:tc>
        <w:tc>
          <w:tcPr>
            <w:tcW w:w="1644" w:type="pct"/>
            <w:noWrap w:val="0"/>
            <w:vAlign w:val="center"/>
          </w:tcPr>
          <w:p w14:paraId="15BC448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r>
      <w:tr w14:paraId="16B286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905" w:type="pct"/>
            <w:noWrap w:val="0"/>
            <w:vAlign w:val="center"/>
          </w:tcPr>
          <w:p w14:paraId="63384EB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石油类</w:t>
            </w:r>
          </w:p>
        </w:tc>
        <w:tc>
          <w:tcPr>
            <w:tcW w:w="907" w:type="pct"/>
            <w:noWrap w:val="0"/>
            <w:vAlign w:val="center"/>
          </w:tcPr>
          <w:p w14:paraId="6A96A4E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Times New Roman" w:cs="Times New Roman"/>
                <w:color w:val="auto"/>
                <w:spacing w:val="5"/>
                <w:w w:val="104"/>
                <w:sz w:val="19"/>
                <w:szCs w:val="19"/>
                <w:highlight w:val="none"/>
              </w:rPr>
            </w:pPr>
            <w:r>
              <w:rPr>
                <w:rFonts w:hint="default" w:ascii="Times New Roman" w:hAnsi="Times New Roman" w:eastAsia="Times New Roman" w:cs="Times New Roman"/>
                <w:color w:val="auto"/>
                <w:spacing w:val="5"/>
                <w:w w:val="104"/>
                <w:sz w:val="19"/>
                <w:szCs w:val="19"/>
                <w:highlight w:val="none"/>
              </w:rPr>
              <w:t>mg/L</w:t>
            </w:r>
          </w:p>
        </w:tc>
        <w:tc>
          <w:tcPr>
            <w:tcW w:w="1541" w:type="pct"/>
            <w:shd w:val="clear" w:color="auto" w:fill="auto"/>
            <w:noWrap w:val="0"/>
            <w:vAlign w:val="center"/>
          </w:tcPr>
          <w:p w14:paraId="699A7AE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1644" w:type="pct"/>
            <w:noWrap w:val="0"/>
            <w:vAlign w:val="center"/>
          </w:tcPr>
          <w:p w14:paraId="0FCD0B0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r>
      <w:tr w14:paraId="3859FF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905" w:type="pct"/>
            <w:noWrap w:val="0"/>
            <w:vAlign w:val="center"/>
          </w:tcPr>
          <w:p w14:paraId="4BF2C36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动植物油</w:t>
            </w:r>
          </w:p>
        </w:tc>
        <w:tc>
          <w:tcPr>
            <w:tcW w:w="907" w:type="pct"/>
            <w:noWrap w:val="0"/>
            <w:vAlign w:val="center"/>
          </w:tcPr>
          <w:p w14:paraId="312B1FB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Times New Roman" w:cs="Times New Roman"/>
                <w:color w:val="auto"/>
                <w:spacing w:val="5"/>
                <w:w w:val="104"/>
                <w:sz w:val="19"/>
                <w:szCs w:val="19"/>
                <w:highlight w:val="none"/>
              </w:rPr>
              <w:t>mg/L</w:t>
            </w:r>
          </w:p>
        </w:tc>
        <w:tc>
          <w:tcPr>
            <w:tcW w:w="1541" w:type="pct"/>
            <w:shd w:val="clear" w:color="auto" w:fill="auto"/>
            <w:noWrap w:val="0"/>
            <w:vAlign w:val="center"/>
          </w:tcPr>
          <w:p w14:paraId="4A4037D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100</w:t>
            </w:r>
          </w:p>
        </w:tc>
        <w:tc>
          <w:tcPr>
            <w:tcW w:w="1644" w:type="pct"/>
            <w:noWrap w:val="0"/>
            <w:vAlign w:val="center"/>
          </w:tcPr>
          <w:p w14:paraId="6A6A54F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w:t>
            </w:r>
          </w:p>
        </w:tc>
      </w:tr>
      <w:bookmarkEnd w:id="883"/>
    </w:tbl>
    <w:p w14:paraId="517E9F08">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68" w:firstLineChars="200"/>
        <w:jc w:val="both"/>
        <w:textAlignment w:val="baseline"/>
        <w:rPr>
          <w:rFonts w:hint="default" w:ascii="Times New Roman" w:hAnsi="Times New Roman" w:eastAsia="宋体" w:cs="Times New Roman"/>
          <w:color w:val="auto"/>
          <w:spacing w:val="-6"/>
          <w:sz w:val="24"/>
          <w:szCs w:val="24"/>
          <w:highlight w:val="none"/>
          <w:lang w:val="en-US" w:eastAsia="zh-CN"/>
        </w:rPr>
      </w:pPr>
      <w:bookmarkStart w:id="886" w:name="OLE_LINK293"/>
      <w:bookmarkStart w:id="887" w:name="sys29680139"/>
      <w:bookmarkStart w:id="888" w:name="OLE_LINK758"/>
      <w:r>
        <w:rPr>
          <w:rFonts w:hint="default" w:ascii="Times New Roman" w:hAnsi="Times New Roman" w:eastAsia="宋体" w:cs="Times New Roman"/>
          <w:color w:val="auto"/>
          <w:spacing w:val="-3"/>
          <w:sz w:val="24"/>
          <w:szCs w:val="24"/>
          <w:highlight w:val="none"/>
          <w:lang w:val="en-US" w:eastAsia="zh-CN"/>
        </w:rPr>
        <w:t>南区污水处理厂现有项目</w:t>
      </w:r>
      <w:bookmarkEnd w:id="886"/>
      <w:r>
        <w:rPr>
          <w:rFonts w:hint="default" w:ascii="Times New Roman" w:hAnsi="Times New Roman" w:eastAsia="宋体" w:cs="Times New Roman"/>
          <w:color w:val="auto"/>
          <w:spacing w:val="-3"/>
          <w:sz w:val="24"/>
          <w:szCs w:val="24"/>
          <w:highlight w:val="none"/>
          <w:lang w:val="en-US" w:eastAsia="zh-CN"/>
        </w:rPr>
        <w:t>尾水执行《城镇污水处理厂污染物排放标准》（GB18918-2002）一级A标准，至2025年，尾水排放提标至《地表水环境质量标准》（GB3838-2002）中Ⅳ类标准，其中TN按照《城镇污水处理厂污染物排放标准》（GB18918-2002）一级A标准执行；</w:t>
      </w:r>
      <w:bookmarkEnd w:id="887"/>
      <w:bookmarkStart w:id="889" w:name="OLE_LINK294"/>
      <w:bookmarkStart w:id="890" w:name="sys2968139150"/>
      <w:r>
        <w:rPr>
          <w:rFonts w:hint="default" w:ascii="Times New Roman" w:hAnsi="Times New Roman" w:eastAsia="宋体" w:cs="Times New Roman"/>
          <w:color w:val="auto"/>
          <w:spacing w:val="-3"/>
          <w:sz w:val="24"/>
          <w:szCs w:val="24"/>
          <w:highlight w:val="none"/>
          <w:lang w:val="en-US" w:eastAsia="zh-CN"/>
        </w:rPr>
        <w:t>开发区污水处理厂</w:t>
      </w:r>
      <w:bookmarkEnd w:id="889"/>
      <w:r>
        <w:rPr>
          <w:rFonts w:hint="default" w:ascii="Times New Roman" w:hAnsi="Times New Roman" w:eastAsia="宋体" w:cs="Times New Roman"/>
          <w:color w:val="auto"/>
          <w:spacing w:val="-3"/>
          <w:sz w:val="24"/>
          <w:szCs w:val="24"/>
          <w:highlight w:val="none"/>
          <w:lang w:val="en-US" w:eastAsia="zh-CN"/>
        </w:rPr>
        <w:t>现有项目尾水执行《城镇污水处理厂污染物排放标准》（GB18918-2002）一级A标准，至2025年，</w:t>
      </w:r>
      <w:r>
        <w:rPr>
          <w:rFonts w:hint="default" w:ascii="Times New Roman" w:hAnsi="Times New Roman" w:eastAsia="宋体" w:cs="Times New Roman"/>
          <w:color w:val="auto"/>
          <w:spacing w:val="-3"/>
          <w:sz w:val="24"/>
          <w:szCs w:val="24"/>
          <w:highlight w:val="none"/>
        </w:rPr>
        <w:t>污水处理厂</w:t>
      </w:r>
      <w:r>
        <w:rPr>
          <w:rFonts w:hint="default" w:ascii="Times New Roman" w:hAnsi="Times New Roman" w:eastAsia="宋体" w:cs="Times New Roman"/>
          <w:color w:val="auto"/>
          <w:spacing w:val="-3"/>
          <w:sz w:val="24"/>
          <w:szCs w:val="24"/>
          <w:highlight w:val="none"/>
          <w:lang w:val="en-US" w:eastAsia="zh-CN"/>
        </w:rPr>
        <w:t>扩建项目尾水主要指标执行《地表水环境质量标准》（GB3838-2002）中Ⅳ类标准，其中TN按照《城镇污水处理厂污染物排放标准》（GB18918-2002）一级A标准执行</w:t>
      </w:r>
      <w:r>
        <w:rPr>
          <w:rFonts w:hint="eastAsia" w:eastAsia="宋体"/>
          <w:color w:val="auto"/>
          <w:highlight w:val="none"/>
          <w:lang w:eastAsia="zh-CN"/>
        </w:rPr>
        <w:t>；</w:t>
      </w:r>
      <w:bookmarkEnd w:id="890"/>
      <w:bookmarkStart w:id="891" w:name="sys296828996"/>
      <w:r>
        <w:rPr>
          <w:rFonts w:hint="default" w:ascii="Times New Roman" w:hAnsi="Times New Roman" w:eastAsia="宋体" w:cs="Times New Roman"/>
          <w:color w:val="auto"/>
          <w:spacing w:val="-6"/>
          <w:sz w:val="24"/>
          <w:szCs w:val="24"/>
          <w:highlight w:val="none"/>
          <w:lang w:val="en-US" w:eastAsia="zh-CN"/>
        </w:rPr>
        <w:t>至2030年，污水处理厂尾水全面提标至《地表水环境质量标准》（GB3838-2002）中I类标准，其中TN按照《城镇污水处理厂污染物排放标准》（GB18918-2002）表1中一级A标准执行。</w:t>
      </w:r>
      <w:bookmarkEnd w:id="891"/>
      <w:bookmarkStart w:id="892" w:name="pindex2968"/>
      <w:bookmarkEnd w:id="892"/>
    </w:p>
    <w:bookmarkEnd w:id="888"/>
    <w:p w14:paraId="78BE528B">
      <w:pPr>
        <w:spacing w:before="36" w:line="353" w:lineRule="auto"/>
        <w:ind w:left="39" w:right="30" w:firstLine="479"/>
        <w:rPr>
          <w:rFonts w:hint="default" w:ascii="Times New Roman" w:hAnsi="Times New Roman" w:eastAsia="宋体" w:cs="Times New Roman"/>
          <w:color w:val="auto"/>
          <w:spacing w:val="-6"/>
          <w:sz w:val="24"/>
          <w:szCs w:val="24"/>
          <w:highlight w:val="none"/>
        </w:rPr>
      </w:pPr>
      <w:r>
        <w:rPr>
          <w:rFonts w:hint="default" w:ascii="Times New Roman" w:hAnsi="Times New Roman" w:eastAsia="宋体" w:cs="Times New Roman"/>
          <w:color w:val="auto"/>
          <w:spacing w:val="-6"/>
          <w:sz w:val="24"/>
          <w:szCs w:val="24"/>
          <w:highlight w:val="none"/>
          <w:lang w:val="en-US" w:eastAsia="zh-CN"/>
        </w:rPr>
        <w:t>根据《城镇污水处理厂污染物排放标准》（DB32/4440-2022）中的要求，现有城镇污水处理厂自《城镇污水处理厂污染物排放标准》（DB32/4440-2022）实施之日起3年后执行。</w:t>
      </w:r>
    </w:p>
    <w:p w14:paraId="759092AC">
      <w:pPr>
        <w:keepNext w:val="0"/>
        <w:keepLines w:val="0"/>
        <w:pageBreakBefore w:val="0"/>
        <w:widowControl/>
        <w:kinsoku w:val="0"/>
        <w:wordWrap/>
        <w:overflowPunct/>
        <w:topLinePunct w:val="0"/>
        <w:autoSpaceDE w:val="0"/>
        <w:autoSpaceDN w:val="0"/>
        <w:bidi w:val="0"/>
        <w:adjustRightInd w:val="0"/>
        <w:snapToGrid w:val="0"/>
        <w:spacing w:before="33" w:line="240" w:lineRule="auto"/>
        <w:ind w:left="2523"/>
        <w:textAlignment w:val="baseline"/>
        <w:rPr>
          <w:rFonts w:hint="eastAsia" w:ascii="宋体" w:hAnsi="宋体" w:eastAsia="宋体" w:cs="宋体"/>
          <w:b/>
          <w:bCs/>
          <w:color w:val="auto"/>
          <w:spacing w:val="-2"/>
          <w:sz w:val="24"/>
          <w:szCs w:val="24"/>
          <w:highlight w:val="none"/>
          <w:lang w:val="en-US" w:eastAsia="zh-CN"/>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2-46 </w:t>
      </w:r>
      <w:r>
        <w:rPr>
          <w:rFonts w:hint="eastAsia" w:ascii="Times New Roman" w:hAnsi="Times New Roman" w:eastAsia="宋体" w:cs="Times New Roman"/>
          <w:b/>
          <w:bCs/>
          <w:color w:val="auto"/>
          <w:spacing w:val="-2"/>
          <w:sz w:val="24"/>
          <w:szCs w:val="24"/>
          <w:highlight w:val="none"/>
          <w:lang w:val="en-US" w:eastAsia="zh-CN"/>
        </w:rPr>
        <w:t xml:space="preserve"> </w:t>
      </w:r>
      <w:r>
        <w:rPr>
          <w:rFonts w:hint="eastAsia" w:ascii="宋体" w:hAnsi="宋体" w:eastAsia="宋体" w:cs="宋体"/>
          <w:b/>
          <w:bCs/>
          <w:color w:val="auto"/>
          <w:spacing w:val="-2"/>
          <w:sz w:val="24"/>
          <w:szCs w:val="24"/>
          <w:highlight w:val="none"/>
          <w:lang w:val="en-US" w:eastAsia="zh-CN"/>
        </w:rPr>
        <w:t>污水处理厂排放标准</w:t>
      </w:r>
      <w:bookmarkStart w:id="893" w:name="pindex2970"/>
      <w:bookmarkEnd w:id="893"/>
    </w:p>
    <w:tbl>
      <w:tblPr>
        <w:tblStyle w:val="19"/>
        <w:tblW w:w="5043"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9"/>
        <w:gridCol w:w="1919"/>
        <w:gridCol w:w="1917"/>
        <w:gridCol w:w="1978"/>
        <w:gridCol w:w="2186"/>
      </w:tblGrid>
      <w:tr w14:paraId="7342BA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375" w:type="pct"/>
            <w:tcBorders>
              <w:top w:val="single" w:color="auto" w:sz="12" w:space="0"/>
            </w:tcBorders>
            <w:vAlign w:val="center"/>
          </w:tcPr>
          <w:p w14:paraId="1122015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color w:val="auto"/>
                <w:sz w:val="21"/>
                <w:szCs w:val="21"/>
                <w:highlight w:val="none"/>
              </w:rPr>
            </w:pPr>
            <w:r>
              <w:rPr>
                <w:rFonts w:ascii="Times New Roman" w:hAnsi="Times New Roman" w:eastAsia="宋体" w:cs="Times New Roman"/>
                <w:b/>
                <w:color w:val="auto"/>
                <w:sz w:val="21"/>
                <w:szCs w:val="21"/>
                <w:highlight w:val="none"/>
              </w:rPr>
              <w:t>序号</w:t>
            </w:r>
          </w:p>
        </w:tc>
        <w:tc>
          <w:tcPr>
            <w:tcW w:w="1109" w:type="pct"/>
            <w:tcBorders>
              <w:top w:val="single" w:color="auto" w:sz="12" w:space="0"/>
            </w:tcBorders>
            <w:vAlign w:val="center"/>
          </w:tcPr>
          <w:p w14:paraId="7710058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color w:val="auto"/>
                <w:sz w:val="21"/>
                <w:szCs w:val="21"/>
                <w:highlight w:val="none"/>
              </w:rPr>
            </w:pPr>
            <w:r>
              <w:rPr>
                <w:rFonts w:ascii="Times New Roman" w:hAnsi="Times New Roman" w:eastAsia="宋体" w:cs="Times New Roman"/>
                <w:b/>
                <w:color w:val="auto"/>
                <w:sz w:val="21"/>
                <w:szCs w:val="21"/>
                <w:highlight w:val="none"/>
              </w:rPr>
              <w:t>项目</w:t>
            </w:r>
          </w:p>
        </w:tc>
        <w:tc>
          <w:tcPr>
            <w:tcW w:w="1108" w:type="pct"/>
            <w:tcBorders>
              <w:top w:val="single" w:color="auto" w:sz="12" w:space="0"/>
            </w:tcBorders>
            <w:vAlign w:val="center"/>
          </w:tcPr>
          <w:p w14:paraId="3DF6A65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color w:val="auto"/>
                <w:sz w:val="21"/>
                <w:szCs w:val="21"/>
                <w:highlight w:val="none"/>
              </w:rPr>
            </w:pPr>
            <w:r>
              <w:rPr>
                <w:rFonts w:hint="eastAsia" w:ascii="Times New Roman" w:hAnsi="Times New Roman" w:eastAsia="宋体" w:cs="Times New Roman"/>
                <w:b/>
                <w:color w:val="auto"/>
                <w:sz w:val="21"/>
                <w:szCs w:val="21"/>
                <w:highlight w:val="none"/>
                <w:lang w:val="en-US" w:eastAsia="zh-CN"/>
              </w:rPr>
              <w:t>现状</w:t>
            </w:r>
            <w:r>
              <w:rPr>
                <w:rFonts w:ascii="Times New Roman" w:hAnsi="Times New Roman" w:eastAsia="宋体" w:cs="Times New Roman"/>
                <w:b/>
                <w:color w:val="auto"/>
                <w:sz w:val="21"/>
                <w:szCs w:val="21"/>
                <w:highlight w:val="none"/>
              </w:rPr>
              <w:t>排放标准</w:t>
            </w:r>
          </w:p>
          <w:p w14:paraId="0AA9CFD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eastAsia="zh-CN"/>
              </w:rPr>
              <w:t>（</w:t>
            </w:r>
            <w:r>
              <w:rPr>
                <w:rFonts w:hint="eastAsia" w:ascii="Times New Roman" w:hAnsi="Times New Roman" w:eastAsia="宋体" w:cs="Times New Roman"/>
                <w:b/>
                <w:color w:val="auto"/>
                <w:sz w:val="21"/>
                <w:szCs w:val="21"/>
                <w:highlight w:val="none"/>
                <w:lang w:val="en-US" w:eastAsia="zh-CN"/>
              </w:rPr>
              <w:t>一级A）</w:t>
            </w:r>
          </w:p>
          <w:p w14:paraId="1F42127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color w:val="auto"/>
                <w:sz w:val="21"/>
                <w:szCs w:val="21"/>
                <w:highlight w:val="none"/>
              </w:rPr>
            </w:pPr>
            <w:r>
              <w:rPr>
                <w:rFonts w:ascii="Times New Roman" w:hAnsi="Times New Roman" w:eastAsia="宋体" w:cs="Times New Roman"/>
                <w:b/>
                <w:color w:val="auto"/>
                <w:sz w:val="21"/>
                <w:szCs w:val="21"/>
                <w:highlight w:val="none"/>
              </w:rPr>
              <w:t>（mg/L）</w:t>
            </w:r>
          </w:p>
        </w:tc>
        <w:tc>
          <w:tcPr>
            <w:tcW w:w="1143" w:type="pct"/>
            <w:tcBorders>
              <w:top w:val="single" w:color="auto" w:sz="12" w:space="0"/>
            </w:tcBorders>
            <w:vAlign w:val="center"/>
          </w:tcPr>
          <w:p w14:paraId="03B1797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提标后</w:t>
            </w:r>
            <w:r>
              <w:rPr>
                <w:rFonts w:ascii="Times New Roman" w:hAnsi="Times New Roman" w:eastAsia="宋体" w:cs="Times New Roman"/>
                <w:b/>
                <w:color w:val="auto"/>
                <w:sz w:val="21"/>
                <w:szCs w:val="21"/>
                <w:highlight w:val="none"/>
              </w:rPr>
              <w:t>排放</w:t>
            </w:r>
            <w:r>
              <w:rPr>
                <w:rFonts w:hint="eastAsia" w:ascii="Times New Roman" w:hAnsi="Times New Roman" w:eastAsia="宋体" w:cs="Times New Roman"/>
                <w:b/>
                <w:color w:val="auto"/>
                <w:sz w:val="21"/>
                <w:szCs w:val="21"/>
                <w:highlight w:val="none"/>
                <w:lang w:val="en-US" w:eastAsia="zh-CN"/>
              </w:rPr>
              <w:t>标准</w:t>
            </w:r>
          </w:p>
          <w:p w14:paraId="516676D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color w:val="auto"/>
                <w:sz w:val="21"/>
                <w:szCs w:val="21"/>
                <w:highlight w:val="none"/>
                <w:lang w:eastAsia="zh-CN"/>
              </w:rPr>
            </w:pPr>
            <w:r>
              <w:rPr>
                <w:rFonts w:hint="eastAsia" w:ascii="Times New Roman" w:hAnsi="Times New Roman" w:eastAsia="宋体" w:cs="Times New Roman"/>
                <w:b/>
                <w:color w:val="auto"/>
                <w:sz w:val="21"/>
                <w:szCs w:val="21"/>
                <w:highlight w:val="none"/>
                <w:lang w:val="en-US" w:eastAsia="zh-CN"/>
              </w:rPr>
              <w:t>（</w:t>
            </w:r>
            <w:r>
              <w:rPr>
                <w:rFonts w:hint="default" w:ascii="Times New Roman" w:hAnsi="Times New Roman" w:eastAsia="宋体" w:cs="Times New Roman"/>
                <w:b/>
                <w:color w:val="auto"/>
                <w:sz w:val="21"/>
                <w:szCs w:val="21"/>
                <w:highlight w:val="none"/>
                <w:lang w:val="en-US" w:eastAsia="zh-CN"/>
              </w:rPr>
              <w:t>Ⅳ类</w:t>
            </w:r>
            <w:r>
              <w:rPr>
                <w:rFonts w:hint="eastAsia" w:ascii="Times New Roman" w:hAnsi="Times New Roman" w:eastAsia="宋体" w:cs="Times New Roman"/>
                <w:b/>
                <w:color w:val="auto"/>
                <w:sz w:val="21"/>
                <w:szCs w:val="21"/>
                <w:highlight w:val="none"/>
                <w:lang w:val="en-US" w:eastAsia="zh-CN"/>
              </w:rPr>
              <w:t>）</w:t>
            </w:r>
          </w:p>
          <w:p w14:paraId="24E9EE7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color w:val="auto"/>
                <w:sz w:val="21"/>
                <w:szCs w:val="21"/>
                <w:highlight w:val="none"/>
              </w:rPr>
            </w:pPr>
            <w:r>
              <w:rPr>
                <w:rFonts w:ascii="Times New Roman" w:hAnsi="Times New Roman" w:eastAsia="宋体" w:cs="Times New Roman"/>
                <w:b/>
                <w:color w:val="auto"/>
                <w:sz w:val="21"/>
                <w:szCs w:val="21"/>
                <w:highlight w:val="none"/>
              </w:rPr>
              <w:t>（mg/L）</w:t>
            </w:r>
          </w:p>
        </w:tc>
        <w:tc>
          <w:tcPr>
            <w:tcW w:w="1263" w:type="pct"/>
            <w:tcBorders>
              <w:top w:val="single" w:color="auto" w:sz="12" w:space="0"/>
            </w:tcBorders>
            <w:vAlign w:val="center"/>
          </w:tcPr>
          <w:p w14:paraId="12D0DE7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《城镇污水处理厂污染物排放标准》（一级A）</w:t>
            </w:r>
            <w:r>
              <w:rPr>
                <w:rFonts w:ascii="Times New Roman" w:hAnsi="Times New Roman" w:eastAsia="宋体" w:cs="Times New Roman"/>
                <w:b/>
                <w:bCs/>
                <w:color w:val="auto"/>
                <w:sz w:val="21"/>
                <w:szCs w:val="21"/>
                <w:highlight w:val="none"/>
              </w:rPr>
              <w:t>（mg/L</w:t>
            </w:r>
            <w:r>
              <w:rPr>
                <w:rFonts w:ascii="Times New Roman" w:hAnsi="Times New Roman" w:eastAsia="宋体" w:cs="Times New Roman"/>
                <w:color w:val="auto"/>
                <w:sz w:val="21"/>
                <w:szCs w:val="21"/>
                <w:highlight w:val="none"/>
              </w:rPr>
              <w:t>）</w:t>
            </w:r>
          </w:p>
        </w:tc>
      </w:tr>
      <w:tr w14:paraId="6941C1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6C7BC4B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1109" w:type="pct"/>
            <w:vAlign w:val="center"/>
          </w:tcPr>
          <w:p w14:paraId="70B1536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pH</w:t>
            </w:r>
          </w:p>
        </w:tc>
        <w:tc>
          <w:tcPr>
            <w:tcW w:w="1108" w:type="pct"/>
            <w:vAlign w:val="center"/>
          </w:tcPr>
          <w:p w14:paraId="3EC305A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6~9</w:t>
            </w:r>
          </w:p>
        </w:tc>
        <w:tc>
          <w:tcPr>
            <w:tcW w:w="1143" w:type="pct"/>
            <w:vAlign w:val="center"/>
          </w:tcPr>
          <w:p w14:paraId="438D502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sz w:val="21"/>
                <w:szCs w:val="21"/>
              </w:rPr>
              <w:t>6~9</w:t>
            </w:r>
          </w:p>
        </w:tc>
        <w:tc>
          <w:tcPr>
            <w:tcW w:w="1263" w:type="pct"/>
            <w:vAlign w:val="center"/>
          </w:tcPr>
          <w:p w14:paraId="3BCE554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6~9</w:t>
            </w:r>
          </w:p>
        </w:tc>
      </w:tr>
      <w:tr w14:paraId="70A47F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13BADDA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w:t>
            </w:r>
          </w:p>
        </w:tc>
        <w:tc>
          <w:tcPr>
            <w:tcW w:w="1109" w:type="pct"/>
            <w:vAlign w:val="center"/>
          </w:tcPr>
          <w:p w14:paraId="018D913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COD</w:t>
            </w:r>
          </w:p>
        </w:tc>
        <w:tc>
          <w:tcPr>
            <w:tcW w:w="1108" w:type="pct"/>
            <w:vAlign w:val="center"/>
          </w:tcPr>
          <w:p w14:paraId="2076B50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5</w:t>
            </w:r>
            <w:r>
              <w:rPr>
                <w:rFonts w:hint="eastAsia" w:ascii="Times New Roman" w:hAnsi="Times New Roman" w:eastAsia="宋体" w:cs="Times New Roman"/>
                <w:color w:val="auto"/>
                <w:sz w:val="21"/>
                <w:szCs w:val="21"/>
                <w:lang w:val="en-US" w:eastAsia="zh-CN"/>
              </w:rPr>
              <w:t>0</w:t>
            </w:r>
          </w:p>
        </w:tc>
        <w:tc>
          <w:tcPr>
            <w:tcW w:w="1143" w:type="pct"/>
            <w:vAlign w:val="center"/>
          </w:tcPr>
          <w:p w14:paraId="5AF45C5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30</w:t>
            </w:r>
          </w:p>
        </w:tc>
        <w:tc>
          <w:tcPr>
            <w:tcW w:w="1263" w:type="pct"/>
            <w:vAlign w:val="center"/>
          </w:tcPr>
          <w:p w14:paraId="41CD49E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w:t>
            </w:r>
          </w:p>
        </w:tc>
      </w:tr>
      <w:tr w14:paraId="1E9F4F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3941946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w:t>
            </w:r>
          </w:p>
        </w:tc>
        <w:tc>
          <w:tcPr>
            <w:tcW w:w="1109" w:type="pct"/>
            <w:vAlign w:val="center"/>
          </w:tcPr>
          <w:p w14:paraId="07D9513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BOD</w:t>
            </w:r>
            <w:r>
              <w:rPr>
                <w:rFonts w:ascii="Times New Roman" w:hAnsi="Times New Roman" w:eastAsia="宋体" w:cs="Times New Roman"/>
                <w:color w:val="auto"/>
                <w:sz w:val="21"/>
                <w:szCs w:val="21"/>
                <w:highlight w:val="none"/>
                <w:vertAlign w:val="subscript"/>
              </w:rPr>
              <w:t>5</w:t>
            </w:r>
          </w:p>
        </w:tc>
        <w:tc>
          <w:tcPr>
            <w:tcW w:w="1108" w:type="pct"/>
            <w:vAlign w:val="center"/>
          </w:tcPr>
          <w:p w14:paraId="127B667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10</w:t>
            </w:r>
          </w:p>
        </w:tc>
        <w:tc>
          <w:tcPr>
            <w:tcW w:w="1143" w:type="pct"/>
            <w:vAlign w:val="center"/>
          </w:tcPr>
          <w:p w14:paraId="2F452BA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6</w:t>
            </w:r>
          </w:p>
        </w:tc>
        <w:tc>
          <w:tcPr>
            <w:tcW w:w="1263" w:type="pct"/>
            <w:vAlign w:val="center"/>
          </w:tcPr>
          <w:p w14:paraId="12F7112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14:paraId="3A9344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5EB1DC4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w:t>
            </w:r>
          </w:p>
        </w:tc>
        <w:tc>
          <w:tcPr>
            <w:tcW w:w="1109" w:type="pct"/>
            <w:vAlign w:val="center"/>
          </w:tcPr>
          <w:p w14:paraId="37DDEC1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highlight w:val="none"/>
              </w:rPr>
              <w:t>氨氮（以N计</w:t>
            </w:r>
            <w:r>
              <w:rPr>
                <w:rFonts w:ascii="Times New Roman" w:hAnsi="Times New Roman" w:eastAsia="宋体" w:cs="Times New Roman"/>
                <w:color w:val="auto"/>
                <w:sz w:val="21"/>
                <w:szCs w:val="21"/>
              </w:rPr>
              <w:t>）</w:t>
            </w:r>
          </w:p>
        </w:tc>
        <w:tc>
          <w:tcPr>
            <w:tcW w:w="1108" w:type="pct"/>
            <w:vAlign w:val="center"/>
          </w:tcPr>
          <w:p w14:paraId="30FD12A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8（水温≤12℃）</w:t>
            </w:r>
          </w:p>
          <w:p w14:paraId="7044CCA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5（水温＞12℃）</w:t>
            </w:r>
          </w:p>
        </w:tc>
        <w:tc>
          <w:tcPr>
            <w:tcW w:w="1143" w:type="pct"/>
            <w:vAlign w:val="center"/>
          </w:tcPr>
          <w:p w14:paraId="2927BA7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rPr>
              <w:t>（水温≤12℃）</w:t>
            </w:r>
          </w:p>
          <w:p w14:paraId="24C8025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1.5</w:t>
            </w:r>
            <w:r>
              <w:rPr>
                <w:rFonts w:ascii="Times New Roman" w:hAnsi="Times New Roman" w:eastAsia="宋体" w:cs="Times New Roman"/>
                <w:color w:val="auto"/>
                <w:sz w:val="21"/>
                <w:szCs w:val="21"/>
              </w:rPr>
              <w:t>（水温＞12℃）</w:t>
            </w:r>
          </w:p>
        </w:tc>
        <w:tc>
          <w:tcPr>
            <w:tcW w:w="1263" w:type="pct"/>
            <w:vAlign w:val="center"/>
          </w:tcPr>
          <w:p w14:paraId="3BA4DB3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rPr>
              <w:t>（水温≤12℃）</w:t>
            </w:r>
          </w:p>
          <w:p w14:paraId="721A64B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r>
              <w:rPr>
                <w:rFonts w:ascii="Times New Roman" w:hAnsi="Times New Roman" w:eastAsia="宋体" w:cs="Times New Roman"/>
                <w:color w:val="auto"/>
                <w:sz w:val="21"/>
                <w:szCs w:val="21"/>
              </w:rPr>
              <w:t>（水温＞12℃）</w:t>
            </w:r>
          </w:p>
        </w:tc>
      </w:tr>
      <w:tr w14:paraId="223DF7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11B0F37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w:t>
            </w:r>
          </w:p>
        </w:tc>
        <w:tc>
          <w:tcPr>
            <w:tcW w:w="1109" w:type="pct"/>
            <w:vAlign w:val="center"/>
          </w:tcPr>
          <w:p w14:paraId="6E1060B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总氮（以N计）</w:t>
            </w:r>
          </w:p>
        </w:tc>
        <w:tc>
          <w:tcPr>
            <w:tcW w:w="1108" w:type="pct"/>
            <w:vAlign w:val="center"/>
          </w:tcPr>
          <w:p w14:paraId="71423A0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15</w:t>
            </w:r>
          </w:p>
        </w:tc>
        <w:tc>
          <w:tcPr>
            <w:tcW w:w="1143" w:type="pct"/>
            <w:vAlign w:val="center"/>
          </w:tcPr>
          <w:p w14:paraId="3487A04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sz w:val="21"/>
                <w:szCs w:val="21"/>
              </w:rPr>
              <w:t>15</w:t>
            </w:r>
          </w:p>
        </w:tc>
        <w:tc>
          <w:tcPr>
            <w:tcW w:w="1263" w:type="pct"/>
            <w:vAlign w:val="center"/>
          </w:tcPr>
          <w:p w14:paraId="4690514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r>
              <w:rPr>
                <w:rFonts w:ascii="Times New Roman" w:hAnsi="Times New Roman" w:eastAsia="宋体" w:cs="Times New Roman"/>
                <w:color w:val="auto"/>
                <w:sz w:val="21"/>
                <w:szCs w:val="21"/>
              </w:rPr>
              <w:t>（水温≤12℃）</w:t>
            </w:r>
          </w:p>
          <w:p w14:paraId="37C0938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r>
              <w:rPr>
                <w:rFonts w:ascii="Times New Roman" w:hAnsi="Times New Roman" w:eastAsia="宋体" w:cs="Times New Roman"/>
                <w:color w:val="auto"/>
                <w:sz w:val="21"/>
                <w:szCs w:val="21"/>
              </w:rPr>
              <w:t>（水温＞12℃）</w:t>
            </w:r>
          </w:p>
        </w:tc>
      </w:tr>
      <w:tr w14:paraId="609B87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37A056B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w:t>
            </w:r>
          </w:p>
        </w:tc>
        <w:tc>
          <w:tcPr>
            <w:tcW w:w="1109" w:type="pct"/>
            <w:vAlign w:val="center"/>
          </w:tcPr>
          <w:p w14:paraId="78909B2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总磷（以P计）</w:t>
            </w:r>
          </w:p>
        </w:tc>
        <w:tc>
          <w:tcPr>
            <w:tcW w:w="1108" w:type="pct"/>
            <w:vAlign w:val="center"/>
          </w:tcPr>
          <w:p w14:paraId="01E2AA4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0.5</w:t>
            </w:r>
          </w:p>
        </w:tc>
        <w:tc>
          <w:tcPr>
            <w:tcW w:w="1143" w:type="pct"/>
            <w:vAlign w:val="center"/>
          </w:tcPr>
          <w:p w14:paraId="772B246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0.3</w:t>
            </w:r>
          </w:p>
        </w:tc>
        <w:tc>
          <w:tcPr>
            <w:tcW w:w="1263" w:type="pct"/>
            <w:vAlign w:val="center"/>
          </w:tcPr>
          <w:p w14:paraId="32695D1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w:t>
            </w:r>
          </w:p>
        </w:tc>
      </w:tr>
      <w:tr w14:paraId="326FFD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1464133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w:t>
            </w:r>
          </w:p>
        </w:tc>
        <w:tc>
          <w:tcPr>
            <w:tcW w:w="1109" w:type="pct"/>
            <w:vAlign w:val="center"/>
          </w:tcPr>
          <w:p w14:paraId="1F70196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悬浮物（SS）</w:t>
            </w:r>
          </w:p>
        </w:tc>
        <w:tc>
          <w:tcPr>
            <w:tcW w:w="1108" w:type="pct"/>
            <w:vAlign w:val="center"/>
          </w:tcPr>
          <w:p w14:paraId="49BCE07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10</w:t>
            </w:r>
          </w:p>
        </w:tc>
        <w:tc>
          <w:tcPr>
            <w:tcW w:w="1143" w:type="pct"/>
            <w:vAlign w:val="center"/>
          </w:tcPr>
          <w:p w14:paraId="060E595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5</w:t>
            </w:r>
          </w:p>
        </w:tc>
        <w:tc>
          <w:tcPr>
            <w:tcW w:w="1263" w:type="pct"/>
            <w:vAlign w:val="center"/>
          </w:tcPr>
          <w:p w14:paraId="4198AC6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14:paraId="521BC3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1B966CC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8</w:t>
            </w:r>
          </w:p>
        </w:tc>
        <w:tc>
          <w:tcPr>
            <w:tcW w:w="1109" w:type="pct"/>
            <w:vAlign w:val="center"/>
          </w:tcPr>
          <w:p w14:paraId="287F3A9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阴离子表面活性剂</w:t>
            </w:r>
          </w:p>
        </w:tc>
        <w:tc>
          <w:tcPr>
            <w:tcW w:w="1108" w:type="pct"/>
            <w:vAlign w:val="center"/>
          </w:tcPr>
          <w:p w14:paraId="41E87BE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0.5</w:t>
            </w:r>
          </w:p>
        </w:tc>
        <w:tc>
          <w:tcPr>
            <w:tcW w:w="1143" w:type="pct"/>
            <w:vAlign w:val="center"/>
          </w:tcPr>
          <w:p w14:paraId="1750424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sz w:val="21"/>
                <w:szCs w:val="21"/>
              </w:rPr>
              <w:t>0.5</w:t>
            </w:r>
          </w:p>
        </w:tc>
        <w:tc>
          <w:tcPr>
            <w:tcW w:w="1263" w:type="pct"/>
            <w:vAlign w:val="center"/>
          </w:tcPr>
          <w:p w14:paraId="08E4F83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w:t>
            </w:r>
          </w:p>
        </w:tc>
      </w:tr>
      <w:tr w14:paraId="460719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6D587C4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9</w:t>
            </w:r>
          </w:p>
        </w:tc>
        <w:tc>
          <w:tcPr>
            <w:tcW w:w="1109" w:type="pct"/>
            <w:vAlign w:val="center"/>
          </w:tcPr>
          <w:p w14:paraId="2C21CCC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粪大肠菌群数</w:t>
            </w:r>
          </w:p>
          <w:p w14:paraId="1AB01C9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（个/L）</w:t>
            </w:r>
          </w:p>
        </w:tc>
        <w:tc>
          <w:tcPr>
            <w:tcW w:w="1108" w:type="pct"/>
            <w:vAlign w:val="center"/>
          </w:tcPr>
          <w:p w14:paraId="2573B66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1000</w:t>
            </w:r>
          </w:p>
        </w:tc>
        <w:tc>
          <w:tcPr>
            <w:tcW w:w="1143" w:type="pct"/>
            <w:vAlign w:val="center"/>
          </w:tcPr>
          <w:p w14:paraId="3F61C52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sz w:val="21"/>
                <w:szCs w:val="21"/>
              </w:rPr>
              <w:t>1000</w:t>
            </w:r>
          </w:p>
        </w:tc>
        <w:tc>
          <w:tcPr>
            <w:tcW w:w="1263" w:type="pct"/>
            <w:vAlign w:val="center"/>
          </w:tcPr>
          <w:p w14:paraId="746EBAC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1000</w:t>
            </w:r>
          </w:p>
        </w:tc>
      </w:tr>
      <w:tr w14:paraId="365E9A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760327C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10</w:t>
            </w:r>
          </w:p>
        </w:tc>
        <w:tc>
          <w:tcPr>
            <w:tcW w:w="1109" w:type="pct"/>
            <w:vAlign w:val="center"/>
          </w:tcPr>
          <w:p w14:paraId="1EB2183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Cr</w:t>
            </w:r>
            <w:r>
              <w:rPr>
                <w:rFonts w:ascii="Times New Roman" w:hAnsi="Times New Roman" w:eastAsia="宋体" w:cs="Times New Roman"/>
                <w:color w:val="auto"/>
                <w:sz w:val="21"/>
                <w:szCs w:val="21"/>
                <w:vertAlign w:val="superscript"/>
              </w:rPr>
              <w:t>6+</w:t>
            </w:r>
          </w:p>
        </w:tc>
        <w:tc>
          <w:tcPr>
            <w:tcW w:w="1108" w:type="pct"/>
            <w:vAlign w:val="center"/>
          </w:tcPr>
          <w:p w14:paraId="3756434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0.05</w:t>
            </w:r>
          </w:p>
        </w:tc>
        <w:tc>
          <w:tcPr>
            <w:tcW w:w="1143" w:type="pct"/>
            <w:vAlign w:val="center"/>
          </w:tcPr>
          <w:p w14:paraId="537CE23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sz w:val="21"/>
                <w:szCs w:val="21"/>
              </w:rPr>
              <w:t>0.05</w:t>
            </w:r>
          </w:p>
        </w:tc>
        <w:tc>
          <w:tcPr>
            <w:tcW w:w="1263" w:type="pct"/>
            <w:vAlign w:val="center"/>
          </w:tcPr>
          <w:p w14:paraId="28A937C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r>
      <w:tr w14:paraId="3AB3F1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6C0EFA7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11</w:t>
            </w:r>
          </w:p>
        </w:tc>
        <w:tc>
          <w:tcPr>
            <w:tcW w:w="1109" w:type="pct"/>
            <w:vAlign w:val="center"/>
          </w:tcPr>
          <w:p w14:paraId="171D727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总铜</w:t>
            </w:r>
          </w:p>
        </w:tc>
        <w:tc>
          <w:tcPr>
            <w:tcW w:w="1108" w:type="pct"/>
            <w:vAlign w:val="center"/>
          </w:tcPr>
          <w:p w14:paraId="76D55DF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0.5</w:t>
            </w:r>
          </w:p>
        </w:tc>
        <w:tc>
          <w:tcPr>
            <w:tcW w:w="1143" w:type="pct"/>
            <w:vAlign w:val="center"/>
          </w:tcPr>
          <w:p w14:paraId="6FF3962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sz w:val="21"/>
                <w:szCs w:val="21"/>
              </w:rPr>
              <w:t>0.5</w:t>
            </w:r>
          </w:p>
        </w:tc>
        <w:tc>
          <w:tcPr>
            <w:tcW w:w="1263" w:type="pct"/>
            <w:vAlign w:val="center"/>
          </w:tcPr>
          <w:p w14:paraId="70181D4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w:t>
            </w:r>
          </w:p>
        </w:tc>
      </w:tr>
      <w:tr w14:paraId="232522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64ACC16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12</w:t>
            </w:r>
          </w:p>
        </w:tc>
        <w:tc>
          <w:tcPr>
            <w:tcW w:w="1109" w:type="pct"/>
            <w:vAlign w:val="center"/>
          </w:tcPr>
          <w:p w14:paraId="4E0BB9C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总镍</w:t>
            </w:r>
          </w:p>
        </w:tc>
        <w:tc>
          <w:tcPr>
            <w:tcW w:w="1108" w:type="pct"/>
            <w:vAlign w:val="center"/>
          </w:tcPr>
          <w:p w14:paraId="69A85EC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0.05</w:t>
            </w:r>
          </w:p>
        </w:tc>
        <w:tc>
          <w:tcPr>
            <w:tcW w:w="1143" w:type="pct"/>
            <w:vAlign w:val="center"/>
          </w:tcPr>
          <w:p w14:paraId="4D24871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sz w:val="21"/>
                <w:szCs w:val="21"/>
              </w:rPr>
              <w:t>0.05</w:t>
            </w:r>
          </w:p>
        </w:tc>
        <w:tc>
          <w:tcPr>
            <w:tcW w:w="1263" w:type="pct"/>
            <w:vAlign w:val="center"/>
          </w:tcPr>
          <w:p w14:paraId="5697020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r>
      <w:tr w14:paraId="57BA3C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001B5ED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13</w:t>
            </w:r>
          </w:p>
        </w:tc>
        <w:tc>
          <w:tcPr>
            <w:tcW w:w="1109" w:type="pct"/>
            <w:vAlign w:val="center"/>
          </w:tcPr>
          <w:p w14:paraId="4A35B8B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总铬</w:t>
            </w:r>
          </w:p>
        </w:tc>
        <w:tc>
          <w:tcPr>
            <w:tcW w:w="1108" w:type="pct"/>
            <w:vAlign w:val="center"/>
          </w:tcPr>
          <w:p w14:paraId="664EFAD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0.1</w:t>
            </w:r>
          </w:p>
        </w:tc>
        <w:tc>
          <w:tcPr>
            <w:tcW w:w="1143" w:type="pct"/>
            <w:vAlign w:val="center"/>
          </w:tcPr>
          <w:p w14:paraId="3FF0A97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sz w:val="21"/>
                <w:szCs w:val="21"/>
              </w:rPr>
              <w:t>0.1</w:t>
            </w:r>
          </w:p>
        </w:tc>
        <w:tc>
          <w:tcPr>
            <w:tcW w:w="1263" w:type="pct"/>
            <w:vAlign w:val="center"/>
          </w:tcPr>
          <w:p w14:paraId="17E2417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w:t>
            </w:r>
          </w:p>
        </w:tc>
      </w:tr>
      <w:tr w14:paraId="66824E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5595756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14</w:t>
            </w:r>
          </w:p>
        </w:tc>
        <w:tc>
          <w:tcPr>
            <w:tcW w:w="1109" w:type="pct"/>
            <w:vAlign w:val="center"/>
          </w:tcPr>
          <w:p w14:paraId="0240003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SS</w:t>
            </w:r>
          </w:p>
        </w:tc>
        <w:tc>
          <w:tcPr>
            <w:tcW w:w="1108" w:type="pct"/>
            <w:vAlign w:val="center"/>
          </w:tcPr>
          <w:p w14:paraId="6103C4A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10</w:t>
            </w:r>
          </w:p>
        </w:tc>
        <w:tc>
          <w:tcPr>
            <w:tcW w:w="1143" w:type="pct"/>
            <w:vAlign w:val="center"/>
          </w:tcPr>
          <w:p w14:paraId="5A02037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sz w:val="21"/>
                <w:szCs w:val="21"/>
              </w:rPr>
              <w:t>10</w:t>
            </w:r>
          </w:p>
        </w:tc>
        <w:tc>
          <w:tcPr>
            <w:tcW w:w="1263" w:type="pct"/>
            <w:vAlign w:val="center"/>
          </w:tcPr>
          <w:p w14:paraId="205245F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14:paraId="7D4D6C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2F2E072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15</w:t>
            </w:r>
          </w:p>
        </w:tc>
        <w:tc>
          <w:tcPr>
            <w:tcW w:w="1109" w:type="pct"/>
            <w:vAlign w:val="center"/>
          </w:tcPr>
          <w:p w14:paraId="5A49659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动植物油</w:t>
            </w:r>
          </w:p>
        </w:tc>
        <w:tc>
          <w:tcPr>
            <w:tcW w:w="1108" w:type="pct"/>
            <w:vAlign w:val="center"/>
          </w:tcPr>
          <w:p w14:paraId="182D3C9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1143" w:type="pct"/>
            <w:vAlign w:val="center"/>
          </w:tcPr>
          <w:p w14:paraId="1A7CE52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sz w:val="21"/>
                <w:szCs w:val="21"/>
              </w:rPr>
              <w:t>1</w:t>
            </w:r>
          </w:p>
        </w:tc>
        <w:tc>
          <w:tcPr>
            <w:tcW w:w="1263" w:type="pct"/>
            <w:vAlign w:val="center"/>
          </w:tcPr>
          <w:p w14:paraId="61BC2D8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14:paraId="2B0185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082FD87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16</w:t>
            </w:r>
          </w:p>
        </w:tc>
        <w:tc>
          <w:tcPr>
            <w:tcW w:w="1109" w:type="pct"/>
            <w:vAlign w:val="center"/>
          </w:tcPr>
          <w:p w14:paraId="208B929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石油类</w:t>
            </w:r>
          </w:p>
        </w:tc>
        <w:tc>
          <w:tcPr>
            <w:tcW w:w="1108" w:type="pct"/>
            <w:vAlign w:val="center"/>
          </w:tcPr>
          <w:p w14:paraId="5EC6D1E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1143" w:type="pct"/>
            <w:vAlign w:val="center"/>
          </w:tcPr>
          <w:p w14:paraId="17EFBE8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sz w:val="21"/>
                <w:szCs w:val="21"/>
              </w:rPr>
              <w:t>1</w:t>
            </w:r>
          </w:p>
        </w:tc>
        <w:tc>
          <w:tcPr>
            <w:tcW w:w="1263" w:type="pct"/>
            <w:vAlign w:val="center"/>
          </w:tcPr>
          <w:p w14:paraId="6C3387A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r>
      <w:tr w14:paraId="239BBA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vAlign w:val="center"/>
          </w:tcPr>
          <w:p w14:paraId="5658580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18</w:t>
            </w:r>
          </w:p>
        </w:tc>
        <w:tc>
          <w:tcPr>
            <w:tcW w:w="1109" w:type="pct"/>
            <w:vAlign w:val="center"/>
          </w:tcPr>
          <w:p w14:paraId="0FDFAC2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挥发酚</w:t>
            </w:r>
          </w:p>
        </w:tc>
        <w:tc>
          <w:tcPr>
            <w:tcW w:w="1108" w:type="pct"/>
            <w:vAlign w:val="center"/>
          </w:tcPr>
          <w:p w14:paraId="211797F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0.5</w:t>
            </w:r>
          </w:p>
        </w:tc>
        <w:tc>
          <w:tcPr>
            <w:tcW w:w="1143" w:type="pct"/>
            <w:vAlign w:val="center"/>
          </w:tcPr>
          <w:p w14:paraId="4DC51B3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sz w:val="21"/>
                <w:szCs w:val="21"/>
                <w:highlight w:val="none"/>
              </w:rPr>
              <w:t>0.5</w:t>
            </w:r>
          </w:p>
        </w:tc>
        <w:tc>
          <w:tcPr>
            <w:tcW w:w="1263" w:type="pct"/>
            <w:vAlign w:val="center"/>
          </w:tcPr>
          <w:p w14:paraId="0680DB3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w:t>
            </w:r>
          </w:p>
        </w:tc>
      </w:tr>
      <w:tr w14:paraId="705BDC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75" w:type="pct"/>
            <w:tcBorders>
              <w:bottom w:val="single" w:color="auto" w:sz="12" w:space="0"/>
            </w:tcBorders>
            <w:vAlign w:val="center"/>
          </w:tcPr>
          <w:p w14:paraId="7CE0A78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19</w:t>
            </w:r>
          </w:p>
        </w:tc>
        <w:tc>
          <w:tcPr>
            <w:tcW w:w="1109" w:type="pct"/>
            <w:tcBorders>
              <w:bottom w:val="single" w:color="auto" w:sz="12" w:space="0"/>
            </w:tcBorders>
            <w:vAlign w:val="center"/>
          </w:tcPr>
          <w:p w14:paraId="3F42621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总氰化物</w:t>
            </w:r>
          </w:p>
        </w:tc>
        <w:tc>
          <w:tcPr>
            <w:tcW w:w="1108" w:type="pct"/>
            <w:tcBorders>
              <w:bottom w:val="single" w:color="auto" w:sz="12" w:space="0"/>
            </w:tcBorders>
            <w:vAlign w:val="center"/>
          </w:tcPr>
          <w:p w14:paraId="0209431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0.5</w:t>
            </w:r>
          </w:p>
        </w:tc>
        <w:tc>
          <w:tcPr>
            <w:tcW w:w="1143" w:type="pct"/>
            <w:tcBorders>
              <w:bottom w:val="single" w:color="auto" w:sz="12" w:space="0"/>
            </w:tcBorders>
            <w:vAlign w:val="center"/>
          </w:tcPr>
          <w:p w14:paraId="0ABF603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napToGrid w:val="0"/>
                <w:color w:val="auto"/>
                <w:kern w:val="0"/>
                <w:sz w:val="21"/>
                <w:szCs w:val="21"/>
                <w:lang w:val="en-US" w:eastAsia="en-US" w:bidi="ar-SA"/>
              </w:rPr>
            </w:pPr>
            <w:r>
              <w:rPr>
                <w:rFonts w:ascii="Times New Roman" w:hAnsi="Times New Roman" w:eastAsia="宋体" w:cs="Times New Roman"/>
                <w:color w:val="auto"/>
                <w:sz w:val="21"/>
                <w:szCs w:val="21"/>
              </w:rPr>
              <w:t>0.5</w:t>
            </w:r>
          </w:p>
        </w:tc>
        <w:tc>
          <w:tcPr>
            <w:tcW w:w="1263" w:type="pct"/>
            <w:tcBorders>
              <w:bottom w:val="single" w:color="auto" w:sz="12" w:space="0"/>
            </w:tcBorders>
            <w:vAlign w:val="center"/>
          </w:tcPr>
          <w:p w14:paraId="4805D9C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w:t>
            </w:r>
          </w:p>
        </w:tc>
      </w:tr>
    </w:tbl>
    <w:p w14:paraId="7DFC263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72" w:firstLineChars="200"/>
        <w:textAlignment w:val="baseline"/>
        <w:outlineLvl w:val="9"/>
        <w:rPr>
          <w:rFonts w:hint="eastAsia" w:ascii="Times New Roman" w:hAnsi="Times New Roman" w:eastAsia="宋体" w:cs="Times New Roman"/>
          <w:b w:val="0"/>
          <w:bCs w:val="0"/>
          <w:snapToGrid w:val="0"/>
          <w:color w:val="auto"/>
          <w:spacing w:val="-2"/>
          <w:kern w:val="0"/>
          <w:sz w:val="24"/>
          <w:szCs w:val="24"/>
          <w:highlight w:val="none"/>
          <w:lang w:val="en-US" w:eastAsia="zh-CN" w:bidi="ar-SA"/>
        </w:rPr>
      </w:pPr>
      <w:r>
        <w:rPr>
          <w:rFonts w:hint="eastAsia" w:ascii="Times New Roman" w:hAnsi="Times New Roman" w:eastAsia="宋体" w:cs="Times New Roman"/>
          <w:b w:val="0"/>
          <w:bCs w:val="0"/>
          <w:snapToGrid w:val="0"/>
          <w:color w:val="auto"/>
          <w:spacing w:val="-2"/>
          <w:kern w:val="0"/>
          <w:sz w:val="24"/>
          <w:szCs w:val="24"/>
          <w:highlight w:val="none"/>
          <w:lang w:val="en-US" w:eastAsia="zh-CN" w:bidi="ar-SA"/>
        </w:rPr>
        <w:t>2、行业性排放标准</w:t>
      </w:r>
      <w:bookmarkStart w:id="894" w:name="pindex3075"/>
      <w:bookmarkEnd w:id="894"/>
    </w:p>
    <w:p w14:paraId="24CC2D45">
      <w:pPr>
        <w:pStyle w:val="38"/>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68" w:firstLineChars="200"/>
        <w:textAlignment w:val="baseline"/>
        <w:rPr>
          <w:color w:val="auto"/>
          <w:sz w:val="24"/>
          <w:szCs w:val="24"/>
          <w:highlight w:val="none"/>
        </w:rPr>
      </w:pPr>
      <w:bookmarkStart w:id="895" w:name="sys30760122"/>
      <w:bookmarkStart w:id="896" w:name="OLE_LINK302"/>
      <w:bookmarkStart w:id="897" w:name="OLE_LINK301"/>
      <w:bookmarkStart w:id="898" w:name="OLE_LINK300"/>
      <w:r>
        <w:rPr>
          <w:rFonts w:hint="eastAsia" w:ascii="Times New Roman" w:hAnsi="Times New Roman" w:eastAsia="宋体" w:cs="Times New Roman"/>
          <w:color w:val="auto"/>
          <w:spacing w:val="-3"/>
          <w:sz w:val="24"/>
          <w:szCs w:val="24"/>
          <w:highlight w:val="none"/>
          <w:lang w:val="en-US" w:eastAsia="zh-CN"/>
        </w:rPr>
        <w:t>本次评估范围</w:t>
      </w:r>
      <w:r>
        <w:rPr>
          <w:rFonts w:hint="default" w:ascii="Times New Roman" w:hAnsi="Times New Roman" w:eastAsia="宋体" w:cs="Times New Roman"/>
          <w:color w:val="auto"/>
          <w:spacing w:val="-3"/>
          <w:sz w:val="24"/>
          <w:szCs w:val="24"/>
          <w:highlight w:val="none"/>
        </w:rPr>
        <w:t>内</w:t>
      </w:r>
      <w:r>
        <w:rPr>
          <w:rFonts w:hint="eastAsia"/>
          <w:color w:val="auto"/>
          <w:sz w:val="24"/>
          <w:szCs w:val="24"/>
          <w:highlight w:val="none"/>
        </w:rPr>
        <w:t>主导产业项目的产污特点及生态环境保护相关要求，补充医药制造业、电</w:t>
      </w:r>
      <w:r>
        <w:rPr>
          <w:rFonts w:hint="eastAsia"/>
          <w:color w:val="auto"/>
          <w:sz w:val="24"/>
          <w:szCs w:val="24"/>
          <w:highlight w:val="none"/>
          <w:lang w:val="en-US" w:eastAsia="zh-CN"/>
        </w:rPr>
        <w:t>子</w:t>
      </w:r>
      <w:r>
        <w:rPr>
          <w:rFonts w:hint="eastAsia"/>
          <w:color w:val="auto"/>
          <w:sz w:val="24"/>
          <w:szCs w:val="24"/>
          <w:highlight w:val="none"/>
        </w:rPr>
        <w:t>行业、半导体行业等行业性排放标准，</w:t>
      </w:r>
      <w:r>
        <w:rPr>
          <w:rFonts w:hint="eastAsia" w:ascii="Times New Roman" w:hAnsi="Times New Roman" w:eastAsia="宋体" w:cs="Times New Roman"/>
          <w:color w:val="auto"/>
          <w:spacing w:val="-3"/>
          <w:sz w:val="24"/>
          <w:szCs w:val="24"/>
          <w:highlight w:val="none"/>
          <w:lang w:val="en-US" w:eastAsia="zh-CN"/>
        </w:rPr>
        <w:t>本次评估范围</w:t>
      </w:r>
      <w:r>
        <w:rPr>
          <w:rFonts w:hint="default" w:ascii="Times New Roman" w:hAnsi="Times New Roman" w:eastAsia="宋体" w:cs="Times New Roman"/>
          <w:color w:val="auto"/>
          <w:spacing w:val="-3"/>
          <w:sz w:val="24"/>
          <w:szCs w:val="24"/>
          <w:highlight w:val="none"/>
        </w:rPr>
        <w:t>内</w:t>
      </w:r>
      <w:r>
        <w:rPr>
          <w:color w:val="auto"/>
          <w:sz w:val="24"/>
          <w:szCs w:val="24"/>
          <w:highlight w:val="none"/>
        </w:rPr>
        <w:t>工业企业水污染物排放标准有行业标准和地方标准的，优先执行相应的行业标准和地方标准，同时应满足污水处理厂接管标准要求。</w:t>
      </w:r>
      <w:bookmarkEnd w:id="895"/>
    </w:p>
    <w:bookmarkEnd w:id="896"/>
    <w:p w14:paraId="21C12FFF">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360" w:lineRule="auto"/>
        <w:ind w:right="136" w:rightChars="0" w:firstLine="480" w:firstLineChars="200"/>
        <w:jc w:val="both"/>
        <w:textAlignment w:val="baseline"/>
        <w:outlineLvl w:val="9"/>
        <w:rPr>
          <w:rFonts w:hint="default" w:ascii="Times New Roman" w:hAnsi="Times New Roman" w:cs="Times New Roman"/>
          <w:color w:val="auto"/>
          <w:sz w:val="24"/>
          <w:szCs w:val="24"/>
          <w:highlight w:val="none"/>
        </w:rPr>
      </w:pPr>
      <w:bookmarkStart w:id="899" w:name="OLE_LINK307"/>
      <w:r>
        <w:rPr>
          <w:rFonts w:hint="default" w:ascii="Times New Roman" w:hAnsi="Times New Roman" w:eastAsia="Arial" w:cs="Times New Roman"/>
          <w:snapToGrid w:val="0"/>
          <w:color w:val="auto"/>
          <w:kern w:val="0"/>
          <w:sz w:val="24"/>
          <w:szCs w:val="24"/>
          <w:highlight w:val="none"/>
          <w:lang w:val="en-US" w:eastAsia="en-US" w:bidi="ar-SA"/>
        </w:rPr>
        <w:t>（1）</w:t>
      </w:r>
      <w:r>
        <w:rPr>
          <w:rFonts w:hint="default" w:ascii="Times New Roman" w:hAnsi="Times New Roman" w:cs="Times New Roman"/>
          <w:color w:val="auto"/>
          <w:sz w:val="24"/>
          <w:szCs w:val="24"/>
          <w:highlight w:val="none"/>
        </w:rPr>
        <w:t>医药制造业</w:t>
      </w:r>
      <w:bookmarkStart w:id="900" w:name="pindex3077"/>
      <w:bookmarkEnd w:id="900"/>
    </w:p>
    <w:p w14:paraId="4D2BB742">
      <w:pPr>
        <w:pStyle w:val="17"/>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901" w:name="OLE_LINK759"/>
      <w:bookmarkStart w:id="902" w:name="OLE_LINK305"/>
      <w:r>
        <w:rPr>
          <w:rFonts w:hint="default" w:ascii="Times New Roman" w:hAnsi="Times New Roman" w:eastAsia="宋体" w:cs="Times New Roman"/>
          <w:color w:val="auto"/>
          <w:sz w:val="24"/>
          <w:szCs w:val="24"/>
          <w:highlight w:val="none"/>
        </w:rPr>
        <w:t>生物制药行业废水排放执行江苏省地标《生物制药行业水和大气污染物排放限值》（DB32/3560-2019），具体见</w:t>
      </w:r>
      <w:bookmarkStart w:id="903" w:name="OLE_LINK183"/>
      <w:r>
        <w:rPr>
          <w:rFonts w:hint="default" w:ascii="Times New Roman" w:hAnsi="Times New Roman" w:eastAsia="宋体" w:cs="Times New Roman"/>
          <w:color w:val="auto"/>
          <w:sz w:val="24"/>
          <w:szCs w:val="24"/>
          <w:highlight w:val="none"/>
        </w:rPr>
        <w:t>表</w:t>
      </w:r>
      <w:r>
        <w:rPr>
          <w:rFonts w:hint="eastAsia" w:ascii="Times New Roman" w:hAnsi="Times New Roman" w:eastAsia="宋体" w:cs="Times New Roman"/>
          <w:color w:val="auto"/>
          <w:sz w:val="24"/>
          <w:szCs w:val="24"/>
          <w:highlight w:val="none"/>
          <w:lang w:val="en-US" w:eastAsia="zh-CN"/>
        </w:rPr>
        <w:t>3.2-47</w:t>
      </w:r>
      <w:r>
        <w:rPr>
          <w:rFonts w:hint="default" w:ascii="Times New Roman" w:hAnsi="Times New Roman" w:eastAsia="宋体" w:cs="Times New Roman"/>
          <w:color w:val="auto"/>
          <w:sz w:val="24"/>
          <w:szCs w:val="24"/>
          <w:highlight w:val="none"/>
        </w:rPr>
        <w:t>；中药类制药行业废水排放执行《中药类制药工业水污染物排放标准》（GB21906-2008），</w:t>
      </w:r>
      <w:bookmarkEnd w:id="901"/>
      <w:r>
        <w:rPr>
          <w:rFonts w:hint="default" w:ascii="Times New Roman" w:hAnsi="Times New Roman" w:eastAsia="宋体" w:cs="Times New Roman"/>
          <w:color w:val="auto"/>
          <w:sz w:val="24"/>
          <w:szCs w:val="24"/>
          <w:highlight w:val="none"/>
        </w:rPr>
        <w:t>具</w:t>
      </w:r>
      <w:bookmarkStart w:id="904" w:name="OLE_LINK308"/>
      <w:r>
        <w:rPr>
          <w:rFonts w:hint="default" w:ascii="Times New Roman" w:hAnsi="Times New Roman" w:eastAsia="宋体" w:cs="Times New Roman"/>
          <w:color w:val="auto"/>
          <w:sz w:val="24"/>
          <w:szCs w:val="24"/>
          <w:highlight w:val="none"/>
        </w:rPr>
        <w:t>体见表</w:t>
      </w:r>
      <w:bookmarkEnd w:id="904"/>
      <w:r>
        <w:rPr>
          <w:rFonts w:hint="eastAsia" w:ascii="Times New Roman" w:hAnsi="Times New Roman" w:eastAsia="宋体" w:cs="Times New Roman"/>
          <w:color w:val="auto"/>
          <w:sz w:val="24"/>
          <w:szCs w:val="24"/>
          <w:highlight w:val="none"/>
          <w:lang w:val="en-US" w:eastAsia="zh-CN"/>
        </w:rPr>
        <w:t>3.2-48</w:t>
      </w:r>
      <w:r>
        <w:rPr>
          <w:rFonts w:hint="default" w:ascii="Times New Roman" w:hAnsi="Times New Roman" w:eastAsia="宋体" w:cs="Times New Roman"/>
          <w:color w:val="auto"/>
          <w:sz w:val="24"/>
          <w:szCs w:val="24"/>
          <w:highlight w:val="none"/>
        </w:rPr>
        <w:t>。</w:t>
      </w:r>
      <w:bookmarkEnd w:id="903"/>
    </w:p>
    <w:p w14:paraId="70159830">
      <w:pPr>
        <w:adjustRightInd w:val="0"/>
        <w:snapToGrid w:val="0"/>
        <w:jc w:val="center"/>
        <w:rPr>
          <w:rFonts w:hint="default" w:ascii="Times New Roman" w:hAnsi="Times New Roman" w:cs="Times New Roman"/>
          <w:b/>
          <w:color w:val="auto"/>
          <w:sz w:val="24"/>
          <w:highlight w:val="none"/>
        </w:rPr>
      </w:pPr>
      <w:bookmarkStart w:id="905" w:name="sys3079032"/>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2-47</w:t>
      </w:r>
      <w:r>
        <w:rPr>
          <w:rFonts w:hint="default" w:ascii="Times New Roman" w:hAnsi="Times New Roman" w:cs="Times New Roman"/>
          <w:b/>
          <w:color w:val="auto"/>
          <w:sz w:val="24"/>
          <w:highlight w:val="none"/>
        </w:rPr>
        <w:t xml:space="preserve">  生物制药行业第一类水污染物最高允许排放浓度限值</w:t>
      </w:r>
      <w:bookmarkEnd w:id="905"/>
      <w:bookmarkStart w:id="906" w:name="pindex3079"/>
      <w:bookmarkEnd w:id="906"/>
    </w:p>
    <w:tbl>
      <w:tblPr>
        <w:tblStyle w:val="19"/>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048"/>
        <w:gridCol w:w="1798"/>
        <w:gridCol w:w="1650"/>
        <w:gridCol w:w="1899"/>
        <w:gridCol w:w="1959"/>
      </w:tblGrid>
      <w:tr w14:paraId="543CCB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627" w:type="pct"/>
            <w:noWrap w:val="0"/>
            <w:vAlign w:val="center"/>
          </w:tcPr>
          <w:p w14:paraId="4A20719F">
            <w:pPr>
              <w:autoSpaceDE w:val="0"/>
              <w:autoSpaceDN w:val="0"/>
              <w:adjustRightIn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序号</w:t>
            </w:r>
          </w:p>
        </w:tc>
        <w:tc>
          <w:tcPr>
            <w:tcW w:w="1076" w:type="pct"/>
            <w:noWrap w:val="0"/>
            <w:vAlign w:val="center"/>
          </w:tcPr>
          <w:p w14:paraId="6292AD62">
            <w:pPr>
              <w:autoSpaceDE w:val="0"/>
              <w:autoSpaceDN w:val="0"/>
              <w:adjustRightIn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污染物</w:t>
            </w:r>
          </w:p>
        </w:tc>
        <w:tc>
          <w:tcPr>
            <w:tcW w:w="987" w:type="pct"/>
            <w:noWrap w:val="0"/>
            <w:vAlign w:val="center"/>
          </w:tcPr>
          <w:p w14:paraId="0339B74D">
            <w:pPr>
              <w:autoSpaceDE w:val="0"/>
              <w:autoSpaceDN w:val="0"/>
              <w:adjustRightIn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适用范围</w:t>
            </w:r>
          </w:p>
        </w:tc>
        <w:tc>
          <w:tcPr>
            <w:tcW w:w="1136" w:type="pct"/>
            <w:noWrap w:val="0"/>
            <w:vAlign w:val="center"/>
          </w:tcPr>
          <w:p w14:paraId="1A8DC3D7">
            <w:pPr>
              <w:autoSpaceDE w:val="0"/>
              <w:autoSpaceDN w:val="0"/>
              <w:adjustRightIn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排放限值（mg/L）</w:t>
            </w:r>
          </w:p>
        </w:tc>
        <w:tc>
          <w:tcPr>
            <w:tcW w:w="1172" w:type="pct"/>
            <w:noWrap w:val="0"/>
            <w:vAlign w:val="center"/>
          </w:tcPr>
          <w:p w14:paraId="614666BA">
            <w:pPr>
              <w:autoSpaceDE w:val="0"/>
              <w:autoSpaceDN w:val="0"/>
              <w:adjustRightInd w:val="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标准来源</w:t>
            </w:r>
          </w:p>
        </w:tc>
      </w:tr>
      <w:tr w14:paraId="57ADAF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627" w:type="pct"/>
            <w:noWrap w:val="0"/>
            <w:vAlign w:val="center"/>
          </w:tcPr>
          <w:p w14:paraId="3EFC653C">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w:t>
            </w:r>
          </w:p>
        </w:tc>
        <w:tc>
          <w:tcPr>
            <w:tcW w:w="1076" w:type="pct"/>
            <w:noWrap w:val="0"/>
            <w:vAlign w:val="center"/>
          </w:tcPr>
          <w:p w14:paraId="45CFC7E7">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总汞</w:t>
            </w:r>
          </w:p>
        </w:tc>
        <w:tc>
          <w:tcPr>
            <w:tcW w:w="987" w:type="pct"/>
            <w:vMerge w:val="restart"/>
            <w:noWrap w:val="0"/>
            <w:vAlign w:val="center"/>
          </w:tcPr>
          <w:p w14:paraId="173206F0">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所有单位</w:t>
            </w:r>
          </w:p>
        </w:tc>
        <w:tc>
          <w:tcPr>
            <w:tcW w:w="1136" w:type="pct"/>
            <w:noWrap w:val="0"/>
            <w:vAlign w:val="center"/>
          </w:tcPr>
          <w:p w14:paraId="3CA0DF81">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0.005</w:t>
            </w:r>
          </w:p>
        </w:tc>
        <w:tc>
          <w:tcPr>
            <w:tcW w:w="1172" w:type="pct"/>
            <w:vMerge w:val="restart"/>
            <w:noWrap w:val="0"/>
            <w:vAlign w:val="center"/>
          </w:tcPr>
          <w:p w14:paraId="100BE4F1">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《生物制药行业水和大气污染物排放限值》（DB32/3560-2019）表1</w:t>
            </w:r>
          </w:p>
        </w:tc>
      </w:tr>
      <w:tr w14:paraId="71F697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627" w:type="pct"/>
            <w:noWrap w:val="0"/>
            <w:vAlign w:val="center"/>
          </w:tcPr>
          <w:p w14:paraId="73E829EB">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w:t>
            </w:r>
          </w:p>
        </w:tc>
        <w:tc>
          <w:tcPr>
            <w:tcW w:w="1076" w:type="pct"/>
            <w:noWrap w:val="0"/>
            <w:vAlign w:val="center"/>
          </w:tcPr>
          <w:p w14:paraId="439559A8">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烷基汞</w:t>
            </w:r>
          </w:p>
        </w:tc>
        <w:tc>
          <w:tcPr>
            <w:tcW w:w="987" w:type="pct"/>
            <w:vMerge w:val="continue"/>
            <w:noWrap w:val="0"/>
            <w:vAlign w:val="center"/>
          </w:tcPr>
          <w:p w14:paraId="497CDA81">
            <w:pPr>
              <w:autoSpaceDE w:val="0"/>
              <w:autoSpaceDN w:val="0"/>
              <w:adjustRightInd w:val="0"/>
              <w:jc w:val="center"/>
              <w:rPr>
                <w:rFonts w:hint="default" w:ascii="Times New Roman" w:hAnsi="Times New Roman" w:cs="Times New Roman"/>
                <w:color w:val="auto"/>
                <w:kern w:val="0"/>
                <w:szCs w:val="21"/>
                <w:highlight w:val="none"/>
              </w:rPr>
            </w:pPr>
          </w:p>
        </w:tc>
        <w:tc>
          <w:tcPr>
            <w:tcW w:w="1136" w:type="pct"/>
            <w:noWrap w:val="0"/>
            <w:vAlign w:val="center"/>
          </w:tcPr>
          <w:p w14:paraId="519CFF01">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0.00003</w:t>
            </w:r>
          </w:p>
        </w:tc>
        <w:tc>
          <w:tcPr>
            <w:tcW w:w="1172" w:type="pct"/>
            <w:vMerge w:val="continue"/>
            <w:noWrap w:val="0"/>
            <w:vAlign w:val="center"/>
          </w:tcPr>
          <w:p w14:paraId="682C1A11">
            <w:pPr>
              <w:autoSpaceDE w:val="0"/>
              <w:autoSpaceDN w:val="0"/>
              <w:adjustRightInd w:val="0"/>
              <w:jc w:val="center"/>
              <w:rPr>
                <w:rFonts w:hint="default" w:ascii="Times New Roman" w:hAnsi="Times New Roman" w:cs="Times New Roman"/>
                <w:color w:val="auto"/>
                <w:kern w:val="0"/>
                <w:szCs w:val="21"/>
                <w:highlight w:val="none"/>
              </w:rPr>
            </w:pPr>
          </w:p>
        </w:tc>
      </w:tr>
      <w:tr w14:paraId="031359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627" w:type="pct"/>
            <w:noWrap w:val="0"/>
            <w:vAlign w:val="center"/>
          </w:tcPr>
          <w:p w14:paraId="1F39E986">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w:t>
            </w:r>
          </w:p>
        </w:tc>
        <w:tc>
          <w:tcPr>
            <w:tcW w:w="1076" w:type="pct"/>
            <w:noWrap w:val="0"/>
            <w:vAlign w:val="center"/>
          </w:tcPr>
          <w:p w14:paraId="2FC78F36">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总镉</w:t>
            </w:r>
          </w:p>
        </w:tc>
        <w:tc>
          <w:tcPr>
            <w:tcW w:w="987" w:type="pct"/>
            <w:vMerge w:val="continue"/>
            <w:noWrap w:val="0"/>
            <w:vAlign w:val="center"/>
          </w:tcPr>
          <w:p w14:paraId="0D41C476">
            <w:pPr>
              <w:autoSpaceDE w:val="0"/>
              <w:autoSpaceDN w:val="0"/>
              <w:adjustRightInd w:val="0"/>
              <w:jc w:val="center"/>
              <w:rPr>
                <w:rFonts w:hint="default" w:ascii="Times New Roman" w:hAnsi="Times New Roman" w:cs="Times New Roman"/>
                <w:color w:val="auto"/>
                <w:kern w:val="0"/>
                <w:szCs w:val="21"/>
                <w:highlight w:val="none"/>
              </w:rPr>
            </w:pPr>
          </w:p>
        </w:tc>
        <w:tc>
          <w:tcPr>
            <w:tcW w:w="1136" w:type="pct"/>
            <w:noWrap w:val="0"/>
            <w:vAlign w:val="center"/>
          </w:tcPr>
          <w:p w14:paraId="1576BC24">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0.01</w:t>
            </w:r>
          </w:p>
        </w:tc>
        <w:tc>
          <w:tcPr>
            <w:tcW w:w="1172" w:type="pct"/>
            <w:vMerge w:val="continue"/>
            <w:noWrap w:val="0"/>
            <w:vAlign w:val="center"/>
          </w:tcPr>
          <w:p w14:paraId="166A5CEF">
            <w:pPr>
              <w:autoSpaceDE w:val="0"/>
              <w:autoSpaceDN w:val="0"/>
              <w:adjustRightInd w:val="0"/>
              <w:jc w:val="center"/>
              <w:rPr>
                <w:rFonts w:hint="default" w:ascii="Times New Roman" w:hAnsi="Times New Roman" w:cs="Times New Roman"/>
                <w:color w:val="auto"/>
                <w:kern w:val="0"/>
                <w:szCs w:val="21"/>
                <w:highlight w:val="none"/>
              </w:rPr>
            </w:pPr>
          </w:p>
        </w:tc>
      </w:tr>
      <w:tr w14:paraId="0979C4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627" w:type="pct"/>
            <w:noWrap w:val="0"/>
            <w:vAlign w:val="center"/>
          </w:tcPr>
          <w:p w14:paraId="18D7233D">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w:t>
            </w:r>
          </w:p>
        </w:tc>
        <w:tc>
          <w:tcPr>
            <w:tcW w:w="1076" w:type="pct"/>
            <w:noWrap w:val="0"/>
            <w:vAlign w:val="center"/>
          </w:tcPr>
          <w:p w14:paraId="20E4FABB">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总铬</w:t>
            </w:r>
          </w:p>
        </w:tc>
        <w:tc>
          <w:tcPr>
            <w:tcW w:w="987" w:type="pct"/>
            <w:vMerge w:val="continue"/>
            <w:noWrap w:val="0"/>
            <w:vAlign w:val="center"/>
          </w:tcPr>
          <w:p w14:paraId="7F9312A8">
            <w:pPr>
              <w:autoSpaceDE w:val="0"/>
              <w:autoSpaceDN w:val="0"/>
              <w:adjustRightInd w:val="0"/>
              <w:jc w:val="center"/>
              <w:rPr>
                <w:rFonts w:hint="default" w:ascii="Times New Roman" w:hAnsi="Times New Roman" w:cs="Times New Roman"/>
                <w:color w:val="auto"/>
                <w:kern w:val="0"/>
                <w:szCs w:val="21"/>
                <w:highlight w:val="none"/>
              </w:rPr>
            </w:pPr>
          </w:p>
        </w:tc>
        <w:tc>
          <w:tcPr>
            <w:tcW w:w="1136" w:type="pct"/>
            <w:noWrap w:val="0"/>
            <w:vAlign w:val="center"/>
          </w:tcPr>
          <w:p w14:paraId="0796471F">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0.15</w:t>
            </w:r>
          </w:p>
        </w:tc>
        <w:tc>
          <w:tcPr>
            <w:tcW w:w="1172" w:type="pct"/>
            <w:vMerge w:val="continue"/>
            <w:noWrap w:val="0"/>
            <w:vAlign w:val="center"/>
          </w:tcPr>
          <w:p w14:paraId="5704E7A4">
            <w:pPr>
              <w:autoSpaceDE w:val="0"/>
              <w:autoSpaceDN w:val="0"/>
              <w:adjustRightInd w:val="0"/>
              <w:jc w:val="center"/>
              <w:rPr>
                <w:rFonts w:hint="default" w:ascii="Times New Roman" w:hAnsi="Times New Roman" w:cs="Times New Roman"/>
                <w:color w:val="auto"/>
                <w:kern w:val="0"/>
                <w:szCs w:val="21"/>
                <w:highlight w:val="none"/>
              </w:rPr>
            </w:pPr>
          </w:p>
        </w:tc>
      </w:tr>
      <w:tr w14:paraId="270F44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627" w:type="pct"/>
            <w:noWrap w:val="0"/>
            <w:vAlign w:val="center"/>
          </w:tcPr>
          <w:p w14:paraId="06491418">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w:t>
            </w:r>
          </w:p>
        </w:tc>
        <w:tc>
          <w:tcPr>
            <w:tcW w:w="1076" w:type="pct"/>
            <w:noWrap w:val="0"/>
            <w:vAlign w:val="center"/>
          </w:tcPr>
          <w:p w14:paraId="4EE56E8B">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六价铬</w:t>
            </w:r>
          </w:p>
        </w:tc>
        <w:tc>
          <w:tcPr>
            <w:tcW w:w="987" w:type="pct"/>
            <w:vMerge w:val="continue"/>
            <w:noWrap w:val="0"/>
            <w:vAlign w:val="center"/>
          </w:tcPr>
          <w:p w14:paraId="42D5F485">
            <w:pPr>
              <w:autoSpaceDE w:val="0"/>
              <w:autoSpaceDN w:val="0"/>
              <w:adjustRightInd w:val="0"/>
              <w:jc w:val="center"/>
              <w:rPr>
                <w:rFonts w:hint="default" w:ascii="Times New Roman" w:hAnsi="Times New Roman" w:cs="Times New Roman"/>
                <w:color w:val="auto"/>
                <w:kern w:val="0"/>
                <w:szCs w:val="21"/>
                <w:highlight w:val="none"/>
              </w:rPr>
            </w:pPr>
          </w:p>
        </w:tc>
        <w:tc>
          <w:tcPr>
            <w:tcW w:w="1136" w:type="pct"/>
            <w:noWrap w:val="0"/>
            <w:vAlign w:val="center"/>
          </w:tcPr>
          <w:p w14:paraId="6162D985">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0.05</w:t>
            </w:r>
          </w:p>
        </w:tc>
        <w:tc>
          <w:tcPr>
            <w:tcW w:w="1172" w:type="pct"/>
            <w:vMerge w:val="continue"/>
            <w:noWrap w:val="0"/>
            <w:vAlign w:val="center"/>
          </w:tcPr>
          <w:p w14:paraId="5C1940E9">
            <w:pPr>
              <w:autoSpaceDE w:val="0"/>
              <w:autoSpaceDN w:val="0"/>
              <w:adjustRightInd w:val="0"/>
              <w:jc w:val="center"/>
              <w:rPr>
                <w:rFonts w:hint="default" w:ascii="Times New Roman" w:hAnsi="Times New Roman" w:cs="Times New Roman"/>
                <w:color w:val="auto"/>
                <w:kern w:val="0"/>
                <w:szCs w:val="21"/>
                <w:highlight w:val="none"/>
              </w:rPr>
            </w:pPr>
          </w:p>
        </w:tc>
      </w:tr>
      <w:tr w14:paraId="1749A1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c>
          <w:tcPr>
            <w:tcW w:w="627" w:type="pct"/>
            <w:noWrap w:val="0"/>
            <w:vAlign w:val="center"/>
          </w:tcPr>
          <w:p w14:paraId="25B24EBC">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w:t>
            </w:r>
          </w:p>
        </w:tc>
        <w:tc>
          <w:tcPr>
            <w:tcW w:w="1076" w:type="pct"/>
            <w:noWrap w:val="0"/>
            <w:vAlign w:val="center"/>
          </w:tcPr>
          <w:p w14:paraId="1FCB50F7">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总砷</w:t>
            </w:r>
          </w:p>
        </w:tc>
        <w:tc>
          <w:tcPr>
            <w:tcW w:w="987" w:type="pct"/>
            <w:vMerge w:val="continue"/>
            <w:noWrap w:val="0"/>
            <w:vAlign w:val="center"/>
          </w:tcPr>
          <w:p w14:paraId="21AA06F8">
            <w:pPr>
              <w:autoSpaceDE w:val="0"/>
              <w:autoSpaceDN w:val="0"/>
              <w:adjustRightInd w:val="0"/>
              <w:jc w:val="center"/>
              <w:rPr>
                <w:rFonts w:hint="default" w:ascii="Times New Roman" w:hAnsi="Times New Roman" w:cs="Times New Roman"/>
                <w:color w:val="auto"/>
                <w:kern w:val="0"/>
                <w:szCs w:val="21"/>
                <w:highlight w:val="none"/>
              </w:rPr>
            </w:pPr>
          </w:p>
        </w:tc>
        <w:tc>
          <w:tcPr>
            <w:tcW w:w="1136" w:type="pct"/>
            <w:noWrap w:val="0"/>
            <w:vAlign w:val="center"/>
          </w:tcPr>
          <w:p w14:paraId="07C056D5">
            <w:pPr>
              <w:autoSpaceDE w:val="0"/>
              <w:autoSpaceDN w:val="0"/>
              <w:adjustRightIn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0.05</w:t>
            </w:r>
          </w:p>
        </w:tc>
        <w:tc>
          <w:tcPr>
            <w:tcW w:w="1172" w:type="pct"/>
            <w:vMerge w:val="continue"/>
            <w:noWrap w:val="0"/>
            <w:vAlign w:val="center"/>
          </w:tcPr>
          <w:p w14:paraId="6B39D724">
            <w:pPr>
              <w:autoSpaceDE w:val="0"/>
              <w:autoSpaceDN w:val="0"/>
              <w:adjustRightInd w:val="0"/>
              <w:jc w:val="center"/>
              <w:rPr>
                <w:rFonts w:hint="default" w:ascii="Times New Roman" w:hAnsi="Times New Roman" w:cs="Times New Roman"/>
                <w:color w:val="auto"/>
                <w:kern w:val="0"/>
                <w:szCs w:val="21"/>
                <w:highlight w:val="none"/>
              </w:rPr>
            </w:pPr>
          </w:p>
        </w:tc>
      </w:tr>
      <w:bookmarkEnd w:id="899"/>
    </w:tbl>
    <w:p w14:paraId="75293565">
      <w:pPr>
        <w:pStyle w:val="6"/>
        <w:numPr>
          <w:ilvl w:val="0"/>
          <w:numId w:val="0"/>
        </w:numPr>
        <w:bidi w:val="0"/>
        <w:ind w:leftChars="0"/>
        <w:jc w:val="center"/>
        <w:rPr>
          <w:rFonts w:hint="default" w:ascii="Times New Roman" w:hAnsi="Times New Roman" w:cs="Times New Roman"/>
          <w:color w:val="auto"/>
          <w:highlight w:val="none"/>
        </w:rPr>
      </w:pPr>
      <w:bookmarkStart w:id="907" w:name="sys3115032"/>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2-48</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cs="Times New Roman"/>
          <w:color w:val="auto"/>
          <w:highlight w:val="none"/>
        </w:rPr>
        <w:t xml:space="preserve"> </w:t>
      </w:r>
      <w:bookmarkStart w:id="908" w:name="OLE_LINK182"/>
      <w:r>
        <w:rPr>
          <w:rFonts w:hint="default" w:ascii="Times New Roman" w:hAnsi="Times New Roman" w:cs="Times New Roman"/>
          <w:color w:val="auto"/>
          <w:sz w:val="24"/>
          <w:szCs w:val="24"/>
          <w:highlight w:val="none"/>
        </w:rPr>
        <w:t>生物制药行业第二类水污染物最高允许排放浓度限值</w:t>
      </w:r>
      <w:bookmarkEnd w:id="907"/>
      <w:bookmarkEnd w:id="908"/>
      <w:bookmarkStart w:id="909" w:name="pindex3115"/>
      <w:bookmarkEnd w:id="909"/>
    </w:p>
    <w:tbl>
      <w:tblPr>
        <w:tblStyle w:val="19"/>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050"/>
        <w:gridCol w:w="749"/>
        <w:gridCol w:w="2702"/>
        <w:gridCol w:w="2104"/>
        <w:gridCol w:w="1751"/>
      </w:tblGrid>
      <w:tr w14:paraId="0839AE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6" w:hRule="atLeast"/>
          <w:tblHeader/>
        </w:trPr>
        <w:tc>
          <w:tcPr>
            <w:tcW w:w="628" w:type="pct"/>
            <w:noWrap w:val="0"/>
            <w:vAlign w:val="center"/>
          </w:tcPr>
          <w:p w14:paraId="709FD46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类别范围</w:t>
            </w:r>
          </w:p>
        </w:tc>
        <w:tc>
          <w:tcPr>
            <w:tcW w:w="448" w:type="pct"/>
            <w:noWrap w:val="0"/>
            <w:vAlign w:val="center"/>
          </w:tcPr>
          <w:p w14:paraId="79B8046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1617" w:type="pct"/>
            <w:noWrap w:val="0"/>
            <w:vAlign w:val="center"/>
          </w:tcPr>
          <w:p w14:paraId="1CACA3E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1258" w:type="pct"/>
            <w:noWrap w:val="0"/>
            <w:vAlign w:val="center"/>
          </w:tcPr>
          <w:p w14:paraId="051D7F1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间接排放限值（mg/L）</w:t>
            </w:r>
          </w:p>
        </w:tc>
        <w:tc>
          <w:tcPr>
            <w:tcW w:w="1047" w:type="pct"/>
            <w:noWrap w:val="0"/>
            <w:vAlign w:val="center"/>
          </w:tcPr>
          <w:p w14:paraId="05D3EA4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标准来源</w:t>
            </w:r>
          </w:p>
        </w:tc>
      </w:tr>
      <w:tr w14:paraId="3DD080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28" w:type="pct"/>
            <w:vMerge w:val="restart"/>
            <w:noWrap w:val="0"/>
            <w:vAlign w:val="center"/>
          </w:tcPr>
          <w:p w14:paraId="4160955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一、发酵类制药企业（含生产设施）</w:t>
            </w:r>
          </w:p>
        </w:tc>
        <w:tc>
          <w:tcPr>
            <w:tcW w:w="448" w:type="pct"/>
            <w:noWrap w:val="0"/>
            <w:vAlign w:val="center"/>
          </w:tcPr>
          <w:p w14:paraId="39217D9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617" w:type="pct"/>
            <w:noWrap w:val="0"/>
            <w:vAlign w:val="center"/>
          </w:tcPr>
          <w:p w14:paraId="6C0017E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 值（无量纲）</w:t>
            </w:r>
          </w:p>
        </w:tc>
        <w:tc>
          <w:tcPr>
            <w:tcW w:w="1258" w:type="pct"/>
            <w:noWrap w:val="0"/>
            <w:vAlign w:val="center"/>
          </w:tcPr>
          <w:p w14:paraId="0DBDDC0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1047" w:type="pct"/>
            <w:vMerge w:val="restart"/>
            <w:noWrap w:val="0"/>
            <w:vAlign w:val="center"/>
          </w:tcPr>
          <w:p w14:paraId="65C1219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bookmarkStart w:id="910" w:name="sys3125043"/>
            <w:r>
              <w:rPr>
                <w:rFonts w:hint="default" w:ascii="Times New Roman" w:hAnsi="Times New Roman" w:eastAsia="宋体" w:cs="Times New Roman"/>
                <w:color w:val="auto"/>
                <w:sz w:val="21"/>
                <w:szCs w:val="21"/>
                <w:highlight w:val="none"/>
              </w:rPr>
              <w:t>《生物制药行业水和大气污染物排放限值》（DB32/3560-2019）表2间接排放限值</w:t>
            </w:r>
            <w:bookmarkEnd w:id="910"/>
          </w:p>
        </w:tc>
      </w:tr>
      <w:tr w14:paraId="0B554E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123CC5B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51D759ED">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617" w:type="pct"/>
            <w:noWrap w:val="0"/>
            <w:vAlign w:val="center"/>
          </w:tcPr>
          <w:p w14:paraId="3F02E18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色度（稀释倍数）</w:t>
            </w:r>
          </w:p>
        </w:tc>
        <w:tc>
          <w:tcPr>
            <w:tcW w:w="1258" w:type="pct"/>
            <w:noWrap w:val="0"/>
            <w:vAlign w:val="center"/>
          </w:tcPr>
          <w:p w14:paraId="4D78345C">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1047" w:type="pct"/>
            <w:vMerge w:val="continue"/>
            <w:noWrap w:val="0"/>
            <w:vAlign w:val="center"/>
          </w:tcPr>
          <w:p w14:paraId="7C52273B">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469809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628" w:type="pct"/>
            <w:vMerge w:val="continue"/>
            <w:noWrap w:val="0"/>
            <w:vAlign w:val="center"/>
          </w:tcPr>
          <w:p w14:paraId="7D0B3A3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0F24A9F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617" w:type="pct"/>
            <w:noWrap w:val="0"/>
            <w:vAlign w:val="center"/>
          </w:tcPr>
          <w:p w14:paraId="687CEB4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悬浮物（SS）</w:t>
            </w:r>
          </w:p>
        </w:tc>
        <w:tc>
          <w:tcPr>
            <w:tcW w:w="1258" w:type="pct"/>
            <w:noWrap w:val="0"/>
            <w:vAlign w:val="center"/>
          </w:tcPr>
          <w:p w14:paraId="2A96FAF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120</w:t>
            </w:r>
          </w:p>
        </w:tc>
        <w:tc>
          <w:tcPr>
            <w:tcW w:w="1047" w:type="pct"/>
            <w:vMerge w:val="continue"/>
            <w:noWrap w:val="0"/>
            <w:vAlign w:val="center"/>
          </w:tcPr>
          <w:p w14:paraId="53B7F341">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4285CB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5D350F3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26C2E6F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617" w:type="pct"/>
            <w:noWrap w:val="0"/>
            <w:vAlign w:val="center"/>
          </w:tcPr>
          <w:p w14:paraId="506E627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五日生化需氧量（BOD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w:t>
            </w:r>
          </w:p>
        </w:tc>
        <w:tc>
          <w:tcPr>
            <w:tcW w:w="1258" w:type="pct"/>
            <w:noWrap w:val="0"/>
            <w:vAlign w:val="center"/>
          </w:tcPr>
          <w:p w14:paraId="66B3CD5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w:t>
            </w:r>
          </w:p>
        </w:tc>
        <w:tc>
          <w:tcPr>
            <w:tcW w:w="1047" w:type="pct"/>
            <w:vMerge w:val="continue"/>
            <w:noWrap w:val="0"/>
            <w:vAlign w:val="center"/>
          </w:tcPr>
          <w:p w14:paraId="24D25A7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1B7D40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113F578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15FDED2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617" w:type="pct"/>
            <w:noWrap w:val="0"/>
            <w:vAlign w:val="center"/>
          </w:tcPr>
          <w:p w14:paraId="67CA315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化学需氧量（COD</w:t>
            </w:r>
            <w:r>
              <w:rPr>
                <w:rFonts w:hint="default" w:ascii="Times New Roman" w:hAnsi="Times New Roman" w:eastAsia="宋体" w:cs="Times New Roman"/>
                <w:color w:val="auto"/>
                <w:sz w:val="21"/>
                <w:szCs w:val="21"/>
                <w:highlight w:val="none"/>
                <w:vertAlign w:val="subscript"/>
              </w:rPr>
              <w:t>Cr</w:t>
            </w:r>
            <w:r>
              <w:rPr>
                <w:rFonts w:hint="default" w:ascii="Times New Roman" w:hAnsi="Times New Roman" w:eastAsia="宋体" w:cs="Times New Roman"/>
                <w:color w:val="auto"/>
                <w:sz w:val="21"/>
                <w:szCs w:val="21"/>
                <w:highlight w:val="none"/>
              </w:rPr>
              <w:t>）</w:t>
            </w:r>
          </w:p>
        </w:tc>
        <w:tc>
          <w:tcPr>
            <w:tcW w:w="1258" w:type="pct"/>
            <w:noWrap w:val="0"/>
            <w:vAlign w:val="center"/>
          </w:tcPr>
          <w:p w14:paraId="4996A618">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w:t>
            </w:r>
          </w:p>
        </w:tc>
        <w:tc>
          <w:tcPr>
            <w:tcW w:w="1047" w:type="pct"/>
            <w:vMerge w:val="continue"/>
            <w:noWrap w:val="0"/>
            <w:vAlign w:val="center"/>
          </w:tcPr>
          <w:p w14:paraId="2A4D58FB">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02939E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282B1A9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0716D8D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617" w:type="pct"/>
            <w:noWrap w:val="0"/>
            <w:vAlign w:val="center"/>
          </w:tcPr>
          <w:p w14:paraId="231DF79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总有机碳（TOC）</w:t>
            </w:r>
          </w:p>
        </w:tc>
        <w:tc>
          <w:tcPr>
            <w:tcW w:w="1258" w:type="pct"/>
            <w:noWrap w:val="0"/>
            <w:vAlign w:val="center"/>
          </w:tcPr>
          <w:p w14:paraId="1B7AAA68">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180</w:t>
            </w:r>
          </w:p>
        </w:tc>
        <w:tc>
          <w:tcPr>
            <w:tcW w:w="1047" w:type="pct"/>
            <w:vMerge w:val="continue"/>
            <w:noWrap w:val="0"/>
            <w:vAlign w:val="center"/>
          </w:tcPr>
          <w:p w14:paraId="4787823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55D850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0878403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5619CED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617" w:type="pct"/>
            <w:noWrap w:val="0"/>
            <w:vAlign w:val="center"/>
          </w:tcPr>
          <w:p w14:paraId="3EC562A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1258" w:type="pct"/>
            <w:noWrap w:val="0"/>
            <w:vAlign w:val="center"/>
          </w:tcPr>
          <w:p w14:paraId="14D7306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1047" w:type="pct"/>
            <w:vMerge w:val="continue"/>
            <w:noWrap w:val="0"/>
            <w:vAlign w:val="center"/>
          </w:tcPr>
          <w:p w14:paraId="3A65BFE8">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273D63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3C984D3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7159C20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617" w:type="pct"/>
            <w:noWrap w:val="0"/>
            <w:vAlign w:val="center"/>
          </w:tcPr>
          <w:p w14:paraId="4784A56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总氮</w:t>
            </w:r>
          </w:p>
        </w:tc>
        <w:tc>
          <w:tcPr>
            <w:tcW w:w="1258" w:type="pct"/>
            <w:noWrap w:val="0"/>
            <w:vAlign w:val="center"/>
          </w:tcPr>
          <w:p w14:paraId="1854DC63">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1047" w:type="pct"/>
            <w:vMerge w:val="continue"/>
            <w:noWrap w:val="0"/>
            <w:vAlign w:val="center"/>
          </w:tcPr>
          <w:p w14:paraId="3B14A579">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797C1F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628" w:type="pct"/>
            <w:vMerge w:val="continue"/>
            <w:noWrap w:val="0"/>
            <w:vAlign w:val="center"/>
          </w:tcPr>
          <w:p w14:paraId="7187F58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135CD51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617" w:type="pct"/>
            <w:noWrap w:val="0"/>
            <w:vAlign w:val="center"/>
          </w:tcPr>
          <w:p w14:paraId="6BE288D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总磷</w:t>
            </w:r>
          </w:p>
        </w:tc>
        <w:tc>
          <w:tcPr>
            <w:tcW w:w="1258" w:type="pct"/>
            <w:noWrap w:val="0"/>
            <w:vAlign w:val="center"/>
          </w:tcPr>
          <w:p w14:paraId="7E2057B1">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047" w:type="pct"/>
            <w:vMerge w:val="continue"/>
            <w:noWrap w:val="0"/>
            <w:vAlign w:val="center"/>
          </w:tcPr>
          <w:p w14:paraId="4DF7BFA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5778BA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011E96E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05E9AA7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617" w:type="pct"/>
            <w:noWrap w:val="0"/>
            <w:vAlign w:val="center"/>
          </w:tcPr>
          <w:p w14:paraId="6F9AE5F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挥发酚</w:t>
            </w:r>
          </w:p>
        </w:tc>
        <w:tc>
          <w:tcPr>
            <w:tcW w:w="1258" w:type="pct"/>
            <w:noWrap w:val="0"/>
            <w:vAlign w:val="center"/>
          </w:tcPr>
          <w:p w14:paraId="6A2233A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47" w:type="pct"/>
            <w:vMerge w:val="continue"/>
            <w:noWrap w:val="0"/>
            <w:vAlign w:val="center"/>
          </w:tcPr>
          <w:p w14:paraId="5BF220F8">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37D378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0F75A11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4D43373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1617" w:type="pct"/>
            <w:noWrap w:val="0"/>
            <w:vAlign w:val="center"/>
          </w:tcPr>
          <w:p w14:paraId="5483DF4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总锌</w:t>
            </w:r>
          </w:p>
        </w:tc>
        <w:tc>
          <w:tcPr>
            <w:tcW w:w="1258" w:type="pct"/>
            <w:noWrap w:val="0"/>
            <w:vAlign w:val="center"/>
          </w:tcPr>
          <w:p w14:paraId="091A044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047" w:type="pct"/>
            <w:vMerge w:val="continue"/>
            <w:noWrap w:val="0"/>
            <w:vAlign w:val="center"/>
          </w:tcPr>
          <w:p w14:paraId="3541EE2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26D16D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58A581C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0393296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1617" w:type="pct"/>
            <w:noWrap w:val="0"/>
            <w:vAlign w:val="center"/>
          </w:tcPr>
          <w:p w14:paraId="41E5620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甲醛</w:t>
            </w:r>
          </w:p>
        </w:tc>
        <w:tc>
          <w:tcPr>
            <w:tcW w:w="1258" w:type="pct"/>
            <w:noWrap w:val="0"/>
            <w:vAlign w:val="center"/>
          </w:tcPr>
          <w:p w14:paraId="6CD7F95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047" w:type="pct"/>
            <w:vMerge w:val="continue"/>
            <w:noWrap w:val="0"/>
            <w:vAlign w:val="center"/>
          </w:tcPr>
          <w:p w14:paraId="1287229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6E5162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5349304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40B2908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1617" w:type="pct"/>
            <w:noWrap w:val="0"/>
            <w:vAlign w:val="center"/>
          </w:tcPr>
          <w:p w14:paraId="405303FD">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甲醇</w:t>
            </w:r>
          </w:p>
        </w:tc>
        <w:tc>
          <w:tcPr>
            <w:tcW w:w="1258" w:type="pct"/>
            <w:noWrap w:val="0"/>
            <w:vAlign w:val="center"/>
          </w:tcPr>
          <w:p w14:paraId="5BE79D6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047" w:type="pct"/>
            <w:vMerge w:val="continue"/>
            <w:noWrap w:val="0"/>
            <w:vAlign w:val="center"/>
          </w:tcPr>
          <w:p w14:paraId="7968AF1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074645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58DCA3C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09B0B15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p>
        </w:tc>
        <w:tc>
          <w:tcPr>
            <w:tcW w:w="1617" w:type="pct"/>
            <w:noWrap w:val="0"/>
            <w:vAlign w:val="center"/>
          </w:tcPr>
          <w:p w14:paraId="6AA9A93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三氯甲烷</w:t>
            </w:r>
          </w:p>
        </w:tc>
        <w:tc>
          <w:tcPr>
            <w:tcW w:w="1258" w:type="pct"/>
            <w:noWrap w:val="0"/>
            <w:vAlign w:val="center"/>
          </w:tcPr>
          <w:p w14:paraId="56DA754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47" w:type="pct"/>
            <w:vMerge w:val="continue"/>
            <w:noWrap w:val="0"/>
            <w:vAlign w:val="center"/>
          </w:tcPr>
          <w:p w14:paraId="30E6BECB">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265897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628" w:type="pct"/>
            <w:vMerge w:val="continue"/>
            <w:noWrap w:val="0"/>
            <w:vAlign w:val="center"/>
          </w:tcPr>
          <w:p w14:paraId="23DCAC2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55E92EF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617" w:type="pct"/>
            <w:noWrap w:val="0"/>
            <w:vAlign w:val="center"/>
          </w:tcPr>
          <w:p w14:paraId="27E8EBF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可吸附有机卤化物（AOX）</w:t>
            </w:r>
          </w:p>
        </w:tc>
        <w:tc>
          <w:tcPr>
            <w:tcW w:w="1258" w:type="pct"/>
            <w:noWrap w:val="0"/>
            <w:vAlign w:val="center"/>
          </w:tcPr>
          <w:p w14:paraId="370E1CF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w:t>
            </w:r>
          </w:p>
        </w:tc>
        <w:tc>
          <w:tcPr>
            <w:tcW w:w="1047" w:type="pct"/>
            <w:vMerge w:val="continue"/>
            <w:noWrap w:val="0"/>
            <w:vAlign w:val="center"/>
          </w:tcPr>
          <w:p w14:paraId="700CD67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73C551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11F1B75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7C4AB5D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1617" w:type="pct"/>
            <w:noWrap w:val="0"/>
            <w:vAlign w:val="center"/>
          </w:tcPr>
          <w:p w14:paraId="11E9E34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1,2-二氯乙烷</w:t>
            </w:r>
          </w:p>
        </w:tc>
        <w:tc>
          <w:tcPr>
            <w:tcW w:w="1258" w:type="pct"/>
            <w:noWrap w:val="0"/>
            <w:vAlign w:val="center"/>
          </w:tcPr>
          <w:p w14:paraId="0C066E9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47" w:type="pct"/>
            <w:vMerge w:val="continue"/>
            <w:noWrap w:val="0"/>
            <w:vAlign w:val="center"/>
          </w:tcPr>
          <w:p w14:paraId="202EECF8">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2A48CF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548F45E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5EEFA15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1617" w:type="pct"/>
            <w:noWrap w:val="0"/>
            <w:vAlign w:val="center"/>
          </w:tcPr>
          <w:p w14:paraId="49FFFA2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w:t>
            </w:r>
          </w:p>
        </w:tc>
        <w:tc>
          <w:tcPr>
            <w:tcW w:w="1258" w:type="pct"/>
            <w:noWrap w:val="0"/>
            <w:vAlign w:val="center"/>
          </w:tcPr>
          <w:p w14:paraId="358D08B9">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1047" w:type="pct"/>
            <w:vMerge w:val="continue"/>
            <w:noWrap w:val="0"/>
            <w:vAlign w:val="center"/>
          </w:tcPr>
          <w:p w14:paraId="47B894B1">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3A897A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1C6EB03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64E96F0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c>
          <w:tcPr>
            <w:tcW w:w="1617" w:type="pct"/>
            <w:noWrap w:val="0"/>
            <w:vAlign w:val="center"/>
          </w:tcPr>
          <w:p w14:paraId="2170E66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甲苯</w:t>
            </w:r>
          </w:p>
        </w:tc>
        <w:tc>
          <w:tcPr>
            <w:tcW w:w="1258" w:type="pct"/>
            <w:noWrap w:val="0"/>
            <w:vAlign w:val="center"/>
          </w:tcPr>
          <w:p w14:paraId="4A86F92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1047" w:type="pct"/>
            <w:vMerge w:val="continue"/>
            <w:noWrap w:val="0"/>
            <w:vAlign w:val="center"/>
          </w:tcPr>
          <w:p w14:paraId="3CFFCFC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610C14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3927C0C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071B0AA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w:t>
            </w:r>
          </w:p>
        </w:tc>
        <w:tc>
          <w:tcPr>
            <w:tcW w:w="1617" w:type="pct"/>
            <w:noWrap w:val="0"/>
            <w:vAlign w:val="center"/>
          </w:tcPr>
          <w:p w14:paraId="660D46D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二甲苯总量</w:t>
            </w:r>
            <w:r>
              <w:rPr>
                <w:rFonts w:hint="default" w:ascii="Times New Roman" w:hAnsi="Times New Roman" w:eastAsia="宋体" w:cs="Times New Roman"/>
                <w:color w:val="auto"/>
                <w:sz w:val="21"/>
                <w:szCs w:val="21"/>
                <w:highlight w:val="none"/>
                <w:vertAlign w:val="superscript"/>
              </w:rPr>
              <w:t>a</w:t>
            </w:r>
          </w:p>
        </w:tc>
        <w:tc>
          <w:tcPr>
            <w:tcW w:w="1258" w:type="pct"/>
            <w:noWrap w:val="0"/>
            <w:vAlign w:val="center"/>
          </w:tcPr>
          <w:p w14:paraId="0C784CA2">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47" w:type="pct"/>
            <w:vMerge w:val="continue"/>
            <w:noWrap w:val="0"/>
            <w:vAlign w:val="center"/>
          </w:tcPr>
          <w:p w14:paraId="1B6875D9">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4E45FE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008BCCD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0834859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617" w:type="pct"/>
            <w:noWrap w:val="0"/>
            <w:vAlign w:val="center"/>
          </w:tcPr>
          <w:p w14:paraId="0D301D3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1,2-二氯苯</w:t>
            </w:r>
          </w:p>
        </w:tc>
        <w:tc>
          <w:tcPr>
            <w:tcW w:w="1258" w:type="pct"/>
            <w:noWrap w:val="0"/>
            <w:vAlign w:val="center"/>
          </w:tcPr>
          <w:p w14:paraId="67CC5D5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47" w:type="pct"/>
            <w:vMerge w:val="continue"/>
            <w:noWrap w:val="0"/>
            <w:vAlign w:val="center"/>
          </w:tcPr>
          <w:p w14:paraId="0129AEEB">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0A4AC6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628" w:type="pct"/>
            <w:vMerge w:val="continue"/>
            <w:noWrap w:val="0"/>
            <w:vAlign w:val="center"/>
          </w:tcPr>
          <w:p w14:paraId="5DC26DA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3665D23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w:t>
            </w:r>
          </w:p>
        </w:tc>
        <w:tc>
          <w:tcPr>
            <w:tcW w:w="1617" w:type="pct"/>
            <w:noWrap w:val="0"/>
            <w:vAlign w:val="center"/>
          </w:tcPr>
          <w:p w14:paraId="1EF6EC1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总氰化物</w:t>
            </w:r>
          </w:p>
        </w:tc>
        <w:tc>
          <w:tcPr>
            <w:tcW w:w="1258" w:type="pct"/>
            <w:noWrap w:val="0"/>
            <w:vAlign w:val="center"/>
          </w:tcPr>
          <w:p w14:paraId="0E6DED8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w:t>
            </w:r>
          </w:p>
        </w:tc>
        <w:tc>
          <w:tcPr>
            <w:tcW w:w="1047" w:type="pct"/>
            <w:vMerge w:val="continue"/>
            <w:noWrap w:val="0"/>
            <w:vAlign w:val="center"/>
          </w:tcPr>
          <w:p w14:paraId="5945CBFC">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5D3598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4046977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02A1D3B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w:t>
            </w:r>
          </w:p>
        </w:tc>
        <w:tc>
          <w:tcPr>
            <w:tcW w:w="1617" w:type="pct"/>
            <w:noWrap w:val="0"/>
            <w:vAlign w:val="center"/>
          </w:tcPr>
          <w:p w14:paraId="797A430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氯苯</w:t>
            </w:r>
          </w:p>
        </w:tc>
        <w:tc>
          <w:tcPr>
            <w:tcW w:w="1258" w:type="pct"/>
            <w:noWrap w:val="0"/>
            <w:vAlign w:val="center"/>
          </w:tcPr>
          <w:p w14:paraId="0D6CD63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0.15</w:t>
            </w:r>
          </w:p>
        </w:tc>
        <w:tc>
          <w:tcPr>
            <w:tcW w:w="1047" w:type="pct"/>
            <w:vMerge w:val="continue"/>
            <w:noWrap w:val="0"/>
            <w:vAlign w:val="center"/>
          </w:tcPr>
          <w:p w14:paraId="4FEDCE2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79BEF2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29D5B3F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0BC5E9C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w:t>
            </w:r>
          </w:p>
        </w:tc>
        <w:tc>
          <w:tcPr>
            <w:tcW w:w="1617" w:type="pct"/>
            <w:noWrap w:val="0"/>
            <w:vAlign w:val="center"/>
          </w:tcPr>
          <w:p w14:paraId="5B5B6DF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急性毒性（HgCl</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毒性当量）</w:t>
            </w:r>
          </w:p>
        </w:tc>
        <w:tc>
          <w:tcPr>
            <w:tcW w:w="1258" w:type="pct"/>
            <w:noWrap w:val="0"/>
            <w:vAlign w:val="center"/>
          </w:tcPr>
          <w:p w14:paraId="6065A09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47" w:type="pct"/>
            <w:vMerge w:val="continue"/>
            <w:noWrap w:val="0"/>
            <w:vAlign w:val="center"/>
          </w:tcPr>
          <w:p w14:paraId="25DD1ADB">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3359CF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continue"/>
            <w:noWrap w:val="0"/>
            <w:vAlign w:val="center"/>
          </w:tcPr>
          <w:p w14:paraId="5B3E4E4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29A16B4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w:t>
            </w:r>
          </w:p>
        </w:tc>
        <w:tc>
          <w:tcPr>
            <w:tcW w:w="1617" w:type="pct"/>
            <w:noWrap w:val="0"/>
            <w:vAlign w:val="center"/>
          </w:tcPr>
          <w:p w14:paraId="5B8562F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总硒</w:t>
            </w:r>
          </w:p>
        </w:tc>
        <w:tc>
          <w:tcPr>
            <w:tcW w:w="1258" w:type="pct"/>
            <w:noWrap w:val="0"/>
            <w:vAlign w:val="center"/>
          </w:tcPr>
          <w:p w14:paraId="69319A2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w:t>
            </w:r>
          </w:p>
        </w:tc>
        <w:tc>
          <w:tcPr>
            <w:tcW w:w="1047" w:type="pct"/>
            <w:vMerge w:val="continue"/>
            <w:noWrap w:val="0"/>
            <w:vAlign w:val="center"/>
          </w:tcPr>
          <w:p w14:paraId="70CEA84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66EAA0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28" w:type="pct"/>
            <w:vMerge w:val="restart"/>
            <w:noWrap w:val="0"/>
            <w:vAlign w:val="center"/>
          </w:tcPr>
          <w:p w14:paraId="3BA2D28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二、提取类制药企业（含生产设施）</w:t>
            </w:r>
          </w:p>
        </w:tc>
        <w:tc>
          <w:tcPr>
            <w:tcW w:w="448" w:type="pct"/>
            <w:noWrap w:val="0"/>
            <w:vAlign w:val="center"/>
          </w:tcPr>
          <w:p w14:paraId="0841A75D">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617" w:type="pct"/>
            <w:noWrap w:val="0"/>
            <w:vAlign w:val="center"/>
          </w:tcPr>
          <w:p w14:paraId="04EC209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 值（无量纲）</w:t>
            </w:r>
          </w:p>
        </w:tc>
        <w:tc>
          <w:tcPr>
            <w:tcW w:w="1258" w:type="pct"/>
            <w:noWrap w:val="0"/>
            <w:vAlign w:val="center"/>
          </w:tcPr>
          <w:p w14:paraId="1439D66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1047" w:type="pct"/>
            <w:vMerge w:val="continue"/>
            <w:noWrap w:val="0"/>
            <w:vAlign w:val="center"/>
          </w:tcPr>
          <w:p w14:paraId="72AE37A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4A2048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28" w:type="pct"/>
            <w:vMerge w:val="continue"/>
            <w:noWrap w:val="0"/>
            <w:vAlign w:val="center"/>
          </w:tcPr>
          <w:p w14:paraId="147B56C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2985EE8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617" w:type="pct"/>
            <w:noWrap w:val="0"/>
            <w:vAlign w:val="center"/>
          </w:tcPr>
          <w:p w14:paraId="3B36BE0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色度（稀释倍数）</w:t>
            </w:r>
          </w:p>
        </w:tc>
        <w:tc>
          <w:tcPr>
            <w:tcW w:w="1258" w:type="pct"/>
            <w:noWrap w:val="0"/>
            <w:vAlign w:val="center"/>
          </w:tcPr>
          <w:p w14:paraId="4C2470F1">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1047" w:type="pct"/>
            <w:vMerge w:val="continue"/>
            <w:noWrap w:val="0"/>
            <w:vAlign w:val="center"/>
          </w:tcPr>
          <w:p w14:paraId="5A0DA039">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43469F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628" w:type="pct"/>
            <w:vMerge w:val="continue"/>
            <w:noWrap w:val="0"/>
            <w:vAlign w:val="center"/>
          </w:tcPr>
          <w:p w14:paraId="452F450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4F82249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617" w:type="pct"/>
            <w:noWrap w:val="0"/>
            <w:vAlign w:val="center"/>
          </w:tcPr>
          <w:p w14:paraId="677B954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悬浮物（SS）</w:t>
            </w:r>
          </w:p>
        </w:tc>
        <w:tc>
          <w:tcPr>
            <w:tcW w:w="1258" w:type="pct"/>
            <w:noWrap w:val="0"/>
            <w:vAlign w:val="center"/>
          </w:tcPr>
          <w:p w14:paraId="6360EC03">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120</w:t>
            </w:r>
          </w:p>
        </w:tc>
        <w:tc>
          <w:tcPr>
            <w:tcW w:w="1047" w:type="pct"/>
            <w:vMerge w:val="continue"/>
            <w:noWrap w:val="0"/>
            <w:vAlign w:val="center"/>
          </w:tcPr>
          <w:p w14:paraId="1D4EB467">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0F9DDC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7497E2C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2AC811E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617" w:type="pct"/>
            <w:noWrap w:val="0"/>
            <w:vAlign w:val="center"/>
          </w:tcPr>
          <w:p w14:paraId="6B806F6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五日生化需氧量（BOD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w:t>
            </w:r>
          </w:p>
        </w:tc>
        <w:tc>
          <w:tcPr>
            <w:tcW w:w="1258" w:type="pct"/>
            <w:noWrap w:val="0"/>
            <w:vAlign w:val="center"/>
          </w:tcPr>
          <w:p w14:paraId="5991182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w:t>
            </w:r>
          </w:p>
        </w:tc>
        <w:tc>
          <w:tcPr>
            <w:tcW w:w="1047" w:type="pct"/>
            <w:vMerge w:val="continue"/>
            <w:noWrap w:val="0"/>
            <w:vAlign w:val="center"/>
          </w:tcPr>
          <w:p w14:paraId="17BFF5F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36F4D1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77F5625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59A76A2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617" w:type="pct"/>
            <w:noWrap w:val="0"/>
            <w:vAlign w:val="center"/>
          </w:tcPr>
          <w:p w14:paraId="260A2D8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化学需氧量（COD</w:t>
            </w:r>
            <w:r>
              <w:rPr>
                <w:rFonts w:hint="default" w:ascii="Times New Roman" w:hAnsi="Times New Roman" w:eastAsia="宋体" w:cs="Times New Roman"/>
                <w:color w:val="auto"/>
                <w:sz w:val="21"/>
                <w:szCs w:val="21"/>
                <w:highlight w:val="none"/>
                <w:vertAlign w:val="subscript"/>
              </w:rPr>
              <w:t>Cr</w:t>
            </w:r>
            <w:r>
              <w:rPr>
                <w:rFonts w:hint="default" w:ascii="Times New Roman" w:hAnsi="Times New Roman" w:eastAsia="宋体" w:cs="Times New Roman"/>
                <w:color w:val="auto"/>
                <w:sz w:val="21"/>
                <w:szCs w:val="21"/>
                <w:highlight w:val="none"/>
              </w:rPr>
              <w:t>）</w:t>
            </w:r>
          </w:p>
        </w:tc>
        <w:tc>
          <w:tcPr>
            <w:tcW w:w="1258" w:type="pct"/>
            <w:noWrap w:val="0"/>
            <w:vAlign w:val="center"/>
          </w:tcPr>
          <w:p w14:paraId="68342522">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w:t>
            </w:r>
          </w:p>
        </w:tc>
        <w:tc>
          <w:tcPr>
            <w:tcW w:w="1047" w:type="pct"/>
            <w:vMerge w:val="continue"/>
            <w:noWrap w:val="0"/>
            <w:vAlign w:val="center"/>
          </w:tcPr>
          <w:p w14:paraId="0157EE2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4D6923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5810929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75813BC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617" w:type="pct"/>
            <w:noWrap w:val="0"/>
            <w:vAlign w:val="center"/>
          </w:tcPr>
          <w:p w14:paraId="55B714A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总有机碳（TOC）</w:t>
            </w:r>
          </w:p>
        </w:tc>
        <w:tc>
          <w:tcPr>
            <w:tcW w:w="1258" w:type="pct"/>
            <w:noWrap w:val="0"/>
            <w:vAlign w:val="center"/>
          </w:tcPr>
          <w:p w14:paraId="7B12F21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180</w:t>
            </w:r>
          </w:p>
        </w:tc>
        <w:tc>
          <w:tcPr>
            <w:tcW w:w="1047" w:type="pct"/>
            <w:vMerge w:val="continue"/>
            <w:noWrap w:val="0"/>
            <w:vAlign w:val="center"/>
          </w:tcPr>
          <w:p w14:paraId="0C11649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54A6E4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A9AF0B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0BD1F35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617" w:type="pct"/>
            <w:noWrap w:val="0"/>
            <w:vAlign w:val="center"/>
          </w:tcPr>
          <w:p w14:paraId="41A8817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1258" w:type="pct"/>
            <w:noWrap w:val="0"/>
            <w:vAlign w:val="center"/>
          </w:tcPr>
          <w:p w14:paraId="51B7E76B">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1047" w:type="pct"/>
            <w:vMerge w:val="continue"/>
            <w:noWrap w:val="0"/>
            <w:vAlign w:val="center"/>
          </w:tcPr>
          <w:p w14:paraId="735DF7A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3F683B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F9D5A5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4885819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617" w:type="pct"/>
            <w:noWrap w:val="0"/>
            <w:vAlign w:val="center"/>
          </w:tcPr>
          <w:p w14:paraId="7B66E08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总氮</w:t>
            </w:r>
          </w:p>
        </w:tc>
        <w:tc>
          <w:tcPr>
            <w:tcW w:w="1258" w:type="pct"/>
            <w:noWrap w:val="0"/>
            <w:vAlign w:val="center"/>
          </w:tcPr>
          <w:p w14:paraId="0D77ED3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1047" w:type="pct"/>
            <w:vMerge w:val="continue"/>
            <w:noWrap w:val="0"/>
            <w:vAlign w:val="center"/>
          </w:tcPr>
          <w:p w14:paraId="7FD13B6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19E3BD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50B5B4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0720721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617" w:type="pct"/>
            <w:noWrap w:val="0"/>
            <w:vAlign w:val="center"/>
          </w:tcPr>
          <w:p w14:paraId="6E44B75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总磷</w:t>
            </w:r>
          </w:p>
        </w:tc>
        <w:tc>
          <w:tcPr>
            <w:tcW w:w="1258" w:type="pct"/>
            <w:noWrap w:val="0"/>
            <w:vAlign w:val="center"/>
          </w:tcPr>
          <w:p w14:paraId="1387165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047" w:type="pct"/>
            <w:vMerge w:val="continue"/>
            <w:noWrap w:val="0"/>
            <w:vAlign w:val="center"/>
          </w:tcPr>
          <w:p w14:paraId="27D84A32">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263784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15E0232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2ED7B45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617" w:type="pct"/>
            <w:noWrap w:val="0"/>
            <w:vAlign w:val="center"/>
          </w:tcPr>
          <w:p w14:paraId="7FC53DB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动植物油</w:t>
            </w:r>
          </w:p>
        </w:tc>
        <w:tc>
          <w:tcPr>
            <w:tcW w:w="1258" w:type="pct"/>
            <w:noWrap w:val="0"/>
            <w:vAlign w:val="center"/>
          </w:tcPr>
          <w:p w14:paraId="050780EC">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c>
          <w:tcPr>
            <w:tcW w:w="1047" w:type="pct"/>
            <w:vMerge w:val="continue"/>
            <w:noWrap w:val="0"/>
            <w:vAlign w:val="center"/>
          </w:tcPr>
          <w:p w14:paraId="3AA0C631">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7B43A6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1400711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4F0A745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1617" w:type="pct"/>
            <w:noWrap w:val="0"/>
            <w:vAlign w:val="center"/>
          </w:tcPr>
          <w:p w14:paraId="2E8F60E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挥发酚</w:t>
            </w:r>
          </w:p>
        </w:tc>
        <w:tc>
          <w:tcPr>
            <w:tcW w:w="1258" w:type="pct"/>
            <w:noWrap w:val="0"/>
            <w:vAlign w:val="center"/>
          </w:tcPr>
          <w:p w14:paraId="195F45B2">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47" w:type="pct"/>
            <w:vMerge w:val="continue"/>
            <w:noWrap w:val="0"/>
            <w:vAlign w:val="center"/>
          </w:tcPr>
          <w:p w14:paraId="2918366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386AC0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5174635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0A5638F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1617" w:type="pct"/>
            <w:noWrap w:val="0"/>
            <w:vAlign w:val="center"/>
          </w:tcPr>
          <w:p w14:paraId="7C99AE6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总锌</w:t>
            </w:r>
          </w:p>
        </w:tc>
        <w:tc>
          <w:tcPr>
            <w:tcW w:w="1258" w:type="pct"/>
            <w:noWrap w:val="0"/>
            <w:vAlign w:val="center"/>
          </w:tcPr>
          <w:p w14:paraId="7E3C03A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047" w:type="pct"/>
            <w:vMerge w:val="continue"/>
            <w:noWrap w:val="0"/>
            <w:vAlign w:val="center"/>
          </w:tcPr>
          <w:p w14:paraId="6C3D1D7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606C0F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943E44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4200ECA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1617" w:type="pct"/>
            <w:noWrap w:val="0"/>
            <w:vAlign w:val="center"/>
          </w:tcPr>
          <w:p w14:paraId="55AEA38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甲醛</w:t>
            </w:r>
          </w:p>
        </w:tc>
        <w:tc>
          <w:tcPr>
            <w:tcW w:w="1258" w:type="pct"/>
            <w:noWrap w:val="0"/>
            <w:vAlign w:val="center"/>
          </w:tcPr>
          <w:p w14:paraId="01C4056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047" w:type="pct"/>
            <w:vMerge w:val="continue"/>
            <w:noWrap w:val="0"/>
            <w:vAlign w:val="center"/>
          </w:tcPr>
          <w:p w14:paraId="05A048F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1995C2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377BF3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48" w:type="pct"/>
            <w:noWrap w:val="0"/>
            <w:vAlign w:val="center"/>
          </w:tcPr>
          <w:p w14:paraId="5CCB5BC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p>
        </w:tc>
        <w:tc>
          <w:tcPr>
            <w:tcW w:w="1617" w:type="pct"/>
            <w:noWrap w:val="0"/>
            <w:vAlign w:val="center"/>
          </w:tcPr>
          <w:p w14:paraId="2B7C455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三氯甲烷</w:t>
            </w:r>
          </w:p>
        </w:tc>
        <w:tc>
          <w:tcPr>
            <w:tcW w:w="1258" w:type="pct"/>
            <w:noWrap w:val="0"/>
            <w:vAlign w:val="center"/>
          </w:tcPr>
          <w:p w14:paraId="6B23B97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47" w:type="pct"/>
            <w:vMerge w:val="continue"/>
            <w:noWrap w:val="0"/>
            <w:vAlign w:val="center"/>
          </w:tcPr>
          <w:p w14:paraId="553463D7">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p>
        </w:tc>
      </w:tr>
      <w:tr w14:paraId="05C9B8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E982CD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04C9650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617" w:type="pct"/>
            <w:noWrap w:val="0"/>
            <w:vAlign w:val="center"/>
          </w:tcPr>
          <w:p w14:paraId="77125F5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可吸附有机卤化物（AOX）</w:t>
            </w:r>
          </w:p>
        </w:tc>
        <w:tc>
          <w:tcPr>
            <w:tcW w:w="1258" w:type="pct"/>
            <w:noWrap w:val="0"/>
            <w:vAlign w:val="center"/>
          </w:tcPr>
          <w:p w14:paraId="3396FA7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c>
          <w:tcPr>
            <w:tcW w:w="1047" w:type="pct"/>
            <w:vMerge w:val="continue"/>
            <w:noWrap w:val="0"/>
            <w:vAlign w:val="center"/>
          </w:tcPr>
          <w:p w14:paraId="1AF0B6A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292EF3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4C1944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5E94977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1617" w:type="pct"/>
            <w:noWrap w:val="0"/>
            <w:vAlign w:val="center"/>
          </w:tcPr>
          <w:p w14:paraId="4AA7670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甲苯</w:t>
            </w:r>
          </w:p>
        </w:tc>
        <w:tc>
          <w:tcPr>
            <w:tcW w:w="1258" w:type="pct"/>
            <w:noWrap w:val="0"/>
            <w:vAlign w:val="center"/>
          </w:tcPr>
          <w:p w14:paraId="3F20C887">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047" w:type="pct"/>
            <w:vMerge w:val="continue"/>
            <w:noWrap w:val="0"/>
            <w:vAlign w:val="center"/>
          </w:tcPr>
          <w:p w14:paraId="6F17824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64608E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7DEBAF5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1ECC04C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1617" w:type="pct"/>
            <w:noWrap w:val="0"/>
            <w:vAlign w:val="center"/>
          </w:tcPr>
          <w:p w14:paraId="573593A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二甲苯总量</w:t>
            </w:r>
            <w:r>
              <w:rPr>
                <w:rFonts w:hint="default" w:ascii="Times New Roman" w:hAnsi="Times New Roman" w:eastAsia="宋体" w:cs="Times New Roman"/>
                <w:color w:val="auto"/>
                <w:sz w:val="21"/>
                <w:szCs w:val="21"/>
                <w:vertAlign w:val="superscript"/>
              </w:rPr>
              <w:t>a</w:t>
            </w:r>
          </w:p>
        </w:tc>
        <w:tc>
          <w:tcPr>
            <w:tcW w:w="1258" w:type="pct"/>
            <w:noWrap w:val="0"/>
            <w:vAlign w:val="center"/>
          </w:tcPr>
          <w:p w14:paraId="0C56823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47" w:type="pct"/>
            <w:vMerge w:val="continue"/>
            <w:noWrap w:val="0"/>
            <w:vAlign w:val="center"/>
          </w:tcPr>
          <w:p w14:paraId="375CCF5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2942C1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CEE32C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5D70CD1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617" w:type="pct"/>
            <w:noWrap w:val="0"/>
            <w:vAlign w:val="center"/>
          </w:tcPr>
          <w:p w14:paraId="1FF8CE0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急性毒性（HgCl</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毒性当量）</w:t>
            </w:r>
          </w:p>
        </w:tc>
        <w:tc>
          <w:tcPr>
            <w:tcW w:w="1258" w:type="pct"/>
            <w:noWrap w:val="0"/>
            <w:vAlign w:val="center"/>
          </w:tcPr>
          <w:p w14:paraId="459C56F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47" w:type="pct"/>
            <w:vMerge w:val="continue"/>
            <w:noWrap w:val="0"/>
            <w:vAlign w:val="center"/>
          </w:tcPr>
          <w:p w14:paraId="6AEE1279">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1607DD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E8FEA4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174C179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w:t>
            </w:r>
          </w:p>
        </w:tc>
        <w:tc>
          <w:tcPr>
            <w:tcW w:w="1617" w:type="pct"/>
            <w:noWrap w:val="0"/>
            <w:vAlign w:val="center"/>
          </w:tcPr>
          <w:p w14:paraId="186C14D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总硒</w:t>
            </w:r>
          </w:p>
        </w:tc>
        <w:tc>
          <w:tcPr>
            <w:tcW w:w="1258" w:type="pct"/>
            <w:noWrap w:val="0"/>
            <w:vAlign w:val="center"/>
          </w:tcPr>
          <w:p w14:paraId="555DF14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c>
          <w:tcPr>
            <w:tcW w:w="1047" w:type="pct"/>
            <w:vMerge w:val="continue"/>
            <w:noWrap w:val="0"/>
            <w:vAlign w:val="center"/>
          </w:tcPr>
          <w:p w14:paraId="62D20DF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46F5FA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restart"/>
            <w:noWrap w:val="0"/>
            <w:vAlign w:val="center"/>
          </w:tcPr>
          <w:p w14:paraId="6F83B0D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三、制剂类制药企业（含生产设施）</w:t>
            </w:r>
          </w:p>
        </w:tc>
        <w:tc>
          <w:tcPr>
            <w:tcW w:w="448" w:type="pct"/>
            <w:noWrap w:val="0"/>
            <w:vAlign w:val="center"/>
          </w:tcPr>
          <w:p w14:paraId="15D7B02D">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617" w:type="pct"/>
            <w:noWrap w:val="0"/>
            <w:vAlign w:val="center"/>
          </w:tcPr>
          <w:p w14:paraId="60A105C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 值（无量纲）</w:t>
            </w:r>
          </w:p>
        </w:tc>
        <w:tc>
          <w:tcPr>
            <w:tcW w:w="1258" w:type="pct"/>
            <w:noWrap w:val="0"/>
            <w:vAlign w:val="center"/>
          </w:tcPr>
          <w:p w14:paraId="756ED3A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6-9</w:t>
            </w:r>
          </w:p>
        </w:tc>
        <w:tc>
          <w:tcPr>
            <w:tcW w:w="1047" w:type="pct"/>
            <w:vMerge w:val="continue"/>
            <w:noWrap w:val="0"/>
            <w:vAlign w:val="center"/>
          </w:tcPr>
          <w:p w14:paraId="0A02D608">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5241B2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37A5939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067C3A4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617" w:type="pct"/>
            <w:noWrap w:val="0"/>
            <w:vAlign w:val="center"/>
          </w:tcPr>
          <w:p w14:paraId="550028E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色度（稀释倍数）</w:t>
            </w:r>
          </w:p>
        </w:tc>
        <w:tc>
          <w:tcPr>
            <w:tcW w:w="1258" w:type="pct"/>
            <w:noWrap w:val="0"/>
            <w:vAlign w:val="center"/>
          </w:tcPr>
          <w:p w14:paraId="5D7B8DA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047" w:type="pct"/>
            <w:vMerge w:val="continue"/>
            <w:noWrap w:val="0"/>
            <w:vAlign w:val="center"/>
          </w:tcPr>
          <w:p w14:paraId="606FFF27">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61EEA4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583C6EB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4DF7B9B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617" w:type="pct"/>
            <w:noWrap w:val="0"/>
            <w:vAlign w:val="center"/>
          </w:tcPr>
          <w:p w14:paraId="08D8249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悬浮物（SS）</w:t>
            </w:r>
          </w:p>
        </w:tc>
        <w:tc>
          <w:tcPr>
            <w:tcW w:w="1258" w:type="pct"/>
            <w:noWrap w:val="0"/>
            <w:vAlign w:val="center"/>
          </w:tcPr>
          <w:p w14:paraId="74D35788">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w:t>
            </w:r>
          </w:p>
        </w:tc>
        <w:tc>
          <w:tcPr>
            <w:tcW w:w="1047" w:type="pct"/>
            <w:vMerge w:val="continue"/>
            <w:noWrap w:val="0"/>
            <w:vAlign w:val="center"/>
          </w:tcPr>
          <w:p w14:paraId="1E9FBCF1">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7450EE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28" w:type="pct"/>
            <w:vMerge w:val="continue"/>
            <w:noWrap w:val="0"/>
            <w:vAlign w:val="center"/>
          </w:tcPr>
          <w:p w14:paraId="707F59E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6C2CC11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617" w:type="pct"/>
            <w:noWrap w:val="0"/>
            <w:vAlign w:val="center"/>
          </w:tcPr>
          <w:p w14:paraId="0B6E3E1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五日生化需氧量（BOD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w:t>
            </w:r>
          </w:p>
        </w:tc>
        <w:tc>
          <w:tcPr>
            <w:tcW w:w="1258" w:type="pct"/>
            <w:noWrap w:val="0"/>
            <w:vAlign w:val="center"/>
          </w:tcPr>
          <w:p w14:paraId="0F271E07">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047" w:type="pct"/>
            <w:vMerge w:val="continue"/>
            <w:noWrap w:val="0"/>
            <w:vAlign w:val="center"/>
          </w:tcPr>
          <w:p w14:paraId="4ECD362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5D1141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4CF8467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00FC130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617" w:type="pct"/>
            <w:noWrap w:val="0"/>
            <w:vAlign w:val="center"/>
          </w:tcPr>
          <w:p w14:paraId="4A4A526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化学需氧量（COD</w:t>
            </w:r>
            <w:r>
              <w:rPr>
                <w:rFonts w:hint="default" w:ascii="Times New Roman" w:hAnsi="Times New Roman" w:eastAsia="宋体" w:cs="Times New Roman"/>
                <w:color w:val="auto"/>
                <w:sz w:val="21"/>
                <w:szCs w:val="21"/>
                <w:vertAlign w:val="subscript"/>
              </w:rPr>
              <w:t>Cr</w:t>
            </w:r>
            <w:r>
              <w:rPr>
                <w:rFonts w:hint="default" w:ascii="Times New Roman" w:hAnsi="Times New Roman" w:eastAsia="宋体" w:cs="Times New Roman"/>
                <w:color w:val="auto"/>
                <w:sz w:val="21"/>
                <w:szCs w:val="21"/>
              </w:rPr>
              <w:t>）</w:t>
            </w:r>
          </w:p>
        </w:tc>
        <w:tc>
          <w:tcPr>
            <w:tcW w:w="1258" w:type="pct"/>
            <w:noWrap w:val="0"/>
            <w:vAlign w:val="center"/>
          </w:tcPr>
          <w:p w14:paraId="328F962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047" w:type="pct"/>
            <w:vMerge w:val="continue"/>
            <w:noWrap w:val="0"/>
            <w:vAlign w:val="center"/>
          </w:tcPr>
          <w:p w14:paraId="0537C803">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61006E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232454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3B02CB8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617" w:type="pct"/>
            <w:noWrap w:val="0"/>
            <w:vAlign w:val="center"/>
          </w:tcPr>
          <w:p w14:paraId="056448D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总有机碳（TOC）</w:t>
            </w:r>
          </w:p>
        </w:tc>
        <w:tc>
          <w:tcPr>
            <w:tcW w:w="1258" w:type="pct"/>
            <w:noWrap w:val="0"/>
            <w:vAlign w:val="center"/>
          </w:tcPr>
          <w:p w14:paraId="537548C8">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180</w:t>
            </w:r>
          </w:p>
        </w:tc>
        <w:tc>
          <w:tcPr>
            <w:tcW w:w="1047" w:type="pct"/>
            <w:vMerge w:val="continue"/>
            <w:noWrap w:val="0"/>
            <w:vAlign w:val="center"/>
          </w:tcPr>
          <w:p w14:paraId="0A64DE4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619DBA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ABAA76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1984557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617" w:type="pct"/>
            <w:noWrap w:val="0"/>
            <w:vAlign w:val="center"/>
          </w:tcPr>
          <w:p w14:paraId="0C8BAC9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1258" w:type="pct"/>
            <w:noWrap w:val="0"/>
            <w:vAlign w:val="center"/>
          </w:tcPr>
          <w:p w14:paraId="2F69A78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w:t>
            </w:r>
          </w:p>
        </w:tc>
        <w:tc>
          <w:tcPr>
            <w:tcW w:w="1047" w:type="pct"/>
            <w:vMerge w:val="continue"/>
            <w:noWrap w:val="0"/>
            <w:vAlign w:val="center"/>
          </w:tcPr>
          <w:p w14:paraId="6800D1EC">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13D2AB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3564028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308ABC5D">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617" w:type="pct"/>
            <w:noWrap w:val="0"/>
            <w:vAlign w:val="center"/>
          </w:tcPr>
          <w:p w14:paraId="0BC2A35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总氮</w:t>
            </w:r>
          </w:p>
        </w:tc>
        <w:tc>
          <w:tcPr>
            <w:tcW w:w="1258" w:type="pct"/>
            <w:noWrap w:val="0"/>
            <w:vAlign w:val="center"/>
          </w:tcPr>
          <w:p w14:paraId="090D3DB3">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047" w:type="pct"/>
            <w:vMerge w:val="continue"/>
            <w:noWrap w:val="0"/>
            <w:vAlign w:val="center"/>
          </w:tcPr>
          <w:p w14:paraId="57612C09">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625E01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43DF60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67DABEB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617" w:type="pct"/>
            <w:noWrap w:val="0"/>
            <w:vAlign w:val="center"/>
          </w:tcPr>
          <w:p w14:paraId="16DB995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总磷</w:t>
            </w:r>
          </w:p>
        </w:tc>
        <w:tc>
          <w:tcPr>
            <w:tcW w:w="1258" w:type="pct"/>
            <w:noWrap w:val="0"/>
            <w:vAlign w:val="center"/>
          </w:tcPr>
          <w:p w14:paraId="52A70D39">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047" w:type="pct"/>
            <w:vMerge w:val="continue"/>
            <w:noWrap w:val="0"/>
            <w:vAlign w:val="center"/>
          </w:tcPr>
          <w:p w14:paraId="3137BB9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3C00EA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80A397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5EA501F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617" w:type="pct"/>
            <w:noWrap w:val="0"/>
            <w:vAlign w:val="center"/>
          </w:tcPr>
          <w:p w14:paraId="375C291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挥发酚</w:t>
            </w:r>
          </w:p>
        </w:tc>
        <w:tc>
          <w:tcPr>
            <w:tcW w:w="1258" w:type="pct"/>
            <w:noWrap w:val="0"/>
            <w:vAlign w:val="center"/>
          </w:tcPr>
          <w:p w14:paraId="1DDC0B31">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47" w:type="pct"/>
            <w:vMerge w:val="continue"/>
            <w:noWrap w:val="0"/>
            <w:vAlign w:val="center"/>
          </w:tcPr>
          <w:p w14:paraId="200F486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5E3D60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43E7ED7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0E5E723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1617" w:type="pct"/>
            <w:noWrap w:val="0"/>
            <w:vAlign w:val="center"/>
          </w:tcPr>
          <w:p w14:paraId="040A0B1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甲醛</w:t>
            </w:r>
          </w:p>
        </w:tc>
        <w:tc>
          <w:tcPr>
            <w:tcW w:w="1258" w:type="pct"/>
            <w:noWrap w:val="0"/>
            <w:vAlign w:val="center"/>
          </w:tcPr>
          <w:p w14:paraId="1D4ACB7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1047" w:type="pct"/>
            <w:vMerge w:val="continue"/>
            <w:noWrap w:val="0"/>
            <w:vAlign w:val="center"/>
          </w:tcPr>
          <w:p w14:paraId="5B6FCF08">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639CD5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555FF19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1C12BEB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617" w:type="pct"/>
            <w:noWrap w:val="0"/>
            <w:vAlign w:val="center"/>
          </w:tcPr>
          <w:p w14:paraId="266E566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急性毒性（HgCl</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毒性当量）</w:t>
            </w:r>
          </w:p>
        </w:tc>
        <w:tc>
          <w:tcPr>
            <w:tcW w:w="1258" w:type="pct"/>
            <w:noWrap w:val="0"/>
            <w:vAlign w:val="center"/>
          </w:tcPr>
          <w:p w14:paraId="4F06719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47" w:type="pct"/>
            <w:vMerge w:val="continue"/>
            <w:noWrap w:val="0"/>
            <w:vAlign w:val="center"/>
          </w:tcPr>
          <w:p w14:paraId="463743C9">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27FDB3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33BE364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480F708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617" w:type="pct"/>
            <w:noWrap w:val="0"/>
            <w:vAlign w:val="center"/>
          </w:tcPr>
          <w:p w14:paraId="387C17F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总硒</w:t>
            </w:r>
          </w:p>
        </w:tc>
        <w:tc>
          <w:tcPr>
            <w:tcW w:w="1258" w:type="pct"/>
            <w:noWrap w:val="0"/>
            <w:vAlign w:val="center"/>
          </w:tcPr>
          <w:p w14:paraId="25D9A6A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c>
          <w:tcPr>
            <w:tcW w:w="1047" w:type="pct"/>
            <w:vMerge w:val="continue"/>
            <w:noWrap w:val="0"/>
            <w:vAlign w:val="center"/>
          </w:tcPr>
          <w:p w14:paraId="7595382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6F5A5D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restart"/>
            <w:noWrap w:val="0"/>
            <w:vAlign w:val="center"/>
          </w:tcPr>
          <w:p w14:paraId="1CC46E5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四、生物工程类制药企业（含生产设施）</w:t>
            </w:r>
          </w:p>
        </w:tc>
        <w:tc>
          <w:tcPr>
            <w:tcW w:w="448" w:type="pct"/>
            <w:noWrap w:val="0"/>
            <w:vAlign w:val="center"/>
          </w:tcPr>
          <w:p w14:paraId="48CC1E8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617" w:type="pct"/>
            <w:noWrap w:val="0"/>
            <w:vAlign w:val="center"/>
          </w:tcPr>
          <w:p w14:paraId="47C6CDD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 值（无量纲）</w:t>
            </w:r>
          </w:p>
        </w:tc>
        <w:tc>
          <w:tcPr>
            <w:tcW w:w="1258" w:type="pct"/>
            <w:noWrap w:val="0"/>
            <w:vAlign w:val="center"/>
          </w:tcPr>
          <w:p w14:paraId="69AC9332">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6-9</w:t>
            </w:r>
          </w:p>
        </w:tc>
        <w:tc>
          <w:tcPr>
            <w:tcW w:w="1047" w:type="pct"/>
            <w:vMerge w:val="continue"/>
            <w:noWrap w:val="0"/>
            <w:vAlign w:val="center"/>
          </w:tcPr>
          <w:p w14:paraId="68C68733">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02B134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12E8233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72407FC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617" w:type="pct"/>
            <w:noWrap w:val="0"/>
            <w:vAlign w:val="center"/>
          </w:tcPr>
          <w:p w14:paraId="24E9C6FD">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色度（稀释倍数）</w:t>
            </w:r>
          </w:p>
        </w:tc>
        <w:tc>
          <w:tcPr>
            <w:tcW w:w="1258" w:type="pct"/>
            <w:noWrap w:val="0"/>
            <w:vAlign w:val="center"/>
          </w:tcPr>
          <w:p w14:paraId="59BF84C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047" w:type="pct"/>
            <w:vMerge w:val="continue"/>
            <w:noWrap w:val="0"/>
            <w:vAlign w:val="center"/>
          </w:tcPr>
          <w:p w14:paraId="210BDB3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4CCA53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198CD3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0C7F338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617" w:type="pct"/>
            <w:noWrap w:val="0"/>
            <w:vAlign w:val="center"/>
          </w:tcPr>
          <w:p w14:paraId="16A5E7D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悬浮物（SS）</w:t>
            </w:r>
          </w:p>
        </w:tc>
        <w:tc>
          <w:tcPr>
            <w:tcW w:w="1258" w:type="pct"/>
            <w:noWrap w:val="0"/>
            <w:vAlign w:val="center"/>
          </w:tcPr>
          <w:p w14:paraId="6701DB0C">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w:t>
            </w:r>
          </w:p>
        </w:tc>
        <w:tc>
          <w:tcPr>
            <w:tcW w:w="1047" w:type="pct"/>
            <w:vMerge w:val="continue"/>
            <w:noWrap w:val="0"/>
            <w:vAlign w:val="center"/>
          </w:tcPr>
          <w:p w14:paraId="09CB803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43ADE4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3C68F0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21E9EEB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617" w:type="pct"/>
            <w:noWrap w:val="0"/>
            <w:vAlign w:val="center"/>
          </w:tcPr>
          <w:p w14:paraId="17E0EAF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五日生化需氧量（BOD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w:t>
            </w:r>
          </w:p>
        </w:tc>
        <w:tc>
          <w:tcPr>
            <w:tcW w:w="1258" w:type="pct"/>
            <w:noWrap w:val="0"/>
            <w:vAlign w:val="center"/>
          </w:tcPr>
          <w:p w14:paraId="0B4848D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047" w:type="pct"/>
            <w:vMerge w:val="continue"/>
            <w:noWrap w:val="0"/>
            <w:vAlign w:val="center"/>
          </w:tcPr>
          <w:p w14:paraId="18206F72">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1C2853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97FA01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5AEBB59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617" w:type="pct"/>
            <w:noWrap w:val="0"/>
            <w:vAlign w:val="center"/>
          </w:tcPr>
          <w:p w14:paraId="66ADCE8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化学需氧量（COD</w:t>
            </w:r>
            <w:r>
              <w:rPr>
                <w:rFonts w:hint="default" w:ascii="Times New Roman" w:hAnsi="Times New Roman" w:eastAsia="宋体" w:cs="Times New Roman"/>
                <w:color w:val="auto"/>
                <w:sz w:val="21"/>
                <w:szCs w:val="21"/>
                <w:vertAlign w:val="subscript"/>
              </w:rPr>
              <w:t>Cr</w:t>
            </w:r>
            <w:r>
              <w:rPr>
                <w:rFonts w:hint="default" w:ascii="Times New Roman" w:hAnsi="Times New Roman" w:eastAsia="宋体" w:cs="Times New Roman"/>
                <w:color w:val="auto"/>
                <w:sz w:val="21"/>
                <w:szCs w:val="21"/>
              </w:rPr>
              <w:t>）</w:t>
            </w:r>
          </w:p>
        </w:tc>
        <w:tc>
          <w:tcPr>
            <w:tcW w:w="1258" w:type="pct"/>
            <w:noWrap w:val="0"/>
            <w:vAlign w:val="center"/>
          </w:tcPr>
          <w:p w14:paraId="77F1877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047" w:type="pct"/>
            <w:vMerge w:val="continue"/>
            <w:noWrap w:val="0"/>
            <w:vAlign w:val="center"/>
          </w:tcPr>
          <w:p w14:paraId="3253645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26E967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1C5E7F6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56BF70F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617" w:type="pct"/>
            <w:noWrap w:val="0"/>
            <w:vAlign w:val="center"/>
          </w:tcPr>
          <w:p w14:paraId="1D6D0AB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总有机碳（TOC）</w:t>
            </w:r>
          </w:p>
        </w:tc>
        <w:tc>
          <w:tcPr>
            <w:tcW w:w="1258" w:type="pct"/>
            <w:noWrap w:val="0"/>
            <w:vAlign w:val="center"/>
          </w:tcPr>
          <w:p w14:paraId="4B25FFD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180</w:t>
            </w:r>
          </w:p>
        </w:tc>
        <w:tc>
          <w:tcPr>
            <w:tcW w:w="1047" w:type="pct"/>
            <w:vMerge w:val="continue"/>
            <w:noWrap w:val="0"/>
            <w:vAlign w:val="center"/>
          </w:tcPr>
          <w:p w14:paraId="13A8B4A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2D66C9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380CE03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0B4299C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617" w:type="pct"/>
            <w:noWrap w:val="0"/>
            <w:vAlign w:val="center"/>
          </w:tcPr>
          <w:p w14:paraId="31DBE6A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1258" w:type="pct"/>
            <w:noWrap w:val="0"/>
            <w:vAlign w:val="center"/>
          </w:tcPr>
          <w:p w14:paraId="2F7AEB8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w:t>
            </w:r>
          </w:p>
        </w:tc>
        <w:tc>
          <w:tcPr>
            <w:tcW w:w="1047" w:type="pct"/>
            <w:vMerge w:val="continue"/>
            <w:noWrap w:val="0"/>
            <w:vAlign w:val="center"/>
          </w:tcPr>
          <w:p w14:paraId="226B271C">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665CF0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7D36833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62D71D4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617" w:type="pct"/>
            <w:noWrap w:val="0"/>
            <w:vAlign w:val="center"/>
          </w:tcPr>
          <w:p w14:paraId="077F7C4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总氮</w:t>
            </w:r>
          </w:p>
        </w:tc>
        <w:tc>
          <w:tcPr>
            <w:tcW w:w="1258" w:type="pct"/>
            <w:noWrap w:val="0"/>
            <w:vAlign w:val="center"/>
          </w:tcPr>
          <w:p w14:paraId="5817465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047" w:type="pct"/>
            <w:vMerge w:val="continue"/>
            <w:noWrap w:val="0"/>
            <w:vAlign w:val="center"/>
          </w:tcPr>
          <w:p w14:paraId="26E8576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198C2B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C53516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6F76A64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617" w:type="pct"/>
            <w:noWrap w:val="0"/>
            <w:vAlign w:val="center"/>
          </w:tcPr>
          <w:p w14:paraId="13C6C29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总磷</w:t>
            </w:r>
          </w:p>
        </w:tc>
        <w:tc>
          <w:tcPr>
            <w:tcW w:w="1258" w:type="pct"/>
            <w:noWrap w:val="0"/>
            <w:vAlign w:val="center"/>
          </w:tcPr>
          <w:p w14:paraId="24BA4BC9">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047" w:type="pct"/>
            <w:vMerge w:val="continue"/>
            <w:noWrap w:val="0"/>
            <w:vAlign w:val="center"/>
          </w:tcPr>
          <w:p w14:paraId="57BD78BC">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199CF0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5426337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321E1E7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617" w:type="pct"/>
            <w:noWrap w:val="0"/>
            <w:vAlign w:val="center"/>
          </w:tcPr>
          <w:p w14:paraId="2901A61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动植物油</w:t>
            </w:r>
          </w:p>
        </w:tc>
        <w:tc>
          <w:tcPr>
            <w:tcW w:w="1258" w:type="pct"/>
            <w:noWrap w:val="0"/>
            <w:vAlign w:val="center"/>
          </w:tcPr>
          <w:p w14:paraId="415196F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047" w:type="pct"/>
            <w:vMerge w:val="continue"/>
            <w:noWrap w:val="0"/>
            <w:vAlign w:val="center"/>
          </w:tcPr>
          <w:p w14:paraId="5DFE5D83">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2A4320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328FB58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3FBDCDE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1617" w:type="pct"/>
            <w:noWrap w:val="0"/>
            <w:vAlign w:val="center"/>
          </w:tcPr>
          <w:p w14:paraId="0C56412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挥发酚</w:t>
            </w:r>
          </w:p>
        </w:tc>
        <w:tc>
          <w:tcPr>
            <w:tcW w:w="1258" w:type="pct"/>
            <w:noWrap w:val="0"/>
            <w:vAlign w:val="center"/>
          </w:tcPr>
          <w:p w14:paraId="3B13A722">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47" w:type="pct"/>
            <w:vMerge w:val="continue"/>
            <w:noWrap w:val="0"/>
            <w:vAlign w:val="center"/>
          </w:tcPr>
          <w:p w14:paraId="3C3C2C3B">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7B9289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7B82947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3ACE720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617" w:type="pct"/>
            <w:noWrap w:val="0"/>
            <w:vAlign w:val="center"/>
          </w:tcPr>
          <w:p w14:paraId="7D534B3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总锌</w:t>
            </w:r>
          </w:p>
        </w:tc>
        <w:tc>
          <w:tcPr>
            <w:tcW w:w="1258" w:type="pct"/>
            <w:noWrap w:val="0"/>
            <w:vAlign w:val="center"/>
          </w:tcPr>
          <w:p w14:paraId="2AD82FF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047" w:type="pct"/>
            <w:vMerge w:val="continue"/>
            <w:noWrap w:val="0"/>
            <w:vAlign w:val="center"/>
          </w:tcPr>
          <w:p w14:paraId="4A9C35D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463978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3F8E78C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77FC7EE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617" w:type="pct"/>
            <w:noWrap w:val="0"/>
            <w:vAlign w:val="center"/>
          </w:tcPr>
          <w:p w14:paraId="642DA96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甲醛</w:t>
            </w:r>
          </w:p>
        </w:tc>
        <w:tc>
          <w:tcPr>
            <w:tcW w:w="1258" w:type="pct"/>
            <w:noWrap w:val="0"/>
            <w:vAlign w:val="center"/>
          </w:tcPr>
          <w:p w14:paraId="39F22A09">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1047" w:type="pct"/>
            <w:vMerge w:val="continue"/>
            <w:noWrap w:val="0"/>
            <w:vAlign w:val="center"/>
          </w:tcPr>
          <w:p w14:paraId="18222C4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51EAF6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12EA1F6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4777BE2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1617" w:type="pct"/>
            <w:noWrap w:val="0"/>
            <w:vAlign w:val="center"/>
          </w:tcPr>
          <w:p w14:paraId="722AB81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甲醇</w:t>
            </w:r>
          </w:p>
        </w:tc>
        <w:tc>
          <w:tcPr>
            <w:tcW w:w="1258" w:type="pct"/>
            <w:noWrap w:val="0"/>
            <w:vAlign w:val="center"/>
          </w:tcPr>
          <w:p w14:paraId="783DE2E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047" w:type="pct"/>
            <w:vMerge w:val="continue"/>
            <w:noWrap w:val="0"/>
            <w:vAlign w:val="center"/>
          </w:tcPr>
          <w:p w14:paraId="334D604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2F4B61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1C994B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3BFFC54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617" w:type="pct"/>
            <w:noWrap w:val="0"/>
            <w:vAlign w:val="center"/>
          </w:tcPr>
          <w:p w14:paraId="2254996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阴离子表面活性剂（LAS）</w:t>
            </w:r>
          </w:p>
        </w:tc>
        <w:tc>
          <w:tcPr>
            <w:tcW w:w="1258" w:type="pct"/>
            <w:noWrap w:val="0"/>
            <w:vAlign w:val="center"/>
          </w:tcPr>
          <w:p w14:paraId="0955739C">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047" w:type="pct"/>
            <w:vMerge w:val="continue"/>
            <w:noWrap w:val="0"/>
            <w:vAlign w:val="center"/>
          </w:tcPr>
          <w:p w14:paraId="2278A36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2072EA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31A0585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37A8330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1617" w:type="pct"/>
            <w:noWrap w:val="0"/>
            <w:vAlign w:val="center"/>
          </w:tcPr>
          <w:p w14:paraId="52CE972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可吸附有机卤化物（AOX）</w:t>
            </w:r>
          </w:p>
        </w:tc>
        <w:tc>
          <w:tcPr>
            <w:tcW w:w="1258" w:type="pct"/>
            <w:noWrap w:val="0"/>
            <w:vAlign w:val="center"/>
          </w:tcPr>
          <w:p w14:paraId="1B9443C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c>
          <w:tcPr>
            <w:tcW w:w="1047" w:type="pct"/>
            <w:vMerge w:val="continue"/>
            <w:noWrap w:val="0"/>
            <w:vAlign w:val="center"/>
          </w:tcPr>
          <w:p w14:paraId="3E657F4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39D97D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3DC823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1F1EE6D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1617" w:type="pct"/>
            <w:noWrap w:val="0"/>
            <w:vAlign w:val="center"/>
          </w:tcPr>
          <w:p w14:paraId="61102CF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甲苯</w:t>
            </w:r>
          </w:p>
        </w:tc>
        <w:tc>
          <w:tcPr>
            <w:tcW w:w="1258" w:type="pct"/>
            <w:noWrap w:val="0"/>
            <w:vAlign w:val="center"/>
          </w:tcPr>
          <w:p w14:paraId="143EC35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047" w:type="pct"/>
            <w:vMerge w:val="continue"/>
            <w:noWrap w:val="0"/>
            <w:vAlign w:val="center"/>
          </w:tcPr>
          <w:p w14:paraId="2D1F8F77">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13BB32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BC4808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101811B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617" w:type="pct"/>
            <w:noWrap w:val="0"/>
            <w:vAlign w:val="center"/>
          </w:tcPr>
          <w:p w14:paraId="3CB0E47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二甲苯总量</w:t>
            </w:r>
            <w:r>
              <w:rPr>
                <w:rFonts w:hint="default" w:ascii="Times New Roman" w:hAnsi="Times New Roman" w:eastAsia="宋体" w:cs="Times New Roman"/>
                <w:color w:val="auto"/>
                <w:sz w:val="21"/>
                <w:szCs w:val="21"/>
                <w:vertAlign w:val="superscript"/>
              </w:rPr>
              <w:t>a</w:t>
            </w:r>
          </w:p>
        </w:tc>
        <w:tc>
          <w:tcPr>
            <w:tcW w:w="1258" w:type="pct"/>
            <w:noWrap w:val="0"/>
            <w:vAlign w:val="center"/>
          </w:tcPr>
          <w:p w14:paraId="2D6A83B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47" w:type="pct"/>
            <w:vMerge w:val="continue"/>
            <w:noWrap w:val="0"/>
            <w:vAlign w:val="center"/>
          </w:tcPr>
          <w:p w14:paraId="500F955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4525BA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51A695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6B0901B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w:t>
            </w:r>
          </w:p>
        </w:tc>
        <w:tc>
          <w:tcPr>
            <w:tcW w:w="1617" w:type="pct"/>
            <w:noWrap w:val="0"/>
            <w:vAlign w:val="center"/>
          </w:tcPr>
          <w:p w14:paraId="3C07A0F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乙腈</w:t>
            </w:r>
          </w:p>
        </w:tc>
        <w:tc>
          <w:tcPr>
            <w:tcW w:w="1258" w:type="pct"/>
            <w:noWrap w:val="0"/>
            <w:vAlign w:val="center"/>
          </w:tcPr>
          <w:p w14:paraId="4C489B7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047" w:type="pct"/>
            <w:vMerge w:val="continue"/>
            <w:noWrap w:val="0"/>
            <w:vAlign w:val="center"/>
          </w:tcPr>
          <w:p w14:paraId="3A1C51E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4C9A4F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5243377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50C7D8E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617" w:type="pct"/>
            <w:noWrap w:val="0"/>
            <w:vAlign w:val="center"/>
          </w:tcPr>
          <w:p w14:paraId="2A37B3F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总余氯（以 Cl 计）</w:t>
            </w:r>
            <w:r>
              <w:rPr>
                <w:rFonts w:hint="default" w:ascii="Times New Roman" w:hAnsi="Times New Roman" w:eastAsia="宋体" w:cs="Times New Roman"/>
                <w:color w:val="auto"/>
                <w:sz w:val="21"/>
                <w:szCs w:val="21"/>
                <w:vertAlign w:val="superscript"/>
              </w:rPr>
              <w:t>b</w:t>
            </w:r>
          </w:p>
        </w:tc>
        <w:tc>
          <w:tcPr>
            <w:tcW w:w="1258" w:type="pct"/>
            <w:noWrap w:val="0"/>
            <w:vAlign w:val="center"/>
          </w:tcPr>
          <w:p w14:paraId="324D4E4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47" w:type="pct"/>
            <w:vMerge w:val="continue"/>
            <w:noWrap w:val="0"/>
            <w:vAlign w:val="center"/>
          </w:tcPr>
          <w:p w14:paraId="5C615A32">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253B4A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0149A1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120AD13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c>
          <w:tcPr>
            <w:tcW w:w="1617" w:type="pct"/>
            <w:noWrap w:val="0"/>
            <w:vAlign w:val="center"/>
          </w:tcPr>
          <w:p w14:paraId="23DBA01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粪大肠菌群数（MPN/L）</w:t>
            </w:r>
          </w:p>
        </w:tc>
        <w:tc>
          <w:tcPr>
            <w:tcW w:w="1258" w:type="pct"/>
            <w:noWrap w:val="0"/>
            <w:vAlign w:val="center"/>
          </w:tcPr>
          <w:p w14:paraId="294BA64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047" w:type="pct"/>
            <w:vMerge w:val="continue"/>
            <w:noWrap w:val="0"/>
            <w:vAlign w:val="center"/>
          </w:tcPr>
          <w:p w14:paraId="1D13E2A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07F60F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3462205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463D35A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w:t>
            </w:r>
          </w:p>
        </w:tc>
        <w:tc>
          <w:tcPr>
            <w:tcW w:w="1617" w:type="pct"/>
            <w:noWrap w:val="0"/>
            <w:vAlign w:val="center"/>
          </w:tcPr>
          <w:p w14:paraId="551DFD5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急性毒性（HgCl</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毒性当量）</w:t>
            </w:r>
          </w:p>
        </w:tc>
        <w:tc>
          <w:tcPr>
            <w:tcW w:w="1258" w:type="pct"/>
            <w:noWrap w:val="0"/>
            <w:vAlign w:val="center"/>
          </w:tcPr>
          <w:p w14:paraId="1B241A97">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47" w:type="pct"/>
            <w:vMerge w:val="continue"/>
            <w:noWrap w:val="0"/>
            <w:vAlign w:val="center"/>
          </w:tcPr>
          <w:p w14:paraId="667D4579">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3B4EBB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894410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448" w:type="pct"/>
            <w:noWrap w:val="0"/>
            <w:vAlign w:val="center"/>
          </w:tcPr>
          <w:p w14:paraId="1AB6889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w:t>
            </w:r>
          </w:p>
        </w:tc>
        <w:tc>
          <w:tcPr>
            <w:tcW w:w="1617" w:type="pct"/>
            <w:noWrap w:val="0"/>
            <w:vAlign w:val="center"/>
          </w:tcPr>
          <w:p w14:paraId="045B837D">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总硒</w:t>
            </w:r>
          </w:p>
        </w:tc>
        <w:tc>
          <w:tcPr>
            <w:tcW w:w="1258" w:type="pct"/>
            <w:noWrap w:val="0"/>
            <w:vAlign w:val="center"/>
          </w:tcPr>
          <w:p w14:paraId="6211B6B8">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c>
          <w:tcPr>
            <w:tcW w:w="1047" w:type="pct"/>
            <w:vMerge w:val="continue"/>
            <w:noWrap w:val="0"/>
            <w:vAlign w:val="center"/>
          </w:tcPr>
          <w:p w14:paraId="77417EC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1667CD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restart"/>
            <w:noWrap w:val="0"/>
            <w:vAlign w:val="center"/>
          </w:tcPr>
          <w:p w14:paraId="301D383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五、生物医药研发机构</w:t>
            </w:r>
          </w:p>
        </w:tc>
        <w:tc>
          <w:tcPr>
            <w:tcW w:w="448" w:type="pct"/>
            <w:noWrap w:val="0"/>
            <w:vAlign w:val="center"/>
          </w:tcPr>
          <w:p w14:paraId="5C4FD15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1</w:t>
            </w:r>
          </w:p>
        </w:tc>
        <w:tc>
          <w:tcPr>
            <w:tcW w:w="1617" w:type="pct"/>
            <w:noWrap w:val="0"/>
            <w:vAlign w:val="center"/>
          </w:tcPr>
          <w:p w14:paraId="2010FAB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pH 值（无量纲）</w:t>
            </w:r>
          </w:p>
        </w:tc>
        <w:tc>
          <w:tcPr>
            <w:tcW w:w="1258" w:type="pct"/>
            <w:noWrap w:val="0"/>
            <w:vAlign w:val="center"/>
          </w:tcPr>
          <w:p w14:paraId="2EA536C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6-9</w:t>
            </w:r>
          </w:p>
        </w:tc>
        <w:tc>
          <w:tcPr>
            <w:tcW w:w="1047" w:type="pct"/>
            <w:vMerge w:val="continue"/>
            <w:noWrap w:val="0"/>
            <w:vAlign w:val="center"/>
          </w:tcPr>
          <w:p w14:paraId="0522CC72">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1C1956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4077520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54E3321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2</w:t>
            </w:r>
          </w:p>
        </w:tc>
        <w:tc>
          <w:tcPr>
            <w:tcW w:w="1617" w:type="pct"/>
            <w:noWrap w:val="0"/>
            <w:vAlign w:val="center"/>
          </w:tcPr>
          <w:p w14:paraId="0F7998D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色度（稀释倍数）</w:t>
            </w:r>
          </w:p>
        </w:tc>
        <w:tc>
          <w:tcPr>
            <w:tcW w:w="1258" w:type="pct"/>
            <w:noWrap w:val="0"/>
            <w:vAlign w:val="center"/>
          </w:tcPr>
          <w:p w14:paraId="4260BDD1">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047" w:type="pct"/>
            <w:vMerge w:val="continue"/>
            <w:noWrap w:val="0"/>
            <w:vAlign w:val="center"/>
          </w:tcPr>
          <w:p w14:paraId="72516CE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431FEB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778CCB3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4DFB5A6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3</w:t>
            </w:r>
          </w:p>
        </w:tc>
        <w:tc>
          <w:tcPr>
            <w:tcW w:w="1617" w:type="pct"/>
            <w:noWrap w:val="0"/>
            <w:vAlign w:val="center"/>
          </w:tcPr>
          <w:p w14:paraId="66D4C99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悬浮物（SS）</w:t>
            </w:r>
          </w:p>
        </w:tc>
        <w:tc>
          <w:tcPr>
            <w:tcW w:w="1258" w:type="pct"/>
            <w:noWrap w:val="0"/>
            <w:vAlign w:val="center"/>
          </w:tcPr>
          <w:p w14:paraId="3EF12A47">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w:t>
            </w:r>
          </w:p>
        </w:tc>
        <w:tc>
          <w:tcPr>
            <w:tcW w:w="1047" w:type="pct"/>
            <w:vMerge w:val="continue"/>
            <w:noWrap w:val="0"/>
            <w:vAlign w:val="center"/>
          </w:tcPr>
          <w:p w14:paraId="2D6B201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797158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123A149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45BEC75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4</w:t>
            </w:r>
          </w:p>
        </w:tc>
        <w:tc>
          <w:tcPr>
            <w:tcW w:w="1617" w:type="pct"/>
            <w:noWrap w:val="0"/>
            <w:vAlign w:val="center"/>
          </w:tcPr>
          <w:p w14:paraId="1A6CC8F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五日生化需氧量（BOD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w:t>
            </w:r>
          </w:p>
        </w:tc>
        <w:tc>
          <w:tcPr>
            <w:tcW w:w="1258" w:type="pct"/>
            <w:noWrap w:val="0"/>
            <w:vAlign w:val="center"/>
          </w:tcPr>
          <w:p w14:paraId="1EBB79DC">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047" w:type="pct"/>
            <w:vMerge w:val="continue"/>
            <w:noWrap w:val="0"/>
            <w:vAlign w:val="center"/>
          </w:tcPr>
          <w:p w14:paraId="3EC6F5F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15F5B3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513401A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070C6D9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5</w:t>
            </w:r>
          </w:p>
        </w:tc>
        <w:tc>
          <w:tcPr>
            <w:tcW w:w="1617" w:type="pct"/>
            <w:noWrap w:val="0"/>
            <w:vAlign w:val="center"/>
          </w:tcPr>
          <w:p w14:paraId="6E75542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化学需氧量（COD</w:t>
            </w:r>
            <w:r>
              <w:rPr>
                <w:rFonts w:hint="default" w:ascii="Times New Roman" w:hAnsi="Times New Roman" w:eastAsia="宋体" w:cs="Times New Roman"/>
                <w:color w:val="auto"/>
                <w:sz w:val="21"/>
                <w:szCs w:val="21"/>
                <w:vertAlign w:val="subscript"/>
              </w:rPr>
              <w:t>Cr</w:t>
            </w:r>
            <w:r>
              <w:rPr>
                <w:rFonts w:hint="default" w:ascii="Times New Roman" w:hAnsi="Times New Roman" w:eastAsia="宋体" w:cs="Times New Roman"/>
                <w:color w:val="auto"/>
                <w:sz w:val="21"/>
                <w:szCs w:val="21"/>
              </w:rPr>
              <w:t>）</w:t>
            </w:r>
          </w:p>
        </w:tc>
        <w:tc>
          <w:tcPr>
            <w:tcW w:w="1258" w:type="pct"/>
            <w:noWrap w:val="0"/>
            <w:vAlign w:val="center"/>
          </w:tcPr>
          <w:p w14:paraId="658D710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047" w:type="pct"/>
            <w:vMerge w:val="continue"/>
            <w:noWrap w:val="0"/>
            <w:vAlign w:val="center"/>
          </w:tcPr>
          <w:p w14:paraId="4890A77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7DC72B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30A8A1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421068B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6</w:t>
            </w:r>
          </w:p>
        </w:tc>
        <w:tc>
          <w:tcPr>
            <w:tcW w:w="1617" w:type="pct"/>
            <w:noWrap w:val="0"/>
            <w:vAlign w:val="center"/>
          </w:tcPr>
          <w:p w14:paraId="4488CA1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总有机碳（TOC）</w:t>
            </w:r>
          </w:p>
        </w:tc>
        <w:tc>
          <w:tcPr>
            <w:tcW w:w="1258" w:type="pct"/>
            <w:noWrap w:val="0"/>
            <w:vAlign w:val="center"/>
          </w:tcPr>
          <w:p w14:paraId="5078D301">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180</w:t>
            </w:r>
          </w:p>
        </w:tc>
        <w:tc>
          <w:tcPr>
            <w:tcW w:w="1047" w:type="pct"/>
            <w:vMerge w:val="continue"/>
            <w:noWrap w:val="0"/>
            <w:vAlign w:val="center"/>
          </w:tcPr>
          <w:p w14:paraId="03DD4F79">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673888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EED988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2EC3A2A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7</w:t>
            </w:r>
          </w:p>
        </w:tc>
        <w:tc>
          <w:tcPr>
            <w:tcW w:w="1617" w:type="pct"/>
            <w:noWrap w:val="0"/>
            <w:vAlign w:val="center"/>
          </w:tcPr>
          <w:p w14:paraId="77119C4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氨氮</w:t>
            </w:r>
          </w:p>
        </w:tc>
        <w:tc>
          <w:tcPr>
            <w:tcW w:w="1258" w:type="pct"/>
            <w:noWrap w:val="0"/>
            <w:vAlign w:val="center"/>
          </w:tcPr>
          <w:p w14:paraId="7FE0541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w:t>
            </w:r>
          </w:p>
        </w:tc>
        <w:tc>
          <w:tcPr>
            <w:tcW w:w="1047" w:type="pct"/>
            <w:vMerge w:val="continue"/>
            <w:noWrap w:val="0"/>
            <w:vAlign w:val="center"/>
          </w:tcPr>
          <w:p w14:paraId="11F438C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59AC7D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11CD95B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6770139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8</w:t>
            </w:r>
          </w:p>
        </w:tc>
        <w:tc>
          <w:tcPr>
            <w:tcW w:w="1617" w:type="pct"/>
            <w:noWrap w:val="0"/>
            <w:vAlign w:val="center"/>
          </w:tcPr>
          <w:p w14:paraId="7C07250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总氮</w:t>
            </w:r>
          </w:p>
        </w:tc>
        <w:tc>
          <w:tcPr>
            <w:tcW w:w="1258" w:type="pct"/>
            <w:noWrap w:val="0"/>
            <w:vAlign w:val="center"/>
          </w:tcPr>
          <w:p w14:paraId="4E09EBF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047" w:type="pct"/>
            <w:vMerge w:val="continue"/>
            <w:noWrap w:val="0"/>
            <w:vAlign w:val="center"/>
          </w:tcPr>
          <w:p w14:paraId="66C7FA9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05A3B5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2E927D2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4C07F2C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highlight w:val="none"/>
              </w:rPr>
              <w:t>9</w:t>
            </w:r>
          </w:p>
        </w:tc>
        <w:tc>
          <w:tcPr>
            <w:tcW w:w="1617" w:type="pct"/>
            <w:noWrap w:val="0"/>
            <w:vAlign w:val="center"/>
          </w:tcPr>
          <w:p w14:paraId="6337708D">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总磷</w:t>
            </w:r>
          </w:p>
        </w:tc>
        <w:tc>
          <w:tcPr>
            <w:tcW w:w="1258" w:type="pct"/>
            <w:noWrap w:val="0"/>
            <w:vAlign w:val="center"/>
          </w:tcPr>
          <w:p w14:paraId="2780958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047" w:type="pct"/>
            <w:vMerge w:val="continue"/>
            <w:noWrap w:val="0"/>
            <w:vAlign w:val="center"/>
          </w:tcPr>
          <w:p w14:paraId="5514DE2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190B04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29E452C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321E21B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highlight w:val="none"/>
              </w:rPr>
              <w:t>10</w:t>
            </w:r>
          </w:p>
        </w:tc>
        <w:tc>
          <w:tcPr>
            <w:tcW w:w="1617" w:type="pct"/>
            <w:noWrap w:val="0"/>
            <w:vAlign w:val="center"/>
          </w:tcPr>
          <w:p w14:paraId="5CCC51AD">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highlight w:val="none"/>
              </w:rPr>
              <w:t>动植物油</w:t>
            </w:r>
          </w:p>
        </w:tc>
        <w:tc>
          <w:tcPr>
            <w:tcW w:w="1258" w:type="pct"/>
            <w:noWrap w:val="0"/>
            <w:vAlign w:val="center"/>
          </w:tcPr>
          <w:p w14:paraId="33F41AA7">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100</w:t>
            </w:r>
          </w:p>
        </w:tc>
        <w:tc>
          <w:tcPr>
            <w:tcW w:w="1047" w:type="pct"/>
            <w:vMerge w:val="continue"/>
            <w:noWrap w:val="0"/>
            <w:vAlign w:val="center"/>
          </w:tcPr>
          <w:p w14:paraId="72BE61A1">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74F79D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4D4698A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399872D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11</w:t>
            </w:r>
          </w:p>
        </w:tc>
        <w:tc>
          <w:tcPr>
            <w:tcW w:w="1617" w:type="pct"/>
            <w:noWrap w:val="0"/>
            <w:vAlign w:val="center"/>
          </w:tcPr>
          <w:p w14:paraId="3103616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挥发酚</w:t>
            </w:r>
          </w:p>
        </w:tc>
        <w:tc>
          <w:tcPr>
            <w:tcW w:w="1258" w:type="pct"/>
            <w:noWrap w:val="0"/>
            <w:vAlign w:val="center"/>
          </w:tcPr>
          <w:p w14:paraId="0CA558C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47" w:type="pct"/>
            <w:vMerge w:val="continue"/>
            <w:noWrap w:val="0"/>
            <w:vAlign w:val="center"/>
          </w:tcPr>
          <w:p w14:paraId="2154733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3849CB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754F2A2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7A31BA4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12</w:t>
            </w:r>
          </w:p>
        </w:tc>
        <w:tc>
          <w:tcPr>
            <w:tcW w:w="1617" w:type="pct"/>
            <w:noWrap w:val="0"/>
            <w:vAlign w:val="center"/>
          </w:tcPr>
          <w:p w14:paraId="097CAD0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总锌</w:t>
            </w:r>
          </w:p>
        </w:tc>
        <w:tc>
          <w:tcPr>
            <w:tcW w:w="1258" w:type="pct"/>
            <w:noWrap w:val="0"/>
            <w:vAlign w:val="center"/>
          </w:tcPr>
          <w:p w14:paraId="0F80D65B">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047" w:type="pct"/>
            <w:vMerge w:val="continue"/>
            <w:noWrap w:val="0"/>
            <w:vAlign w:val="center"/>
          </w:tcPr>
          <w:p w14:paraId="576C13F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3F53E1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3B7ABA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00C8ED9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highlight w:val="none"/>
              </w:rPr>
              <w:t>13</w:t>
            </w:r>
          </w:p>
        </w:tc>
        <w:tc>
          <w:tcPr>
            <w:tcW w:w="1617" w:type="pct"/>
            <w:noWrap w:val="0"/>
            <w:vAlign w:val="center"/>
          </w:tcPr>
          <w:p w14:paraId="19D6E37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甲醛</w:t>
            </w:r>
          </w:p>
        </w:tc>
        <w:tc>
          <w:tcPr>
            <w:tcW w:w="1258" w:type="pct"/>
            <w:noWrap w:val="0"/>
            <w:vAlign w:val="center"/>
          </w:tcPr>
          <w:p w14:paraId="6A9B330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3.0</w:t>
            </w:r>
          </w:p>
        </w:tc>
        <w:tc>
          <w:tcPr>
            <w:tcW w:w="1047" w:type="pct"/>
            <w:vMerge w:val="continue"/>
            <w:noWrap w:val="0"/>
            <w:vAlign w:val="center"/>
          </w:tcPr>
          <w:p w14:paraId="792ACC0C">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59DF15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4D59DE9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6C586B5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14</w:t>
            </w:r>
          </w:p>
        </w:tc>
        <w:tc>
          <w:tcPr>
            <w:tcW w:w="1617" w:type="pct"/>
            <w:noWrap w:val="0"/>
            <w:vAlign w:val="center"/>
          </w:tcPr>
          <w:p w14:paraId="6AA7F48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甲醇</w:t>
            </w:r>
          </w:p>
        </w:tc>
        <w:tc>
          <w:tcPr>
            <w:tcW w:w="1258" w:type="pct"/>
            <w:noWrap w:val="0"/>
            <w:vAlign w:val="center"/>
          </w:tcPr>
          <w:p w14:paraId="53BEEE58">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047" w:type="pct"/>
            <w:vMerge w:val="continue"/>
            <w:noWrap w:val="0"/>
            <w:vAlign w:val="center"/>
          </w:tcPr>
          <w:p w14:paraId="1A3F418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4F2384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17F86E6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6627072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15</w:t>
            </w:r>
          </w:p>
        </w:tc>
        <w:tc>
          <w:tcPr>
            <w:tcW w:w="1617" w:type="pct"/>
            <w:noWrap w:val="0"/>
            <w:vAlign w:val="center"/>
          </w:tcPr>
          <w:p w14:paraId="379790CF">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阴离子表面活性剂（LAS）</w:t>
            </w:r>
          </w:p>
        </w:tc>
        <w:tc>
          <w:tcPr>
            <w:tcW w:w="1258" w:type="pct"/>
            <w:noWrap w:val="0"/>
            <w:vAlign w:val="center"/>
          </w:tcPr>
          <w:p w14:paraId="6340E557">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047" w:type="pct"/>
            <w:vMerge w:val="continue"/>
            <w:noWrap w:val="0"/>
            <w:vAlign w:val="center"/>
          </w:tcPr>
          <w:p w14:paraId="20C2BB27">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108B3A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242D894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0D57AA8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16</w:t>
            </w:r>
          </w:p>
        </w:tc>
        <w:tc>
          <w:tcPr>
            <w:tcW w:w="1617" w:type="pct"/>
            <w:noWrap w:val="0"/>
            <w:vAlign w:val="center"/>
          </w:tcPr>
          <w:p w14:paraId="65A3305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三氯甲烷</w:t>
            </w:r>
          </w:p>
        </w:tc>
        <w:tc>
          <w:tcPr>
            <w:tcW w:w="1258" w:type="pct"/>
            <w:noWrap w:val="0"/>
            <w:vAlign w:val="center"/>
          </w:tcPr>
          <w:p w14:paraId="6524E9D1">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47" w:type="pct"/>
            <w:vMerge w:val="continue"/>
            <w:noWrap w:val="0"/>
            <w:vAlign w:val="center"/>
          </w:tcPr>
          <w:p w14:paraId="66D98786">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7C907F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1E69F24">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49EC24D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17</w:t>
            </w:r>
          </w:p>
        </w:tc>
        <w:tc>
          <w:tcPr>
            <w:tcW w:w="1617" w:type="pct"/>
            <w:noWrap w:val="0"/>
            <w:vAlign w:val="center"/>
          </w:tcPr>
          <w:p w14:paraId="0BA1D0CD">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可吸附有机卤化物（AOX）</w:t>
            </w:r>
          </w:p>
        </w:tc>
        <w:tc>
          <w:tcPr>
            <w:tcW w:w="1258" w:type="pct"/>
            <w:noWrap w:val="0"/>
            <w:vAlign w:val="center"/>
          </w:tcPr>
          <w:p w14:paraId="2BAE08F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c>
          <w:tcPr>
            <w:tcW w:w="1047" w:type="pct"/>
            <w:vMerge w:val="continue"/>
            <w:noWrap w:val="0"/>
            <w:vAlign w:val="center"/>
          </w:tcPr>
          <w:p w14:paraId="1143DEAD">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5E9774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5DB7920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1115CB2D">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18</w:t>
            </w:r>
          </w:p>
        </w:tc>
        <w:tc>
          <w:tcPr>
            <w:tcW w:w="1617" w:type="pct"/>
            <w:noWrap w:val="0"/>
            <w:vAlign w:val="center"/>
          </w:tcPr>
          <w:p w14:paraId="612280D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1,2-二氯乙烷</w:t>
            </w:r>
          </w:p>
        </w:tc>
        <w:tc>
          <w:tcPr>
            <w:tcW w:w="1258" w:type="pct"/>
            <w:noWrap w:val="0"/>
            <w:vAlign w:val="center"/>
          </w:tcPr>
          <w:p w14:paraId="57ABD02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47" w:type="pct"/>
            <w:vMerge w:val="continue"/>
            <w:noWrap w:val="0"/>
            <w:vAlign w:val="center"/>
          </w:tcPr>
          <w:p w14:paraId="7D67DF3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6A7FEC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762C859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3EA6D6A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19</w:t>
            </w:r>
          </w:p>
        </w:tc>
        <w:tc>
          <w:tcPr>
            <w:tcW w:w="1617" w:type="pct"/>
            <w:noWrap w:val="0"/>
            <w:vAlign w:val="center"/>
          </w:tcPr>
          <w:p w14:paraId="1B6FE17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w:t>
            </w:r>
          </w:p>
        </w:tc>
        <w:tc>
          <w:tcPr>
            <w:tcW w:w="1258" w:type="pct"/>
            <w:noWrap w:val="0"/>
            <w:vAlign w:val="center"/>
          </w:tcPr>
          <w:p w14:paraId="1608A7F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047" w:type="pct"/>
            <w:vMerge w:val="continue"/>
            <w:noWrap w:val="0"/>
            <w:vAlign w:val="center"/>
          </w:tcPr>
          <w:p w14:paraId="55ADD4F2">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3A6812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375CB15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6470BDD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20</w:t>
            </w:r>
          </w:p>
        </w:tc>
        <w:tc>
          <w:tcPr>
            <w:tcW w:w="1617" w:type="pct"/>
            <w:noWrap w:val="0"/>
            <w:vAlign w:val="center"/>
          </w:tcPr>
          <w:p w14:paraId="5FA77C6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甲苯</w:t>
            </w:r>
          </w:p>
        </w:tc>
        <w:tc>
          <w:tcPr>
            <w:tcW w:w="1258" w:type="pct"/>
            <w:noWrap w:val="0"/>
            <w:vAlign w:val="center"/>
          </w:tcPr>
          <w:p w14:paraId="693F7E8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047" w:type="pct"/>
            <w:vMerge w:val="continue"/>
            <w:noWrap w:val="0"/>
            <w:vAlign w:val="center"/>
          </w:tcPr>
          <w:p w14:paraId="02D4F662">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7167A6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2C63ABB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24E8769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21</w:t>
            </w:r>
          </w:p>
        </w:tc>
        <w:tc>
          <w:tcPr>
            <w:tcW w:w="1617" w:type="pct"/>
            <w:noWrap w:val="0"/>
            <w:vAlign w:val="center"/>
          </w:tcPr>
          <w:p w14:paraId="5807790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二甲苯总量a</w:t>
            </w:r>
          </w:p>
        </w:tc>
        <w:tc>
          <w:tcPr>
            <w:tcW w:w="1258" w:type="pct"/>
            <w:noWrap w:val="0"/>
            <w:vAlign w:val="center"/>
          </w:tcPr>
          <w:p w14:paraId="7A2782FE">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47" w:type="pct"/>
            <w:vMerge w:val="continue"/>
            <w:noWrap w:val="0"/>
            <w:vAlign w:val="center"/>
          </w:tcPr>
          <w:p w14:paraId="23BE34E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7DB300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779E1F0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323BBCA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22</w:t>
            </w:r>
          </w:p>
        </w:tc>
        <w:tc>
          <w:tcPr>
            <w:tcW w:w="1617" w:type="pct"/>
            <w:noWrap w:val="0"/>
            <w:vAlign w:val="center"/>
          </w:tcPr>
          <w:p w14:paraId="1A4D083B">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1,2-二氯苯</w:t>
            </w:r>
          </w:p>
        </w:tc>
        <w:tc>
          <w:tcPr>
            <w:tcW w:w="1258" w:type="pct"/>
            <w:noWrap w:val="0"/>
            <w:vAlign w:val="center"/>
          </w:tcPr>
          <w:p w14:paraId="0116CB07">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1.0</w:t>
            </w:r>
          </w:p>
        </w:tc>
        <w:tc>
          <w:tcPr>
            <w:tcW w:w="1047" w:type="pct"/>
            <w:vMerge w:val="continue"/>
            <w:noWrap w:val="0"/>
            <w:vAlign w:val="center"/>
          </w:tcPr>
          <w:p w14:paraId="41C42B41">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22F8A6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D6AE32A">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3D2B469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23</w:t>
            </w:r>
          </w:p>
        </w:tc>
        <w:tc>
          <w:tcPr>
            <w:tcW w:w="1617" w:type="pct"/>
            <w:noWrap w:val="0"/>
            <w:vAlign w:val="center"/>
          </w:tcPr>
          <w:p w14:paraId="77F9CE4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乙腈</w:t>
            </w:r>
          </w:p>
        </w:tc>
        <w:tc>
          <w:tcPr>
            <w:tcW w:w="1258" w:type="pct"/>
            <w:noWrap w:val="0"/>
            <w:vAlign w:val="center"/>
          </w:tcPr>
          <w:p w14:paraId="548974B0">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047" w:type="pct"/>
            <w:vMerge w:val="continue"/>
            <w:noWrap w:val="0"/>
            <w:vAlign w:val="center"/>
          </w:tcPr>
          <w:p w14:paraId="38312C0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785ABE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3144DA7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4C58183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24</w:t>
            </w:r>
          </w:p>
        </w:tc>
        <w:tc>
          <w:tcPr>
            <w:tcW w:w="1617" w:type="pct"/>
            <w:noWrap w:val="0"/>
            <w:vAlign w:val="center"/>
          </w:tcPr>
          <w:p w14:paraId="0AF518D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总氰化物</w:t>
            </w:r>
          </w:p>
        </w:tc>
        <w:tc>
          <w:tcPr>
            <w:tcW w:w="1258" w:type="pct"/>
            <w:noWrap w:val="0"/>
            <w:vAlign w:val="center"/>
          </w:tcPr>
          <w:p w14:paraId="6462134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w:t>
            </w:r>
          </w:p>
        </w:tc>
        <w:tc>
          <w:tcPr>
            <w:tcW w:w="1047" w:type="pct"/>
            <w:vMerge w:val="continue"/>
            <w:noWrap w:val="0"/>
            <w:vAlign w:val="center"/>
          </w:tcPr>
          <w:p w14:paraId="1069EE12">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342A10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57913969">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71C3421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25</w:t>
            </w:r>
          </w:p>
        </w:tc>
        <w:tc>
          <w:tcPr>
            <w:tcW w:w="1617" w:type="pct"/>
            <w:noWrap w:val="0"/>
            <w:vAlign w:val="center"/>
          </w:tcPr>
          <w:p w14:paraId="4F5691C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氯苯</w:t>
            </w:r>
          </w:p>
        </w:tc>
        <w:tc>
          <w:tcPr>
            <w:tcW w:w="1258" w:type="pct"/>
            <w:noWrap w:val="0"/>
            <w:vAlign w:val="center"/>
          </w:tcPr>
          <w:p w14:paraId="1FCD11A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0.15</w:t>
            </w:r>
          </w:p>
        </w:tc>
        <w:tc>
          <w:tcPr>
            <w:tcW w:w="1047" w:type="pct"/>
            <w:vMerge w:val="continue"/>
            <w:noWrap w:val="0"/>
            <w:vAlign w:val="center"/>
          </w:tcPr>
          <w:p w14:paraId="7C4FC56A">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54A826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4F7D1FC0">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7AD348AE">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26</w:t>
            </w:r>
          </w:p>
        </w:tc>
        <w:tc>
          <w:tcPr>
            <w:tcW w:w="1617" w:type="pct"/>
            <w:noWrap w:val="0"/>
            <w:vAlign w:val="center"/>
          </w:tcPr>
          <w:p w14:paraId="5914DB87">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总余氯（以Cl计）b</w:t>
            </w:r>
          </w:p>
        </w:tc>
        <w:tc>
          <w:tcPr>
            <w:tcW w:w="1258" w:type="pct"/>
            <w:noWrap w:val="0"/>
            <w:vAlign w:val="center"/>
          </w:tcPr>
          <w:p w14:paraId="1E4601E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47" w:type="pct"/>
            <w:vMerge w:val="continue"/>
            <w:noWrap w:val="0"/>
            <w:vAlign w:val="center"/>
          </w:tcPr>
          <w:p w14:paraId="36BEEA03">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26DCEE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88F2AD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013CBA86">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27</w:t>
            </w:r>
          </w:p>
        </w:tc>
        <w:tc>
          <w:tcPr>
            <w:tcW w:w="1617" w:type="pct"/>
            <w:noWrap w:val="0"/>
            <w:vAlign w:val="center"/>
          </w:tcPr>
          <w:p w14:paraId="48DB7BF1">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粪大肠菌群数（MPN/L）</w:t>
            </w:r>
          </w:p>
        </w:tc>
        <w:tc>
          <w:tcPr>
            <w:tcW w:w="1258" w:type="pct"/>
            <w:noWrap w:val="0"/>
            <w:vAlign w:val="center"/>
          </w:tcPr>
          <w:p w14:paraId="6CF2FFEF">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047" w:type="pct"/>
            <w:vMerge w:val="continue"/>
            <w:noWrap w:val="0"/>
            <w:vAlign w:val="center"/>
          </w:tcPr>
          <w:p w14:paraId="6BB42E23">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02AF4C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056CBC43">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3768ADF5">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28</w:t>
            </w:r>
          </w:p>
        </w:tc>
        <w:tc>
          <w:tcPr>
            <w:tcW w:w="1617" w:type="pct"/>
            <w:noWrap w:val="0"/>
            <w:vAlign w:val="center"/>
          </w:tcPr>
          <w:p w14:paraId="3FEB2DC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急性毒性（HgCl</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毒性当量）</w:t>
            </w:r>
          </w:p>
        </w:tc>
        <w:tc>
          <w:tcPr>
            <w:tcW w:w="1258" w:type="pct"/>
            <w:noWrap w:val="0"/>
            <w:vAlign w:val="center"/>
          </w:tcPr>
          <w:p w14:paraId="0942F7D4">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47" w:type="pct"/>
            <w:vMerge w:val="continue"/>
            <w:noWrap w:val="0"/>
            <w:vAlign w:val="center"/>
          </w:tcPr>
          <w:p w14:paraId="47F0A2A5">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289776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28" w:type="pct"/>
            <w:vMerge w:val="continue"/>
            <w:noWrap w:val="0"/>
            <w:vAlign w:val="center"/>
          </w:tcPr>
          <w:p w14:paraId="6B739D4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c>
          <w:tcPr>
            <w:tcW w:w="448" w:type="pct"/>
            <w:noWrap w:val="0"/>
            <w:vAlign w:val="center"/>
          </w:tcPr>
          <w:p w14:paraId="4D134A5C">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29</w:t>
            </w:r>
          </w:p>
        </w:tc>
        <w:tc>
          <w:tcPr>
            <w:tcW w:w="1617" w:type="pct"/>
            <w:noWrap w:val="0"/>
            <w:vAlign w:val="center"/>
          </w:tcPr>
          <w:p w14:paraId="1F3B59E8">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总硒</w:t>
            </w:r>
          </w:p>
        </w:tc>
        <w:tc>
          <w:tcPr>
            <w:tcW w:w="1258" w:type="pct"/>
            <w:noWrap w:val="0"/>
            <w:vAlign w:val="center"/>
          </w:tcPr>
          <w:p w14:paraId="20E2147C">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c>
          <w:tcPr>
            <w:tcW w:w="1047" w:type="pct"/>
            <w:vMerge w:val="continue"/>
            <w:noWrap w:val="0"/>
            <w:vAlign w:val="center"/>
          </w:tcPr>
          <w:p w14:paraId="654EF067">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r>
      <w:tr w14:paraId="2A49A2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3952" w:type="pct"/>
            <w:gridSpan w:val="4"/>
            <w:noWrap w:val="0"/>
            <w:vAlign w:val="center"/>
          </w:tcPr>
          <w:p w14:paraId="30DCB40A">
            <w:pPr>
              <w:keepNext w:val="0"/>
              <w:keepLines w:val="0"/>
              <w:pageBreakBefore w:val="0"/>
              <w:kinsoku/>
              <w:wordWrap/>
              <w:overflowPunct/>
              <w:topLinePunct w:val="0"/>
              <w:autoSpaceDE/>
              <w:autoSpaceDN/>
              <w:bidi w:val="0"/>
              <w:adjustRightInd/>
              <w:snapToGrid w:val="0"/>
              <w:spacing w:line="240" w:lineRule="auto"/>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a、二甲苯总量是指间二甲苯、邻二甲苯和对二甲苯三种物质测定浓度之和。</w:t>
            </w:r>
          </w:p>
          <w:p w14:paraId="3B2032EE">
            <w:pPr>
              <w:keepNext w:val="0"/>
              <w:keepLines w:val="0"/>
              <w:pageBreakBefore w:val="0"/>
              <w:kinsoku/>
              <w:wordWrap/>
              <w:overflowPunct/>
              <w:topLinePunct w:val="0"/>
              <w:autoSpaceDE/>
              <w:autoSpaceDN/>
              <w:bidi w:val="0"/>
              <w:adjustRightInd/>
              <w:snapToGrid w:val="0"/>
              <w:spacing w:line="240" w:lineRule="auto"/>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b、采用含氯消毒剂消毒的工艺控制要求为：间接排放时，消毒接触池接触时间≥1h，接触池出口总余氯2mg/L-8mg/L。采用其他消毒剂对总余氯不作要求。</w:t>
            </w:r>
          </w:p>
        </w:tc>
        <w:tc>
          <w:tcPr>
            <w:tcW w:w="1047" w:type="pct"/>
            <w:vMerge w:val="continue"/>
            <w:noWrap w:val="0"/>
            <w:vAlign w:val="center"/>
          </w:tcPr>
          <w:p w14:paraId="75FFC3E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rPr>
            </w:pPr>
          </w:p>
        </w:tc>
      </w:tr>
      <w:tr w14:paraId="7882A4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000" w:type="pct"/>
            <w:gridSpan w:val="5"/>
            <w:noWrap w:val="0"/>
            <w:vAlign w:val="center"/>
          </w:tcPr>
          <w:p w14:paraId="24FEF292">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sz w:val="21"/>
                <w:szCs w:val="21"/>
                <w:highlight w:val="none"/>
              </w:rPr>
            </w:pPr>
            <w:bookmarkStart w:id="911" w:name="sys3664043"/>
            <w:r>
              <w:rPr>
                <w:rFonts w:hint="default" w:ascii="Times New Roman" w:hAnsi="Times New Roman" w:eastAsia="宋体" w:cs="Times New Roman"/>
                <w:bCs/>
                <w:color w:val="auto"/>
                <w:sz w:val="21"/>
                <w:szCs w:val="21"/>
                <w:highlight w:val="none"/>
              </w:rPr>
              <w:t>具体执行《生物制药行业水和大气污染物排放限值》（DB32/3560-2019）表3限值</w:t>
            </w:r>
            <w:bookmarkEnd w:id="911"/>
          </w:p>
        </w:tc>
      </w:tr>
    </w:tbl>
    <w:p w14:paraId="07541D3B">
      <w:pPr>
        <w:pStyle w:val="6"/>
        <w:numPr>
          <w:ilvl w:val="0"/>
          <w:numId w:val="0"/>
        </w:numPr>
        <w:bidi w:val="0"/>
        <w:ind w:leftChars="0"/>
        <w:jc w:val="center"/>
        <w:rPr>
          <w:rFonts w:hint="default" w:ascii="Times New Roman" w:hAnsi="Times New Roman" w:cs="Times New Roman"/>
          <w:color w:val="auto"/>
          <w:highlight w:val="none"/>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2-49</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cs="Times New Roman"/>
          <w:color w:val="auto"/>
          <w:highlight w:val="none"/>
        </w:rPr>
        <w:t xml:space="preserve">  </w:t>
      </w:r>
      <w:bookmarkStart w:id="912" w:name="OLE_LINK269"/>
      <w:r>
        <w:rPr>
          <w:rFonts w:hint="default" w:ascii="Times New Roman" w:hAnsi="Times New Roman" w:cs="Times New Roman"/>
          <w:color w:val="auto"/>
          <w:sz w:val="24"/>
          <w:szCs w:val="24"/>
          <w:highlight w:val="none"/>
        </w:rPr>
        <w:t>中药类制药工业水污染物排放标准</w:t>
      </w:r>
      <w:bookmarkEnd w:id="912"/>
      <w:bookmarkStart w:id="913" w:name="pindex3665"/>
      <w:bookmarkEnd w:id="913"/>
    </w:p>
    <w:tbl>
      <w:tblPr>
        <w:tblStyle w:val="19"/>
        <w:tblW w:w="495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366"/>
        <w:gridCol w:w="1578"/>
        <w:gridCol w:w="2238"/>
        <w:gridCol w:w="1422"/>
      </w:tblGrid>
      <w:tr w14:paraId="7527D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4" w:type="pct"/>
            <w:noWrap w:val="0"/>
            <w:tcMar>
              <w:left w:w="28" w:type="dxa"/>
              <w:right w:w="28" w:type="dxa"/>
            </w:tcMar>
            <w:vAlign w:val="center"/>
          </w:tcPr>
          <w:p w14:paraId="486CDA11">
            <w:pPr>
              <w:adjustRightInd w:val="0"/>
              <w:snapToGrid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1405" w:type="pct"/>
            <w:noWrap w:val="0"/>
            <w:tcMar>
              <w:left w:w="28" w:type="dxa"/>
              <w:right w:w="28" w:type="dxa"/>
            </w:tcMar>
            <w:vAlign w:val="center"/>
          </w:tcPr>
          <w:p w14:paraId="7351022B">
            <w:pPr>
              <w:adjustRightInd w:val="0"/>
              <w:snapToGrid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污染物项目</w:t>
            </w:r>
          </w:p>
        </w:tc>
        <w:tc>
          <w:tcPr>
            <w:tcW w:w="937" w:type="pct"/>
            <w:noWrap w:val="0"/>
            <w:tcMar>
              <w:left w:w="28" w:type="dxa"/>
              <w:right w:w="28" w:type="dxa"/>
            </w:tcMar>
            <w:vAlign w:val="center"/>
          </w:tcPr>
          <w:p w14:paraId="6A16EA83">
            <w:pPr>
              <w:adjustRightInd w:val="0"/>
              <w:snapToGrid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限值（mg/L）</w:t>
            </w:r>
          </w:p>
        </w:tc>
        <w:tc>
          <w:tcPr>
            <w:tcW w:w="1329" w:type="pct"/>
            <w:noWrap w:val="0"/>
            <w:tcMar>
              <w:left w:w="28" w:type="dxa"/>
              <w:right w:w="28" w:type="dxa"/>
            </w:tcMar>
            <w:vAlign w:val="center"/>
          </w:tcPr>
          <w:p w14:paraId="6C0E33B3">
            <w:pPr>
              <w:adjustRightInd w:val="0"/>
              <w:snapToGrid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污染物排放监控位置</w:t>
            </w:r>
          </w:p>
        </w:tc>
        <w:tc>
          <w:tcPr>
            <w:tcW w:w="845" w:type="pct"/>
            <w:noWrap w:val="0"/>
            <w:vAlign w:val="center"/>
          </w:tcPr>
          <w:p w14:paraId="5A1AD519">
            <w:pPr>
              <w:adjustRightInd w:val="0"/>
              <w:snapToGrid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标准来源</w:t>
            </w:r>
          </w:p>
        </w:tc>
      </w:tr>
      <w:tr w14:paraId="6092F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4" w:type="pct"/>
            <w:noWrap w:val="0"/>
            <w:tcMar>
              <w:left w:w="28" w:type="dxa"/>
              <w:right w:w="28" w:type="dxa"/>
            </w:tcMar>
            <w:vAlign w:val="center"/>
          </w:tcPr>
          <w:p w14:paraId="7DDFC566">
            <w:pPr>
              <w:adjustRightInd w:val="0"/>
              <w:snapToGrid w:val="0"/>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w:t>
            </w:r>
          </w:p>
        </w:tc>
        <w:tc>
          <w:tcPr>
            <w:tcW w:w="1405" w:type="pct"/>
            <w:noWrap w:val="0"/>
            <w:tcMar>
              <w:left w:w="28" w:type="dxa"/>
              <w:right w:w="28" w:type="dxa"/>
            </w:tcMar>
            <w:vAlign w:val="center"/>
          </w:tcPr>
          <w:p w14:paraId="62C02C4E">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pH</w:t>
            </w:r>
          </w:p>
        </w:tc>
        <w:tc>
          <w:tcPr>
            <w:tcW w:w="937" w:type="pct"/>
            <w:noWrap w:val="0"/>
            <w:tcMar>
              <w:left w:w="28" w:type="dxa"/>
              <w:right w:w="28" w:type="dxa"/>
            </w:tcMar>
            <w:vAlign w:val="center"/>
          </w:tcPr>
          <w:p w14:paraId="6A963DB6">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9</w:t>
            </w:r>
          </w:p>
        </w:tc>
        <w:tc>
          <w:tcPr>
            <w:tcW w:w="1329" w:type="pct"/>
            <w:vMerge w:val="restart"/>
            <w:noWrap w:val="0"/>
            <w:tcMar>
              <w:left w:w="28" w:type="dxa"/>
              <w:right w:w="28" w:type="dxa"/>
            </w:tcMar>
            <w:vAlign w:val="center"/>
          </w:tcPr>
          <w:p w14:paraId="5345D458">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企业废水总排口</w:t>
            </w:r>
          </w:p>
        </w:tc>
        <w:tc>
          <w:tcPr>
            <w:tcW w:w="845" w:type="pct"/>
            <w:vMerge w:val="restart"/>
            <w:noWrap w:val="0"/>
            <w:vAlign w:val="center"/>
          </w:tcPr>
          <w:p w14:paraId="5BEBE85C">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《中药类制药工业水污染物排放标准》（GB21906-2008）表2</w:t>
            </w:r>
          </w:p>
        </w:tc>
      </w:tr>
      <w:tr w14:paraId="414F4F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4" w:type="pct"/>
            <w:noWrap w:val="0"/>
            <w:tcMar>
              <w:left w:w="28" w:type="dxa"/>
              <w:right w:w="28" w:type="dxa"/>
            </w:tcMar>
            <w:vAlign w:val="center"/>
          </w:tcPr>
          <w:p w14:paraId="00DAB5A5">
            <w:pPr>
              <w:adjustRightInd w:val="0"/>
              <w:snapToGrid w:val="0"/>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2</w:t>
            </w:r>
          </w:p>
        </w:tc>
        <w:tc>
          <w:tcPr>
            <w:tcW w:w="1405" w:type="pct"/>
            <w:noWrap w:val="0"/>
            <w:tcMar>
              <w:left w:w="28" w:type="dxa"/>
              <w:right w:w="28" w:type="dxa"/>
            </w:tcMar>
            <w:vAlign w:val="center"/>
          </w:tcPr>
          <w:p w14:paraId="0C1ABB87">
            <w:pPr>
              <w:adjustRightInd w:val="0"/>
              <w:snapToGrid w:val="0"/>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色度（稀释倍数）</w:t>
            </w:r>
          </w:p>
        </w:tc>
        <w:tc>
          <w:tcPr>
            <w:tcW w:w="937" w:type="pct"/>
            <w:noWrap w:val="0"/>
            <w:tcMar>
              <w:left w:w="28" w:type="dxa"/>
              <w:right w:w="28" w:type="dxa"/>
            </w:tcMar>
            <w:vAlign w:val="center"/>
          </w:tcPr>
          <w:p w14:paraId="0E2770B7">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329" w:type="pct"/>
            <w:vMerge w:val="continue"/>
            <w:noWrap w:val="0"/>
            <w:tcMar>
              <w:left w:w="28" w:type="dxa"/>
              <w:right w:w="28" w:type="dxa"/>
            </w:tcMar>
            <w:vAlign w:val="center"/>
          </w:tcPr>
          <w:p w14:paraId="18CEB463">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45" w:type="pct"/>
            <w:vMerge w:val="continue"/>
            <w:noWrap w:val="0"/>
            <w:vAlign w:val="center"/>
          </w:tcPr>
          <w:p w14:paraId="1EE9EC99">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2D89FB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4" w:hRule="atLeast"/>
          <w:jc w:val="center"/>
        </w:trPr>
        <w:tc>
          <w:tcPr>
            <w:tcW w:w="484" w:type="pct"/>
            <w:noWrap w:val="0"/>
            <w:tcMar>
              <w:left w:w="28" w:type="dxa"/>
              <w:right w:w="28" w:type="dxa"/>
            </w:tcMar>
            <w:vAlign w:val="center"/>
          </w:tcPr>
          <w:p w14:paraId="2EF9BD64">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3</w:t>
            </w:r>
          </w:p>
        </w:tc>
        <w:tc>
          <w:tcPr>
            <w:tcW w:w="1405" w:type="pct"/>
            <w:noWrap w:val="0"/>
            <w:tcMar>
              <w:left w:w="28" w:type="dxa"/>
              <w:right w:w="28" w:type="dxa"/>
            </w:tcMar>
            <w:vAlign w:val="center"/>
          </w:tcPr>
          <w:p w14:paraId="2668D97D">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SS</w:t>
            </w:r>
          </w:p>
        </w:tc>
        <w:tc>
          <w:tcPr>
            <w:tcW w:w="937" w:type="pct"/>
            <w:noWrap w:val="0"/>
            <w:tcMar>
              <w:left w:w="28" w:type="dxa"/>
              <w:right w:w="28" w:type="dxa"/>
            </w:tcMar>
            <w:vAlign w:val="center"/>
          </w:tcPr>
          <w:p w14:paraId="2B5D6A9A">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329" w:type="pct"/>
            <w:vMerge w:val="continue"/>
            <w:noWrap w:val="0"/>
            <w:tcMar>
              <w:left w:w="28" w:type="dxa"/>
              <w:right w:w="28" w:type="dxa"/>
            </w:tcMar>
            <w:vAlign w:val="center"/>
          </w:tcPr>
          <w:p w14:paraId="32293A8F">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45" w:type="pct"/>
            <w:vMerge w:val="continue"/>
            <w:noWrap w:val="0"/>
            <w:vAlign w:val="center"/>
          </w:tcPr>
          <w:p w14:paraId="06DF660E">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0CF836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4" w:type="pct"/>
            <w:noWrap w:val="0"/>
            <w:tcMar>
              <w:left w:w="28" w:type="dxa"/>
              <w:right w:w="28" w:type="dxa"/>
            </w:tcMar>
            <w:vAlign w:val="center"/>
          </w:tcPr>
          <w:p w14:paraId="221506EF">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4</w:t>
            </w:r>
          </w:p>
        </w:tc>
        <w:tc>
          <w:tcPr>
            <w:tcW w:w="1405" w:type="pct"/>
            <w:noWrap w:val="0"/>
            <w:tcMar>
              <w:left w:w="28" w:type="dxa"/>
              <w:right w:w="28" w:type="dxa"/>
            </w:tcMar>
            <w:vAlign w:val="center"/>
          </w:tcPr>
          <w:p w14:paraId="3995D452">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BOD</w:t>
            </w:r>
            <w:r>
              <w:rPr>
                <w:rFonts w:hint="default" w:ascii="Times New Roman" w:hAnsi="Times New Roman" w:eastAsia="宋体" w:cs="Times New Roman"/>
                <w:b w:val="0"/>
                <w:color w:val="auto"/>
                <w:sz w:val="21"/>
                <w:szCs w:val="21"/>
                <w:highlight w:val="none"/>
                <w:vertAlign w:val="subscript"/>
              </w:rPr>
              <w:t>5</w:t>
            </w:r>
          </w:p>
        </w:tc>
        <w:tc>
          <w:tcPr>
            <w:tcW w:w="937" w:type="pct"/>
            <w:noWrap w:val="0"/>
            <w:tcMar>
              <w:left w:w="28" w:type="dxa"/>
              <w:right w:w="28" w:type="dxa"/>
            </w:tcMar>
            <w:vAlign w:val="center"/>
          </w:tcPr>
          <w:p w14:paraId="4F1E7D5D">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329" w:type="pct"/>
            <w:vMerge w:val="continue"/>
            <w:noWrap w:val="0"/>
            <w:tcMar>
              <w:left w:w="28" w:type="dxa"/>
              <w:right w:w="28" w:type="dxa"/>
            </w:tcMar>
            <w:vAlign w:val="center"/>
          </w:tcPr>
          <w:p w14:paraId="4D5771F3">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45" w:type="pct"/>
            <w:vMerge w:val="continue"/>
            <w:noWrap w:val="0"/>
            <w:vAlign w:val="center"/>
          </w:tcPr>
          <w:p w14:paraId="4618B4B6">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0D2434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4" w:type="pct"/>
            <w:noWrap w:val="0"/>
            <w:tcMar>
              <w:left w:w="28" w:type="dxa"/>
              <w:right w:w="28" w:type="dxa"/>
            </w:tcMar>
            <w:vAlign w:val="center"/>
          </w:tcPr>
          <w:p w14:paraId="7A15B123">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5</w:t>
            </w:r>
          </w:p>
        </w:tc>
        <w:tc>
          <w:tcPr>
            <w:tcW w:w="1405" w:type="pct"/>
            <w:noWrap w:val="0"/>
            <w:tcMar>
              <w:left w:w="28" w:type="dxa"/>
              <w:right w:w="28" w:type="dxa"/>
            </w:tcMar>
            <w:vAlign w:val="center"/>
          </w:tcPr>
          <w:p w14:paraId="4E78023C">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COD</w:t>
            </w:r>
            <w:r>
              <w:rPr>
                <w:rFonts w:hint="default" w:ascii="Times New Roman" w:hAnsi="Times New Roman" w:eastAsia="宋体" w:cs="Times New Roman"/>
                <w:b w:val="0"/>
                <w:color w:val="auto"/>
                <w:sz w:val="21"/>
                <w:szCs w:val="21"/>
                <w:highlight w:val="none"/>
                <w:vertAlign w:val="subscript"/>
              </w:rPr>
              <w:t>cr</w:t>
            </w:r>
          </w:p>
        </w:tc>
        <w:tc>
          <w:tcPr>
            <w:tcW w:w="937" w:type="pct"/>
            <w:noWrap w:val="0"/>
            <w:tcMar>
              <w:left w:w="28" w:type="dxa"/>
              <w:right w:w="28" w:type="dxa"/>
            </w:tcMar>
            <w:vAlign w:val="center"/>
          </w:tcPr>
          <w:p w14:paraId="5D3265E2">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c>
          <w:tcPr>
            <w:tcW w:w="1329" w:type="pct"/>
            <w:vMerge w:val="continue"/>
            <w:noWrap w:val="0"/>
            <w:tcMar>
              <w:left w:w="28" w:type="dxa"/>
              <w:right w:w="28" w:type="dxa"/>
            </w:tcMar>
            <w:vAlign w:val="center"/>
          </w:tcPr>
          <w:p w14:paraId="63F17BDF">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45" w:type="pct"/>
            <w:vMerge w:val="continue"/>
            <w:noWrap w:val="0"/>
            <w:vAlign w:val="center"/>
          </w:tcPr>
          <w:p w14:paraId="5D19CA18">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66CEF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4" w:type="pct"/>
            <w:noWrap w:val="0"/>
            <w:tcMar>
              <w:left w:w="28" w:type="dxa"/>
              <w:right w:w="28" w:type="dxa"/>
            </w:tcMar>
            <w:vAlign w:val="center"/>
          </w:tcPr>
          <w:p w14:paraId="008D0AC4">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6</w:t>
            </w:r>
          </w:p>
        </w:tc>
        <w:tc>
          <w:tcPr>
            <w:tcW w:w="1405" w:type="pct"/>
            <w:noWrap w:val="0"/>
            <w:tcMar>
              <w:left w:w="28" w:type="dxa"/>
              <w:right w:w="28" w:type="dxa"/>
            </w:tcMar>
            <w:vAlign w:val="center"/>
          </w:tcPr>
          <w:p w14:paraId="541460DB">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动植物油</w:t>
            </w:r>
          </w:p>
        </w:tc>
        <w:tc>
          <w:tcPr>
            <w:tcW w:w="937" w:type="pct"/>
            <w:noWrap w:val="0"/>
            <w:tcMar>
              <w:left w:w="28" w:type="dxa"/>
              <w:right w:w="28" w:type="dxa"/>
            </w:tcMar>
            <w:vAlign w:val="center"/>
          </w:tcPr>
          <w:p w14:paraId="197405CE">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329" w:type="pct"/>
            <w:vMerge w:val="continue"/>
            <w:noWrap w:val="0"/>
            <w:tcMar>
              <w:left w:w="28" w:type="dxa"/>
              <w:right w:w="28" w:type="dxa"/>
            </w:tcMar>
            <w:vAlign w:val="center"/>
          </w:tcPr>
          <w:p w14:paraId="03551A48">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45" w:type="pct"/>
            <w:vMerge w:val="continue"/>
            <w:noWrap w:val="0"/>
            <w:vAlign w:val="center"/>
          </w:tcPr>
          <w:p w14:paraId="328CF48E">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4F646B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4" w:type="pct"/>
            <w:noWrap w:val="0"/>
            <w:tcMar>
              <w:left w:w="28" w:type="dxa"/>
              <w:right w:w="28" w:type="dxa"/>
            </w:tcMar>
            <w:vAlign w:val="center"/>
          </w:tcPr>
          <w:p w14:paraId="480608F6">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7</w:t>
            </w:r>
          </w:p>
        </w:tc>
        <w:tc>
          <w:tcPr>
            <w:tcW w:w="1405" w:type="pct"/>
            <w:noWrap w:val="0"/>
            <w:tcMar>
              <w:left w:w="28" w:type="dxa"/>
              <w:right w:w="28" w:type="dxa"/>
            </w:tcMar>
            <w:vAlign w:val="center"/>
          </w:tcPr>
          <w:p w14:paraId="1B0C8FA2">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氨氮</w:t>
            </w:r>
          </w:p>
        </w:tc>
        <w:tc>
          <w:tcPr>
            <w:tcW w:w="937" w:type="pct"/>
            <w:noWrap w:val="0"/>
            <w:tcMar>
              <w:left w:w="28" w:type="dxa"/>
              <w:right w:w="28" w:type="dxa"/>
            </w:tcMar>
            <w:vAlign w:val="center"/>
          </w:tcPr>
          <w:p w14:paraId="11DB6A32">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329" w:type="pct"/>
            <w:vMerge w:val="continue"/>
            <w:noWrap w:val="0"/>
            <w:tcMar>
              <w:left w:w="28" w:type="dxa"/>
              <w:right w:w="28" w:type="dxa"/>
            </w:tcMar>
            <w:vAlign w:val="center"/>
          </w:tcPr>
          <w:p w14:paraId="3EE89938">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45" w:type="pct"/>
            <w:vMerge w:val="continue"/>
            <w:noWrap w:val="0"/>
            <w:vAlign w:val="center"/>
          </w:tcPr>
          <w:p w14:paraId="4A95EB00">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29D50A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4" w:type="pct"/>
            <w:noWrap w:val="0"/>
            <w:tcMar>
              <w:left w:w="28" w:type="dxa"/>
              <w:right w:w="28" w:type="dxa"/>
            </w:tcMar>
            <w:vAlign w:val="center"/>
          </w:tcPr>
          <w:p w14:paraId="0F738931">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8</w:t>
            </w:r>
          </w:p>
        </w:tc>
        <w:tc>
          <w:tcPr>
            <w:tcW w:w="1405" w:type="pct"/>
            <w:noWrap w:val="0"/>
            <w:tcMar>
              <w:left w:w="28" w:type="dxa"/>
              <w:right w:w="28" w:type="dxa"/>
            </w:tcMar>
            <w:vAlign w:val="center"/>
          </w:tcPr>
          <w:p w14:paraId="2A91672C">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总氮</w:t>
            </w:r>
          </w:p>
        </w:tc>
        <w:tc>
          <w:tcPr>
            <w:tcW w:w="937" w:type="pct"/>
            <w:noWrap w:val="0"/>
            <w:tcMar>
              <w:left w:w="28" w:type="dxa"/>
              <w:right w:w="28" w:type="dxa"/>
            </w:tcMar>
            <w:vAlign w:val="center"/>
          </w:tcPr>
          <w:p w14:paraId="6D1B8317">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329" w:type="pct"/>
            <w:vMerge w:val="continue"/>
            <w:noWrap w:val="0"/>
            <w:tcMar>
              <w:left w:w="28" w:type="dxa"/>
              <w:right w:w="28" w:type="dxa"/>
            </w:tcMar>
            <w:vAlign w:val="center"/>
          </w:tcPr>
          <w:p w14:paraId="4433E0CD">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45" w:type="pct"/>
            <w:vMerge w:val="continue"/>
            <w:noWrap w:val="0"/>
            <w:vAlign w:val="center"/>
          </w:tcPr>
          <w:p w14:paraId="4CEEA272">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1635E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4" w:type="pct"/>
            <w:noWrap w:val="0"/>
            <w:tcMar>
              <w:left w:w="28" w:type="dxa"/>
              <w:right w:w="28" w:type="dxa"/>
            </w:tcMar>
            <w:vAlign w:val="center"/>
          </w:tcPr>
          <w:p w14:paraId="4A683530">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9</w:t>
            </w:r>
          </w:p>
        </w:tc>
        <w:tc>
          <w:tcPr>
            <w:tcW w:w="1405" w:type="pct"/>
            <w:noWrap w:val="0"/>
            <w:tcMar>
              <w:left w:w="28" w:type="dxa"/>
              <w:right w:w="28" w:type="dxa"/>
            </w:tcMar>
            <w:vAlign w:val="center"/>
          </w:tcPr>
          <w:p w14:paraId="12EEFA89">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总磷</w:t>
            </w:r>
          </w:p>
        </w:tc>
        <w:tc>
          <w:tcPr>
            <w:tcW w:w="937" w:type="pct"/>
            <w:noWrap w:val="0"/>
            <w:tcMar>
              <w:left w:w="28" w:type="dxa"/>
              <w:right w:w="28" w:type="dxa"/>
            </w:tcMar>
            <w:vAlign w:val="center"/>
          </w:tcPr>
          <w:p w14:paraId="71B428B2">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1329" w:type="pct"/>
            <w:vMerge w:val="continue"/>
            <w:noWrap w:val="0"/>
            <w:tcMar>
              <w:left w:w="28" w:type="dxa"/>
              <w:right w:w="28" w:type="dxa"/>
            </w:tcMar>
            <w:vAlign w:val="center"/>
          </w:tcPr>
          <w:p w14:paraId="1DDED6B0">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45" w:type="pct"/>
            <w:vMerge w:val="continue"/>
            <w:noWrap w:val="0"/>
            <w:vAlign w:val="center"/>
          </w:tcPr>
          <w:p w14:paraId="61476EB9">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015101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484" w:type="pct"/>
            <w:noWrap w:val="0"/>
            <w:tcMar>
              <w:left w:w="28" w:type="dxa"/>
              <w:right w:w="28" w:type="dxa"/>
            </w:tcMar>
            <w:vAlign w:val="center"/>
          </w:tcPr>
          <w:p w14:paraId="3230FBC6">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10</w:t>
            </w:r>
          </w:p>
        </w:tc>
        <w:tc>
          <w:tcPr>
            <w:tcW w:w="1405" w:type="pct"/>
            <w:noWrap w:val="0"/>
            <w:tcMar>
              <w:left w:w="28" w:type="dxa"/>
              <w:right w:w="28" w:type="dxa"/>
            </w:tcMar>
            <w:vAlign w:val="center"/>
          </w:tcPr>
          <w:p w14:paraId="647128A8">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总有机碳</w:t>
            </w:r>
          </w:p>
        </w:tc>
        <w:tc>
          <w:tcPr>
            <w:tcW w:w="937" w:type="pct"/>
            <w:noWrap w:val="0"/>
            <w:tcMar>
              <w:left w:w="28" w:type="dxa"/>
              <w:right w:w="28" w:type="dxa"/>
            </w:tcMar>
            <w:vAlign w:val="center"/>
          </w:tcPr>
          <w:p w14:paraId="27783C8D">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1329" w:type="pct"/>
            <w:vMerge w:val="continue"/>
            <w:noWrap w:val="0"/>
            <w:tcMar>
              <w:left w:w="28" w:type="dxa"/>
              <w:right w:w="28" w:type="dxa"/>
            </w:tcMar>
            <w:vAlign w:val="center"/>
          </w:tcPr>
          <w:p w14:paraId="3BD96E12">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45" w:type="pct"/>
            <w:vMerge w:val="continue"/>
            <w:noWrap w:val="0"/>
            <w:vAlign w:val="center"/>
          </w:tcPr>
          <w:p w14:paraId="6D9A42AA">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122D2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4" w:type="pct"/>
            <w:noWrap w:val="0"/>
            <w:tcMar>
              <w:left w:w="28" w:type="dxa"/>
              <w:right w:w="28" w:type="dxa"/>
            </w:tcMar>
            <w:vAlign w:val="center"/>
          </w:tcPr>
          <w:p w14:paraId="3E7E8EAA">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11</w:t>
            </w:r>
          </w:p>
        </w:tc>
        <w:tc>
          <w:tcPr>
            <w:tcW w:w="1405" w:type="pct"/>
            <w:noWrap w:val="0"/>
            <w:tcMar>
              <w:left w:w="28" w:type="dxa"/>
              <w:right w:w="28" w:type="dxa"/>
            </w:tcMar>
            <w:vAlign w:val="center"/>
          </w:tcPr>
          <w:p w14:paraId="3BA23924">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总氰化物</w:t>
            </w:r>
          </w:p>
        </w:tc>
        <w:tc>
          <w:tcPr>
            <w:tcW w:w="937" w:type="pct"/>
            <w:noWrap w:val="0"/>
            <w:tcMar>
              <w:left w:w="28" w:type="dxa"/>
              <w:right w:w="28" w:type="dxa"/>
            </w:tcMar>
            <w:vAlign w:val="center"/>
          </w:tcPr>
          <w:p w14:paraId="7B97B33F">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1329" w:type="pct"/>
            <w:vMerge w:val="continue"/>
            <w:noWrap w:val="0"/>
            <w:tcMar>
              <w:left w:w="28" w:type="dxa"/>
              <w:right w:w="28" w:type="dxa"/>
            </w:tcMar>
            <w:vAlign w:val="center"/>
          </w:tcPr>
          <w:p w14:paraId="13CF4672">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45" w:type="pct"/>
            <w:vMerge w:val="continue"/>
            <w:noWrap w:val="0"/>
            <w:vAlign w:val="center"/>
          </w:tcPr>
          <w:p w14:paraId="1F5CD642">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38C3F3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4" w:type="pct"/>
            <w:noWrap w:val="0"/>
            <w:tcMar>
              <w:left w:w="28" w:type="dxa"/>
              <w:right w:w="28" w:type="dxa"/>
            </w:tcMar>
            <w:vAlign w:val="center"/>
          </w:tcPr>
          <w:p w14:paraId="62340E6D">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12</w:t>
            </w:r>
          </w:p>
        </w:tc>
        <w:tc>
          <w:tcPr>
            <w:tcW w:w="1405" w:type="pct"/>
            <w:noWrap w:val="0"/>
            <w:tcMar>
              <w:left w:w="28" w:type="dxa"/>
              <w:right w:w="28" w:type="dxa"/>
            </w:tcMar>
            <w:vAlign w:val="center"/>
          </w:tcPr>
          <w:p w14:paraId="2AB61517">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急性毒性（HgCl</w:t>
            </w:r>
            <w:r>
              <w:rPr>
                <w:rFonts w:hint="default" w:ascii="Times New Roman" w:hAnsi="Times New Roman" w:eastAsia="宋体" w:cs="Times New Roman"/>
                <w:b w:val="0"/>
                <w:color w:val="auto"/>
                <w:sz w:val="21"/>
                <w:szCs w:val="21"/>
                <w:highlight w:val="none"/>
                <w:vertAlign w:val="subscript"/>
              </w:rPr>
              <w:t>2</w:t>
            </w:r>
            <w:r>
              <w:rPr>
                <w:rFonts w:hint="default" w:ascii="Times New Roman" w:hAnsi="Times New Roman" w:eastAsia="宋体" w:cs="Times New Roman"/>
                <w:b w:val="0"/>
                <w:color w:val="auto"/>
                <w:sz w:val="21"/>
                <w:szCs w:val="21"/>
                <w:highlight w:val="none"/>
              </w:rPr>
              <w:t>毒性当量）</w:t>
            </w:r>
          </w:p>
        </w:tc>
        <w:tc>
          <w:tcPr>
            <w:tcW w:w="937" w:type="pct"/>
            <w:noWrap w:val="0"/>
            <w:tcMar>
              <w:left w:w="28" w:type="dxa"/>
              <w:right w:w="28" w:type="dxa"/>
            </w:tcMar>
            <w:vAlign w:val="center"/>
          </w:tcPr>
          <w:p w14:paraId="6DC2D7BF">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0.07</w:t>
            </w:r>
          </w:p>
        </w:tc>
        <w:tc>
          <w:tcPr>
            <w:tcW w:w="1329" w:type="pct"/>
            <w:vMerge w:val="continue"/>
            <w:noWrap w:val="0"/>
            <w:tcMar>
              <w:left w:w="28" w:type="dxa"/>
              <w:right w:w="28" w:type="dxa"/>
            </w:tcMar>
            <w:vAlign w:val="center"/>
          </w:tcPr>
          <w:p w14:paraId="14A32B7C">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45" w:type="pct"/>
            <w:vMerge w:val="continue"/>
            <w:noWrap w:val="0"/>
            <w:vAlign w:val="center"/>
          </w:tcPr>
          <w:p w14:paraId="29E0910B">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0A5A52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4" w:type="pct"/>
            <w:noWrap w:val="0"/>
            <w:tcMar>
              <w:left w:w="28" w:type="dxa"/>
              <w:right w:w="28" w:type="dxa"/>
            </w:tcMar>
            <w:vAlign w:val="center"/>
          </w:tcPr>
          <w:p w14:paraId="032E23E8">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13</w:t>
            </w:r>
          </w:p>
        </w:tc>
        <w:tc>
          <w:tcPr>
            <w:tcW w:w="1405" w:type="pct"/>
            <w:noWrap w:val="0"/>
            <w:tcMar>
              <w:left w:w="28" w:type="dxa"/>
              <w:right w:w="28" w:type="dxa"/>
            </w:tcMar>
            <w:vAlign w:val="center"/>
          </w:tcPr>
          <w:p w14:paraId="4178754E">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总汞</w:t>
            </w:r>
          </w:p>
        </w:tc>
        <w:tc>
          <w:tcPr>
            <w:tcW w:w="937" w:type="pct"/>
            <w:noWrap w:val="0"/>
            <w:tcMar>
              <w:left w:w="28" w:type="dxa"/>
              <w:right w:w="28" w:type="dxa"/>
            </w:tcMar>
            <w:vAlign w:val="center"/>
          </w:tcPr>
          <w:p w14:paraId="0D511AA0">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c>
          <w:tcPr>
            <w:tcW w:w="1329" w:type="pct"/>
            <w:vMerge w:val="restart"/>
            <w:noWrap w:val="0"/>
            <w:tcMar>
              <w:left w:w="28" w:type="dxa"/>
              <w:right w:w="28" w:type="dxa"/>
            </w:tcMar>
            <w:vAlign w:val="center"/>
          </w:tcPr>
          <w:p w14:paraId="5FECFD64">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车间或生产设施废水排放口</w:t>
            </w:r>
          </w:p>
        </w:tc>
        <w:tc>
          <w:tcPr>
            <w:tcW w:w="845" w:type="pct"/>
            <w:vMerge w:val="continue"/>
            <w:noWrap w:val="0"/>
            <w:vAlign w:val="center"/>
          </w:tcPr>
          <w:p w14:paraId="1BF1AF8F">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36848A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84" w:type="pct"/>
            <w:noWrap w:val="0"/>
            <w:tcMar>
              <w:left w:w="28" w:type="dxa"/>
              <w:right w:w="28" w:type="dxa"/>
            </w:tcMar>
            <w:vAlign w:val="center"/>
          </w:tcPr>
          <w:p w14:paraId="65894E7E">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14</w:t>
            </w:r>
          </w:p>
        </w:tc>
        <w:tc>
          <w:tcPr>
            <w:tcW w:w="1405" w:type="pct"/>
            <w:noWrap w:val="0"/>
            <w:tcMar>
              <w:left w:w="28" w:type="dxa"/>
              <w:right w:w="28" w:type="dxa"/>
            </w:tcMar>
            <w:vAlign w:val="center"/>
          </w:tcPr>
          <w:p w14:paraId="12A469C8">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总砷</w:t>
            </w:r>
          </w:p>
        </w:tc>
        <w:tc>
          <w:tcPr>
            <w:tcW w:w="937" w:type="pct"/>
            <w:noWrap w:val="0"/>
            <w:tcMar>
              <w:left w:w="28" w:type="dxa"/>
              <w:right w:w="28" w:type="dxa"/>
            </w:tcMar>
            <w:vAlign w:val="center"/>
          </w:tcPr>
          <w:p w14:paraId="214ED863">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1329" w:type="pct"/>
            <w:vMerge w:val="continue"/>
            <w:noWrap w:val="0"/>
            <w:tcMar>
              <w:left w:w="28" w:type="dxa"/>
              <w:right w:w="28" w:type="dxa"/>
            </w:tcMar>
            <w:vAlign w:val="center"/>
          </w:tcPr>
          <w:p w14:paraId="17BACBF0">
            <w:pP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45" w:type="pct"/>
            <w:vMerge w:val="continue"/>
            <w:noWrap w:val="0"/>
            <w:vAlign w:val="center"/>
          </w:tcPr>
          <w:p w14:paraId="5FDF4688">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351AA7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889" w:type="pct"/>
            <w:gridSpan w:val="2"/>
            <w:noWrap w:val="0"/>
            <w:tcMar>
              <w:left w:w="28" w:type="dxa"/>
              <w:right w:w="28" w:type="dxa"/>
            </w:tcMar>
            <w:vAlign w:val="center"/>
          </w:tcPr>
          <w:p w14:paraId="7CAAC42F">
            <w:pPr>
              <w:pStyle w:val="43"/>
              <w:spacing w:line="240" w:lineRule="auto"/>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单位产品基准排水量（m</w:t>
            </w:r>
            <w:r>
              <w:rPr>
                <w:rFonts w:hint="default" w:ascii="Times New Roman" w:hAnsi="Times New Roman" w:eastAsia="宋体" w:cs="Times New Roman"/>
                <w:b w:val="0"/>
                <w:color w:val="auto"/>
                <w:sz w:val="21"/>
                <w:szCs w:val="21"/>
                <w:highlight w:val="none"/>
                <w:vertAlign w:val="superscript"/>
              </w:rPr>
              <w:t>3</w:t>
            </w:r>
            <w:r>
              <w:rPr>
                <w:rFonts w:hint="default" w:ascii="Times New Roman" w:hAnsi="Times New Roman" w:eastAsia="宋体" w:cs="Times New Roman"/>
                <w:b w:val="0"/>
                <w:color w:val="auto"/>
                <w:sz w:val="21"/>
                <w:szCs w:val="21"/>
                <w:highlight w:val="none"/>
              </w:rPr>
              <w:t>/t）</w:t>
            </w:r>
          </w:p>
        </w:tc>
        <w:tc>
          <w:tcPr>
            <w:tcW w:w="937" w:type="pct"/>
            <w:noWrap w:val="0"/>
            <w:tcMar>
              <w:left w:w="28" w:type="dxa"/>
              <w:right w:w="28" w:type="dxa"/>
            </w:tcMar>
            <w:vAlign w:val="center"/>
          </w:tcPr>
          <w:p w14:paraId="65AEA46A">
            <w:pPr>
              <w:widowControl/>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w:t>
            </w:r>
          </w:p>
        </w:tc>
        <w:tc>
          <w:tcPr>
            <w:tcW w:w="1329" w:type="pct"/>
            <w:noWrap w:val="0"/>
            <w:tcMar>
              <w:left w:w="28" w:type="dxa"/>
              <w:right w:w="28" w:type="dxa"/>
            </w:tcMar>
            <w:vAlign w:val="center"/>
          </w:tcPr>
          <w:p w14:paraId="28048D61">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排水量计量位置与污染物排放监测位置一致</w:t>
            </w:r>
          </w:p>
        </w:tc>
        <w:tc>
          <w:tcPr>
            <w:tcW w:w="845" w:type="pct"/>
            <w:vMerge w:val="continue"/>
            <w:noWrap w:val="0"/>
            <w:vAlign w:val="center"/>
          </w:tcPr>
          <w:p w14:paraId="7070E1BA">
            <w:pPr>
              <w:adjustRightInd w:val="0"/>
              <w:snapToGrid w:val="0"/>
              <w:spacing w:line="240" w:lineRule="auto"/>
              <w:jc w:val="center"/>
              <w:rPr>
                <w:rFonts w:hint="default" w:ascii="Times New Roman" w:hAnsi="Times New Roman" w:eastAsia="宋体" w:cs="Times New Roman"/>
                <w:color w:val="auto"/>
                <w:sz w:val="21"/>
                <w:szCs w:val="21"/>
                <w:highlight w:val="none"/>
              </w:rPr>
            </w:pPr>
          </w:p>
        </w:tc>
      </w:tr>
      <w:bookmarkEnd w:id="897"/>
      <w:bookmarkEnd w:id="902"/>
    </w:tbl>
    <w:p w14:paraId="46A43A1D">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360" w:lineRule="auto"/>
        <w:ind w:right="136" w:rightChars="0" w:firstLine="480" w:firstLineChars="200"/>
        <w:jc w:val="both"/>
        <w:textAlignment w:val="baseline"/>
        <w:outlineLvl w:val="9"/>
        <w:rPr>
          <w:rFonts w:hint="default" w:ascii="Times New Roman" w:hAnsi="Times New Roman" w:cs="Times New Roman"/>
          <w:color w:val="auto"/>
          <w:sz w:val="24"/>
          <w:szCs w:val="24"/>
          <w:highlight w:val="none"/>
        </w:rPr>
      </w:pPr>
      <w:r>
        <w:rPr>
          <w:rFonts w:hint="default" w:ascii="Times New Roman" w:hAnsi="Times New Roman" w:eastAsia="Arial" w:cs="Times New Roman"/>
          <w:snapToGrid w:val="0"/>
          <w:color w:val="auto"/>
          <w:kern w:val="0"/>
          <w:sz w:val="24"/>
          <w:szCs w:val="24"/>
          <w:highlight w:val="none"/>
          <w:lang w:val="en-US" w:eastAsia="en-US" w:bidi="ar-SA"/>
        </w:rPr>
        <w:t>（2）</w:t>
      </w:r>
      <w:r>
        <w:rPr>
          <w:rFonts w:hint="eastAsia" w:ascii="Times New Roman" w:hAnsi="Times New Roman" w:eastAsia="宋体" w:cs="Times New Roman"/>
          <w:color w:val="auto"/>
          <w:sz w:val="24"/>
          <w:szCs w:val="24"/>
          <w:highlight w:val="none"/>
          <w:lang w:val="en-US" w:eastAsia="zh-CN"/>
        </w:rPr>
        <w:t>半导体行</w:t>
      </w:r>
      <w:r>
        <w:rPr>
          <w:rFonts w:hint="default" w:ascii="Times New Roman" w:hAnsi="Times New Roman" w:cs="Times New Roman"/>
          <w:color w:val="auto"/>
          <w:sz w:val="24"/>
          <w:szCs w:val="24"/>
          <w:highlight w:val="none"/>
        </w:rPr>
        <w:t>业</w:t>
      </w:r>
      <w:bookmarkStart w:id="914" w:name="pindex3745"/>
      <w:bookmarkEnd w:id="914"/>
    </w:p>
    <w:p w14:paraId="0292B81E">
      <w:pPr>
        <w:pStyle w:val="38"/>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highlight w:val="none"/>
        </w:rPr>
      </w:pPr>
      <w:bookmarkStart w:id="915" w:name="OLE_LINK760"/>
      <w:bookmarkStart w:id="916" w:name="sys3746058"/>
      <w:bookmarkStart w:id="917" w:name="OLE_LINK309"/>
      <w:r>
        <w:rPr>
          <w:rFonts w:hint="default" w:ascii="Times New Roman" w:hAnsi="Times New Roman" w:eastAsia="宋体" w:cs="Times New Roman"/>
          <w:color w:val="auto"/>
          <w:sz w:val="24"/>
          <w:szCs w:val="24"/>
          <w:highlight w:val="none"/>
        </w:rPr>
        <w:t>半导体行业废水排放执行江苏省地标《半导体行业污染物排放标准》（DB32/3747-2020）</w:t>
      </w:r>
      <w:bookmarkEnd w:id="915"/>
      <w:bookmarkStart w:id="918" w:name="OLE_LINK316"/>
      <w:r>
        <w:rPr>
          <w:rFonts w:hint="default" w:ascii="Times New Roman" w:hAnsi="Times New Roman" w:eastAsia="宋体" w:cs="Times New Roman"/>
          <w:color w:val="auto"/>
          <w:sz w:val="24"/>
          <w:szCs w:val="24"/>
          <w:highlight w:val="none"/>
        </w:rPr>
        <w:t>，具体见</w:t>
      </w:r>
      <w:bookmarkStart w:id="919" w:name="OLE_LINK310"/>
      <w:bookmarkStart w:id="920" w:name="OLE_LINK297"/>
      <w:r>
        <w:rPr>
          <w:rFonts w:hint="default" w:ascii="Times New Roman" w:hAnsi="Times New Roman" w:eastAsia="宋体" w:cs="Times New Roman"/>
          <w:color w:val="auto"/>
          <w:sz w:val="24"/>
          <w:szCs w:val="24"/>
          <w:highlight w:val="none"/>
        </w:rPr>
        <w:t>表</w:t>
      </w:r>
      <w:r>
        <w:rPr>
          <w:rFonts w:hint="eastAsia" w:ascii="Times New Roman" w:hAnsi="Times New Roman" w:cs="Times New Roman"/>
          <w:color w:val="auto"/>
          <w:sz w:val="24"/>
          <w:szCs w:val="24"/>
          <w:highlight w:val="none"/>
          <w:lang w:val="en-US" w:eastAsia="zh-CN"/>
        </w:rPr>
        <w:t>3.2-50</w:t>
      </w:r>
      <w:r>
        <w:rPr>
          <w:rFonts w:hint="default" w:ascii="Times New Roman" w:hAnsi="Times New Roman" w:eastAsia="宋体" w:cs="Times New Roman"/>
          <w:color w:val="auto"/>
          <w:sz w:val="24"/>
          <w:szCs w:val="24"/>
          <w:highlight w:val="none"/>
        </w:rPr>
        <w:t>。</w:t>
      </w:r>
      <w:bookmarkEnd w:id="916"/>
      <w:bookmarkEnd w:id="919"/>
    </w:p>
    <w:bookmarkEnd w:id="917"/>
    <w:bookmarkEnd w:id="918"/>
    <w:bookmarkEnd w:id="920"/>
    <w:p w14:paraId="7F35C82B">
      <w:pPr>
        <w:adjustRightInd w:val="0"/>
        <w:snapToGrid w:val="0"/>
        <w:jc w:val="center"/>
        <w:rPr>
          <w:b/>
          <w:color w:val="auto"/>
          <w:sz w:val="24"/>
          <w:highlight w:val="none"/>
        </w:rPr>
      </w:pPr>
      <w:bookmarkStart w:id="921" w:name="OLE_LINK317"/>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2-50  </w:t>
      </w:r>
      <w:r>
        <w:rPr>
          <w:b/>
          <w:color w:val="auto"/>
          <w:sz w:val="24"/>
          <w:highlight w:val="none"/>
        </w:rPr>
        <w:t>半导体行业污染物排放标准</w:t>
      </w:r>
      <w:bookmarkStart w:id="922" w:name="pindex3747"/>
      <w:bookmarkEnd w:id="922"/>
    </w:p>
    <w:bookmarkEnd w:id="921"/>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58"/>
        <w:gridCol w:w="2100"/>
        <w:gridCol w:w="2235"/>
        <w:gridCol w:w="1966"/>
        <w:gridCol w:w="1400"/>
      </w:tblGrid>
      <w:tr w14:paraId="7E5251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blHeader/>
          <w:jc w:val="center"/>
        </w:trPr>
        <w:tc>
          <w:tcPr>
            <w:tcW w:w="393" w:type="pct"/>
            <w:noWrap w:val="0"/>
            <w:vAlign w:val="center"/>
          </w:tcPr>
          <w:p w14:paraId="220C72BF">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1255" w:type="pct"/>
            <w:noWrap w:val="0"/>
            <w:vAlign w:val="center"/>
          </w:tcPr>
          <w:p w14:paraId="2BCB379E">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污染物项目</w:t>
            </w:r>
          </w:p>
        </w:tc>
        <w:tc>
          <w:tcPr>
            <w:tcW w:w="1336" w:type="pct"/>
            <w:noWrap w:val="0"/>
            <w:vAlign w:val="center"/>
          </w:tcPr>
          <w:p w14:paraId="259F325F">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间接排放限值（mg/L）</w:t>
            </w:r>
          </w:p>
        </w:tc>
        <w:tc>
          <w:tcPr>
            <w:tcW w:w="1175" w:type="pct"/>
            <w:noWrap w:val="0"/>
            <w:vAlign w:val="center"/>
          </w:tcPr>
          <w:p w14:paraId="2138CA42">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污染物排放监控位置</w:t>
            </w:r>
          </w:p>
        </w:tc>
        <w:tc>
          <w:tcPr>
            <w:tcW w:w="838" w:type="pct"/>
            <w:noWrap w:val="0"/>
            <w:vAlign w:val="center"/>
          </w:tcPr>
          <w:p w14:paraId="4EB51593">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标准来源</w:t>
            </w:r>
          </w:p>
        </w:tc>
      </w:tr>
      <w:tr w14:paraId="6DB010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61097478">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bookmarkStart w:id="923" w:name="OLE_LINK311" w:colFirst="3" w:colLast="3"/>
            <w:r>
              <w:rPr>
                <w:rFonts w:hint="default" w:ascii="Times New Roman" w:hAnsi="Times New Roman" w:eastAsia="宋体" w:cs="Times New Roman"/>
                <w:color w:val="auto"/>
                <w:sz w:val="21"/>
                <w:szCs w:val="21"/>
                <w:highlight w:val="none"/>
              </w:rPr>
              <w:t>1</w:t>
            </w:r>
          </w:p>
        </w:tc>
        <w:tc>
          <w:tcPr>
            <w:tcW w:w="1255" w:type="pct"/>
            <w:noWrap w:val="0"/>
            <w:vAlign w:val="center"/>
          </w:tcPr>
          <w:p w14:paraId="78A5AF56">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总镉（按Cd计）</w:t>
            </w:r>
          </w:p>
        </w:tc>
        <w:tc>
          <w:tcPr>
            <w:tcW w:w="1336" w:type="pct"/>
            <w:noWrap w:val="0"/>
            <w:vAlign w:val="center"/>
          </w:tcPr>
          <w:p w14:paraId="7C5BC697">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c>
          <w:tcPr>
            <w:tcW w:w="1175" w:type="pct"/>
            <w:vMerge w:val="restart"/>
            <w:noWrap w:val="0"/>
            <w:vAlign w:val="center"/>
          </w:tcPr>
          <w:p w14:paraId="205047BA">
            <w:pPr>
              <w:pStyle w:val="41"/>
              <w:keepNext w:val="0"/>
              <w:keepLines w:val="0"/>
              <w:pageBreakBefore w:val="0"/>
              <w:widowControl/>
              <w:wordWrap/>
              <w:overflowPunct/>
              <w:topLinePunct w:val="0"/>
              <w:autoSpaceDE w:val="0"/>
              <w:autoSpaceDN w:val="0"/>
              <w:bidi w:val="0"/>
              <w:snapToGrid w:val="0"/>
              <w:spacing w:line="240" w:lineRule="auto"/>
              <w:jc w:val="center"/>
              <w:rPr>
                <w:rFonts w:hint="default" w:ascii="Times New Roman" w:hAnsi="Times New Roman" w:eastAsia="宋体" w:cs="Times New Roman"/>
                <w:b w:val="0"/>
                <w:bCs/>
                <w:color w:val="auto"/>
                <w:kern w:val="2"/>
                <w:sz w:val="21"/>
                <w:szCs w:val="21"/>
                <w:highlight w:val="none"/>
              </w:rPr>
            </w:pPr>
            <w:r>
              <w:rPr>
                <w:rFonts w:hint="default" w:ascii="Times New Roman" w:hAnsi="Times New Roman" w:eastAsia="宋体" w:cs="Times New Roman"/>
                <w:b w:val="0"/>
                <w:bCs/>
                <w:color w:val="auto"/>
                <w:kern w:val="2"/>
                <w:sz w:val="21"/>
                <w:szCs w:val="21"/>
                <w:highlight w:val="none"/>
              </w:rPr>
              <w:t>车间或生产设施废水排放口</w:t>
            </w:r>
          </w:p>
        </w:tc>
        <w:tc>
          <w:tcPr>
            <w:tcW w:w="838" w:type="pct"/>
            <w:vMerge w:val="restart"/>
            <w:noWrap w:val="0"/>
            <w:vAlign w:val="center"/>
          </w:tcPr>
          <w:p w14:paraId="264121C2">
            <w:pPr>
              <w:pStyle w:val="41"/>
              <w:keepNext w:val="0"/>
              <w:keepLines w:val="0"/>
              <w:pageBreakBefore w:val="0"/>
              <w:widowControl/>
              <w:wordWrap/>
              <w:overflowPunct/>
              <w:topLinePunct w:val="0"/>
              <w:autoSpaceDE w:val="0"/>
              <w:autoSpaceDN w:val="0"/>
              <w:bidi w:val="0"/>
              <w:snapToGrid w:val="0"/>
              <w:spacing w:line="240" w:lineRule="auto"/>
              <w:jc w:val="center"/>
              <w:rPr>
                <w:rFonts w:hint="default" w:ascii="Times New Roman" w:hAnsi="Times New Roman" w:eastAsia="宋体" w:cs="Times New Roman"/>
                <w:color w:val="auto"/>
                <w:kern w:val="2"/>
                <w:sz w:val="21"/>
                <w:szCs w:val="21"/>
                <w:highlight w:val="none"/>
              </w:rPr>
            </w:pPr>
            <w:bookmarkStart w:id="924" w:name="sys3757038"/>
            <w:bookmarkStart w:id="925" w:name="OLE_LINK312"/>
            <w:r>
              <w:rPr>
                <w:rFonts w:hint="default" w:ascii="Times New Roman" w:hAnsi="Times New Roman" w:eastAsia="宋体" w:cs="Times New Roman"/>
                <w:b w:val="0"/>
                <w:bCs/>
                <w:color w:val="auto"/>
                <w:kern w:val="2"/>
                <w:sz w:val="21"/>
                <w:szCs w:val="21"/>
                <w:highlight w:val="none"/>
              </w:rPr>
              <w:t>《半导体行业污染物排放标准》（DB32/3747-2020）表1间接排放限值</w:t>
            </w:r>
            <w:bookmarkEnd w:id="924"/>
            <w:bookmarkEnd w:id="925"/>
          </w:p>
        </w:tc>
      </w:tr>
      <w:tr w14:paraId="5343ED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2CFB75FF">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255" w:type="pct"/>
            <w:noWrap w:val="0"/>
            <w:vAlign w:val="center"/>
          </w:tcPr>
          <w:p w14:paraId="43E202FB">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总铬（按Cr计）</w:t>
            </w:r>
          </w:p>
        </w:tc>
        <w:tc>
          <w:tcPr>
            <w:tcW w:w="1336" w:type="pct"/>
            <w:noWrap w:val="0"/>
            <w:vAlign w:val="center"/>
          </w:tcPr>
          <w:p w14:paraId="5234F942">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1175" w:type="pct"/>
            <w:vMerge w:val="continue"/>
            <w:noWrap w:val="0"/>
            <w:vAlign w:val="center"/>
          </w:tcPr>
          <w:p w14:paraId="791A3BE5">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b w:val="0"/>
                <w:bCs/>
                <w:color w:val="auto"/>
                <w:sz w:val="21"/>
                <w:szCs w:val="21"/>
                <w:highlight w:val="none"/>
              </w:rPr>
            </w:pPr>
          </w:p>
        </w:tc>
        <w:tc>
          <w:tcPr>
            <w:tcW w:w="838" w:type="pct"/>
            <w:vMerge w:val="continue"/>
            <w:noWrap w:val="0"/>
            <w:vAlign w:val="center"/>
          </w:tcPr>
          <w:p w14:paraId="1CCE021E">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103345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5B7EA1C9">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255" w:type="pct"/>
            <w:noWrap w:val="0"/>
            <w:vAlign w:val="center"/>
          </w:tcPr>
          <w:p w14:paraId="059F918E">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六价铬（按Cr</w:t>
            </w:r>
            <w:r>
              <w:rPr>
                <w:rFonts w:hint="default" w:ascii="Times New Roman" w:hAnsi="Times New Roman" w:eastAsia="宋体" w:cs="Times New Roman"/>
                <w:color w:val="auto"/>
                <w:sz w:val="21"/>
                <w:szCs w:val="21"/>
                <w:highlight w:val="none"/>
                <w:vertAlign w:val="superscript"/>
              </w:rPr>
              <w:t>6+</w:t>
            </w:r>
            <w:r>
              <w:rPr>
                <w:rFonts w:hint="default" w:ascii="Times New Roman" w:hAnsi="Times New Roman" w:eastAsia="宋体" w:cs="Times New Roman"/>
                <w:color w:val="auto"/>
                <w:sz w:val="21"/>
                <w:szCs w:val="21"/>
                <w:highlight w:val="none"/>
              </w:rPr>
              <w:t>计）</w:t>
            </w:r>
          </w:p>
        </w:tc>
        <w:tc>
          <w:tcPr>
            <w:tcW w:w="1336" w:type="pct"/>
            <w:noWrap w:val="0"/>
            <w:vAlign w:val="center"/>
          </w:tcPr>
          <w:p w14:paraId="160307DB">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w:t>
            </w:r>
          </w:p>
        </w:tc>
        <w:tc>
          <w:tcPr>
            <w:tcW w:w="1175" w:type="pct"/>
            <w:vMerge w:val="continue"/>
            <w:noWrap w:val="0"/>
            <w:vAlign w:val="center"/>
          </w:tcPr>
          <w:p w14:paraId="3258D53F">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b w:val="0"/>
                <w:bCs/>
                <w:color w:val="auto"/>
                <w:sz w:val="21"/>
                <w:szCs w:val="21"/>
                <w:highlight w:val="none"/>
              </w:rPr>
            </w:pPr>
          </w:p>
        </w:tc>
        <w:tc>
          <w:tcPr>
            <w:tcW w:w="838" w:type="pct"/>
            <w:vMerge w:val="continue"/>
            <w:noWrap w:val="0"/>
            <w:vAlign w:val="center"/>
          </w:tcPr>
          <w:p w14:paraId="78341FA5">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3D5FAD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6C76C49D">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255" w:type="pct"/>
            <w:noWrap w:val="0"/>
            <w:vAlign w:val="center"/>
          </w:tcPr>
          <w:p w14:paraId="66C2C6B4">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总砷（按As计）</w:t>
            </w:r>
          </w:p>
        </w:tc>
        <w:tc>
          <w:tcPr>
            <w:tcW w:w="1336" w:type="pct"/>
            <w:noWrap w:val="0"/>
            <w:vAlign w:val="center"/>
          </w:tcPr>
          <w:p w14:paraId="27B51E65">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c>
          <w:tcPr>
            <w:tcW w:w="1175" w:type="pct"/>
            <w:vMerge w:val="continue"/>
            <w:noWrap w:val="0"/>
            <w:vAlign w:val="center"/>
          </w:tcPr>
          <w:p w14:paraId="78D5DE9B">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b w:val="0"/>
                <w:bCs/>
                <w:color w:val="auto"/>
                <w:sz w:val="21"/>
                <w:szCs w:val="21"/>
                <w:highlight w:val="none"/>
              </w:rPr>
            </w:pPr>
          </w:p>
        </w:tc>
        <w:tc>
          <w:tcPr>
            <w:tcW w:w="838" w:type="pct"/>
            <w:vMerge w:val="continue"/>
            <w:noWrap w:val="0"/>
            <w:vAlign w:val="center"/>
          </w:tcPr>
          <w:p w14:paraId="4F70277A">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5B5858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4808AE30">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255" w:type="pct"/>
            <w:noWrap w:val="0"/>
            <w:vAlign w:val="center"/>
          </w:tcPr>
          <w:p w14:paraId="19C231D0">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总铅（按Pb计）</w:t>
            </w:r>
          </w:p>
        </w:tc>
        <w:tc>
          <w:tcPr>
            <w:tcW w:w="1336" w:type="pct"/>
            <w:noWrap w:val="0"/>
            <w:vAlign w:val="center"/>
          </w:tcPr>
          <w:p w14:paraId="6A65B839">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c>
          <w:tcPr>
            <w:tcW w:w="1175" w:type="pct"/>
            <w:vMerge w:val="continue"/>
            <w:noWrap w:val="0"/>
            <w:vAlign w:val="center"/>
          </w:tcPr>
          <w:p w14:paraId="2E93E9AF">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b w:val="0"/>
                <w:bCs/>
                <w:color w:val="auto"/>
                <w:sz w:val="21"/>
                <w:szCs w:val="21"/>
                <w:highlight w:val="none"/>
              </w:rPr>
            </w:pPr>
          </w:p>
        </w:tc>
        <w:tc>
          <w:tcPr>
            <w:tcW w:w="838" w:type="pct"/>
            <w:vMerge w:val="continue"/>
            <w:noWrap w:val="0"/>
            <w:vAlign w:val="center"/>
          </w:tcPr>
          <w:p w14:paraId="61C4BA12">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5478F2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529A63A6">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255" w:type="pct"/>
            <w:noWrap w:val="0"/>
            <w:vAlign w:val="center"/>
          </w:tcPr>
          <w:p w14:paraId="5E706730">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总镍（按Ni计）</w:t>
            </w:r>
          </w:p>
        </w:tc>
        <w:tc>
          <w:tcPr>
            <w:tcW w:w="1336" w:type="pct"/>
            <w:noWrap w:val="0"/>
            <w:vAlign w:val="center"/>
          </w:tcPr>
          <w:p w14:paraId="072E57A4">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1175" w:type="pct"/>
            <w:vMerge w:val="continue"/>
            <w:noWrap w:val="0"/>
            <w:vAlign w:val="center"/>
          </w:tcPr>
          <w:p w14:paraId="5B415665">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b w:val="0"/>
                <w:bCs/>
                <w:color w:val="auto"/>
                <w:sz w:val="21"/>
                <w:szCs w:val="21"/>
                <w:highlight w:val="none"/>
              </w:rPr>
            </w:pPr>
          </w:p>
        </w:tc>
        <w:tc>
          <w:tcPr>
            <w:tcW w:w="838" w:type="pct"/>
            <w:vMerge w:val="continue"/>
            <w:noWrap w:val="0"/>
            <w:vAlign w:val="center"/>
          </w:tcPr>
          <w:p w14:paraId="4CE9FEE4">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58D6DC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0AD71FB0">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255" w:type="pct"/>
            <w:noWrap w:val="0"/>
            <w:vAlign w:val="center"/>
          </w:tcPr>
          <w:p w14:paraId="7BBB7DD7">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总银（按Ag计）</w:t>
            </w:r>
          </w:p>
        </w:tc>
        <w:tc>
          <w:tcPr>
            <w:tcW w:w="1336" w:type="pct"/>
            <w:noWrap w:val="0"/>
            <w:vAlign w:val="center"/>
          </w:tcPr>
          <w:p w14:paraId="57557413">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w:t>
            </w:r>
          </w:p>
        </w:tc>
        <w:tc>
          <w:tcPr>
            <w:tcW w:w="1175" w:type="pct"/>
            <w:vMerge w:val="continue"/>
            <w:noWrap w:val="0"/>
            <w:vAlign w:val="center"/>
          </w:tcPr>
          <w:p w14:paraId="78717E69">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b w:val="0"/>
                <w:bCs/>
                <w:color w:val="auto"/>
                <w:sz w:val="21"/>
                <w:szCs w:val="21"/>
                <w:highlight w:val="none"/>
              </w:rPr>
            </w:pPr>
          </w:p>
        </w:tc>
        <w:tc>
          <w:tcPr>
            <w:tcW w:w="838" w:type="pct"/>
            <w:vMerge w:val="continue"/>
            <w:noWrap w:val="0"/>
            <w:vAlign w:val="center"/>
          </w:tcPr>
          <w:p w14:paraId="23CC6D0E">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125FAA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4589C358">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255" w:type="pct"/>
            <w:noWrap w:val="0"/>
            <w:vAlign w:val="center"/>
          </w:tcPr>
          <w:p w14:paraId="6C13B1AE">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氟化物（按F计）</w:t>
            </w:r>
          </w:p>
        </w:tc>
        <w:tc>
          <w:tcPr>
            <w:tcW w:w="1336" w:type="pct"/>
            <w:noWrap w:val="0"/>
            <w:vAlign w:val="center"/>
          </w:tcPr>
          <w:p w14:paraId="1BC4E6BE">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175" w:type="pct"/>
            <w:vMerge w:val="restart"/>
            <w:noWrap w:val="0"/>
            <w:vAlign w:val="center"/>
          </w:tcPr>
          <w:p w14:paraId="11D7465D">
            <w:pPr>
              <w:pStyle w:val="41"/>
              <w:keepNext w:val="0"/>
              <w:keepLines w:val="0"/>
              <w:pageBreakBefore w:val="0"/>
              <w:widowControl/>
              <w:wordWrap/>
              <w:overflowPunct/>
              <w:topLinePunct w:val="0"/>
              <w:autoSpaceDE w:val="0"/>
              <w:autoSpaceDN w:val="0"/>
              <w:bidi w:val="0"/>
              <w:snapToGrid w:val="0"/>
              <w:spacing w:line="240" w:lineRule="auto"/>
              <w:jc w:val="center"/>
              <w:rPr>
                <w:rFonts w:hint="default" w:ascii="Times New Roman" w:hAnsi="Times New Roman" w:eastAsia="宋体" w:cs="Times New Roman"/>
                <w:b w:val="0"/>
                <w:bCs/>
                <w:color w:val="auto"/>
                <w:kern w:val="2"/>
                <w:sz w:val="21"/>
                <w:szCs w:val="21"/>
                <w:highlight w:val="none"/>
              </w:rPr>
            </w:pPr>
            <w:r>
              <w:rPr>
                <w:rFonts w:hint="default" w:ascii="Times New Roman" w:hAnsi="Times New Roman" w:eastAsia="宋体" w:cs="Times New Roman"/>
                <w:b w:val="0"/>
                <w:bCs/>
                <w:color w:val="auto"/>
                <w:kern w:val="2"/>
                <w:sz w:val="21"/>
                <w:szCs w:val="21"/>
                <w:highlight w:val="none"/>
              </w:rPr>
              <w:t>企业废水总排放口</w:t>
            </w:r>
          </w:p>
        </w:tc>
        <w:tc>
          <w:tcPr>
            <w:tcW w:w="838" w:type="pct"/>
            <w:vMerge w:val="continue"/>
            <w:noWrap w:val="0"/>
            <w:vAlign w:val="center"/>
          </w:tcPr>
          <w:p w14:paraId="26C8B2C3">
            <w:pPr>
              <w:pStyle w:val="41"/>
              <w:keepNext w:val="0"/>
              <w:keepLines w:val="0"/>
              <w:pageBreakBefore w:val="0"/>
              <w:widowControl/>
              <w:wordWrap/>
              <w:overflowPunct/>
              <w:topLinePunct w:val="0"/>
              <w:autoSpaceDE w:val="0"/>
              <w:autoSpaceDN w:val="0"/>
              <w:bidi w:val="0"/>
              <w:snapToGrid w:val="0"/>
              <w:spacing w:line="240" w:lineRule="auto"/>
              <w:jc w:val="center"/>
              <w:outlineLvl w:val="9"/>
              <w:rPr>
                <w:rFonts w:hint="default" w:ascii="Times New Roman" w:hAnsi="Times New Roman" w:eastAsia="宋体" w:cs="Times New Roman"/>
                <w:color w:val="auto"/>
                <w:kern w:val="2"/>
                <w:sz w:val="21"/>
                <w:szCs w:val="21"/>
                <w:highlight w:val="none"/>
              </w:rPr>
            </w:pPr>
          </w:p>
        </w:tc>
      </w:tr>
      <w:bookmarkEnd w:id="923"/>
      <w:tr w14:paraId="5AA219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5E597863">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255" w:type="pct"/>
            <w:noWrap w:val="0"/>
            <w:vAlign w:val="center"/>
          </w:tcPr>
          <w:p w14:paraId="653EFAE3">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总铜（按Cu计）</w:t>
            </w:r>
          </w:p>
        </w:tc>
        <w:tc>
          <w:tcPr>
            <w:tcW w:w="1336" w:type="pct"/>
            <w:noWrap w:val="0"/>
            <w:vAlign w:val="center"/>
          </w:tcPr>
          <w:p w14:paraId="757287E6">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w:t>
            </w:r>
          </w:p>
        </w:tc>
        <w:tc>
          <w:tcPr>
            <w:tcW w:w="1175" w:type="pct"/>
            <w:vMerge w:val="continue"/>
            <w:noWrap w:val="0"/>
            <w:vAlign w:val="center"/>
          </w:tcPr>
          <w:p w14:paraId="34F626D4">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38" w:type="pct"/>
            <w:vMerge w:val="continue"/>
            <w:noWrap w:val="0"/>
            <w:vAlign w:val="center"/>
          </w:tcPr>
          <w:p w14:paraId="2C02483F">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24325F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59F0E862">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255" w:type="pct"/>
            <w:noWrap w:val="0"/>
            <w:vAlign w:val="center"/>
          </w:tcPr>
          <w:p w14:paraId="57E1B0C8">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总锌</w:t>
            </w:r>
          </w:p>
        </w:tc>
        <w:tc>
          <w:tcPr>
            <w:tcW w:w="1336" w:type="pct"/>
            <w:noWrap w:val="0"/>
            <w:vAlign w:val="center"/>
          </w:tcPr>
          <w:p w14:paraId="7621A7B6">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175" w:type="pct"/>
            <w:vMerge w:val="continue"/>
            <w:noWrap w:val="0"/>
            <w:vAlign w:val="center"/>
          </w:tcPr>
          <w:p w14:paraId="67F4E61B">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38" w:type="pct"/>
            <w:vMerge w:val="continue"/>
            <w:noWrap w:val="0"/>
            <w:vAlign w:val="center"/>
          </w:tcPr>
          <w:p w14:paraId="1B16FC27">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198002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07633784">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1255" w:type="pct"/>
            <w:noWrap w:val="0"/>
            <w:vAlign w:val="center"/>
          </w:tcPr>
          <w:p w14:paraId="566DD9A4">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硫化物（按S计）</w:t>
            </w:r>
          </w:p>
        </w:tc>
        <w:tc>
          <w:tcPr>
            <w:tcW w:w="1336" w:type="pct"/>
            <w:noWrap w:val="0"/>
            <w:vAlign w:val="center"/>
          </w:tcPr>
          <w:p w14:paraId="13DF572B">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175" w:type="pct"/>
            <w:vMerge w:val="continue"/>
            <w:noWrap w:val="0"/>
            <w:vAlign w:val="center"/>
          </w:tcPr>
          <w:p w14:paraId="78AA98F5">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38" w:type="pct"/>
            <w:vMerge w:val="continue"/>
            <w:noWrap w:val="0"/>
            <w:vAlign w:val="center"/>
          </w:tcPr>
          <w:p w14:paraId="2714BF07">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1C4264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3FCC53E2">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1255" w:type="pct"/>
            <w:noWrap w:val="0"/>
            <w:vAlign w:val="center"/>
          </w:tcPr>
          <w:p w14:paraId="34513C44">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总氰化物（按CN</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计）</w:t>
            </w:r>
          </w:p>
        </w:tc>
        <w:tc>
          <w:tcPr>
            <w:tcW w:w="1336" w:type="pct"/>
            <w:noWrap w:val="0"/>
            <w:vAlign w:val="center"/>
          </w:tcPr>
          <w:p w14:paraId="7A53AB03">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c>
          <w:tcPr>
            <w:tcW w:w="1175" w:type="pct"/>
            <w:vMerge w:val="continue"/>
            <w:noWrap w:val="0"/>
            <w:vAlign w:val="center"/>
          </w:tcPr>
          <w:p w14:paraId="56FD9BF3">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38" w:type="pct"/>
            <w:vMerge w:val="continue"/>
            <w:noWrap w:val="0"/>
            <w:vAlign w:val="center"/>
          </w:tcPr>
          <w:p w14:paraId="2F8D411D">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12A08E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2C401F05">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1255" w:type="pct"/>
            <w:noWrap w:val="0"/>
            <w:vAlign w:val="center"/>
          </w:tcPr>
          <w:p w14:paraId="3EB128AD">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pH（无量纲）</w:t>
            </w:r>
          </w:p>
        </w:tc>
        <w:tc>
          <w:tcPr>
            <w:tcW w:w="1336" w:type="pct"/>
            <w:noWrap w:val="0"/>
            <w:vAlign w:val="center"/>
          </w:tcPr>
          <w:p w14:paraId="157A9801">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9.0</w:t>
            </w:r>
          </w:p>
        </w:tc>
        <w:tc>
          <w:tcPr>
            <w:tcW w:w="1175" w:type="pct"/>
            <w:vMerge w:val="continue"/>
            <w:noWrap w:val="0"/>
            <w:vAlign w:val="center"/>
          </w:tcPr>
          <w:p w14:paraId="5B3476E4">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38" w:type="pct"/>
            <w:vMerge w:val="continue"/>
            <w:noWrap w:val="0"/>
            <w:vAlign w:val="center"/>
          </w:tcPr>
          <w:p w14:paraId="567B13B5">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0351DA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5A5478CD">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p>
        </w:tc>
        <w:tc>
          <w:tcPr>
            <w:tcW w:w="1255" w:type="pct"/>
            <w:noWrap w:val="0"/>
            <w:vAlign w:val="center"/>
          </w:tcPr>
          <w:p w14:paraId="1E716914">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悬浮物（SS）</w:t>
            </w:r>
          </w:p>
        </w:tc>
        <w:tc>
          <w:tcPr>
            <w:tcW w:w="1336" w:type="pct"/>
            <w:noWrap w:val="0"/>
            <w:vAlign w:val="center"/>
          </w:tcPr>
          <w:p w14:paraId="4897F687">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c>
          <w:tcPr>
            <w:tcW w:w="1175" w:type="pct"/>
            <w:vMerge w:val="continue"/>
            <w:noWrap w:val="0"/>
            <w:vAlign w:val="center"/>
          </w:tcPr>
          <w:p w14:paraId="021B49E7">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38" w:type="pct"/>
            <w:vMerge w:val="continue"/>
            <w:noWrap w:val="0"/>
            <w:vAlign w:val="center"/>
          </w:tcPr>
          <w:p w14:paraId="338FF092">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64224F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3529BF24">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255" w:type="pct"/>
            <w:noWrap w:val="0"/>
            <w:vAlign w:val="center"/>
          </w:tcPr>
          <w:p w14:paraId="2BBA2C07">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化学需氧量（COD）</w:t>
            </w:r>
          </w:p>
        </w:tc>
        <w:tc>
          <w:tcPr>
            <w:tcW w:w="1336" w:type="pct"/>
            <w:noWrap w:val="0"/>
            <w:vAlign w:val="center"/>
          </w:tcPr>
          <w:p w14:paraId="2399F652">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w:t>
            </w:r>
          </w:p>
        </w:tc>
        <w:tc>
          <w:tcPr>
            <w:tcW w:w="1175" w:type="pct"/>
            <w:vMerge w:val="continue"/>
            <w:noWrap w:val="0"/>
            <w:vAlign w:val="center"/>
          </w:tcPr>
          <w:p w14:paraId="6CD0F176">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38" w:type="pct"/>
            <w:vMerge w:val="continue"/>
            <w:noWrap w:val="0"/>
            <w:vAlign w:val="center"/>
          </w:tcPr>
          <w:p w14:paraId="28471B1E">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3E4E66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4" w:hRule="atLeast"/>
          <w:jc w:val="center"/>
        </w:trPr>
        <w:tc>
          <w:tcPr>
            <w:tcW w:w="393" w:type="pct"/>
            <w:noWrap w:val="0"/>
            <w:vAlign w:val="center"/>
          </w:tcPr>
          <w:p w14:paraId="1FAF0AF9">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1255" w:type="pct"/>
            <w:noWrap w:val="0"/>
            <w:vAlign w:val="center"/>
          </w:tcPr>
          <w:p w14:paraId="3545CE00">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1336" w:type="pct"/>
            <w:noWrap w:val="0"/>
            <w:vAlign w:val="center"/>
          </w:tcPr>
          <w:p w14:paraId="08C334D7">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175" w:type="pct"/>
            <w:vMerge w:val="continue"/>
            <w:noWrap w:val="0"/>
            <w:vAlign w:val="center"/>
          </w:tcPr>
          <w:p w14:paraId="5A58CF07">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38" w:type="pct"/>
            <w:vMerge w:val="continue"/>
            <w:noWrap w:val="0"/>
            <w:vAlign w:val="center"/>
          </w:tcPr>
          <w:p w14:paraId="79BB4ACB">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3CD4F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5E64628B">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1255" w:type="pct"/>
            <w:noWrap w:val="0"/>
            <w:vAlign w:val="center"/>
          </w:tcPr>
          <w:p w14:paraId="35B1B231">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总氮</w:t>
            </w:r>
          </w:p>
        </w:tc>
        <w:tc>
          <w:tcPr>
            <w:tcW w:w="1336" w:type="pct"/>
            <w:noWrap w:val="0"/>
            <w:vAlign w:val="center"/>
          </w:tcPr>
          <w:p w14:paraId="4621AF01">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1175" w:type="pct"/>
            <w:vMerge w:val="continue"/>
            <w:noWrap w:val="0"/>
            <w:vAlign w:val="center"/>
          </w:tcPr>
          <w:p w14:paraId="22CA7CCA">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38" w:type="pct"/>
            <w:vMerge w:val="continue"/>
            <w:noWrap w:val="0"/>
            <w:vAlign w:val="center"/>
          </w:tcPr>
          <w:p w14:paraId="7DFC4710">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37F86B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46B23CB1">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c>
          <w:tcPr>
            <w:tcW w:w="1255" w:type="pct"/>
            <w:noWrap w:val="0"/>
            <w:vAlign w:val="center"/>
          </w:tcPr>
          <w:p w14:paraId="387BE98C">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总磷</w:t>
            </w:r>
          </w:p>
        </w:tc>
        <w:tc>
          <w:tcPr>
            <w:tcW w:w="1336" w:type="pct"/>
            <w:noWrap w:val="0"/>
            <w:vAlign w:val="center"/>
          </w:tcPr>
          <w:p w14:paraId="1BCF0AC3">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175" w:type="pct"/>
            <w:vMerge w:val="continue"/>
            <w:noWrap w:val="0"/>
            <w:vAlign w:val="center"/>
          </w:tcPr>
          <w:p w14:paraId="6CAFF46A">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38" w:type="pct"/>
            <w:vMerge w:val="continue"/>
            <w:noWrap w:val="0"/>
            <w:vAlign w:val="center"/>
          </w:tcPr>
          <w:p w14:paraId="233DEC0D">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1E26F9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3CC88126">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w:t>
            </w:r>
          </w:p>
        </w:tc>
        <w:tc>
          <w:tcPr>
            <w:tcW w:w="1255" w:type="pct"/>
            <w:noWrap w:val="0"/>
            <w:vAlign w:val="center"/>
          </w:tcPr>
          <w:p w14:paraId="7663C3CD">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石油类</w:t>
            </w:r>
          </w:p>
        </w:tc>
        <w:tc>
          <w:tcPr>
            <w:tcW w:w="1336" w:type="pct"/>
            <w:noWrap w:val="0"/>
            <w:vAlign w:val="center"/>
          </w:tcPr>
          <w:p w14:paraId="766D8426">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175" w:type="pct"/>
            <w:vMerge w:val="continue"/>
            <w:noWrap w:val="0"/>
            <w:vAlign w:val="center"/>
          </w:tcPr>
          <w:p w14:paraId="387A6542">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38" w:type="pct"/>
            <w:vMerge w:val="continue"/>
            <w:noWrap w:val="0"/>
            <w:vAlign w:val="center"/>
          </w:tcPr>
          <w:p w14:paraId="08FD3C0E">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224F60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3801BCD2">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255" w:type="pct"/>
            <w:noWrap w:val="0"/>
            <w:vAlign w:val="center"/>
          </w:tcPr>
          <w:p w14:paraId="0B8462E6">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阴离子表面活性剂（LAS）</w:t>
            </w:r>
          </w:p>
        </w:tc>
        <w:tc>
          <w:tcPr>
            <w:tcW w:w="1336" w:type="pct"/>
            <w:noWrap w:val="0"/>
            <w:vAlign w:val="center"/>
          </w:tcPr>
          <w:p w14:paraId="22D70745">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175" w:type="pct"/>
            <w:vMerge w:val="continue"/>
            <w:noWrap w:val="0"/>
            <w:vAlign w:val="center"/>
          </w:tcPr>
          <w:p w14:paraId="1D5B87EF">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38" w:type="pct"/>
            <w:vMerge w:val="continue"/>
            <w:noWrap w:val="0"/>
            <w:vAlign w:val="center"/>
          </w:tcPr>
          <w:p w14:paraId="52AA49A1">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72D9C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3" w:type="pct"/>
            <w:noWrap w:val="0"/>
            <w:vAlign w:val="center"/>
          </w:tcPr>
          <w:p w14:paraId="4BAC1371">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w:t>
            </w:r>
          </w:p>
        </w:tc>
        <w:tc>
          <w:tcPr>
            <w:tcW w:w="1255" w:type="pct"/>
            <w:noWrap w:val="0"/>
            <w:vAlign w:val="center"/>
          </w:tcPr>
          <w:p w14:paraId="2C8138C9">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总有机碳（TOC）</w:t>
            </w:r>
          </w:p>
        </w:tc>
        <w:tc>
          <w:tcPr>
            <w:tcW w:w="1336" w:type="pct"/>
            <w:noWrap w:val="0"/>
            <w:vAlign w:val="center"/>
          </w:tcPr>
          <w:p w14:paraId="3DA55001">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w:t>
            </w:r>
          </w:p>
        </w:tc>
        <w:tc>
          <w:tcPr>
            <w:tcW w:w="1175" w:type="pct"/>
            <w:vMerge w:val="continue"/>
            <w:noWrap w:val="0"/>
            <w:vAlign w:val="center"/>
          </w:tcPr>
          <w:p w14:paraId="04F3D89C">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838" w:type="pct"/>
            <w:vMerge w:val="continue"/>
            <w:noWrap w:val="0"/>
            <w:vAlign w:val="center"/>
          </w:tcPr>
          <w:p w14:paraId="63D749F3">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7EB0C7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649" w:type="pct"/>
            <w:gridSpan w:val="2"/>
            <w:noWrap w:val="0"/>
            <w:vAlign w:val="center"/>
          </w:tcPr>
          <w:p w14:paraId="5FE33E94">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单位产品基准排水量</w:t>
            </w:r>
          </w:p>
        </w:tc>
        <w:tc>
          <w:tcPr>
            <w:tcW w:w="3350" w:type="pct"/>
            <w:gridSpan w:val="3"/>
            <w:noWrap w:val="0"/>
            <w:vAlign w:val="center"/>
          </w:tcPr>
          <w:p w14:paraId="481DAEFE">
            <w:pPr>
              <w:keepNext w:val="0"/>
              <w:keepLines w:val="0"/>
              <w:pageBreakBefore w:val="0"/>
              <w:widowControl/>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auto"/>
                <w:sz w:val="21"/>
                <w:szCs w:val="21"/>
                <w:highlight w:val="none"/>
              </w:rPr>
            </w:pPr>
            <w:bookmarkStart w:id="926" w:name="sys3859038"/>
            <w:r>
              <w:rPr>
                <w:rFonts w:hint="default" w:ascii="Times New Roman" w:hAnsi="Times New Roman" w:eastAsia="宋体" w:cs="Times New Roman"/>
                <w:color w:val="auto"/>
                <w:sz w:val="21"/>
                <w:szCs w:val="21"/>
                <w:highlight w:val="none"/>
              </w:rPr>
              <w:t>具体执行《半导体行业污染物排放标准》（DB32/3747-2020）表2限值</w:t>
            </w:r>
            <w:bookmarkEnd w:id="926"/>
          </w:p>
        </w:tc>
      </w:tr>
    </w:tbl>
    <w:p w14:paraId="773C88DF">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360" w:lineRule="auto"/>
        <w:ind w:right="136" w:rightChars="0" w:firstLine="480" w:firstLineChars="200"/>
        <w:jc w:val="both"/>
        <w:textAlignment w:val="baseline"/>
        <w:outlineLvl w:val="9"/>
        <w:rPr>
          <w:rFonts w:hint="default" w:ascii="Times New Roman" w:hAnsi="Times New Roman" w:cs="Times New Roman"/>
          <w:color w:val="auto"/>
          <w:sz w:val="24"/>
          <w:szCs w:val="24"/>
          <w:highlight w:val="none"/>
        </w:rPr>
      </w:pPr>
      <w:r>
        <w:rPr>
          <w:rFonts w:hint="default" w:ascii="Times New Roman" w:hAnsi="Times New Roman" w:eastAsia="Arial" w:cs="Times New Roman"/>
          <w:snapToGrid w:val="0"/>
          <w:color w:val="auto"/>
          <w:kern w:val="0"/>
          <w:sz w:val="24"/>
          <w:szCs w:val="24"/>
          <w:highlight w:val="none"/>
          <w:lang w:val="en-US" w:eastAsia="en-US" w:bidi="ar-SA"/>
        </w:rPr>
        <w:t>（3）</w:t>
      </w:r>
      <w:r>
        <w:rPr>
          <w:rFonts w:hint="eastAsia" w:ascii="Times New Roman" w:hAnsi="Times New Roman" w:eastAsia="宋体" w:cs="Times New Roman"/>
          <w:color w:val="auto"/>
          <w:sz w:val="24"/>
          <w:szCs w:val="24"/>
          <w:highlight w:val="none"/>
          <w:lang w:val="en-US" w:eastAsia="zh-CN"/>
        </w:rPr>
        <w:t>电子行</w:t>
      </w:r>
      <w:r>
        <w:rPr>
          <w:rFonts w:hint="default" w:ascii="Times New Roman" w:hAnsi="Times New Roman" w:cs="Times New Roman"/>
          <w:color w:val="auto"/>
          <w:sz w:val="24"/>
          <w:szCs w:val="24"/>
          <w:highlight w:val="none"/>
        </w:rPr>
        <w:t>业</w:t>
      </w:r>
      <w:bookmarkStart w:id="927" w:name="pindex3860"/>
      <w:bookmarkEnd w:id="927"/>
    </w:p>
    <w:p w14:paraId="5A16FE6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928" w:name="OLE_LINK761"/>
      <w:bookmarkStart w:id="929" w:name="sys3861050"/>
      <w:bookmarkStart w:id="930" w:name="OLE_LINK318"/>
      <w:r>
        <w:rPr>
          <w:rFonts w:hint="default" w:ascii="Times New Roman" w:hAnsi="Times New Roman" w:eastAsia="宋体" w:cs="Times New Roman"/>
          <w:color w:val="auto"/>
          <w:sz w:val="24"/>
          <w:szCs w:val="24"/>
          <w:highlight w:val="none"/>
          <w:lang w:val="en-US" w:eastAsia="zh-CN"/>
        </w:rPr>
        <w:t>电子工业水污染物执行《</w:t>
      </w:r>
      <w:bookmarkStart w:id="931" w:name="OLE_LINK319"/>
      <w:r>
        <w:rPr>
          <w:rFonts w:hint="default" w:ascii="Times New Roman" w:hAnsi="Times New Roman" w:eastAsia="宋体" w:cs="Times New Roman"/>
          <w:color w:val="auto"/>
          <w:sz w:val="24"/>
          <w:szCs w:val="24"/>
          <w:highlight w:val="none"/>
          <w:lang w:val="en-US" w:eastAsia="zh-CN"/>
        </w:rPr>
        <w:t>电子工业</w:t>
      </w:r>
      <w:bookmarkEnd w:id="931"/>
      <w:r>
        <w:rPr>
          <w:rFonts w:hint="default" w:ascii="Times New Roman" w:hAnsi="Times New Roman" w:eastAsia="宋体" w:cs="Times New Roman"/>
          <w:color w:val="auto"/>
          <w:sz w:val="24"/>
          <w:szCs w:val="24"/>
          <w:highlight w:val="none"/>
          <w:lang w:val="en-US" w:eastAsia="zh-CN"/>
        </w:rPr>
        <w:t>水污染物排放标准》（GB39731-2020）</w:t>
      </w:r>
      <w:bookmarkEnd w:id="928"/>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具体见表</w:t>
      </w:r>
      <w:r>
        <w:rPr>
          <w:rFonts w:hint="eastAsia" w:ascii="Times New Roman" w:hAnsi="Times New Roman" w:eastAsia="宋体" w:cs="Times New Roman"/>
          <w:color w:val="auto"/>
          <w:sz w:val="24"/>
          <w:szCs w:val="24"/>
          <w:highlight w:val="none"/>
          <w:lang w:val="en-US" w:eastAsia="zh-CN"/>
        </w:rPr>
        <w:t>3.2-51</w:t>
      </w:r>
      <w:r>
        <w:rPr>
          <w:rFonts w:hint="default" w:ascii="Times New Roman" w:hAnsi="Times New Roman" w:eastAsia="宋体" w:cs="Times New Roman"/>
          <w:color w:val="auto"/>
          <w:sz w:val="24"/>
          <w:szCs w:val="24"/>
          <w:highlight w:val="none"/>
        </w:rPr>
        <w:t>。</w:t>
      </w:r>
      <w:bookmarkEnd w:id="929"/>
    </w:p>
    <w:bookmarkEnd w:id="930"/>
    <w:p w14:paraId="6E79D9DD">
      <w:pPr>
        <w:adjustRightInd w:val="0"/>
        <w:snapToGrid w:val="0"/>
        <w:jc w:val="center"/>
        <w:rPr>
          <w:rFonts w:hint="default" w:eastAsia="宋体"/>
          <w:b/>
          <w:color w:val="auto"/>
          <w:sz w:val="24"/>
          <w:highlight w:val="none"/>
          <w:lang w:val="en-US" w:eastAsia="zh-CN"/>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2-51  </w:t>
      </w:r>
      <w:r>
        <w:rPr>
          <w:rFonts w:hint="default" w:ascii="Times New Roman" w:hAnsi="Times New Roman" w:cs="Times New Roman"/>
          <w:b/>
          <w:color w:val="auto"/>
          <w:sz w:val="24"/>
          <w:highlight w:val="none"/>
          <w:lang w:val="en-US" w:eastAsia="zh-CN"/>
        </w:rPr>
        <w:t>电子工业水</w:t>
      </w:r>
      <w:r>
        <w:rPr>
          <w:rFonts w:hint="default" w:ascii="Times New Roman" w:hAnsi="Times New Roman" w:cs="Times New Roman"/>
          <w:b/>
          <w:color w:val="auto"/>
          <w:sz w:val="24"/>
          <w:highlight w:val="none"/>
        </w:rPr>
        <w:t>污染物排放</w:t>
      </w:r>
      <w:r>
        <w:rPr>
          <w:rFonts w:hint="default" w:ascii="Times New Roman" w:hAnsi="Times New Roman" w:eastAsia="宋体" w:cs="Times New Roman"/>
          <w:b/>
          <w:color w:val="auto"/>
          <w:sz w:val="24"/>
          <w:highlight w:val="none"/>
          <w:lang w:val="en-US" w:eastAsia="zh-CN"/>
        </w:rPr>
        <w:t>限值 （单位：mg/L，pH值除外）</w:t>
      </w:r>
      <w:bookmarkStart w:id="932" w:name="pindex3862"/>
      <w:bookmarkEnd w:id="932"/>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0"/>
        <w:gridCol w:w="2138"/>
        <w:gridCol w:w="735"/>
        <w:gridCol w:w="750"/>
        <w:gridCol w:w="825"/>
        <w:gridCol w:w="877"/>
        <w:gridCol w:w="1088"/>
        <w:gridCol w:w="945"/>
        <w:gridCol w:w="850"/>
      </w:tblGrid>
      <w:tr w14:paraId="3D8E5C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vMerge w:val="restart"/>
            <w:tcBorders>
              <w:tl2br w:val="nil"/>
              <w:tr2bl w:val="nil"/>
            </w:tcBorders>
            <w:vAlign w:val="center"/>
          </w:tcPr>
          <w:p w14:paraId="62745EE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bookmarkStart w:id="933" w:name="OLE_LINK327"/>
            <w:r>
              <w:rPr>
                <w:rFonts w:hint="eastAsia" w:ascii="Times New Roman" w:hAnsi="Times New Roman" w:eastAsia="宋体" w:cs="Times New Roman"/>
                <w:b/>
                <w:bCs/>
                <w:color w:val="auto"/>
                <w:sz w:val="21"/>
                <w:szCs w:val="21"/>
                <w:highlight w:val="none"/>
                <w:lang w:val="en-US" w:eastAsia="zh-CN"/>
              </w:rPr>
              <w:t>序号</w:t>
            </w:r>
          </w:p>
        </w:tc>
        <w:tc>
          <w:tcPr>
            <w:tcW w:w="2138" w:type="dxa"/>
            <w:vMerge w:val="restart"/>
            <w:tcBorders>
              <w:tl2br w:val="nil"/>
              <w:tr2bl w:val="nil"/>
            </w:tcBorders>
            <w:vAlign w:val="center"/>
          </w:tcPr>
          <w:p w14:paraId="62C7400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污染物项目</w:t>
            </w:r>
          </w:p>
        </w:tc>
        <w:tc>
          <w:tcPr>
            <w:tcW w:w="5220" w:type="dxa"/>
            <w:gridSpan w:val="6"/>
            <w:tcBorders>
              <w:tl2br w:val="nil"/>
              <w:tr2bl w:val="nil"/>
            </w:tcBorders>
            <w:vAlign w:val="center"/>
          </w:tcPr>
          <w:p w14:paraId="390CB00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排放限值</w:t>
            </w:r>
          </w:p>
        </w:tc>
        <w:tc>
          <w:tcPr>
            <w:tcW w:w="850" w:type="dxa"/>
            <w:vMerge w:val="restart"/>
            <w:tcBorders>
              <w:tl2br w:val="nil"/>
              <w:tr2bl w:val="nil"/>
            </w:tcBorders>
            <w:vAlign w:val="center"/>
          </w:tcPr>
          <w:p w14:paraId="064C60C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污染物排放监控位置</w:t>
            </w:r>
          </w:p>
        </w:tc>
      </w:tr>
      <w:tr w14:paraId="2FA5D3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vMerge w:val="continue"/>
            <w:tcBorders>
              <w:tl2br w:val="nil"/>
              <w:tr2bl w:val="nil"/>
            </w:tcBorders>
            <w:vAlign w:val="center"/>
          </w:tcPr>
          <w:p w14:paraId="32C9B20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p>
        </w:tc>
        <w:tc>
          <w:tcPr>
            <w:tcW w:w="2138" w:type="dxa"/>
            <w:vMerge w:val="continue"/>
            <w:tcBorders>
              <w:tl2br w:val="nil"/>
              <w:tr2bl w:val="nil"/>
            </w:tcBorders>
            <w:vAlign w:val="center"/>
          </w:tcPr>
          <w:p w14:paraId="6D379B5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p>
        </w:tc>
        <w:tc>
          <w:tcPr>
            <w:tcW w:w="5220" w:type="dxa"/>
            <w:gridSpan w:val="6"/>
            <w:tcBorders>
              <w:tl2br w:val="nil"/>
              <w:tr2bl w:val="nil"/>
            </w:tcBorders>
            <w:vAlign w:val="center"/>
          </w:tcPr>
          <w:p w14:paraId="57672E4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间接排放</w:t>
            </w:r>
            <w:r>
              <w:rPr>
                <w:rFonts w:hint="eastAsia" w:ascii="Times New Roman" w:hAnsi="Times New Roman" w:eastAsia="宋体" w:cs="Times New Roman"/>
                <w:b/>
                <w:bCs/>
                <w:color w:val="auto"/>
                <w:sz w:val="21"/>
                <w:szCs w:val="21"/>
                <w:highlight w:val="none"/>
                <w:vertAlign w:val="superscript"/>
                <w:lang w:val="en-US" w:eastAsia="zh-CN"/>
              </w:rPr>
              <w:t>（1）</w:t>
            </w:r>
          </w:p>
        </w:tc>
        <w:tc>
          <w:tcPr>
            <w:tcW w:w="850" w:type="dxa"/>
            <w:vMerge w:val="continue"/>
            <w:tcBorders>
              <w:tl2br w:val="nil"/>
              <w:tr2bl w:val="nil"/>
            </w:tcBorders>
            <w:vAlign w:val="center"/>
          </w:tcPr>
          <w:p w14:paraId="24DDA04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p>
        </w:tc>
      </w:tr>
      <w:tr w14:paraId="542F0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vMerge w:val="continue"/>
            <w:tcBorders>
              <w:tl2br w:val="nil"/>
              <w:tr2bl w:val="nil"/>
            </w:tcBorders>
            <w:vAlign w:val="center"/>
          </w:tcPr>
          <w:p w14:paraId="590D5CA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p>
        </w:tc>
        <w:tc>
          <w:tcPr>
            <w:tcW w:w="2138" w:type="dxa"/>
            <w:vMerge w:val="continue"/>
            <w:tcBorders>
              <w:tl2br w:val="nil"/>
              <w:tr2bl w:val="nil"/>
            </w:tcBorders>
            <w:vAlign w:val="center"/>
          </w:tcPr>
          <w:p w14:paraId="44DB876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p>
        </w:tc>
        <w:tc>
          <w:tcPr>
            <w:tcW w:w="735" w:type="dxa"/>
            <w:tcBorders>
              <w:tl2br w:val="nil"/>
              <w:tr2bl w:val="nil"/>
            </w:tcBorders>
            <w:vAlign w:val="center"/>
          </w:tcPr>
          <w:p w14:paraId="3AFE69E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电子专用材料</w:t>
            </w:r>
          </w:p>
        </w:tc>
        <w:tc>
          <w:tcPr>
            <w:tcW w:w="750" w:type="dxa"/>
            <w:tcBorders>
              <w:tl2br w:val="nil"/>
              <w:tr2bl w:val="nil"/>
            </w:tcBorders>
            <w:vAlign w:val="center"/>
          </w:tcPr>
          <w:p w14:paraId="1512EA4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电子元件</w:t>
            </w:r>
          </w:p>
        </w:tc>
        <w:tc>
          <w:tcPr>
            <w:tcW w:w="825" w:type="dxa"/>
            <w:tcBorders>
              <w:tl2br w:val="nil"/>
              <w:tr2bl w:val="nil"/>
            </w:tcBorders>
            <w:vAlign w:val="center"/>
          </w:tcPr>
          <w:p w14:paraId="2CA9DC8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印刷电路板</w:t>
            </w:r>
          </w:p>
        </w:tc>
        <w:tc>
          <w:tcPr>
            <w:tcW w:w="877" w:type="dxa"/>
            <w:tcBorders>
              <w:tl2br w:val="nil"/>
              <w:tr2bl w:val="nil"/>
            </w:tcBorders>
            <w:vAlign w:val="center"/>
          </w:tcPr>
          <w:p w14:paraId="29C7A1E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半导体器件</w:t>
            </w:r>
          </w:p>
        </w:tc>
        <w:tc>
          <w:tcPr>
            <w:tcW w:w="1088" w:type="dxa"/>
            <w:tcBorders>
              <w:tl2br w:val="nil"/>
              <w:tr2bl w:val="nil"/>
            </w:tcBorders>
            <w:vAlign w:val="center"/>
          </w:tcPr>
          <w:p w14:paraId="572F672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显示器件及光电子器件</w:t>
            </w:r>
          </w:p>
        </w:tc>
        <w:tc>
          <w:tcPr>
            <w:tcW w:w="945" w:type="dxa"/>
            <w:tcBorders>
              <w:tl2br w:val="nil"/>
              <w:tr2bl w:val="nil"/>
            </w:tcBorders>
            <w:vAlign w:val="center"/>
          </w:tcPr>
          <w:p w14:paraId="0814D31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电子终端产品</w:t>
            </w:r>
          </w:p>
        </w:tc>
        <w:tc>
          <w:tcPr>
            <w:tcW w:w="850" w:type="dxa"/>
            <w:vMerge w:val="continue"/>
            <w:tcBorders>
              <w:tl2br w:val="nil"/>
              <w:tr2bl w:val="nil"/>
            </w:tcBorders>
            <w:vAlign w:val="center"/>
          </w:tcPr>
          <w:p w14:paraId="3B75FD4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b/>
                <w:bCs/>
                <w:color w:val="auto"/>
                <w:sz w:val="21"/>
                <w:szCs w:val="21"/>
                <w:highlight w:val="none"/>
                <w:lang w:val="en-US" w:eastAsia="zh-CN"/>
              </w:rPr>
            </w:pPr>
          </w:p>
        </w:tc>
      </w:tr>
      <w:bookmarkEnd w:id="933"/>
      <w:tr w14:paraId="6A6766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40" w:type="dxa"/>
            <w:tcBorders>
              <w:tl2br w:val="nil"/>
              <w:tr2bl w:val="nil"/>
            </w:tcBorders>
            <w:vAlign w:val="center"/>
          </w:tcPr>
          <w:p w14:paraId="3F87FD3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138" w:type="dxa"/>
            <w:tcBorders>
              <w:tl2br w:val="nil"/>
              <w:tr2bl w:val="nil"/>
            </w:tcBorders>
            <w:vAlign w:val="center"/>
          </w:tcPr>
          <w:p w14:paraId="6A69007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pH值</w:t>
            </w:r>
          </w:p>
        </w:tc>
        <w:tc>
          <w:tcPr>
            <w:tcW w:w="5220" w:type="dxa"/>
            <w:gridSpan w:val="6"/>
            <w:tcBorders>
              <w:tl2br w:val="nil"/>
              <w:tr2bl w:val="nil"/>
            </w:tcBorders>
            <w:vAlign w:val="center"/>
          </w:tcPr>
          <w:p w14:paraId="38F0FED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6.0-9.0</w:t>
            </w:r>
          </w:p>
        </w:tc>
        <w:tc>
          <w:tcPr>
            <w:tcW w:w="850" w:type="dxa"/>
            <w:vMerge w:val="restart"/>
            <w:tcBorders>
              <w:tl2br w:val="nil"/>
              <w:tr2bl w:val="nil"/>
            </w:tcBorders>
            <w:vAlign w:val="center"/>
          </w:tcPr>
          <w:p w14:paraId="7CC2E0D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企业废水总排放口</w:t>
            </w:r>
          </w:p>
        </w:tc>
      </w:tr>
      <w:tr w14:paraId="5F5826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3B27B82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2138" w:type="dxa"/>
            <w:tcBorders>
              <w:tl2br w:val="nil"/>
              <w:tr2bl w:val="nil"/>
            </w:tcBorders>
            <w:vAlign w:val="center"/>
          </w:tcPr>
          <w:p w14:paraId="6F6C34B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悬浮物（SS）</w:t>
            </w:r>
          </w:p>
        </w:tc>
        <w:tc>
          <w:tcPr>
            <w:tcW w:w="5220" w:type="dxa"/>
            <w:gridSpan w:val="6"/>
            <w:tcBorders>
              <w:tl2br w:val="nil"/>
              <w:tr2bl w:val="nil"/>
            </w:tcBorders>
            <w:vAlign w:val="center"/>
          </w:tcPr>
          <w:p w14:paraId="50A9C65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400</w:t>
            </w:r>
          </w:p>
        </w:tc>
        <w:tc>
          <w:tcPr>
            <w:tcW w:w="850" w:type="dxa"/>
            <w:vMerge w:val="continue"/>
            <w:tcBorders>
              <w:tl2br w:val="nil"/>
              <w:tr2bl w:val="nil"/>
            </w:tcBorders>
            <w:vAlign w:val="center"/>
          </w:tcPr>
          <w:p w14:paraId="6E82212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6C7FBD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40" w:type="dxa"/>
            <w:tcBorders>
              <w:tl2br w:val="nil"/>
              <w:tr2bl w:val="nil"/>
            </w:tcBorders>
            <w:vAlign w:val="center"/>
          </w:tcPr>
          <w:p w14:paraId="55B2626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2138" w:type="dxa"/>
            <w:tcBorders>
              <w:tl2br w:val="nil"/>
              <w:tr2bl w:val="nil"/>
            </w:tcBorders>
            <w:vAlign w:val="center"/>
          </w:tcPr>
          <w:p w14:paraId="24ED418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石油类</w:t>
            </w:r>
          </w:p>
        </w:tc>
        <w:tc>
          <w:tcPr>
            <w:tcW w:w="5220" w:type="dxa"/>
            <w:gridSpan w:val="6"/>
            <w:tcBorders>
              <w:tl2br w:val="nil"/>
              <w:tr2bl w:val="nil"/>
            </w:tcBorders>
            <w:vAlign w:val="center"/>
          </w:tcPr>
          <w:p w14:paraId="57049BF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850" w:type="dxa"/>
            <w:vMerge w:val="continue"/>
            <w:tcBorders>
              <w:tl2br w:val="nil"/>
              <w:tr2bl w:val="nil"/>
            </w:tcBorders>
            <w:vAlign w:val="center"/>
          </w:tcPr>
          <w:p w14:paraId="3511D93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68CECC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13A6FA5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2138" w:type="dxa"/>
            <w:tcBorders>
              <w:tl2br w:val="nil"/>
              <w:tr2bl w:val="nil"/>
            </w:tcBorders>
            <w:vAlign w:val="center"/>
          </w:tcPr>
          <w:p w14:paraId="463CCCE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化学需氧量</w:t>
            </w:r>
          </w:p>
          <w:p w14:paraId="29296FC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（CODcr）</w:t>
            </w:r>
          </w:p>
        </w:tc>
        <w:tc>
          <w:tcPr>
            <w:tcW w:w="5220" w:type="dxa"/>
            <w:gridSpan w:val="6"/>
            <w:tcBorders>
              <w:tl2br w:val="nil"/>
              <w:tr2bl w:val="nil"/>
            </w:tcBorders>
            <w:vAlign w:val="center"/>
          </w:tcPr>
          <w:p w14:paraId="3EA17BB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500</w:t>
            </w:r>
          </w:p>
        </w:tc>
        <w:tc>
          <w:tcPr>
            <w:tcW w:w="850" w:type="dxa"/>
            <w:vMerge w:val="continue"/>
            <w:tcBorders>
              <w:tl2br w:val="nil"/>
              <w:tr2bl w:val="nil"/>
            </w:tcBorders>
            <w:vAlign w:val="center"/>
          </w:tcPr>
          <w:p w14:paraId="1B1799B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53E0BF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2A7D527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2138" w:type="dxa"/>
            <w:tcBorders>
              <w:tl2br w:val="nil"/>
              <w:tr2bl w:val="nil"/>
            </w:tcBorders>
            <w:vAlign w:val="center"/>
          </w:tcPr>
          <w:p w14:paraId="21B464F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总有机碳（TOC）</w:t>
            </w:r>
          </w:p>
        </w:tc>
        <w:tc>
          <w:tcPr>
            <w:tcW w:w="5220" w:type="dxa"/>
            <w:gridSpan w:val="6"/>
            <w:tcBorders>
              <w:tl2br w:val="nil"/>
              <w:tr2bl w:val="nil"/>
            </w:tcBorders>
            <w:vAlign w:val="center"/>
          </w:tcPr>
          <w:p w14:paraId="6767B38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p>
        </w:tc>
        <w:tc>
          <w:tcPr>
            <w:tcW w:w="850" w:type="dxa"/>
            <w:vMerge w:val="continue"/>
            <w:tcBorders>
              <w:tl2br w:val="nil"/>
              <w:tr2bl w:val="nil"/>
            </w:tcBorders>
            <w:vAlign w:val="center"/>
          </w:tcPr>
          <w:p w14:paraId="69723CC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02BF5A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5ABBFF3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p>
        </w:tc>
        <w:tc>
          <w:tcPr>
            <w:tcW w:w="2138" w:type="dxa"/>
            <w:tcBorders>
              <w:tl2br w:val="nil"/>
              <w:tr2bl w:val="nil"/>
            </w:tcBorders>
            <w:vAlign w:val="center"/>
          </w:tcPr>
          <w:p w14:paraId="321041A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氨氮</w:t>
            </w:r>
          </w:p>
        </w:tc>
        <w:tc>
          <w:tcPr>
            <w:tcW w:w="5220" w:type="dxa"/>
            <w:gridSpan w:val="6"/>
            <w:tcBorders>
              <w:tl2br w:val="nil"/>
              <w:tr2bl w:val="nil"/>
            </w:tcBorders>
            <w:vAlign w:val="center"/>
          </w:tcPr>
          <w:p w14:paraId="7A1AC3E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w:t>
            </w:r>
          </w:p>
        </w:tc>
        <w:tc>
          <w:tcPr>
            <w:tcW w:w="850" w:type="dxa"/>
            <w:vMerge w:val="continue"/>
            <w:tcBorders>
              <w:tl2br w:val="nil"/>
              <w:tr2bl w:val="nil"/>
            </w:tcBorders>
            <w:vAlign w:val="center"/>
          </w:tcPr>
          <w:p w14:paraId="441D762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33285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58F5AD3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w:t>
            </w:r>
          </w:p>
        </w:tc>
        <w:tc>
          <w:tcPr>
            <w:tcW w:w="2138" w:type="dxa"/>
            <w:tcBorders>
              <w:tl2br w:val="nil"/>
              <w:tr2bl w:val="nil"/>
            </w:tcBorders>
            <w:vAlign w:val="center"/>
          </w:tcPr>
          <w:p w14:paraId="1D442F6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总氮</w:t>
            </w:r>
          </w:p>
        </w:tc>
        <w:tc>
          <w:tcPr>
            <w:tcW w:w="5220" w:type="dxa"/>
            <w:gridSpan w:val="6"/>
            <w:tcBorders>
              <w:tl2br w:val="nil"/>
              <w:tr2bl w:val="nil"/>
            </w:tcBorders>
            <w:vAlign w:val="center"/>
          </w:tcPr>
          <w:p w14:paraId="3FB9900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70</w:t>
            </w:r>
          </w:p>
        </w:tc>
        <w:tc>
          <w:tcPr>
            <w:tcW w:w="850" w:type="dxa"/>
            <w:vMerge w:val="continue"/>
            <w:tcBorders>
              <w:tl2br w:val="nil"/>
              <w:tr2bl w:val="nil"/>
            </w:tcBorders>
            <w:vAlign w:val="center"/>
          </w:tcPr>
          <w:p w14:paraId="2C3542B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11051D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4827704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c>
          <w:tcPr>
            <w:tcW w:w="2138" w:type="dxa"/>
            <w:tcBorders>
              <w:tl2br w:val="nil"/>
              <w:tr2bl w:val="nil"/>
            </w:tcBorders>
            <w:vAlign w:val="center"/>
          </w:tcPr>
          <w:p w14:paraId="399F4F7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总磷</w:t>
            </w:r>
          </w:p>
        </w:tc>
        <w:tc>
          <w:tcPr>
            <w:tcW w:w="5220" w:type="dxa"/>
            <w:gridSpan w:val="6"/>
            <w:tcBorders>
              <w:tl2br w:val="nil"/>
              <w:tr2bl w:val="nil"/>
            </w:tcBorders>
            <w:vAlign w:val="center"/>
          </w:tcPr>
          <w:p w14:paraId="50A8568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8.0</w:t>
            </w:r>
          </w:p>
        </w:tc>
        <w:tc>
          <w:tcPr>
            <w:tcW w:w="850" w:type="dxa"/>
            <w:vMerge w:val="continue"/>
            <w:tcBorders>
              <w:tl2br w:val="nil"/>
              <w:tr2bl w:val="nil"/>
            </w:tcBorders>
            <w:vAlign w:val="center"/>
          </w:tcPr>
          <w:p w14:paraId="4F79024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732A7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42D5B1D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w:t>
            </w:r>
          </w:p>
        </w:tc>
        <w:tc>
          <w:tcPr>
            <w:tcW w:w="2138" w:type="dxa"/>
            <w:tcBorders>
              <w:tl2br w:val="nil"/>
              <w:tr2bl w:val="nil"/>
            </w:tcBorders>
            <w:vAlign w:val="center"/>
          </w:tcPr>
          <w:p w14:paraId="0073977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阴离子表面活性剂</w:t>
            </w:r>
          </w:p>
          <w:p w14:paraId="540BCA3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（LAS）</w:t>
            </w:r>
          </w:p>
        </w:tc>
        <w:tc>
          <w:tcPr>
            <w:tcW w:w="5220" w:type="dxa"/>
            <w:gridSpan w:val="6"/>
            <w:tcBorders>
              <w:tl2br w:val="nil"/>
              <w:tr2bl w:val="nil"/>
            </w:tcBorders>
            <w:vAlign w:val="center"/>
          </w:tcPr>
          <w:p w14:paraId="090269B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850" w:type="dxa"/>
            <w:vMerge w:val="continue"/>
            <w:tcBorders>
              <w:tl2br w:val="nil"/>
              <w:tr2bl w:val="nil"/>
            </w:tcBorders>
            <w:vAlign w:val="center"/>
          </w:tcPr>
          <w:p w14:paraId="41D2BA9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21B2CB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7DF7F3A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2138" w:type="dxa"/>
            <w:tcBorders>
              <w:tl2br w:val="nil"/>
              <w:tr2bl w:val="nil"/>
            </w:tcBorders>
            <w:vAlign w:val="center"/>
          </w:tcPr>
          <w:p w14:paraId="5055370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总氰化物</w:t>
            </w:r>
          </w:p>
        </w:tc>
        <w:tc>
          <w:tcPr>
            <w:tcW w:w="5220" w:type="dxa"/>
            <w:gridSpan w:val="6"/>
            <w:tcBorders>
              <w:tl2br w:val="nil"/>
              <w:tr2bl w:val="nil"/>
            </w:tcBorders>
            <w:vAlign w:val="center"/>
          </w:tcPr>
          <w:p w14:paraId="435F285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850" w:type="dxa"/>
            <w:vMerge w:val="continue"/>
            <w:tcBorders>
              <w:tl2br w:val="nil"/>
              <w:tr2bl w:val="nil"/>
            </w:tcBorders>
            <w:vAlign w:val="center"/>
          </w:tcPr>
          <w:p w14:paraId="69797F6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16EA4E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217D7A8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p>
        </w:tc>
        <w:tc>
          <w:tcPr>
            <w:tcW w:w="2138" w:type="dxa"/>
            <w:tcBorders>
              <w:tl2br w:val="nil"/>
              <w:tr2bl w:val="nil"/>
            </w:tcBorders>
            <w:vAlign w:val="center"/>
          </w:tcPr>
          <w:p w14:paraId="2211CCA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硫化物</w:t>
            </w:r>
          </w:p>
        </w:tc>
        <w:tc>
          <w:tcPr>
            <w:tcW w:w="735" w:type="dxa"/>
            <w:tcBorders>
              <w:tl2br w:val="nil"/>
              <w:tr2bl w:val="nil"/>
            </w:tcBorders>
            <w:vAlign w:val="center"/>
          </w:tcPr>
          <w:p w14:paraId="63614CF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50" w:type="dxa"/>
            <w:tcBorders>
              <w:tl2br w:val="nil"/>
              <w:tr2bl w:val="nil"/>
            </w:tcBorders>
            <w:vAlign w:val="center"/>
          </w:tcPr>
          <w:p w14:paraId="2E07B0C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25" w:type="dxa"/>
            <w:tcBorders>
              <w:tl2br w:val="nil"/>
              <w:tr2bl w:val="nil"/>
            </w:tcBorders>
            <w:vAlign w:val="center"/>
          </w:tcPr>
          <w:p w14:paraId="198F1B7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877" w:type="dxa"/>
            <w:tcBorders>
              <w:tl2br w:val="nil"/>
              <w:tr2bl w:val="nil"/>
            </w:tcBorders>
            <w:vAlign w:val="center"/>
          </w:tcPr>
          <w:p w14:paraId="7ABCB71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1088" w:type="dxa"/>
            <w:tcBorders>
              <w:tl2br w:val="nil"/>
              <w:tr2bl w:val="nil"/>
            </w:tcBorders>
            <w:vAlign w:val="center"/>
          </w:tcPr>
          <w:p w14:paraId="1ACED9F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45" w:type="dxa"/>
            <w:tcBorders>
              <w:tl2br w:val="nil"/>
              <w:tr2bl w:val="nil"/>
            </w:tcBorders>
            <w:vAlign w:val="center"/>
          </w:tcPr>
          <w:p w14:paraId="10043F9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50" w:type="dxa"/>
            <w:vMerge w:val="continue"/>
            <w:tcBorders>
              <w:tl2br w:val="nil"/>
              <w:tr2bl w:val="nil"/>
            </w:tcBorders>
            <w:vAlign w:val="center"/>
          </w:tcPr>
          <w:p w14:paraId="76272EB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704EA7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6170B0C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2138" w:type="dxa"/>
            <w:tcBorders>
              <w:tl2br w:val="nil"/>
              <w:tr2bl w:val="nil"/>
            </w:tcBorders>
            <w:vAlign w:val="center"/>
          </w:tcPr>
          <w:p w14:paraId="4CB607C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氟化物</w:t>
            </w:r>
          </w:p>
        </w:tc>
        <w:tc>
          <w:tcPr>
            <w:tcW w:w="4275" w:type="dxa"/>
            <w:gridSpan w:val="5"/>
            <w:tcBorders>
              <w:tl2br w:val="nil"/>
              <w:tr2bl w:val="nil"/>
            </w:tcBorders>
            <w:vAlign w:val="center"/>
          </w:tcPr>
          <w:p w14:paraId="2555FCA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945" w:type="dxa"/>
            <w:tcBorders>
              <w:tl2br w:val="nil"/>
              <w:tr2bl w:val="nil"/>
            </w:tcBorders>
            <w:vAlign w:val="center"/>
          </w:tcPr>
          <w:p w14:paraId="290844E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50" w:type="dxa"/>
            <w:vMerge w:val="continue"/>
            <w:tcBorders>
              <w:tl2br w:val="nil"/>
              <w:tr2bl w:val="nil"/>
            </w:tcBorders>
            <w:vAlign w:val="center"/>
          </w:tcPr>
          <w:p w14:paraId="4EFDFF9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702475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45510A8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w:t>
            </w:r>
          </w:p>
        </w:tc>
        <w:tc>
          <w:tcPr>
            <w:tcW w:w="2138" w:type="dxa"/>
            <w:tcBorders>
              <w:tl2br w:val="nil"/>
              <w:tr2bl w:val="nil"/>
            </w:tcBorders>
            <w:vAlign w:val="center"/>
          </w:tcPr>
          <w:p w14:paraId="59A1F1B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总铜</w:t>
            </w:r>
          </w:p>
        </w:tc>
        <w:tc>
          <w:tcPr>
            <w:tcW w:w="4275" w:type="dxa"/>
            <w:gridSpan w:val="5"/>
            <w:tcBorders>
              <w:tl2br w:val="nil"/>
              <w:tr2bl w:val="nil"/>
            </w:tcBorders>
            <w:vAlign w:val="center"/>
          </w:tcPr>
          <w:p w14:paraId="02224CA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945" w:type="dxa"/>
            <w:tcBorders>
              <w:tl2br w:val="nil"/>
              <w:tr2bl w:val="nil"/>
            </w:tcBorders>
            <w:vAlign w:val="center"/>
          </w:tcPr>
          <w:p w14:paraId="6E2389C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vertAlign w:val="superscript"/>
                <w:lang w:val="en-US" w:eastAsia="zh-CN"/>
              </w:rPr>
              <w:t>（2）</w:t>
            </w:r>
          </w:p>
        </w:tc>
        <w:tc>
          <w:tcPr>
            <w:tcW w:w="850" w:type="dxa"/>
            <w:vMerge w:val="continue"/>
            <w:tcBorders>
              <w:tl2br w:val="nil"/>
              <w:tr2bl w:val="nil"/>
            </w:tcBorders>
            <w:vAlign w:val="center"/>
          </w:tcPr>
          <w:p w14:paraId="3B1ABB3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06106D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5F08E23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w:t>
            </w:r>
          </w:p>
        </w:tc>
        <w:tc>
          <w:tcPr>
            <w:tcW w:w="2138" w:type="dxa"/>
            <w:tcBorders>
              <w:tl2br w:val="nil"/>
              <w:tr2bl w:val="nil"/>
            </w:tcBorders>
            <w:vAlign w:val="center"/>
          </w:tcPr>
          <w:p w14:paraId="520C392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总锌</w:t>
            </w:r>
          </w:p>
        </w:tc>
        <w:tc>
          <w:tcPr>
            <w:tcW w:w="735" w:type="dxa"/>
            <w:tcBorders>
              <w:tl2br w:val="nil"/>
              <w:tr2bl w:val="nil"/>
            </w:tcBorders>
            <w:vAlign w:val="center"/>
          </w:tcPr>
          <w:p w14:paraId="436AFEA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750" w:type="dxa"/>
            <w:tcBorders>
              <w:tl2br w:val="nil"/>
              <w:tr2bl w:val="nil"/>
            </w:tcBorders>
            <w:vAlign w:val="center"/>
          </w:tcPr>
          <w:p w14:paraId="7F663A1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825" w:type="dxa"/>
            <w:tcBorders>
              <w:tl2br w:val="nil"/>
              <w:tr2bl w:val="nil"/>
            </w:tcBorders>
            <w:vAlign w:val="center"/>
          </w:tcPr>
          <w:p w14:paraId="39B7D54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77" w:type="dxa"/>
            <w:tcBorders>
              <w:tl2br w:val="nil"/>
              <w:tr2bl w:val="nil"/>
            </w:tcBorders>
            <w:vAlign w:val="center"/>
          </w:tcPr>
          <w:p w14:paraId="7F7895C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1088" w:type="dxa"/>
            <w:tcBorders>
              <w:tl2br w:val="nil"/>
              <w:tr2bl w:val="nil"/>
            </w:tcBorders>
            <w:vAlign w:val="center"/>
          </w:tcPr>
          <w:p w14:paraId="66DCD69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945" w:type="dxa"/>
            <w:tcBorders>
              <w:tl2br w:val="nil"/>
              <w:tr2bl w:val="nil"/>
            </w:tcBorders>
            <w:vAlign w:val="center"/>
          </w:tcPr>
          <w:p w14:paraId="1C4C94D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r>
              <w:rPr>
                <w:rFonts w:hint="eastAsia" w:ascii="Times New Roman" w:hAnsi="Times New Roman" w:eastAsia="宋体" w:cs="Times New Roman"/>
                <w:color w:val="auto"/>
                <w:sz w:val="21"/>
                <w:szCs w:val="21"/>
                <w:highlight w:val="none"/>
                <w:vertAlign w:val="superscript"/>
                <w:lang w:val="en-US" w:eastAsia="zh-CN"/>
              </w:rPr>
              <w:t>（2）</w:t>
            </w:r>
          </w:p>
        </w:tc>
        <w:tc>
          <w:tcPr>
            <w:tcW w:w="850" w:type="dxa"/>
            <w:vMerge w:val="continue"/>
            <w:tcBorders>
              <w:tl2br w:val="nil"/>
              <w:tr2bl w:val="nil"/>
            </w:tcBorders>
            <w:vAlign w:val="center"/>
          </w:tcPr>
          <w:p w14:paraId="56E1C5D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220E01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7E9AE1E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2138" w:type="dxa"/>
            <w:tcBorders>
              <w:tl2br w:val="nil"/>
              <w:tr2bl w:val="nil"/>
            </w:tcBorders>
            <w:vAlign w:val="center"/>
          </w:tcPr>
          <w:p w14:paraId="4A4D4E0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总铅</w:t>
            </w:r>
          </w:p>
        </w:tc>
        <w:tc>
          <w:tcPr>
            <w:tcW w:w="4275" w:type="dxa"/>
            <w:gridSpan w:val="5"/>
            <w:tcBorders>
              <w:tl2br w:val="nil"/>
              <w:tr2bl w:val="nil"/>
            </w:tcBorders>
            <w:vAlign w:val="center"/>
          </w:tcPr>
          <w:p w14:paraId="6B712B5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945" w:type="dxa"/>
            <w:tcBorders>
              <w:tl2br w:val="nil"/>
              <w:tr2bl w:val="nil"/>
            </w:tcBorders>
            <w:vAlign w:val="center"/>
          </w:tcPr>
          <w:p w14:paraId="396739A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r>
              <w:rPr>
                <w:rFonts w:hint="eastAsia" w:ascii="Times New Roman" w:hAnsi="Times New Roman" w:eastAsia="宋体" w:cs="Times New Roman"/>
                <w:color w:val="auto"/>
                <w:sz w:val="21"/>
                <w:szCs w:val="21"/>
                <w:highlight w:val="none"/>
                <w:vertAlign w:val="superscript"/>
                <w:lang w:val="en-US" w:eastAsia="zh-CN"/>
              </w:rPr>
              <w:t>（2）</w:t>
            </w:r>
          </w:p>
        </w:tc>
        <w:tc>
          <w:tcPr>
            <w:tcW w:w="850" w:type="dxa"/>
            <w:vMerge w:val="restart"/>
            <w:tcBorders>
              <w:tl2br w:val="nil"/>
              <w:tr2bl w:val="nil"/>
            </w:tcBorders>
            <w:vAlign w:val="center"/>
          </w:tcPr>
          <w:p w14:paraId="7E2A9A1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车间或生产设施排放口</w:t>
            </w:r>
          </w:p>
        </w:tc>
      </w:tr>
      <w:tr w14:paraId="019434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4360B41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w:t>
            </w:r>
          </w:p>
        </w:tc>
        <w:tc>
          <w:tcPr>
            <w:tcW w:w="2138" w:type="dxa"/>
            <w:tcBorders>
              <w:tl2br w:val="nil"/>
              <w:tr2bl w:val="nil"/>
            </w:tcBorders>
            <w:vAlign w:val="center"/>
          </w:tcPr>
          <w:p w14:paraId="222A62F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总镉</w:t>
            </w:r>
          </w:p>
        </w:tc>
        <w:tc>
          <w:tcPr>
            <w:tcW w:w="735" w:type="dxa"/>
            <w:tcBorders>
              <w:tl2br w:val="nil"/>
              <w:tr2bl w:val="nil"/>
            </w:tcBorders>
            <w:vAlign w:val="center"/>
          </w:tcPr>
          <w:p w14:paraId="4AB188D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0.05</w:t>
            </w:r>
          </w:p>
        </w:tc>
        <w:tc>
          <w:tcPr>
            <w:tcW w:w="750" w:type="dxa"/>
            <w:tcBorders>
              <w:tl2br w:val="nil"/>
              <w:tr2bl w:val="nil"/>
            </w:tcBorders>
            <w:vAlign w:val="center"/>
          </w:tcPr>
          <w:p w14:paraId="1580839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0.05</w:t>
            </w:r>
          </w:p>
        </w:tc>
        <w:tc>
          <w:tcPr>
            <w:tcW w:w="825" w:type="dxa"/>
            <w:tcBorders>
              <w:tl2br w:val="nil"/>
              <w:tr2bl w:val="nil"/>
            </w:tcBorders>
            <w:vAlign w:val="center"/>
          </w:tcPr>
          <w:p w14:paraId="54977AA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77" w:type="dxa"/>
            <w:tcBorders>
              <w:tl2br w:val="nil"/>
              <w:tr2bl w:val="nil"/>
            </w:tcBorders>
            <w:vAlign w:val="center"/>
          </w:tcPr>
          <w:p w14:paraId="19A0EAB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0.05</w:t>
            </w:r>
          </w:p>
        </w:tc>
        <w:tc>
          <w:tcPr>
            <w:tcW w:w="1088" w:type="dxa"/>
            <w:tcBorders>
              <w:tl2br w:val="nil"/>
              <w:tr2bl w:val="nil"/>
            </w:tcBorders>
            <w:vAlign w:val="center"/>
          </w:tcPr>
          <w:p w14:paraId="1B06F93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45" w:type="dxa"/>
            <w:tcBorders>
              <w:tl2br w:val="nil"/>
              <w:tr2bl w:val="nil"/>
            </w:tcBorders>
            <w:vAlign w:val="center"/>
          </w:tcPr>
          <w:p w14:paraId="0D1EF7B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0.05</w:t>
            </w:r>
            <w:r>
              <w:rPr>
                <w:rFonts w:hint="eastAsia" w:ascii="Times New Roman" w:hAnsi="Times New Roman" w:eastAsia="宋体" w:cs="Times New Roman"/>
                <w:color w:val="auto"/>
                <w:sz w:val="21"/>
                <w:szCs w:val="21"/>
                <w:highlight w:val="none"/>
                <w:vertAlign w:val="superscript"/>
                <w:lang w:val="en-US" w:eastAsia="zh-CN"/>
              </w:rPr>
              <w:t>（2）</w:t>
            </w:r>
          </w:p>
        </w:tc>
        <w:tc>
          <w:tcPr>
            <w:tcW w:w="850" w:type="dxa"/>
            <w:vMerge w:val="continue"/>
            <w:tcBorders>
              <w:tl2br w:val="nil"/>
              <w:tr2bl w:val="nil"/>
            </w:tcBorders>
            <w:vAlign w:val="center"/>
          </w:tcPr>
          <w:p w14:paraId="5095247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03E7B3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55B3951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w:t>
            </w:r>
          </w:p>
        </w:tc>
        <w:tc>
          <w:tcPr>
            <w:tcW w:w="2138" w:type="dxa"/>
            <w:tcBorders>
              <w:tl2br w:val="nil"/>
              <w:tr2bl w:val="nil"/>
            </w:tcBorders>
            <w:vAlign w:val="center"/>
          </w:tcPr>
          <w:p w14:paraId="08B48A4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总铬</w:t>
            </w:r>
          </w:p>
        </w:tc>
        <w:tc>
          <w:tcPr>
            <w:tcW w:w="735" w:type="dxa"/>
            <w:tcBorders>
              <w:tl2br w:val="nil"/>
              <w:tr2bl w:val="nil"/>
            </w:tcBorders>
            <w:vAlign w:val="center"/>
          </w:tcPr>
          <w:p w14:paraId="4B91470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750" w:type="dxa"/>
            <w:tcBorders>
              <w:tl2br w:val="nil"/>
              <w:tr2bl w:val="nil"/>
            </w:tcBorders>
            <w:vAlign w:val="center"/>
          </w:tcPr>
          <w:p w14:paraId="5208084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825" w:type="dxa"/>
            <w:tcBorders>
              <w:tl2br w:val="nil"/>
              <w:tr2bl w:val="nil"/>
            </w:tcBorders>
            <w:vAlign w:val="center"/>
          </w:tcPr>
          <w:p w14:paraId="7BBF548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77" w:type="dxa"/>
            <w:tcBorders>
              <w:tl2br w:val="nil"/>
              <w:tr2bl w:val="nil"/>
            </w:tcBorders>
            <w:vAlign w:val="center"/>
          </w:tcPr>
          <w:p w14:paraId="3B63044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1088" w:type="dxa"/>
            <w:tcBorders>
              <w:tl2br w:val="nil"/>
              <w:tr2bl w:val="nil"/>
            </w:tcBorders>
            <w:vAlign w:val="center"/>
          </w:tcPr>
          <w:p w14:paraId="7841631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45" w:type="dxa"/>
            <w:tcBorders>
              <w:tl2br w:val="nil"/>
              <w:tr2bl w:val="nil"/>
            </w:tcBorders>
            <w:vAlign w:val="center"/>
          </w:tcPr>
          <w:p w14:paraId="48D438C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（2）</w:t>
            </w:r>
          </w:p>
        </w:tc>
        <w:tc>
          <w:tcPr>
            <w:tcW w:w="850" w:type="dxa"/>
            <w:vMerge w:val="continue"/>
            <w:tcBorders>
              <w:tl2br w:val="nil"/>
              <w:tr2bl w:val="nil"/>
            </w:tcBorders>
            <w:vAlign w:val="center"/>
          </w:tcPr>
          <w:p w14:paraId="13476A0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357A06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692A9EA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w:t>
            </w:r>
          </w:p>
        </w:tc>
        <w:tc>
          <w:tcPr>
            <w:tcW w:w="2138" w:type="dxa"/>
            <w:tcBorders>
              <w:tl2br w:val="nil"/>
              <w:tr2bl w:val="nil"/>
            </w:tcBorders>
            <w:vAlign w:val="center"/>
          </w:tcPr>
          <w:p w14:paraId="6B5787A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六价铬</w:t>
            </w:r>
          </w:p>
        </w:tc>
        <w:tc>
          <w:tcPr>
            <w:tcW w:w="735" w:type="dxa"/>
            <w:tcBorders>
              <w:tl2br w:val="nil"/>
              <w:tr2bl w:val="nil"/>
            </w:tcBorders>
            <w:vAlign w:val="center"/>
          </w:tcPr>
          <w:p w14:paraId="0F8CF59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750" w:type="dxa"/>
            <w:tcBorders>
              <w:tl2br w:val="nil"/>
              <w:tr2bl w:val="nil"/>
            </w:tcBorders>
            <w:vAlign w:val="center"/>
          </w:tcPr>
          <w:p w14:paraId="69669A8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825" w:type="dxa"/>
            <w:tcBorders>
              <w:tl2br w:val="nil"/>
              <w:tr2bl w:val="nil"/>
            </w:tcBorders>
            <w:vAlign w:val="center"/>
          </w:tcPr>
          <w:p w14:paraId="6F056A9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77" w:type="dxa"/>
            <w:tcBorders>
              <w:tl2br w:val="nil"/>
              <w:tr2bl w:val="nil"/>
            </w:tcBorders>
            <w:vAlign w:val="center"/>
          </w:tcPr>
          <w:p w14:paraId="2C89ED7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1088" w:type="dxa"/>
            <w:tcBorders>
              <w:tl2br w:val="nil"/>
              <w:tr2bl w:val="nil"/>
            </w:tcBorders>
            <w:vAlign w:val="center"/>
          </w:tcPr>
          <w:p w14:paraId="75B3BA1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45" w:type="dxa"/>
            <w:tcBorders>
              <w:tl2br w:val="nil"/>
              <w:tr2bl w:val="nil"/>
            </w:tcBorders>
            <w:vAlign w:val="center"/>
          </w:tcPr>
          <w:p w14:paraId="4B01011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r>
              <w:rPr>
                <w:rFonts w:hint="eastAsia" w:ascii="Times New Roman" w:hAnsi="Times New Roman" w:eastAsia="宋体" w:cs="Times New Roman"/>
                <w:color w:val="auto"/>
                <w:sz w:val="21"/>
                <w:szCs w:val="21"/>
                <w:highlight w:val="none"/>
                <w:vertAlign w:val="superscript"/>
                <w:lang w:val="en-US" w:eastAsia="zh-CN"/>
              </w:rPr>
              <w:t>（2）</w:t>
            </w:r>
          </w:p>
        </w:tc>
        <w:tc>
          <w:tcPr>
            <w:tcW w:w="850" w:type="dxa"/>
            <w:vMerge w:val="continue"/>
            <w:tcBorders>
              <w:tl2br w:val="nil"/>
              <w:tr2bl w:val="nil"/>
            </w:tcBorders>
            <w:vAlign w:val="center"/>
          </w:tcPr>
          <w:p w14:paraId="2BD2206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60D261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6E18323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w:t>
            </w:r>
          </w:p>
        </w:tc>
        <w:tc>
          <w:tcPr>
            <w:tcW w:w="2138" w:type="dxa"/>
            <w:tcBorders>
              <w:tl2br w:val="nil"/>
              <w:tr2bl w:val="nil"/>
            </w:tcBorders>
            <w:vAlign w:val="center"/>
          </w:tcPr>
          <w:p w14:paraId="102188D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总砷</w:t>
            </w:r>
          </w:p>
        </w:tc>
        <w:tc>
          <w:tcPr>
            <w:tcW w:w="735" w:type="dxa"/>
            <w:tcBorders>
              <w:tl2br w:val="nil"/>
              <w:tr2bl w:val="nil"/>
            </w:tcBorders>
            <w:vAlign w:val="center"/>
          </w:tcPr>
          <w:p w14:paraId="7564B1A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750" w:type="dxa"/>
            <w:tcBorders>
              <w:tl2br w:val="nil"/>
              <w:tr2bl w:val="nil"/>
            </w:tcBorders>
            <w:vAlign w:val="center"/>
          </w:tcPr>
          <w:p w14:paraId="1C3DD2E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825" w:type="dxa"/>
            <w:tcBorders>
              <w:tl2br w:val="nil"/>
              <w:tr2bl w:val="nil"/>
            </w:tcBorders>
            <w:vAlign w:val="center"/>
          </w:tcPr>
          <w:p w14:paraId="7B7C79A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77" w:type="dxa"/>
            <w:tcBorders>
              <w:tl2br w:val="nil"/>
              <w:tr2bl w:val="nil"/>
            </w:tcBorders>
            <w:vAlign w:val="center"/>
          </w:tcPr>
          <w:p w14:paraId="421ACB5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1088" w:type="dxa"/>
            <w:tcBorders>
              <w:tl2br w:val="nil"/>
              <w:tr2bl w:val="nil"/>
            </w:tcBorders>
            <w:vAlign w:val="center"/>
          </w:tcPr>
          <w:p w14:paraId="17D303D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945" w:type="dxa"/>
            <w:tcBorders>
              <w:tl2br w:val="nil"/>
              <w:tr2bl w:val="nil"/>
            </w:tcBorders>
            <w:vAlign w:val="center"/>
          </w:tcPr>
          <w:p w14:paraId="4D3B165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50" w:type="dxa"/>
            <w:vMerge w:val="continue"/>
            <w:tcBorders>
              <w:tl2br w:val="nil"/>
              <w:tr2bl w:val="nil"/>
            </w:tcBorders>
            <w:vAlign w:val="center"/>
          </w:tcPr>
          <w:p w14:paraId="7602218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7F2AFD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779833A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2138" w:type="dxa"/>
            <w:tcBorders>
              <w:tl2br w:val="nil"/>
              <w:tr2bl w:val="nil"/>
            </w:tcBorders>
            <w:vAlign w:val="center"/>
          </w:tcPr>
          <w:p w14:paraId="308C8ED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总镍</w:t>
            </w:r>
          </w:p>
        </w:tc>
        <w:tc>
          <w:tcPr>
            <w:tcW w:w="4275" w:type="dxa"/>
            <w:gridSpan w:val="5"/>
            <w:tcBorders>
              <w:tl2br w:val="nil"/>
              <w:tr2bl w:val="nil"/>
            </w:tcBorders>
            <w:vAlign w:val="center"/>
          </w:tcPr>
          <w:p w14:paraId="31AFB7F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945" w:type="dxa"/>
            <w:tcBorders>
              <w:tl2br w:val="nil"/>
              <w:tr2bl w:val="nil"/>
            </w:tcBorders>
            <w:vAlign w:val="center"/>
          </w:tcPr>
          <w:p w14:paraId="3814517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r>
              <w:rPr>
                <w:rFonts w:hint="eastAsia" w:ascii="Times New Roman" w:hAnsi="Times New Roman" w:eastAsia="宋体" w:cs="Times New Roman"/>
                <w:color w:val="auto"/>
                <w:sz w:val="21"/>
                <w:szCs w:val="21"/>
                <w:highlight w:val="none"/>
                <w:vertAlign w:val="superscript"/>
                <w:lang w:val="en-US" w:eastAsia="zh-CN"/>
              </w:rPr>
              <w:t>（2）</w:t>
            </w:r>
          </w:p>
        </w:tc>
        <w:tc>
          <w:tcPr>
            <w:tcW w:w="850" w:type="dxa"/>
            <w:vMerge w:val="continue"/>
            <w:tcBorders>
              <w:tl2br w:val="nil"/>
              <w:tr2bl w:val="nil"/>
            </w:tcBorders>
            <w:vAlign w:val="center"/>
          </w:tcPr>
          <w:p w14:paraId="30792B9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7491D6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0" w:type="dxa"/>
            <w:tcBorders>
              <w:tl2br w:val="nil"/>
              <w:tr2bl w:val="nil"/>
            </w:tcBorders>
            <w:vAlign w:val="center"/>
          </w:tcPr>
          <w:p w14:paraId="520593C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w:t>
            </w:r>
          </w:p>
        </w:tc>
        <w:tc>
          <w:tcPr>
            <w:tcW w:w="2138" w:type="dxa"/>
            <w:tcBorders>
              <w:tl2br w:val="nil"/>
              <w:tr2bl w:val="nil"/>
            </w:tcBorders>
            <w:vAlign w:val="center"/>
          </w:tcPr>
          <w:p w14:paraId="5EF155C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总银</w:t>
            </w:r>
          </w:p>
        </w:tc>
        <w:tc>
          <w:tcPr>
            <w:tcW w:w="4275" w:type="dxa"/>
            <w:gridSpan w:val="5"/>
            <w:tcBorders>
              <w:tl2br w:val="nil"/>
              <w:tr2bl w:val="nil"/>
            </w:tcBorders>
            <w:vAlign w:val="center"/>
          </w:tcPr>
          <w:p w14:paraId="387FEBC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945" w:type="dxa"/>
            <w:tcBorders>
              <w:tl2br w:val="nil"/>
              <w:tr2bl w:val="nil"/>
            </w:tcBorders>
            <w:vAlign w:val="center"/>
          </w:tcPr>
          <w:p w14:paraId="05471FB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r>
              <w:rPr>
                <w:rFonts w:hint="eastAsia" w:ascii="Times New Roman" w:hAnsi="Times New Roman" w:eastAsia="宋体" w:cs="Times New Roman"/>
                <w:color w:val="auto"/>
                <w:sz w:val="21"/>
                <w:szCs w:val="21"/>
                <w:highlight w:val="none"/>
                <w:vertAlign w:val="superscript"/>
                <w:lang w:val="en-US" w:eastAsia="zh-CN"/>
              </w:rPr>
              <w:t>（2）</w:t>
            </w:r>
          </w:p>
        </w:tc>
        <w:tc>
          <w:tcPr>
            <w:tcW w:w="850" w:type="dxa"/>
            <w:vMerge w:val="continue"/>
            <w:tcBorders>
              <w:tl2br w:val="nil"/>
              <w:tr2bl w:val="nil"/>
            </w:tcBorders>
            <w:vAlign w:val="center"/>
          </w:tcPr>
          <w:p w14:paraId="038C54F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r>
      <w:tr w14:paraId="1CAA6B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3" w:hRule="atLeast"/>
        </w:trPr>
        <w:tc>
          <w:tcPr>
            <w:tcW w:w="8648" w:type="dxa"/>
            <w:gridSpan w:val="9"/>
            <w:tcBorders>
              <w:tl2br w:val="nil"/>
              <w:tr2bl w:val="nil"/>
            </w:tcBorders>
            <w:vAlign w:val="center"/>
          </w:tcPr>
          <w:p w14:paraId="68D190EE">
            <w:pPr>
              <w:keepNext w:val="0"/>
              <w:keepLines w:val="0"/>
              <w:pageBreakBefore w:val="0"/>
              <w:widowControl/>
              <w:kinsoku w:val="0"/>
              <w:wordWrap/>
              <w:overflowPunct/>
              <w:topLinePunct w:val="0"/>
              <w:autoSpaceDE w:val="0"/>
              <w:autoSpaceDN w:val="0"/>
              <w:bidi w:val="0"/>
              <w:adjustRightInd w:val="0"/>
              <w:snapToGrid w:val="0"/>
              <w:jc w:val="both"/>
              <w:textAlignment w:val="baseline"/>
              <w:rPr>
                <w:rFonts w:hint="default" w:ascii="Times New Roman" w:hAnsi="Times New Roman" w:eastAsia="宋体" w:cs="Times New Roman"/>
                <w:color w:val="auto"/>
                <w:highlight w:val="none"/>
                <w:lang w:val="en-US" w:eastAsia="zh-CN"/>
              </w:rPr>
            </w:pPr>
            <w:bookmarkStart w:id="934" w:name="OLE_LINK326"/>
            <w:r>
              <w:rPr>
                <w:rFonts w:hint="default" w:ascii="Times New Roman" w:hAnsi="Times New Roman" w:eastAsia="宋体" w:cs="Times New Roman"/>
                <w:color w:val="auto"/>
                <w:sz w:val="21"/>
                <w:szCs w:val="21"/>
                <w:highlight w:val="none"/>
                <w:lang w:val="en-US" w:eastAsia="zh-CN"/>
              </w:rPr>
              <w:t>注：</w:t>
            </w:r>
            <w:bookmarkStart w:id="935" w:name="OLE_LINK320"/>
            <w:bookmarkStart w:id="936" w:name="OLE_LINK321"/>
            <w:r>
              <w:rPr>
                <w:rFonts w:hint="default" w:ascii="Times New Roman" w:hAnsi="Times New Roman" w:eastAsia="宋体" w:cs="Times New Roman"/>
                <w:color w:val="auto"/>
                <w:sz w:val="21"/>
                <w:szCs w:val="21"/>
                <w:highlight w:val="none"/>
                <w:vertAlign w:val="superscript"/>
                <w:lang w:val="en-US" w:eastAsia="zh-CN"/>
              </w:rPr>
              <w:t>（1</w:t>
            </w:r>
            <w:bookmarkEnd w:id="935"/>
            <w:r>
              <w:rPr>
                <w:rFonts w:hint="default" w:ascii="Times New Roman" w:hAnsi="Times New Roman" w:eastAsia="宋体" w:cs="Times New Roman"/>
                <w:color w:val="auto"/>
                <w:sz w:val="21"/>
                <w:szCs w:val="21"/>
                <w:highlight w:val="none"/>
                <w:vertAlign w:val="superscript"/>
                <w:lang w:val="en-US" w:eastAsia="zh-CN"/>
              </w:rPr>
              <w:t>）</w:t>
            </w:r>
            <w:bookmarkEnd w:id="936"/>
            <w:r>
              <w:rPr>
                <w:rFonts w:hint="default" w:ascii="Times New Roman" w:hAnsi="Times New Roman" w:eastAsia="宋体" w:cs="Times New Roman"/>
                <w:color w:val="auto"/>
                <w:highlight w:val="none"/>
                <w:lang w:val="en-US" w:eastAsia="zh-CN"/>
              </w:rPr>
              <w:t>当</w:t>
            </w:r>
            <w:bookmarkStart w:id="937" w:name="OLE_LINK323"/>
            <w:r>
              <w:rPr>
                <w:rFonts w:hint="default" w:ascii="Times New Roman" w:hAnsi="Times New Roman" w:eastAsia="宋体" w:cs="Times New Roman"/>
                <w:color w:val="auto"/>
                <w:highlight w:val="none"/>
                <w:lang w:val="en-US" w:eastAsia="zh-CN"/>
              </w:rPr>
              <w:t>企业废水排向城镇污水集中处理设施时，</w:t>
            </w:r>
            <w:bookmarkStart w:id="938" w:name="OLE_LINK324"/>
            <w:r>
              <w:rPr>
                <w:rFonts w:hint="default" w:ascii="Times New Roman" w:hAnsi="Times New Roman" w:eastAsia="宋体" w:cs="Times New Roman"/>
                <w:color w:val="auto"/>
                <w:highlight w:val="none"/>
                <w:lang w:val="en-US" w:eastAsia="zh-CN"/>
              </w:rPr>
              <w:t>执行本表规定的间接排放限值。</w:t>
            </w:r>
            <w:bookmarkEnd w:id="937"/>
            <w:bookmarkEnd w:id="938"/>
          </w:p>
          <w:p w14:paraId="41370C05">
            <w:pPr>
              <w:pStyle w:val="17"/>
              <w:keepNext w:val="0"/>
              <w:keepLines w:val="0"/>
              <w:pageBreakBefore w:val="0"/>
              <w:widowControl/>
              <w:kinsoku w:val="0"/>
              <w:wordWrap/>
              <w:overflowPunct/>
              <w:topLinePunct w:val="0"/>
              <w:autoSpaceDE w:val="0"/>
              <w:autoSpaceDN w:val="0"/>
              <w:bidi w:val="0"/>
              <w:adjustRightInd w:val="0"/>
              <w:snapToGrid w:val="0"/>
              <w:ind w:left="0" w:leftChars="0" w:firstLine="420" w:firstLineChars="200"/>
              <w:textAlignment w:val="baseline"/>
              <w:rPr>
                <w:rFonts w:hint="default" w:ascii="Times New Roman" w:hAnsi="Times New Roman" w:eastAsia="宋体" w:cs="Times New Roman"/>
                <w:color w:val="auto"/>
                <w:highlight w:val="none"/>
                <w:lang w:val="en-US" w:eastAsia="zh-CN"/>
              </w:rPr>
            </w:pPr>
            <w:bookmarkStart w:id="939" w:name="sys4002059"/>
            <w:bookmarkStart w:id="940" w:name="OLE_LINK325"/>
            <w:r>
              <w:rPr>
                <w:rFonts w:hint="default" w:ascii="Times New Roman" w:hAnsi="Times New Roman" w:eastAsia="宋体" w:cs="Times New Roman"/>
                <w:color w:val="auto"/>
                <w:highlight w:val="none"/>
                <w:lang w:val="en-US" w:eastAsia="zh-CN"/>
              </w:rPr>
              <w:t>当企业废水排向电子工业污水集中处理设施时，第1-14项指标可协商确定间接排放限值，未协商的执行本表规定的间接排放限值。</w:t>
            </w:r>
            <w:bookmarkEnd w:id="939"/>
            <w:r>
              <w:rPr>
                <w:rFonts w:hint="default" w:ascii="Times New Roman" w:hAnsi="Times New Roman" w:eastAsia="宋体" w:cs="Times New Roman"/>
                <w:color w:val="auto"/>
                <w:highlight w:val="none"/>
                <w:lang w:val="en-US" w:eastAsia="zh-CN"/>
              </w:rPr>
              <w:t>如果企业含总铅、总镉、总铬、六价铬、总砷、总镍、总银中任一种污染物的污水，实行分类收集、专管专送和分质集中预处理，且在企业出口端和电子工业污水集中处理设施入口端均对水质及水量进行监测，则第15-21项指标可协商确定间接排放限值，未协商的执行本表规定的间接排放限值</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电子工业污水集中处理设施的分质集中预处理单元出口执行本表规定的排放限值。</w:t>
            </w:r>
          </w:p>
          <w:p w14:paraId="1D609BCE">
            <w:pPr>
              <w:pStyle w:val="17"/>
              <w:keepNext w:val="0"/>
              <w:keepLines w:val="0"/>
              <w:pageBreakBefore w:val="0"/>
              <w:widowControl/>
              <w:kinsoku w:val="0"/>
              <w:wordWrap/>
              <w:overflowPunct/>
              <w:topLinePunct w:val="0"/>
              <w:autoSpaceDE w:val="0"/>
              <w:autoSpaceDN w:val="0"/>
              <w:bidi w:val="0"/>
              <w:adjustRightInd w:val="0"/>
              <w:snapToGrid w:val="0"/>
              <w:ind w:left="0" w:leftChars="0" w:firstLine="420" w:firstLineChars="200"/>
              <w:textAlignment w:val="baseline"/>
              <w:rPr>
                <w:rFonts w:hint="default" w:ascii="Times New Roman" w:hAnsi="Times New Roman" w:eastAsia="宋体" w:cs="Times New Roman"/>
                <w:color w:val="auto"/>
                <w:highlight w:val="none"/>
                <w:lang w:val="en-US" w:eastAsia="zh-CN"/>
              </w:rPr>
            </w:pPr>
            <w:bookmarkStart w:id="941" w:name="sys4003068"/>
            <w:r>
              <w:rPr>
                <w:rFonts w:hint="default" w:ascii="Times New Roman" w:hAnsi="Times New Roman" w:eastAsia="宋体" w:cs="Times New Roman"/>
                <w:color w:val="auto"/>
                <w:highlight w:val="none"/>
                <w:lang w:val="en-US" w:eastAsia="zh-CN"/>
              </w:rPr>
              <w:t>当企业废水排向其他污水集中处理设施时，第1-8项指标可协商确定间接排放限值，未协商的指标以及第9-21项指标执行本</w:t>
            </w:r>
            <w:sdt>
              <w:sdtPr>
                <w:rPr>
                  <w:color w:val="auto"/>
                  <w:highlight w:val="none"/>
                </w:rPr>
                <w:alias w:val="易错词检查"/>
                <w:tag w:val="auto"/>
                <w:id w:val="3061414"/>
              </w:sdtPr>
              <w:sdtEndPr>
                <w:rPr>
                  <w:color w:val="auto"/>
                  <w:highlight w:val="none"/>
                </w:rPr>
              </w:sdtEndPr>
              <w:sdtContent>
                <w:bookmarkStart w:id="942" w:name="bkReivew3061414"/>
                <w:r>
                  <w:rPr>
                    <w:rFonts w:hint="default" w:ascii="Times New Roman" w:hAnsi="Times New Roman" w:eastAsia="宋体" w:cs="Times New Roman"/>
                    <w:color w:val="auto"/>
                    <w:highlight w:val="none"/>
                    <w:lang w:val="en-US" w:eastAsia="zh-CN"/>
                  </w:rPr>
                  <w:t>表</w:t>
                </w:r>
                <w:bookmarkEnd w:id="942"/>
              </w:sdtContent>
            </w:sdt>
            <w:r>
              <w:rPr>
                <w:rFonts w:hint="default" w:ascii="Times New Roman" w:hAnsi="Times New Roman" w:eastAsia="宋体" w:cs="Times New Roman"/>
                <w:color w:val="auto"/>
                <w:highlight w:val="none"/>
                <w:lang w:val="en-US" w:eastAsia="zh-CN"/>
              </w:rPr>
              <w:t>规定的间接排放限值。</w:t>
            </w:r>
            <w:bookmarkEnd w:id="941"/>
          </w:p>
          <w:bookmarkEnd w:id="940"/>
          <w:p w14:paraId="3969B735">
            <w:pPr>
              <w:pStyle w:val="18"/>
              <w:widowControl w:val="0"/>
              <w:ind w:left="0" w:leftChars="0" w:firstLine="0" w:firstLineChars="0"/>
              <w:rPr>
                <w:rFonts w:hint="default"/>
                <w:color w:val="auto"/>
                <w:highlight w:val="none"/>
                <w:lang w:val="en-US" w:eastAsia="zh-CN"/>
              </w:rPr>
            </w:pPr>
            <w:bookmarkStart w:id="943" w:name="OLE_LINK322"/>
            <w:r>
              <w:rPr>
                <w:rFonts w:hint="default" w:ascii="Times New Roman" w:hAnsi="Times New Roman" w:eastAsia="宋体" w:cs="Times New Roman"/>
                <w:color w:val="auto"/>
                <w:sz w:val="21"/>
                <w:szCs w:val="21"/>
                <w:highlight w:val="none"/>
                <w:vertAlign w:val="superscript"/>
                <w:lang w:val="en-US" w:eastAsia="zh-CN"/>
              </w:rPr>
              <w:t>（2）</w:t>
            </w:r>
            <w:bookmarkEnd w:id="943"/>
            <w:r>
              <w:rPr>
                <w:rFonts w:hint="default" w:ascii="Times New Roman" w:hAnsi="Times New Roman" w:eastAsia="宋体" w:cs="Times New Roman"/>
                <w:color w:val="auto"/>
                <w:highlight w:val="none"/>
                <w:lang w:val="en-US" w:eastAsia="zh-CN"/>
              </w:rPr>
              <w:t>适用于有电镀、化学镀工艺的电子终端产品生产企业。</w:t>
            </w:r>
            <w:bookmarkEnd w:id="934"/>
          </w:p>
        </w:tc>
      </w:tr>
      <w:bookmarkEnd w:id="898"/>
    </w:tbl>
    <w:p w14:paraId="6E3EE0D4">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9"/>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3.</w:t>
      </w:r>
      <w:r>
        <w:rPr>
          <w:rFonts w:hint="eastAsia" w:ascii="Times New Roman" w:hAnsi="Times New Roman" w:eastAsia="宋体" w:cs="Times New Roman"/>
          <w:b/>
          <w:bCs/>
          <w:color w:val="auto"/>
          <w:sz w:val="24"/>
          <w:szCs w:val="24"/>
          <w:highlight w:val="none"/>
          <w:lang w:val="en-US" w:eastAsia="zh-CN"/>
        </w:rPr>
        <w:t>2.2</w:t>
      </w:r>
      <w:r>
        <w:rPr>
          <w:rFonts w:hint="default" w:ascii="Times New Roman" w:hAnsi="Times New Roman" w:eastAsia="宋体" w:cs="Times New Roman"/>
          <w:b/>
          <w:bCs/>
          <w:color w:val="auto"/>
          <w:sz w:val="24"/>
          <w:szCs w:val="24"/>
          <w:highlight w:val="none"/>
        </w:rPr>
        <w:t>.3噪声排放标准</w:t>
      </w:r>
      <w:bookmarkStart w:id="944" w:name="pindex4005"/>
      <w:bookmarkEnd w:id="944"/>
    </w:p>
    <w:p w14:paraId="391C6547">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80" w:firstLineChars="200"/>
        <w:jc w:val="both"/>
        <w:textAlignment w:val="baseline"/>
        <w:rPr>
          <w:rFonts w:hint="default" w:ascii="Times New Roman" w:hAnsi="Times New Roman" w:eastAsia="宋体" w:cs="Times New Roman"/>
          <w:color w:val="auto"/>
          <w:sz w:val="24"/>
          <w:szCs w:val="24"/>
          <w:highlight w:val="none"/>
        </w:rPr>
      </w:pPr>
      <w:bookmarkStart w:id="945" w:name="OLE_LINK328"/>
      <w:bookmarkStart w:id="946" w:name="sys4006081"/>
      <w:r>
        <w:rPr>
          <w:rFonts w:hint="default" w:ascii="Times New Roman" w:hAnsi="Times New Roman" w:eastAsia="宋体" w:cs="Times New Roman"/>
          <w:color w:val="auto"/>
          <w:sz w:val="24"/>
          <w:szCs w:val="24"/>
          <w:highlight w:val="none"/>
        </w:rPr>
        <w:t>社会生活噪声排放执行《社会生活环境噪声排放标准》（GB</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）中表1规定的排放限值，</w:t>
      </w:r>
      <w:bookmarkEnd w:id="945"/>
      <w:r>
        <w:rPr>
          <w:rFonts w:hint="eastAsia" w:ascii="Times New Roman" w:hAnsi="Times New Roman" w:eastAsia="宋体" w:cs="Times New Roman"/>
          <w:color w:val="auto"/>
          <w:sz w:val="24"/>
          <w:szCs w:val="24"/>
          <w:highlight w:val="none"/>
          <w:lang w:val="en-US" w:eastAsia="zh-CN"/>
        </w:rPr>
        <w:t>工业企业</w:t>
      </w:r>
      <w:r>
        <w:rPr>
          <w:rFonts w:hint="default" w:ascii="Times New Roman" w:hAnsi="Times New Roman" w:eastAsia="宋体" w:cs="Times New Roman"/>
          <w:color w:val="auto"/>
          <w:sz w:val="24"/>
          <w:szCs w:val="24"/>
          <w:highlight w:val="none"/>
        </w:rPr>
        <w:t>噪声排放执行《工业企业厂界环境噪声排放标准》（GB12348-2008）。</w:t>
      </w:r>
      <w:bookmarkEnd w:id="946"/>
      <w:r>
        <w:rPr>
          <w:rFonts w:hint="default" w:ascii="Times New Roman" w:hAnsi="Times New Roman" w:eastAsia="宋体" w:cs="Times New Roman"/>
          <w:color w:val="auto"/>
          <w:sz w:val="24"/>
          <w:szCs w:val="24"/>
          <w:highlight w:val="none"/>
        </w:rPr>
        <w:t>具体标准值见表</w:t>
      </w:r>
      <w:r>
        <w:rPr>
          <w:rFonts w:hint="default" w:ascii="Times New Roman" w:hAnsi="Times New Roman" w:eastAsia="宋体"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val="en-US" w:eastAsia="zh-CN"/>
        </w:rPr>
        <w:t>2-52-表3.2-53</w:t>
      </w:r>
      <w:r>
        <w:rPr>
          <w:rFonts w:hint="default" w:ascii="Times New Roman" w:hAnsi="Times New Roman" w:eastAsia="宋体" w:cs="Times New Roman"/>
          <w:color w:val="auto"/>
          <w:sz w:val="24"/>
          <w:szCs w:val="24"/>
          <w:highlight w:val="none"/>
        </w:rPr>
        <w:t>。</w:t>
      </w:r>
    </w:p>
    <w:p w14:paraId="3A9FD85A">
      <w:pPr>
        <w:adjustRightInd w:val="0"/>
        <w:snapToGrid w:val="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 xml:space="preserve">2-52  </w:t>
      </w:r>
      <w:r>
        <w:rPr>
          <w:rFonts w:hint="default" w:ascii="Times New Roman" w:hAnsi="Times New Roman" w:eastAsia="宋体" w:cs="Times New Roman"/>
          <w:b/>
          <w:color w:val="auto"/>
          <w:sz w:val="24"/>
          <w:highlight w:val="none"/>
        </w:rPr>
        <w:t>社会生活环境噪声排放标准  单位：dB（A）</w:t>
      </w:r>
      <w:bookmarkStart w:id="947" w:name="pindex4007"/>
      <w:bookmarkEnd w:id="947"/>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56"/>
        <w:gridCol w:w="1856"/>
        <w:gridCol w:w="1855"/>
        <w:gridCol w:w="2848"/>
      </w:tblGrid>
      <w:tr w14:paraId="429442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4" w:hRule="atLeast"/>
          <w:jc w:val="center"/>
        </w:trPr>
        <w:tc>
          <w:tcPr>
            <w:tcW w:w="1103" w:type="pct"/>
            <w:vMerge w:val="restart"/>
            <w:noWrap w:val="0"/>
            <w:tcMar>
              <w:left w:w="28" w:type="dxa"/>
              <w:right w:w="28" w:type="dxa"/>
            </w:tcMar>
            <w:vAlign w:val="center"/>
          </w:tcPr>
          <w:p w14:paraId="070647EC">
            <w:pPr>
              <w:adjustRightInd w:val="0"/>
              <w:snapToGrid w:val="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边界外声环境功能区类别</w:t>
            </w:r>
          </w:p>
        </w:tc>
        <w:tc>
          <w:tcPr>
            <w:tcW w:w="2205" w:type="pct"/>
            <w:gridSpan w:val="2"/>
            <w:noWrap w:val="0"/>
            <w:tcMar>
              <w:left w:w="28" w:type="dxa"/>
              <w:right w:w="28" w:type="dxa"/>
            </w:tcMar>
            <w:vAlign w:val="center"/>
          </w:tcPr>
          <w:p w14:paraId="2D961DB3">
            <w:pPr>
              <w:adjustRightInd w:val="0"/>
              <w:snapToGrid w:val="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时段</w:t>
            </w:r>
          </w:p>
        </w:tc>
        <w:tc>
          <w:tcPr>
            <w:tcW w:w="1692" w:type="pct"/>
            <w:vMerge w:val="restart"/>
            <w:noWrap w:val="0"/>
            <w:tcMar>
              <w:left w:w="28" w:type="dxa"/>
              <w:right w:w="28" w:type="dxa"/>
            </w:tcMar>
            <w:vAlign w:val="center"/>
          </w:tcPr>
          <w:p w14:paraId="7C95A1BF">
            <w:pPr>
              <w:adjustRightInd w:val="0"/>
              <w:snapToGrid w:val="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标准来源</w:t>
            </w:r>
          </w:p>
        </w:tc>
      </w:tr>
      <w:tr w14:paraId="15601B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03" w:type="pct"/>
            <w:vMerge w:val="continue"/>
            <w:noWrap w:val="0"/>
            <w:tcMar>
              <w:left w:w="28" w:type="dxa"/>
              <w:right w:w="28" w:type="dxa"/>
            </w:tcMar>
            <w:vAlign w:val="center"/>
          </w:tcPr>
          <w:p w14:paraId="1ECF2278">
            <w:pPr>
              <w:adjustRightInd w:val="0"/>
              <w:snapToGrid w:val="0"/>
              <w:jc w:val="center"/>
              <w:rPr>
                <w:rFonts w:hint="default" w:ascii="Times New Roman" w:hAnsi="Times New Roman" w:eastAsia="宋体" w:cs="Times New Roman"/>
                <w:color w:val="auto"/>
                <w:sz w:val="21"/>
                <w:szCs w:val="21"/>
                <w:highlight w:val="none"/>
              </w:rPr>
            </w:pPr>
          </w:p>
        </w:tc>
        <w:tc>
          <w:tcPr>
            <w:tcW w:w="1103" w:type="pct"/>
            <w:noWrap w:val="0"/>
            <w:tcMar>
              <w:left w:w="28" w:type="dxa"/>
              <w:right w:w="28" w:type="dxa"/>
            </w:tcMar>
            <w:vAlign w:val="center"/>
          </w:tcPr>
          <w:p w14:paraId="48ED94F3">
            <w:pPr>
              <w:adjustRightInd w:val="0"/>
              <w:snapToGrid w:val="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昼间</w:t>
            </w:r>
          </w:p>
        </w:tc>
        <w:tc>
          <w:tcPr>
            <w:tcW w:w="1102" w:type="pct"/>
            <w:noWrap w:val="0"/>
            <w:tcMar>
              <w:left w:w="28" w:type="dxa"/>
              <w:right w:w="28" w:type="dxa"/>
            </w:tcMar>
            <w:vAlign w:val="center"/>
          </w:tcPr>
          <w:p w14:paraId="66D273D8">
            <w:pPr>
              <w:adjustRightInd w:val="0"/>
              <w:snapToGrid w:val="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夜间</w:t>
            </w:r>
          </w:p>
        </w:tc>
        <w:tc>
          <w:tcPr>
            <w:tcW w:w="1692" w:type="pct"/>
            <w:vMerge w:val="continue"/>
            <w:noWrap w:val="0"/>
            <w:tcMar>
              <w:left w:w="28" w:type="dxa"/>
              <w:right w:w="28" w:type="dxa"/>
            </w:tcMar>
            <w:vAlign w:val="center"/>
          </w:tcPr>
          <w:p w14:paraId="69E7F62A">
            <w:pPr>
              <w:adjustRightInd w:val="0"/>
              <w:snapToGrid w:val="0"/>
              <w:jc w:val="center"/>
              <w:rPr>
                <w:rFonts w:hint="default" w:ascii="Times New Roman" w:hAnsi="Times New Roman" w:eastAsia="宋体" w:cs="Times New Roman"/>
                <w:b/>
                <w:color w:val="auto"/>
                <w:sz w:val="21"/>
                <w:szCs w:val="21"/>
                <w:highlight w:val="none"/>
              </w:rPr>
            </w:pPr>
          </w:p>
        </w:tc>
      </w:tr>
      <w:tr w14:paraId="39B692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03" w:type="pct"/>
            <w:noWrap w:val="0"/>
            <w:tcMar>
              <w:left w:w="28" w:type="dxa"/>
              <w:right w:w="28" w:type="dxa"/>
            </w:tcMar>
            <w:vAlign w:val="center"/>
          </w:tcPr>
          <w:p w14:paraId="10AA732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103" w:type="pct"/>
            <w:noWrap w:val="0"/>
            <w:tcMar>
              <w:left w:w="28" w:type="dxa"/>
              <w:right w:w="28" w:type="dxa"/>
            </w:tcMar>
            <w:vAlign w:val="center"/>
          </w:tcPr>
          <w:p w14:paraId="0283A48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1102" w:type="pct"/>
            <w:noWrap w:val="0"/>
            <w:tcMar>
              <w:left w:w="28" w:type="dxa"/>
              <w:right w:w="28" w:type="dxa"/>
            </w:tcMar>
            <w:vAlign w:val="center"/>
          </w:tcPr>
          <w:p w14:paraId="116979B6">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692" w:type="pct"/>
            <w:vMerge w:val="restart"/>
            <w:noWrap w:val="0"/>
            <w:tcMar>
              <w:left w:w="28" w:type="dxa"/>
              <w:right w:w="28" w:type="dxa"/>
            </w:tcMar>
            <w:vAlign w:val="center"/>
          </w:tcPr>
          <w:p w14:paraId="24213C9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《社会生活环境噪声排放标准》（GB22337-2008）</w:t>
            </w:r>
          </w:p>
        </w:tc>
      </w:tr>
      <w:tr w14:paraId="32FB63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103" w:type="pct"/>
            <w:noWrap w:val="0"/>
            <w:tcMar>
              <w:left w:w="28" w:type="dxa"/>
              <w:right w:w="28" w:type="dxa"/>
            </w:tcMar>
            <w:vAlign w:val="center"/>
          </w:tcPr>
          <w:p w14:paraId="249DCA56">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103" w:type="pct"/>
            <w:noWrap w:val="0"/>
            <w:tcMar>
              <w:left w:w="28" w:type="dxa"/>
              <w:right w:w="28" w:type="dxa"/>
            </w:tcMar>
            <w:vAlign w:val="center"/>
          </w:tcPr>
          <w:p w14:paraId="154C942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w:t>
            </w:r>
          </w:p>
        </w:tc>
        <w:tc>
          <w:tcPr>
            <w:tcW w:w="1102" w:type="pct"/>
            <w:noWrap w:val="0"/>
            <w:tcMar>
              <w:left w:w="28" w:type="dxa"/>
              <w:right w:w="28" w:type="dxa"/>
            </w:tcMar>
            <w:vAlign w:val="center"/>
          </w:tcPr>
          <w:p w14:paraId="72FCCAA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c>
          <w:tcPr>
            <w:tcW w:w="1692" w:type="pct"/>
            <w:vMerge w:val="continue"/>
            <w:noWrap w:val="0"/>
            <w:tcMar>
              <w:left w:w="28" w:type="dxa"/>
              <w:right w:w="28" w:type="dxa"/>
            </w:tcMar>
            <w:vAlign w:val="center"/>
          </w:tcPr>
          <w:p w14:paraId="63E41943">
            <w:pPr>
              <w:adjustRightInd w:val="0"/>
              <w:snapToGrid w:val="0"/>
              <w:jc w:val="center"/>
              <w:rPr>
                <w:rFonts w:hint="default" w:ascii="Times New Roman" w:hAnsi="Times New Roman" w:eastAsia="宋体" w:cs="Times New Roman"/>
                <w:color w:val="auto"/>
                <w:sz w:val="21"/>
                <w:szCs w:val="21"/>
                <w:highlight w:val="none"/>
              </w:rPr>
            </w:pPr>
          </w:p>
        </w:tc>
      </w:tr>
      <w:tr w14:paraId="0A5C4A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4" w:hRule="atLeast"/>
          <w:jc w:val="center"/>
        </w:trPr>
        <w:tc>
          <w:tcPr>
            <w:tcW w:w="1103" w:type="pct"/>
            <w:noWrap w:val="0"/>
            <w:tcMar>
              <w:left w:w="28" w:type="dxa"/>
              <w:right w:w="28" w:type="dxa"/>
            </w:tcMar>
            <w:vAlign w:val="center"/>
          </w:tcPr>
          <w:p w14:paraId="576352FB">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103" w:type="pct"/>
            <w:noWrap w:val="0"/>
            <w:tcMar>
              <w:left w:w="28" w:type="dxa"/>
              <w:right w:w="28" w:type="dxa"/>
            </w:tcMar>
            <w:vAlign w:val="center"/>
          </w:tcPr>
          <w:p w14:paraId="0BE88E1F">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1102" w:type="pct"/>
            <w:noWrap w:val="0"/>
            <w:tcMar>
              <w:left w:w="28" w:type="dxa"/>
              <w:right w:w="28" w:type="dxa"/>
            </w:tcMar>
            <w:vAlign w:val="center"/>
          </w:tcPr>
          <w:p w14:paraId="494F6C7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c>
          <w:tcPr>
            <w:tcW w:w="1692" w:type="pct"/>
            <w:vMerge w:val="continue"/>
            <w:noWrap w:val="0"/>
            <w:tcMar>
              <w:left w:w="28" w:type="dxa"/>
              <w:right w:w="28" w:type="dxa"/>
            </w:tcMar>
            <w:vAlign w:val="center"/>
          </w:tcPr>
          <w:p w14:paraId="63C82603">
            <w:pPr>
              <w:adjustRightInd w:val="0"/>
              <w:snapToGrid w:val="0"/>
              <w:jc w:val="center"/>
              <w:rPr>
                <w:rFonts w:hint="default" w:ascii="Times New Roman" w:hAnsi="Times New Roman" w:eastAsia="宋体" w:cs="Times New Roman"/>
                <w:color w:val="auto"/>
                <w:sz w:val="21"/>
                <w:szCs w:val="21"/>
                <w:highlight w:val="none"/>
              </w:rPr>
            </w:pPr>
          </w:p>
        </w:tc>
      </w:tr>
    </w:tbl>
    <w:p w14:paraId="5371DF99">
      <w:pPr>
        <w:keepNext w:val="0"/>
        <w:keepLines w:val="0"/>
        <w:pageBreakBefore w:val="0"/>
        <w:widowControl/>
        <w:kinsoku w:val="0"/>
        <w:wordWrap/>
        <w:overflowPunct/>
        <w:topLinePunct w:val="0"/>
        <w:autoSpaceDE w:val="0"/>
        <w:autoSpaceDN w:val="0"/>
        <w:bidi w:val="0"/>
        <w:adjustRightInd w:val="0"/>
        <w:snapToGrid w:val="0"/>
        <w:spacing w:before="34" w:line="240" w:lineRule="auto"/>
        <w:jc w:val="center"/>
        <w:textAlignment w:val="baseline"/>
        <w:rPr>
          <w:rFonts w:ascii="宋体" w:hAnsi="宋体" w:eastAsia="宋体" w:cs="宋体"/>
          <w:b/>
          <w:bCs/>
          <w:color w:val="auto"/>
          <w:spacing w:val="-4"/>
          <w:sz w:val="24"/>
          <w:szCs w:val="24"/>
          <w:highlight w:val="none"/>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2-53  工业企业厂界</w:t>
      </w:r>
      <w:r>
        <w:rPr>
          <w:rFonts w:ascii="宋体" w:hAnsi="宋体" w:eastAsia="宋体" w:cs="宋体"/>
          <w:b/>
          <w:bCs/>
          <w:color w:val="auto"/>
          <w:spacing w:val="-4"/>
          <w:sz w:val="24"/>
          <w:szCs w:val="24"/>
          <w:highlight w:val="none"/>
        </w:rPr>
        <w:t>噪声排放标准</w:t>
      </w:r>
      <w:bookmarkStart w:id="948" w:name="pindex4027"/>
      <w:bookmarkEnd w:id="948"/>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0" w:type="dxa"/>
          <w:bottom w:w="0" w:type="dxa"/>
          <w:right w:w="0" w:type="dxa"/>
        </w:tblCellMar>
      </w:tblPr>
      <w:tblGrid>
        <w:gridCol w:w="1319"/>
        <w:gridCol w:w="1677"/>
        <w:gridCol w:w="1570"/>
        <w:gridCol w:w="3793"/>
      </w:tblGrid>
      <w:tr w14:paraId="4F20D8B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89" w:type="pct"/>
            <w:vMerge w:val="restart"/>
            <w:shd w:val="clear" w:color="auto" w:fill="auto"/>
            <w:vAlign w:val="center"/>
          </w:tcPr>
          <w:p w14:paraId="787F137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功能类别</w:t>
            </w:r>
          </w:p>
        </w:tc>
        <w:tc>
          <w:tcPr>
            <w:tcW w:w="1942" w:type="pct"/>
            <w:gridSpan w:val="2"/>
            <w:shd w:val="clear" w:color="auto" w:fill="auto"/>
            <w:vAlign w:val="center"/>
          </w:tcPr>
          <w:p w14:paraId="0E1658D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标准值dB(A)</w:t>
            </w:r>
          </w:p>
        </w:tc>
        <w:tc>
          <w:tcPr>
            <w:tcW w:w="2269" w:type="pct"/>
            <w:vMerge w:val="restart"/>
            <w:shd w:val="clear" w:color="auto" w:fill="auto"/>
            <w:vAlign w:val="center"/>
          </w:tcPr>
          <w:p w14:paraId="34C0D9B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标准来源</w:t>
            </w:r>
          </w:p>
        </w:tc>
      </w:tr>
      <w:tr w14:paraId="6253A04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89" w:type="pct"/>
            <w:vMerge w:val="continue"/>
            <w:shd w:val="clear" w:color="auto" w:fill="auto"/>
            <w:vAlign w:val="center"/>
          </w:tcPr>
          <w:p w14:paraId="2D94217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c>
          <w:tcPr>
            <w:tcW w:w="1003" w:type="pct"/>
            <w:shd w:val="clear" w:color="auto" w:fill="auto"/>
            <w:vAlign w:val="center"/>
          </w:tcPr>
          <w:p w14:paraId="5A8F1B8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昼间</w:t>
            </w:r>
          </w:p>
        </w:tc>
        <w:tc>
          <w:tcPr>
            <w:tcW w:w="939" w:type="pct"/>
            <w:shd w:val="clear" w:color="auto" w:fill="auto"/>
            <w:vAlign w:val="center"/>
          </w:tcPr>
          <w:p w14:paraId="2CC6443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夜间</w:t>
            </w:r>
          </w:p>
        </w:tc>
        <w:tc>
          <w:tcPr>
            <w:tcW w:w="2269" w:type="pct"/>
            <w:vMerge w:val="continue"/>
            <w:shd w:val="clear" w:color="auto" w:fill="auto"/>
            <w:vAlign w:val="center"/>
          </w:tcPr>
          <w:p w14:paraId="6CB299B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r>
      <w:tr w14:paraId="4AA08DE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89" w:type="pct"/>
            <w:shd w:val="clear" w:color="auto" w:fill="auto"/>
            <w:vAlign w:val="center"/>
          </w:tcPr>
          <w:p w14:paraId="16A1198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003" w:type="pct"/>
            <w:shd w:val="clear" w:color="auto" w:fill="auto"/>
            <w:vAlign w:val="center"/>
          </w:tcPr>
          <w:p w14:paraId="3655D47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939" w:type="pct"/>
            <w:shd w:val="clear" w:color="auto" w:fill="auto"/>
            <w:vAlign w:val="center"/>
          </w:tcPr>
          <w:p w14:paraId="240F3B1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c>
          <w:tcPr>
            <w:tcW w:w="2269" w:type="pct"/>
            <w:vMerge w:val="restart"/>
            <w:shd w:val="clear" w:color="auto" w:fill="auto"/>
            <w:vAlign w:val="center"/>
          </w:tcPr>
          <w:p w14:paraId="54213E3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w:t>
            </w:r>
          </w:p>
          <w:p w14:paraId="21DDC9E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（GB12348-2008）</w:t>
            </w:r>
          </w:p>
        </w:tc>
      </w:tr>
      <w:tr w14:paraId="2099F03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89" w:type="pct"/>
            <w:shd w:val="clear" w:color="auto" w:fill="auto"/>
            <w:vAlign w:val="center"/>
          </w:tcPr>
          <w:p w14:paraId="0AEE208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003" w:type="pct"/>
            <w:shd w:val="clear" w:color="auto" w:fill="auto"/>
            <w:vAlign w:val="center"/>
          </w:tcPr>
          <w:p w14:paraId="08AC41B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w:t>
            </w:r>
          </w:p>
        </w:tc>
        <w:tc>
          <w:tcPr>
            <w:tcW w:w="939" w:type="pct"/>
            <w:shd w:val="clear" w:color="auto" w:fill="auto"/>
            <w:vAlign w:val="center"/>
          </w:tcPr>
          <w:p w14:paraId="2B35101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c>
          <w:tcPr>
            <w:tcW w:w="2269" w:type="pct"/>
            <w:vMerge w:val="continue"/>
            <w:shd w:val="clear" w:color="auto" w:fill="auto"/>
            <w:vAlign w:val="center"/>
          </w:tcPr>
          <w:p w14:paraId="59D6410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p>
        </w:tc>
      </w:tr>
      <w:tr w14:paraId="0B7667E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89" w:type="pct"/>
            <w:shd w:val="clear" w:color="auto" w:fill="auto"/>
            <w:vAlign w:val="center"/>
          </w:tcPr>
          <w:p w14:paraId="3F77779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003" w:type="pct"/>
            <w:shd w:val="clear" w:color="auto" w:fill="auto"/>
            <w:vAlign w:val="center"/>
          </w:tcPr>
          <w:p w14:paraId="38BB6CD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939" w:type="pct"/>
            <w:shd w:val="clear" w:color="auto" w:fill="auto"/>
            <w:vAlign w:val="center"/>
          </w:tcPr>
          <w:p w14:paraId="4F34223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2269" w:type="pct"/>
            <w:vMerge w:val="continue"/>
            <w:shd w:val="clear" w:color="auto" w:fill="auto"/>
            <w:vAlign w:val="center"/>
          </w:tcPr>
          <w:p w14:paraId="2BDF80A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p>
        </w:tc>
      </w:tr>
      <w:tr w14:paraId="46B90A4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89" w:type="pct"/>
            <w:shd w:val="clear" w:color="auto" w:fill="auto"/>
            <w:vAlign w:val="center"/>
          </w:tcPr>
          <w:p w14:paraId="06DD381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003" w:type="pct"/>
            <w:shd w:val="clear" w:color="auto" w:fill="auto"/>
            <w:vAlign w:val="center"/>
          </w:tcPr>
          <w:p w14:paraId="551FC69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c>
          <w:tcPr>
            <w:tcW w:w="939" w:type="pct"/>
            <w:shd w:val="clear" w:color="auto" w:fill="auto"/>
            <w:vAlign w:val="center"/>
          </w:tcPr>
          <w:p w14:paraId="45396EC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w:t>
            </w:r>
          </w:p>
        </w:tc>
        <w:tc>
          <w:tcPr>
            <w:tcW w:w="2269" w:type="pct"/>
            <w:vMerge w:val="continue"/>
            <w:shd w:val="clear" w:color="auto" w:fill="auto"/>
            <w:vAlign w:val="center"/>
          </w:tcPr>
          <w:p w14:paraId="34FD5C7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p>
        </w:tc>
      </w:tr>
    </w:tbl>
    <w:p w14:paraId="1E23D46B">
      <w:pPr>
        <w:keepNext w:val="0"/>
        <w:keepLines w:val="0"/>
        <w:pageBreakBefore w:val="0"/>
        <w:widowControl/>
        <w:kinsoku/>
        <w:wordWrap/>
        <w:overflowPunct/>
        <w:topLinePunct w:val="0"/>
        <w:autoSpaceDE w:val="0"/>
        <w:autoSpaceDN w:val="0"/>
        <w:bidi w:val="0"/>
        <w:adjustRightInd w:val="0"/>
        <w:snapToGrid w:val="0"/>
        <w:spacing w:before="208" w:line="344" w:lineRule="auto"/>
        <w:ind w:left="40" w:right="79" w:firstLine="476"/>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施工作业现场执行《建筑施工场界环境噪声排放标准》（GB12523-2011），昼间≤70dB(A)，夜间≤55dB(A)。</w:t>
      </w:r>
    </w:p>
    <w:p w14:paraId="1AA5CA77">
      <w:pPr>
        <w:keepNext w:val="0"/>
        <w:keepLines w:val="0"/>
        <w:pageBreakBefore w:val="0"/>
        <w:widowControl/>
        <w:kinsoku w:val="0"/>
        <w:wordWrap/>
        <w:overflowPunct/>
        <w:topLinePunct w:val="0"/>
        <w:autoSpaceDE w:val="0"/>
        <w:autoSpaceDN w:val="0"/>
        <w:bidi w:val="0"/>
        <w:adjustRightInd w:val="0"/>
        <w:snapToGrid w:val="0"/>
        <w:spacing w:before="39" w:line="240" w:lineRule="auto"/>
        <w:ind w:left="1922"/>
        <w:textAlignment w:val="baseline"/>
        <w:rPr>
          <w:rFonts w:ascii="宋体" w:hAnsi="宋体" w:eastAsia="宋体" w:cs="宋体"/>
          <w:color w:val="auto"/>
          <w:sz w:val="24"/>
          <w:szCs w:val="24"/>
          <w:highlight w:val="none"/>
        </w:rPr>
      </w:pPr>
      <w:r>
        <w:rPr>
          <w:rFonts w:hint="default" w:ascii="Times New Roman" w:hAnsi="Times New Roman" w:eastAsia="宋体" w:cs="Times New Roman"/>
          <w:b/>
          <w:bCs/>
          <w:color w:val="auto"/>
          <w:spacing w:val="-4"/>
          <w:sz w:val="24"/>
          <w:szCs w:val="24"/>
          <w:highlight w:val="none"/>
          <w:lang w:val="en-US" w:eastAsia="zh-CN"/>
        </w:rPr>
        <w:t>表3.</w:t>
      </w:r>
      <w:r>
        <w:rPr>
          <w:rFonts w:hint="eastAsia" w:ascii="Times New Roman" w:hAnsi="Times New Roman" w:eastAsia="宋体" w:cs="Times New Roman"/>
          <w:b/>
          <w:bCs/>
          <w:color w:val="auto"/>
          <w:spacing w:val="-4"/>
          <w:sz w:val="24"/>
          <w:szCs w:val="24"/>
          <w:highlight w:val="none"/>
          <w:lang w:val="en-US" w:eastAsia="zh-CN"/>
        </w:rPr>
        <w:t>2-54</w:t>
      </w:r>
      <w:r>
        <w:rPr>
          <w:rFonts w:hint="eastAsia" w:ascii="Times New Roman" w:hAnsi="Times New Roman" w:eastAsia="宋体" w:cs="Times New Roman"/>
          <w:b/>
          <w:bCs/>
          <w:color w:val="auto"/>
          <w:spacing w:val="-2"/>
          <w:sz w:val="24"/>
          <w:szCs w:val="24"/>
          <w:highlight w:val="none"/>
          <w:lang w:val="en-US" w:eastAsia="zh-CN"/>
        </w:rPr>
        <w:t xml:space="preserve">  </w:t>
      </w:r>
      <w:r>
        <w:rPr>
          <w:rFonts w:ascii="宋体" w:hAnsi="宋体" w:eastAsia="宋体" w:cs="宋体"/>
          <w:b/>
          <w:bCs/>
          <w:color w:val="auto"/>
          <w:spacing w:val="-2"/>
          <w:sz w:val="24"/>
          <w:szCs w:val="24"/>
          <w:highlight w:val="none"/>
        </w:rPr>
        <w:t>建筑施工场界环境噪声排放标准</w:t>
      </w:r>
      <w:bookmarkStart w:id="949" w:name="pindex4053"/>
      <w:bookmarkEnd w:id="949"/>
    </w:p>
    <w:tbl>
      <w:tblPr>
        <w:tblStyle w:val="26"/>
        <w:tblW w:w="8307" w:type="dxa"/>
        <w:tblInd w:w="28"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329"/>
        <w:gridCol w:w="1330"/>
        <w:gridCol w:w="5648"/>
      </w:tblGrid>
      <w:tr w14:paraId="0D2CA76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2659" w:type="dxa"/>
            <w:gridSpan w:val="2"/>
            <w:tcBorders>
              <w:tl2br w:val="nil"/>
              <w:tr2bl w:val="nil"/>
            </w:tcBorders>
            <w:vAlign w:val="center"/>
          </w:tcPr>
          <w:p w14:paraId="1149A58D">
            <w:pPr>
              <w:pStyle w:val="8"/>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噪声限值dB(A)</w:t>
            </w:r>
          </w:p>
        </w:tc>
        <w:tc>
          <w:tcPr>
            <w:tcW w:w="5648" w:type="dxa"/>
            <w:tcBorders>
              <w:tl2br w:val="nil"/>
              <w:tr2bl w:val="nil"/>
            </w:tcBorders>
            <w:vAlign w:val="center"/>
          </w:tcPr>
          <w:p w14:paraId="085052B4">
            <w:pPr>
              <w:pStyle w:val="8"/>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依据</w:t>
            </w:r>
          </w:p>
        </w:tc>
      </w:tr>
      <w:tr w14:paraId="34F9F11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1329" w:type="dxa"/>
            <w:tcBorders>
              <w:tl2br w:val="nil"/>
              <w:tr2bl w:val="nil"/>
            </w:tcBorders>
            <w:vAlign w:val="center"/>
          </w:tcPr>
          <w:p w14:paraId="39569414">
            <w:pPr>
              <w:pStyle w:val="8"/>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w:t>
            </w:r>
          </w:p>
        </w:tc>
        <w:tc>
          <w:tcPr>
            <w:tcW w:w="1330" w:type="dxa"/>
            <w:tcBorders>
              <w:tl2br w:val="nil"/>
              <w:tr2bl w:val="nil"/>
            </w:tcBorders>
            <w:vAlign w:val="center"/>
          </w:tcPr>
          <w:p w14:paraId="6358FD89">
            <w:pPr>
              <w:pStyle w:val="8"/>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w:t>
            </w:r>
          </w:p>
        </w:tc>
        <w:tc>
          <w:tcPr>
            <w:tcW w:w="5648" w:type="dxa"/>
            <w:vMerge w:val="restart"/>
            <w:tcBorders>
              <w:tl2br w:val="nil"/>
              <w:tr2bl w:val="nil"/>
            </w:tcBorders>
            <w:vAlign w:val="center"/>
          </w:tcPr>
          <w:p w14:paraId="412791AD">
            <w:pPr>
              <w:pStyle w:val="8"/>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《建筑施工场界环境噪声排放标准》（12523-2011）</w:t>
            </w:r>
          </w:p>
        </w:tc>
      </w:tr>
      <w:tr w14:paraId="687C3B5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329" w:type="dxa"/>
            <w:tcBorders>
              <w:tl2br w:val="nil"/>
              <w:tr2bl w:val="nil"/>
            </w:tcBorders>
            <w:vAlign w:val="center"/>
          </w:tcPr>
          <w:p w14:paraId="3E10919F">
            <w:pPr>
              <w:pStyle w:val="8"/>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1330" w:type="dxa"/>
            <w:tcBorders>
              <w:tl2br w:val="nil"/>
              <w:tr2bl w:val="nil"/>
            </w:tcBorders>
            <w:vAlign w:val="center"/>
          </w:tcPr>
          <w:p w14:paraId="0F45A203">
            <w:pPr>
              <w:pStyle w:val="8"/>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c>
          <w:tcPr>
            <w:tcW w:w="5648" w:type="dxa"/>
            <w:vMerge w:val="continue"/>
            <w:tcBorders>
              <w:tl2br w:val="nil"/>
              <w:tr2bl w:val="nil"/>
            </w:tcBorders>
            <w:vAlign w:val="center"/>
          </w:tcPr>
          <w:p w14:paraId="37FF341D">
            <w:pPr>
              <w:pStyle w:val="8"/>
              <w:bidi w:val="0"/>
              <w:jc w:val="center"/>
              <w:rPr>
                <w:rFonts w:hint="default" w:ascii="Times New Roman" w:hAnsi="Times New Roman" w:eastAsia="宋体" w:cs="Times New Roman"/>
                <w:color w:val="auto"/>
                <w:sz w:val="21"/>
                <w:szCs w:val="21"/>
                <w:highlight w:val="none"/>
              </w:rPr>
            </w:pPr>
          </w:p>
        </w:tc>
      </w:tr>
      <w:tr w14:paraId="5ABBACC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8307" w:type="dxa"/>
            <w:gridSpan w:val="3"/>
            <w:tcBorders>
              <w:tl2br w:val="nil"/>
              <w:tr2bl w:val="nil"/>
            </w:tcBorders>
            <w:vAlign w:val="center"/>
          </w:tcPr>
          <w:p w14:paraId="4C47ABA4">
            <w:pPr>
              <w:pStyle w:val="8"/>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夜间噪声最大声级超过</w:t>
            </w:r>
            <w:r>
              <w:rPr>
                <w:rFonts w:hint="default" w:ascii="Times New Roman" w:hAnsi="Times New Roman" w:eastAsia="宋体" w:cs="Times New Roman"/>
                <w:color w:val="auto"/>
                <w:sz w:val="21"/>
                <w:szCs w:val="21"/>
                <w:highlight w:val="none"/>
                <w:lang w:eastAsia="zh-CN"/>
              </w:rPr>
              <w:t>限值</w:t>
            </w:r>
            <w:r>
              <w:rPr>
                <w:rFonts w:hint="default" w:ascii="Times New Roman" w:hAnsi="Times New Roman" w:eastAsia="宋体" w:cs="Times New Roman"/>
                <w:color w:val="auto"/>
                <w:sz w:val="21"/>
                <w:szCs w:val="21"/>
                <w:highlight w:val="none"/>
              </w:rPr>
              <w:t>的幅度不得高于15dB(A)</w:t>
            </w:r>
          </w:p>
        </w:tc>
      </w:tr>
    </w:tbl>
    <w:p w14:paraId="5F21FF8C">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9"/>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3.</w:t>
      </w:r>
      <w:r>
        <w:rPr>
          <w:rFonts w:hint="eastAsia" w:ascii="Times New Roman" w:hAnsi="Times New Roman" w:eastAsia="宋体" w:cs="Times New Roman"/>
          <w:b/>
          <w:bCs/>
          <w:color w:val="auto"/>
          <w:sz w:val="24"/>
          <w:szCs w:val="24"/>
          <w:highlight w:val="none"/>
          <w:lang w:val="en-US" w:eastAsia="zh-CN"/>
        </w:rPr>
        <w:t>2.2</w:t>
      </w:r>
      <w:r>
        <w:rPr>
          <w:rFonts w:hint="default" w:ascii="Times New Roman" w:hAnsi="Times New Roman" w:eastAsia="宋体" w:cs="Times New Roman"/>
          <w:b/>
          <w:bCs/>
          <w:color w:val="auto"/>
          <w:sz w:val="24"/>
          <w:szCs w:val="24"/>
          <w:highlight w:val="none"/>
        </w:rPr>
        <w:t>.4固体废物贮存及处置标准</w:t>
      </w:r>
      <w:bookmarkStart w:id="950" w:name="pindex4063"/>
      <w:bookmarkEnd w:id="950"/>
    </w:p>
    <w:p w14:paraId="2BFD9069">
      <w:pPr>
        <w:keepNext w:val="0"/>
        <w:keepLines w:val="0"/>
        <w:pageBreakBefore w:val="0"/>
        <w:widowControl/>
        <w:kinsoku/>
        <w:wordWrap/>
        <w:overflowPunct/>
        <w:topLinePunct w:val="0"/>
        <w:autoSpaceDE w:val="0"/>
        <w:autoSpaceDN w:val="0"/>
        <w:bidi w:val="0"/>
        <w:adjustRightInd w:val="0"/>
        <w:snapToGrid w:val="0"/>
        <w:spacing w:before="33" w:line="360" w:lineRule="auto"/>
        <w:ind w:right="136" w:firstLine="556" w:firstLineChars="200"/>
        <w:jc w:val="both"/>
        <w:textAlignment w:val="baseline"/>
        <w:rPr>
          <w:color w:val="auto"/>
          <w:highlight w:val="none"/>
        </w:rPr>
      </w:pPr>
      <w:bookmarkStart w:id="951" w:name="OLE_LINK762"/>
      <w:bookmarkStart w:id="952" w:name="sys40640121"/>
      <w:r>
        <w:rPr>
          <w:rFonts w:ascii="宋体" w:hAnsi="宋体" w:eastAsia="宋体" w:cs="宋体"/>
          <w:color w:val="auto"/>
          <w:spacing w:val="19"/>
          <w:sz w:val="24"/>
          <w:szCs w:val="24"/>
          <w:highlight w:val="none"/>
        </w:rPr>
        <w:t>区内工业固废的贮存和处理处置执行《危险废物贮存污染控制标准》</w:t>
      </w:r>
      <w:r>
        <w:rPr>
          <w:rFonts w:ascii="宋体" w:hAnsi="宋体" w:eastAsia="宋体" w:cs="宋体"/>
          <w:color w:val="auto"/>
          <w:spacing w:val="-5"/>
          <w:sz w:val="24"/>
          <w:szCs w:val="24"/>
          <w:highlight w:val="none"/>
        </w:rPr>
        <w:t>（</w:t>
      </w:r>
      <w:r>
        <w:rPr>
          <w:rFonts w:ascii="Times New Roman" w:hAnsi="Times New Roman" w:eastAsia="Times New Roman" w:cs="Times New Roman"/>
          <w:color w:val="auto"/>
          <w:spacing w:val="-5"/>
          <w:sz w:val="24"/>
          <w:szCs w:val="24"/>
          <w:highlight w:val="none"/>
        </w:rPr>
        <w:t>GB18597-2023</w:t>
      </w:r>
      <w:r>
        <w:rPr>
          <w:rFonts w:ascii="宋体" w:hAnsi="宋体" w:eastAsia="宋体" w:cs="宋体"/>
          <w:color w:val="auto"/>
          <w:spacing w:val="-5"/>
          <w:sz w:val="24"/>
          <w:szCs w:val="24"/>
          <w:highlight w:val="none"/>
        </w:rPr>
        <w:t>）、《一般工业固体废物贮存和填埋污染控制标准》（</w:t>
      </w:r>
      <w:r>
        <w:rPr>
          <w:rFonts w:ascii="Times New Roman" w:hAnsi="Times New Roman" w:eastAsia="Times New Roman" w:cs="Times New Roman"/>
          <w:color w:val="auto"/>
          <w:spacing w:val="-5"/>
          <w:sz w:val="24"/>
          <w:szCs w:val="24"/>
          <w:highlight w:val="none"/>
        </w:rPr>
        <w:t>GB18599-</w:t>
      </w:r>
      <w:r>
        <w:rPr>
          <w:rFonts w:ascii="Times New Roman" w:hAnsi="Times New Roman" w:eastAsia="Times New Roman" w:cs="Times New Roman"/>
          <w:color w:val="auto"/>
          <w:spacing w:val="-1"/>
          <w:sz w:val="24"/>
          <w:szCs w:val="24"/>
          <w:highlight w:val="none"/>
        </w:rPr>
        <w:t>2020</w:t>
      </w:r>
      <w:r>
        <w:rPr>
          <w:rFonts w:ascii="宋体" w:hAnsi="宋体" w:eastAsia="宋体" w:cs="宋体"/>
          <w:color w:val="auto"/>
          <w:sz w:val="24"/>
          <w:szCs w:val="24"/>
          <w:highlight w:val="none"/>
        </w:rPr>
        <w:t>），</w:t>
      </w:r>
      <w:r>
        <w:rPr>
          <w:rFonts w:ascii="宋体" w:hAnsi="宋体" w:eastAsia="宋体" w:cs="宋体"/>
          <w:color w:val="auto"/>
          <w:spacing w:val="-1"/>
          <w:sz w:val="24"/>
          <w:szCs w:val="24"/>
          <w:highlight w:val="none"/>
        </w:rPr>
        <w:t>城市建筑垃圾的处置执行《城市建筑垃圾管理规定》（建设部</w:t>
      </w:r>
      <w:r>
        <w:rPr>
          <w:rFonts w:ascii="Times New Roman" w:hAnsi="Times New Roman" w:eastAsia="Times New Roman" w:cs="Times New Roman"/>
          <w:color w:val="auto"/>
          <w:spacing w:val="-1"/>
          <w:sz w:val="24"/>
          <w:szCs w:val="24"/>
          <w:highlight w:val="none"/>
        </w:rPr>
        <w:t>2005</w:t>
      </w:r>
      <w:r>
        <w:rPr>
          <w:rFonts w:ascii="宋体" w:hAnsi="宋体" w:eastAsia="宋体" w:cs="宋体"/>
          <w:color w:val="auto"/>
          <w:spacing w:val="-1"/>
          <w:sz w:val="24"/>
          <w:szCs w:val="24"/>
          <w:highlight w:val="none"/>
        </w:rPr>
        <w:t>年</w:t>
      </w:r>
      <w:r>
        <w:rPr>
          <w:rFonts w:ascii="宋体" w:hAnsi="宋体" w:eastAsia="宋体" w:cs="宋体"/>
          <w:color w:val="auto"/>
          <w:spacing w:val="-9"/>
          <w:sz w:val="24"/>
          <w:szCs w:val="24"/>
          <w:highlight w:val="none"/>
        </w:rPr>
        <w:t>第</w:t>
      </w:r>
      <w:r>
        <w:rPr>
          <w:rFonts w:ascii="Times New Roman" w:hAnsi="Times New Roman" w:eastAsia="Times New Roman" w:cs="Times New Roman"/>
          <w:color w:val="auto"/>
          <w:spacing w:val="-9"/>
          <w:sz w:val="24"/>
          <w:szCs w:val="24"/>
          <w:highlight w:val="none"/>
        </w:rPr>
        <w:t>139</w:t>
      </w:r>
      <w:r>
        <w:rPr>
          <w:rFonts w:ascii="宋体" w:hAnsi="宋体" w:eastAsia="宋体" w:cs="宋体"/>
          <w:color w:val="auto"/>
          <w:spacing w:val="-9"/>
          <w:sz w:val="24"/>
          <w:szCs w:val="24"/>
          <w:highlight w:val="none"/>
        </w:rPr>
        <w:t>号令）</w:t>
      </w:r>
      <w:bookmarkEnd w:id="951"/>
      <w:r>
        <w:rPr>
          <w:rFonts w:ascii="宋体" w:hAnsi="宋体" w:eastAsia="宋体" w:cs="宋体"/>
          <w:color w:val="auto"/>
          <w:spacing w:val="-9"/>
          <w:sz w:val="24"/>
          <w:szCs w:val="24"/>
          <w:highlight w:val="none"/>
        </w:rPr>
        <w:t>。</w:t>
      </w:r>
      <w:bookmarkEnd w:id="952"/>
    </w:p>
    <w:p w14:paraId="319C9CE1">
      <w:pPr>
        <w:spacing w:before="36" w:line="220" w:lineRule="auto"/>
        <w:ind w:left="32"/>
        <w:outlineLvl w:val="9"/>
        <w:rPr>
          <w:rFonts w:ascii="宋体" w:hAnsi="宋体" w:eastAsia="宋体" w:cs="宋体"/>
          <w:color w:val="auto"/>
          <w:sz w:val="24"/>
          <w:szCs w:val="24"/>
          <w:highlight w:val="none"/>
        </w:rPr>
        <w:sectPr>
          <w:headerReference r:id="rId13" w:type="default"/>
          <w:footerReference r:id="rId14" w:type="default"/>
          <w:pgSz w:w="11907" w:h="16839"/>
          <w:pgMar w:top="1134" w:right="1774" w:bottom="1168" w:left="1774" w:header="863" w:footer="991" w:gutter="0"/>
          <w:pgBorders>
            <w:top w:val="none" w:sz="0" w:space="0"/>
            <w:left w:val="none" w:sz="0" w:space="0"/>
            <w:bottom w:val="none" w:sz="0" w:space="0"/>
            <w:right w:val="none" w:sz="0" w:space="0"/>
          </w:pgBorders>
          <w:pgNumType w:fmt="decimal"/>
          <w:cols w:space="720" w:num="1"/>
        </w:sectPr>
      </w:pPr>
      <w:bookmarkStart w:id="953" w:name="bookmark31"/>
      <w:bookmarkEnd w:id="953"/>
      <w:bookmarkStart w:id="954" w:name="OLE_LINK68"/>
      <w:bookmarkStart w:id="955" w:name="OLE_LINK63"/>
    </w:p>
    <w:bookmarkEnd w:id="954"/>
    <w:bookmarkEnd w:id="955"/>
    <w:p w14:paraId="32AE3843">
      <w:pPr>
        <w:keepNext w:val="0"/>
        <w:keepLines w:val="0"/>
        <w:pageBreakBefore w:val="0"/>
        <w:widowControl/>
        <w:kinsoku w:val="0"/>
        <w:wordWrap/>
        <w:overflowPunct/>
        <w:topLinePunct w:val="0"/>
        <w:autoSpaceDE w:val="0"/>
        <w:autoSpaceDN w:val="0"/>
        <w:bidi w:val="0"/>
        <w:adjustRightInd w:val="0"/>
        <w:snapToGrid w:val="0"/>
        <w:spacing w:before="91" w:line="360" w:lineRule="auto"/>
        <w:ind w:left="34"/>
        <w:textAlignment w:val="baseline"/>
        <w:outlineLvl w:val="0"/>
        <w:rPr>
          <w:rFonts w:hint="eastAsia" w:ascii="Times New Roman" w:hAnsi="Times New Roman" w:eastAsia="Times New Roman" w:cs="Times New Roman"/>
          <w:b/>
          <w:bCs/>
          <w:color w:val="auto"/>
          <w:spacing w:val="-2"/>
          <w:sz w:val="28"/>
          <w:szCs w:val="28"/>
          <w:highlight w:val="none"/>
          <w:lang w:val="en-US" w:eastAsia="zh-CN"/>
        </w:rPr>
      </w:pPr>
      <w:bookmarkStart w:id="956" w:name="bookmark33"/>
      <w:bookmarkEnd w:id="956"/>
      <w:bookmarkStart w:id="957" w:name="_Toc16682"/>
      <w:r>
        <w:rPr>
          <w:rFonts w:hint="eastAsia" w:ascii="Times New Roman" w:hAnsi="Times New Roman" w:eastAsia="Times New Roman" w:cs="Times New Roman"/>
          <w:b/>
          <w:bCs/>
          <w:color w:val="auto"/>
          <w:spacing w:val="-2"/>
          <w:sz w:val="28"/>
          <w:szCs w:val="28"/>
          <w:highlight w:val="none"/>
          <w:lang w:val="en-US" w:eastAsia="zh-CN"/>
        </w:rPr>
        <w:t>4规划分析</w:t>
      </w:r>
      <w:bookmarkEnd w:id="957"/>
      <w:bookmarkStart w:id="958" w:name="pindex4066"/>
      <w:bookmarkEnd w:id="958"/>
    </w:p>
    <w:p w14:paraId="6DCD581C">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ascii="Times New Roman" w:hAnsi="Times New Roman" w:eastAsia="Times New Roman" w:cs="Times New Roman"/>
          <w:b/>
          <w:bCs/>
          <w:color w:val="auto"/>
          <w:spacing w:val="-3"/>
          <w:sz w:val="24"/>
          <w:szCs w:val="24"/>
          <w:highlight w:val="none"/>
        </w:rPr>
      </w:pPr>
      <w:bookmarkStart w:id="959" w:name="bookmark35"/>
      <w:bookmarkEnd w:id="959"/>
      <w:bookmarkStart w:id="960" w:name="_Toc8969"/>
      <w:r>
        <w:rPr>
          <w:rFonts w:ascii="Times New Roman" w:hAnsi="Times New Roman" w:eastAsia="Times New Roman" w:cs="Times New Roman"/>
          <w:b/>
          <w:bCs/>
          <w:color w:val="auto"/>
          <w:spacing w:val="-3"/>
          <w:sz w:val="24"/>
          <w:szCs w:val="24"/>
          <w:highlight w:val="none"/>
        </w:rPr>
        <w:t>4.1规划环评概要</w:t>
      </w:r>
      <w:bookmarkEnd w:id="960"/>
      <w:bookmarkStart w:id="961" w:name="pindex4067"/>
      <w:bookmarkEnd w:id="961"/>
    </w:p>
    <w:p w14:paraId="4FFEF874">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60" w:firstLineChars="200"/>
        <w:textAlignment w:val="baseline"/>
        <w:outlineLvl w:val="9"/>
        <w:rPr>
          <w:rFonts w:hint="default" w:ascii="Times New Roman" w:hAnsi="Times New Roman" w:eastAsia="宋体" w:cs="Times New Roman"/>
          <w:color w:val="auto"/>
          <w:spacing w:val="-5"/>
          <w:sz w:val="24"/>
          <w:szCs w:val="24"/>
          <w:highlight w:val="none"/>
        </w:rPr>
      </w:pPr>
      <w:bookmarkStart w:id="962" w:name="sys4068076"/>
      <w:r>
        <w:rPr>
          <w:rFonts w:hint="default" w:ascii="Times New Roman" w:hAnsi="Times New Roman" w:eastAsia="宋体" w:cs="Times New Roman"/>
          <w:color w:val="auto"/>
          <w:spacing w:val="-5"/>
          <w:sz w:val="24"/>
          <w:szCs w:val="24"/>
          <w:highlight w:val="none"/>
        </w:rPr>
        <w:t>江宁经济技术开发区创办于1992年6月18日，1993年11月，被江苏省人民政府批准为省级经济开发区</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苏政复</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1993</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56号</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，批复面积6.8km</w:t>
      </w:r>
      <w:r>
        <w:rPr>
          <w:rFonts w:hint="eastAsia" w:ascii="Times New Roman" w:hAnsi="Times New Roman" w:eastAsia="宋体" w:cs="Times New Roman"/>
          <w:color w:val="auto"/>
          <w:spacing w:val="-5"/>
          <w:sz w:val="24"/>
          <w:szCs w:val="24"/>
          <w:highlight w:val="none"/>
          <w:vertAlign w:val="superscript"/>
          <w:lang w:val="en-US" w:eastAsia="zh-CN"/>
        </w:rPr>
        <w:t>2</w:t>
      </w:r>
      <w:r>
        <w:rPr>
          <w:rFonts w:hint="default" w:ascii="Times New Roman" w:hAnsi="Times New Roman" w:eastAsia="宋体" w:cs="Times New Roman"/>
          <w:color w:val="auto"/>
          <w:spacing w:val="-5"/>
          <w:sz w:val="24"/>
          <w:szCs w:val="24"/>
          <w:highlight w:val="none"/>
        </w:rPr>
        <w:t>。</w:t>
      </w:r>
      <w:bookmarkEnd w:id="962"/>
      <w:r>
        <w:rPr>
          <w:rFonts w:hint="default" w:ascii="Times New Roman" w:hAnsi="Times New Roman" w:eastAsia="宋体" w:cs="Times New Roman"/>
          <w:color w:val="auto"/>
          <w:spacing w:val="-5"/>
          <w:sz w:val="24"/>
          <w:szCs w:val="24"/>
          <w:highlight w:val="none"/>
        </w:rPr>
        <w:t>2002年江苏省委、省政府同意对江宁经济开发区比照国家级开发区赋予经济审批权和行政级别</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苏委</w:t>
      </w:r>
      <w:r>
        <w:rPr>
          <w:rFonts w:hint="eastAsia" w:ascii="Times New Roman" w:hAnsi="Times New Roman" w:eastAsia="宋体" w:cs="Times New Roman"/>
          <w:color w:val="auto"/>
          <w:spacing w:val="-5"/>
          <w:sz w:val="24"/>
          <w:szCs w:val="24"/>
          <w:highlight w:val="none"/>
          <w:lang w:eastAsia="zh-CN"/>
        </w:rPr>
        <w:t>〔</w:t>
      </w:r>
      <w:r>
        <w:rPr>
          <w:rFonts w:hint="eastAsia" w:ascii="Times New Roman" w:hAnsi="Times New Roman" w:eastAsia="宋体" w:cs="Times New Roman"/>
          <w:color w:val="auto"/>
          <w:spacing w:val="-5"/>
          <w:sz w:val="24"/>
          <w:szCs w:val="24"/>
          <w:highlight w:val="none"/>
          <w:lang w:val="en-US" w:eastAsia="zh-CN"/>
        </w:rPr>
        <w:t>2002</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287号</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w:t>
      </w:r>
    </w:p>
    <w:p w14:paraId="654AF6FC">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60" w:firstLineChars="200"/>
        <w:textAlignment w:val="baseline"/>
        <w:outlineLvl w:val="9"/>
        <w:rPr>
          <w:rFonts w:hint="default" w:ascii="Times New Roman" w:hAnsi="Times New Roman" w:eastAsia="宋体" w:cs="Times New Roman"/>
          <w:color w:val="auto"/>
          <w:spacing w:val="-5"/>
          <w:sz w:val="24"/>
          <w:szCs w:val="24"/>
          <w:highlight w:val="none"/>
          <w:lang w:val="en-US"/>
        </w:rPr>
      </w:pPr>
      <w:bookmarkStart w:id="963" w:name="sys40690111"/>
      <w:r>
        <w:rPr>
          <w:rFonts w:hint="default" w:ascii="Times New Roman" w:hAnsi="Times New Roman" w:eastAsia="宋体" w:cs="Times New Roman"/>
          <w:color w:val="auto"/>
          <w:spacing w:val="-5"/>
          <w:sz w:val="24"/>
          <w:szCs w:val="24"/>
          <w:highlight w:val="none"/>
        </w:rPr>
        <w:t>根据中华人民共和国国土资源部公告2006年第29号</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第十四批落实四至范围的开发区公告，江宁经济技术开发区包括</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九龙湖片区、科学园产业区、高新产业区、原上坊工业园、原秣陵工业园、原禄口华商科技园六个片区，共38.47km</w:t>
      </w:r>
      <w:r>
        <w:rPr>
          <w:rFonts w:hint="eastAsia" w:ascii="Times New Roman" w:hAnsi="Times New Roman" w:eastAsia="宋体" w:cs="Times New Roman"/>
          <w:color w:val="auto"/>
          <w:spacing w:val="-5"/>
          <w:sz w:val="24"/>
          <w:szCs w:val="24"/>
          <w:highlight w:val="none"/>
          <w:vertAlign w:val="superscript"/>
          <w:lang w:val="en-US" w:eastAsia="zh-CN"/>
        </w:rPr>
        <w:t>2</w:t>
      </w:r>
      <w:r>
        <w:rPr>
          <w:rFonts w:hint="eastAsia" w:ascii="Times New Roman" w:hAnsi="Times New Roman" w:eastAsia="宋体" w:cs="Times New Roman"/>
          <w:color w:val="auto"/>
          <w:spacing w:val="-5"/>
          <w:sz w:val="24"/>
          <w:szCs w:val="24"/>
          <w:highlight w:val="none"/>
          <w:lang w:val="en-US" w:eastAsia="zh-CN"/>
        </w:rPr>
        <w:t>。</w:t>
      </w:r>
      <w:bookmarkEnd w:id="963"/>
    </w:p>
    <w:p w14:paraId="74603203">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60" w:firstLineChars="200"/>
        <w:textAlignment w:val="baseline"/>
        <w:outlineLvl w:val="9"/>
        <w:rPr>
          <w:rFonts w:hint="default" w:ascii="Times New Roman" w:hAnsi="Times New Roman" w:eastAsia="宋体" w:cs="Times New Roman"/>
          <w:color w:val="auto"/>
          <w:spacing w:val="-5"/>
          <w:sz w:val="24"/>
          <w:szCs w:val="24"/>
          <w:highlight w:val="none"/>
        </w:rPr>
      </w:pPr>
      <w:bookmarkStart w:id="964" w:name="sys40700176"/>
      <w:r>
        <w:rPr>
          <w:rFonts w:hint="default" w:ascii="Times New Roman" w:hAnsi="Times New Roman" w:eastAsia="宋体" w:cs="Times New Roman"/>
          <w:color w:val="auto"/>
          <w:spacing w:val="-5"/>
          <w:sz w:val="24"/>
          <w:szCs w:val="24"/>
          <w:highlight w:val="none"/>
        </w:rPr>
        <w:t>2010年11月，国务院办公厅下发《关于江宁经济开发区升级为国家级经济技术开发区的复函》</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国办函</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2010</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163号</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，江宁经济开发区升级为国家级经济技术开发区，定名为江宁经济技术开发区，批复面积38.47km</w:t>
      </w:r>
      <w:r>
        <w:rPr>
          <w:rFonts w:hint="eastAsia" w:ascii="Times New Roman" w:hAnsi="Times New Roman" w:eastAsia="宋体" w:cs="Times New Roman"/>
          <w:color w:val="auto"/>
          <w:spacing w:val="-5"/>
          <w:sz w:val="24"/>
          <w:szCs w:val="24"/>
          <w:highlight w:val="none"/>
          <w:vertAlign w:val="superscript"/>
          <w:lang w:val="en-US" w:eastAsia="zh-CN"/>
        </w:rPr>
        <w:t>2</w:t>
      </w:r>
      <w:r>
        <w:rPr>
          <w:rFonts w:hint="default" w:ascii="Times New Roman" w:hAnsi="Times New Roman" w:eastAsia="宋体" w:cs="Times New Roman"/>
          <w:color w:val="auto"/>
          <w:spacing w:val="-5"/>
          <w:sz w:val="24"/>
          <w:szCs w:val="24"/>
          <w:highlight w:val="none"/>
        </w:rPr>
        <w:t>，包括九龙湖片区、科学园产业区、高新产业区、原上坊工业园、原秣陵工业园、原禄口华商科技园六个片区，同2006年国土资源部第29号公告的范围。</w:t>
      </w:r>
      <w:bookmarkEnd w:id="964"/>
    </w:p>
    <w:p w14:paraId="5BB4CC00">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60" w:firstLineChars="200"/>
        <w:textAlignment w:val="baseline"/>
        <w:outlineLvl w:val="9"/>
        <w:rPr>
          <w:rFonts w:hint="default" w:ascii="Times New Roman" w:hAnsi="Times New Roman" w:eastAsia="宋体" w:cs="Times New Roman"/>
          <w:color w:val="auto"/>
          <w:spacing w:val="-5"/>
          <w:sz w:val="24"/>
          <w:szCs w:val="24"/>
          <w:highlight w:val="none"/>
        </w:rPr>
      </w:pPr>
      <w:r>
        <w:rPr>
          <w:rFonts w:hint="default" w:ascii="Times New Roman" w:hAnsi="Times New Roman" w:eastAsia="宋体" w:cs="Times New Roman"/>
          <w:color w:val="auto"/>
          <w:spacing w:val="-5"/>
          <w:sz w:val="24"/>
          <w:szCs w:val="24"/>
          <w:highlight w:val="none"/>
        </w:rPr>
        <w:t>2012年9月，国务院同意设立南京综合保税区</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国函</w:t>
      </w:r>
      <w:r>
        <w:rPr>
          <w:rFonts w:hint="eastAsia" w:ascii="Times New Roman" w:hAnsi="Times New Roman" w:eastAsia="宋体" w:cs="Times New Roman"/>
          <w:color w:val="auto"/>
          <w:spacing w:val="-5"/>
          <w:sz w:val="24"/>
          <w:szCs w:val="24"/>
          <w:highlight w:val="none"/>
          <w:lang w:eastAsia="zh-CN"/>
        </w:rPr>
        <w:t>〔</w:t>
      </w:r>
      <w:r>
        <w:rPr>
          <w:rFonts w:hint="eastAsia" w:ascii="Times New Roman" w:hAnsi="Times New Roman" w:eastAsia="宋体" w:cs="Times New Roman"/>
          <w:color w:val="auto"/>
          <w:spacing w:val="-5"/>
          <w:sz w:val="24"/>
          <w:szCs w:val="24"/>
          <w:highlight w:val="none"/>
          <w:lang w:val="en-US" w:eastAsia="zh-CN"/>
        </w:rPr>
        <w:t>2012</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133号</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，其中江宁片区规划面积1.2平方公里，四至范围</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东至苏源大道，南至高压走廊，西至机场高速北至江宁经济技术开发区城南大道。</w:t>
      </w:r>
    </w:p>
    <w:p w14:paraId="21BA64B1">
      <w:pPr>
        <w:keepNext w:val="0"/>
        <w:keepLines w:val="0"/>
        <w:pageBreakBefore w:val="0"/>
        <w:widowControl/>
        <w:kinsoku/>
        <w:wordWrap/>
        <w:overflowPunct/>
        <w:topLinePunct w:val="0"/>
        <w:autoSpaceDE w:val="0"/>
        <w:autoSpaceDN w:val="0"/>
        <w:bidi w:val="0"/>
        <w:adjustRightInd w:val="0"/>
        <w:snapToGrid w:val="0"/>
        <w:spacing w:before="36" w:line="360" w:lineRule="auto"/>
        <w:ind w:left="45" w:firstLine="460" w:firstLineChars="200"/>
        <w:textAlignment w:val="baseline"/>
        <w:outlineLvl w:val="9"/>
        <w:rPr>
          <w:rFonts w:hint="default" w:ascii="Times New Roman" w:hAnsi="Times New Roman" w:eastAsia="宋体" w:cs="Times New Roman"/>
          <w:color w:val="auto"/>
          <w:spacing w:val="-5"/>
          <w:sz w:val="24"/>
          <w:szCs w:val="24"/>
          <w:highlight w:val="none"/>
        </w:rPr>
      </w:pPr>
      <w:bookmarkStart w:id="965" w:name="sys40720265"/>
      <w:r>
        <w:rPr>
          <w:rFonts w:hint="default" w:ascii="Times New Roman" w:hAnsi="Times New Roman" w:eastAsia="宋体" w:cs="Times New Roman"/>
          <w:color w:val="auto"/>
          <w:spacing w:val="-5"/>
          <w:sz w:val="24"/>
          <w:szCs w:val="24"/>
          <w:highlight w:val="none"/>
        </w:rPr>
        <w:t>2012年，为将开发区现有分散的6个发展片区</w:t>
      </w:r>
      <w:r>
        <w:rPr>
          <w:rFonts w:hint="eastAsia" w:ascii="Times New Roman" w:hAnsi="Times New Roman" w:eastAsia="宋体" w:cs="Times New Roman"/>
          <w:color w:val="auto"/>
          <w:spacing w:val="-5"/>
          <w:sz w:val="24"/>
          <w:szCs w:val="24"/>
          <w:highlight w:val="none"/>
          <w:lang w:eastAsia="zh-CN"/>
        </w:rPr>
        <w:t>进行有效的整合</w:t>
      </w:r>
      <w:r>
        <w:rPr>
          <w:rFonts w:hint="default" w:ascii="Times New Roman" w:hAnsi="Times New Roman" w:eastAsia="宋体" w:cs="Times New Roman"/>
          <w:color w:val="auto"/>
          <w:spacing w:val="-5"/>
          <w:sz w:val="24"/>
          <w:szCs w:val="24"/>
          <w:highlight w:val="none"/>
        </w:rPr>
        <w:t>，同时考虑开发区实际的控制面积及行政管理范围，开发区管委会组织编制了《江宁经济技术开发区总体发展规划</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2012-2030</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规划批复文号</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江宁政复</w:t>
      </w:r>
      <w:r>
        <w:rPr>
          <w:rFonts w:hint="eastAsia" w:ascii="Times New Roman" w:hAnsi="Times New Roman" w:eastAsia="宋体" w:cs="Times New Roman"/>
          <w:color w:val="auto"/>
          <w:spacing w:val="-5"/>
          <w:sz w:val="24"/>
          <w:szCs w:val="24"/>
          <w:highlight w:val="none"/>
          <w:lang w:eastAsia="zh-CN"/>
        </w:rPr>
        <w:t>〔</w:t>
      </w:r>
      <w:r>
        <w:rPr>
          <w:rFonts w:hint="eastAsia" w:ascii="Times New Roman" w:hAnsi="Times New Roman" w:eastAsia="宋体" w:cs="Times New Roman"/>
          <w:color w:val="auto"/>
          <w:spacing w:val="-5"/>
          <w:sz w:val="24"/>
          <w:szCs w:val="24"/>
          <w:highlight w:val="none"/>
          <w:lang w:val="en-US" w:eastAsia="zh-CN"/>
        </w:rPr>
        <w:t>2013</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93号</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，规划范围东至青龙山</w:t>
      </w:r>
      <w:r>
        <w:rPr>
          <w:rFonts w:hint="eastAsia" w:ascii="Times New Roman" w:hAnsi="Times New Roman" w:eastAsia="宋体" w:cs="Times New Roman"/>
          <w:color w:val="auto"/>
          <w:spacing w:val="-5"/>
          <w:sz w:val="24"/>
          <w:szCs w:val="24"/>
          <w:highlight w:val="none"/>
          <w:lang w:val="en-US" w:eastAsia="zh-CN"/>
        </w:rPr>
        <w:t>-</w:t>
      </w:r>
      <w:r>
        <w:rPr>
          <w:rFonts w:hint="default" w:ascii="Times New Roman" w:hAnsi="Times New Roman" w:eastAsia="宋体" w:cs="Times New Roman"/>
          <w:color w:val="auto"/>
          <w:spacing w:val="-5"/>
          <w:sz w:val="24"/>
          <w:szCs w:val="24"/>
          <w:highlight w:val="none"/>
        </w:rPr>
        <w:t>大连山，东南至汤铜公路，南至禄口新城、城市三环，西至吉山及吉山水库，和牛首山、祖堂山沿线，北至秦淮新河、东山老城和上坊地区，规划面积为348.7km</w:t>
      </w:r>
      <w:r>
        <w:rPr>
          <w:rFonts w:hint="eastAsia" w:ascii="Times New Roman" w:hAnsi="Times New Roman" w:eastAsia="宋体" w:cs="Times New Roman"/>
          <w:color w:val="auto"/>
          <w:spacing w:val="-5"/>
          <w:sz w:val="24"/>
          <w:szCs w:val="24"/>
          <w:highlight w:val="none"/>
          <w:vertAlign w:val="superscript"/>
          <w:lang w:val="en-US" w:eastAsia="zh-CN"/>
        </w:rPr>
        <w:t>2</w:t>
      </w:r>
      <w:r>
        <w:rPr>
          <w:rFonts w:hint="default" w:ascii="Times New Roman" w:hAnsi="Times New Roman" w:eastAsia="宋体" w:cs="Times New Roman"/>
          <w:color w:val="auto"/>
          <w:spacing w:val="-5"/>
          <w:sz w:val="24"/>
          <w:szCs w:val="24"/>
          <w:highlight w:val="none"/>
        </w:rPr>
        <w:t>，重点发展信息通信、汽车、新能源、电力自动化与智能电网、航空和生命科技等产业，软件及服务外包、商务商贸、现代物流、文化创意等服务业。</w:t>
      </w:r>
      <w:bookmarkEnd w:id="965"/>
      <w:bookmarkStart w:id="966" w:name="sys407226551"/>
      <w:r>
        <w:rPr>
          <w:rFonts w:hint="default" w:ascii="Times New Roman" w:hAnsi="Times New Roman" w:eastAsia="宋体" w:cs="Times New Roman"/>
          <w:color w:val="auto"/>
          <w:spacing w:val="-5"/>
          <w:sz w:val="24"/>
          <w:szCs w:val="24"/>
          <w:highlight w:val="none"/>
        </w:rPr>
        <w:t>同步开展</w:t>
      </w:r>
      <w:sdt>
        <w:sdtPr>
          <w:rPr>
            <w:color w:val="auto"/>
            <w:highlight w:val="none"/>
          </w:rPr>
          <w:alias w:val="易错词检查"/>
          <w:tag w:val="auto"/>
          <w:id w:val="3083540"/>
        </w:sdtPr>
        <w:sdtEndPr>
          <w:rPr>
            <w:color w:val="auto"/>
            <w:highlight w:val="none"/>
          </w:rPr>
        </w:sdtEndPr>
        <w:sdtContent>
          <w:bookmarkStart w:id="967" w:name="bkReivew3083540"/>
          <w:r>
            <w:rPr>
              <w:rFonts w:hint="default" w:ascii="Times New Roman" w:hAnsi="Times New Roman" w:eastAsia="宋体" w:cs="Times New Roman"/>
              <w:color w:val="auto"/>
              <w:spacing w:val="-5"/>
              <w:sz w:val="24"/>
              <w:szCs w:val="24"/>
              <w:highlight w:val="none"/>
            </w:rPr>
            <w:t>了</w:t>
          </w:r>
          <w:bookmarkEnd w:id="967"/>
        </w:sdtContent>
      </w:sdt>
      <w:r>
        <w:rPr>
          <w:rFonts w:hint="default" w:ascii="Times New Roman" w:hAnsi="Times New Roman" w:eastAsia="宋体" w:cs="Times New Roman"/>
          <w:color w:val="auto"/>
          <w:spacing w:val="-5"/>
          <w:sz w:val="24"/>
          <w:szCs w:val="24"/>
          <w:highlight w:val="none"/>
        </w:rPr>
        <w:t>规划环评工作于2015年10月12日获得原环境保护部的审查意见</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环审</w:t>
      </w:r>
      <w:r>
        <w:rPr>
          <w:rFonts w:hint="eastAsia" w:ascii="Times New Roman" w:hAnsi="Times New Roman" w:eastAsia="宋体" w:cs="Times New Roman"/>
          <w:color w:val="auto"/>
          <w:spacing w:val="-5"/>
          <w:sz w:val="24"/>
          <w:szCs w:val="24"/>
          <w:highlight w:val="none"/>
          <w:lang w:eastAsia="zh-CN"/>
        </w:rPr>
        <w:t>〔</w:t>
      </w:r>
      <w:r>
        <w:rPr>
          <w:rFonts w:hint="eastAsia" w:ascii="Times New Roman" w:hAnsi="Times New Roman" w:eastAsia="宋体" w:cs="Times New Roman"/>
          <w:color w:val="auto"/>
          <w:spacing w:val="-5"/>
          <w:sz w:val="24"/>
          <w:szCs w:val="24"/>
          <w:highlight w:val="none"/>
          <w:lang w:val="en-US" w:eastAsia="zh-CN"/>
        </w:rPr>
        <w:t>2015</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210号</w:t>
      </w:r>
      <w:r>
        <w:rPr>
          <w:rFonts w:hint="eastAsia" w:ascii="Times New Roman" w:hAnsi="Times New Roman" w:eastAsia="宋体" w:cs="Times New Roman"/>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rPr>
        <w:t>。</w:t>
      </w:r>
      <w:bookmarkEnd w:id="966"/>
    </w:p>
    <w:p w14:paraId="414B362F">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60" w:firstLineChars="200"/>
        <w:textAlignment w:val="baseline"/>
        <w:outlineLvl w:val="9"/>
        <w:rPr>
          <w:rFonts w:hint="eastAsia" w:ascii="Times New Roman" w:hAnsi="Times New Roman" w:eastAsia="宋体" w:cs="Times New Roman"/>
          <w:color w:val="auto"/>
          <w:spacing w:val="-5"/>
          <w:sz w:val="24"/>
          <w:szCs w:val="24"/>
          <w:highlight w:val="none"/>
          <w:lang w:val="en-US" w:eastAsia="zh-CN"/>
        </w:rPr>
      </w:pPr>
      <w:r>
        <w:rPr>
          <w:rFonts w:hint="eastAsia" w:ascii="Times New Roman" w:hAnsi="Times New Roman" w:eastAsia="宋体" w:cs="Times New Roman"/>
          <w:color w:val="auto"/>
          <w:spacing w:val="-5"/>
          <w:sz w:val="24"/>
          <w:szCs w:val="24"/>
          <w:highlight w:val="none"/>
          <w:lang w:val="en-US" w:eastAsia="zh-CN"/>
        </w:rPr>
        <w:t>2022年2月，江宁经济技术开发区管理委员会委托南京大学环境规划设计研究院集团股份公司编制《江宁经济技术开发区总体发展规划（</w:t>
      </w:r>
      <w:sdt>
        <w:sdtPr>
          <w:rPr>
            <w:color w:val="auto"/>
            <w:highlight w:val="none"/>
          </w:rPr>
          <w:alias w:val="易错词检查"/>
          <w:tag w:val="auto"/>
          <w:id w:val="181503"/>
        </w:sdtPr>
        <w:sdtEndPr>
          <w:rPr>
            <w:color w:val="auto"/>
            <w:highlight w:val="none"/>
          </w:rPr>
        </w:sdtEndPr>
        <w:sdtContent>
          <w:bookmarkStart w:id="968" w:name="bkReivew181503"/>
          <w:r>
            <w:rPr>
              <w:rFonts w:hint="eastAsia" w:ascii="Times New Roman" w:hAnsi="Times New Roman" w:eastAsia="宋体" w:cs="Times New Roman"/>
              <w:color w:val="auto"/>
              <w:spacing w:val="-5"/>
              <w:sz w:val="24"/>
              <w:szCs w:val="24"/>
              <w:highlight w:val="none"/>
              <w:lang w:val="en-US" w:eastAsia="zh-CN"/>
            </w:rPr>
            <w:t>2020-2035</w:t>
          </w:r>
          <w:bookmarkEnd w:id="968"/>
        </w:sdtContent>
      </w:sdt>
      <w:r>
        <w:rPr>
          <w:rFonts w:hint="eastAsia" w:ascii="Times New Roman" w:hAnsi="Times New Roman" w:eastAsia="宋体" w:cs="Times New Roman"/>
          <w:color w:val="auto"/>
          <w:spacing w:val="-5"/>
          <w:sz w:val="24"/>
          <w:szCs w:val="24"/>
          <w:highlight w:val="none"/>
          <w:lang w:val="en-US" w:eastAsia="zh-CN"/>
        </w:rPr>
        <w:t>）环境影响报告书》，于2022年4月25日获得生态环境部审查意见（</w:t>
      </w:r>
      <w:r>
        <w:rPr>
          <w:rFonts w:hint="default" w:ascii="Times New Roman" w:hAnsi="Times New Roman" w:eastAsia="宋体" w:cs="Times New Roman"/>
          <w:color w:val="auto"/>
          <w:spacing w:val="-5"/>
          <w:sz w:val="24"/>
          <w:szCs w:val="24"/>
          <w:highlight w:val="none"/>
        </w:rPr>
        <w:t>环审</w:t>
      </w:r>
      <w:r>
        <w:rPr>
          <w:rFonts w:hint="eastAsia" w:ascii="Times New Roman" w:hAnsi="Times New Roman" w:eastAsia="宋体" w:cs="Times New Roman"/>
          <w:color w:val="auto"/>
          <w:spacing w:val="-5"/>
          <w:sz w:val="24"/>
          <w:szCs w:val="24"/>
          <w:highlight w:val="none"/>
          <w:lang w:eastAsia="zh-CN"/>
        </w:rPr>
        <w:t>〔</w:t>
      </w:r>
      <w:r>
        <w:rPr>
          <w:rFonts w:hint="eastAsia" w:ascii="Times New Roman" w:hAnsi="Times New Roman" w:eastAsia="宋体" w:cs="Times New Roman"/>
          <w:color w:val="auto"/>
          <w:spacing w:val="-5"/>
          <w:sz w:val="24"/>
          <w:szCs w:val="24"/>
          <w:highlight w:val="none"/>
          <w:lang w:val="en-US" w:eastAsia="zh-CN"/>
        </w:rPr>
        <w:t>2022</w:t>
      </w:r>
      <w:r>
        <w:rPr>
          <w:rFonts w:hint="eastAsia" w:ascii="Times New Roman" w:hAnsi="Times New Roman" w:eastAsia="宋体" w:cs="Times New Roman"/>
          <w:color w:val="auto"/>
          <w:spacing w:val="-5"/>
          <w:sz w:val="24"/>
          <w:szCs w:val="24"/>
          <w:highlight w:val="none"/>
          <w:lang w:eastAsia="zh-CN"/>
        </w:rPr>
        <w:t>〕</w:t>
      </w:r>
      <w:r>
        <w:rPr>
          <w:rFonts w:hint="eastAsia" w:ascii="Times New Roman" w:hAnsi="Times New Roman" w:eastAsia="宋体" w:cs="Times New Roman"/>
          <w:color w:val="auto"/>
          <w:spacing w:val="-5"/>
          <w:sz w:val="24"/>
          <w:szCs w:val="24"/>
          <w:highlight w:val="none"/>
          <w:lang w:val="en-US" w:eastAsia="zh-CN"/>
        </w:rPr>
        <w:t>46</w:t>
      </w:r>
      <w:r>
        <w:rPr>
          <w:rFonts w:hint="default" w:ascii="Times New Roman" w:hAnsi="Times New Roman" w:eastAsia="宋体" w:cs="Times New Roman"/>
          <w:color w:val="auto"/>
          <w:spacing w:val="-5"/>
          <w:sz w:val="24"/>
          <w:szCs w:val="24"/>
          <w:highlight w:val="none"/>
        </w:rPr>
        <w:t>号</w:t>
      </w:r>
      <w:r>
        <w:rPr>
          <w:rFonts w:hint="eastAsia" w:ascii="Times New Roman" w:hAnsi="Times New Roman" w:eastAsia="宋体" w:cs="Times New Roman"/>
          <w:color w:val="auto"/>
          <w:spacing w:val="-5"/>
          <w:sz w:val="24"/>
          <w:szCs w:val="24"/>
          <w:highlight w:val="none"/>
          <w:lang w:eastAsia="zh-CN"/>
        </w:rPr>
        <w:t>）。</w:t>
      </w:r>
    </w:p>
    <w:p w14:paraId="1D142A80">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68" w:firstLineChars="200"/>
        <w:textAlignment w:val="baseline"/>
        <w:outlineLvl w:val="9"/>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南京</w:t>
      </w:r>
      <w:r>
        <w:rPr>
          <w:rFonts w:hint="eastAsia" w:ascii="宋体" w:hAnsi="宋体" w:eastAsia="宋体" w:cs="宋体"/>
          <w:color w:val="auto"/>
          <w:spacing w:val="-3"/>
          <w:sz w:val="24"/>
          <w:szCs w:val="24"/>
          <w:highlight w:val="none"/>
          <w:lang w:val="en-US" w:eastAsia="zh-CN"/>
        </w:rPr>
        <w:t>江宁经济技术</w:t>
      </w:r>
      <w:r>
        <w:rPr>
          <w:rFonts w:ascii="宋体" w:hAnsi="宋体" w:eastAsia="宋体" w:cs="宋体"/>
          <w:color w:val="auto"/>
          <w:spacing w:val="-3"/>
          <w:sz w:val="24"/>
          <w:szCs w:val="24"/>
          <w:highlight w:val="none"/>
        </w:rPr>
        <w:t>开发区地理位置见</w:t>
      </w:r>
      <w:r>
        <w:rPr>
          <w:rFonts w:hint="eastAsia" w:ascii="宋体" w:hAnsi="宋体" w:eastAsia="宋体" w:cs="宋体"/>
          <w:color w:val="auto"/>
          <w:spacing w:val="-3"/>
          <w:sz w:val="24"/>
          <w:szCs w:val="24"/>
          <w:highlight w:val="none"/>
          <w:lang w:val="en-US" w:eastAsia="zh-CN"/>
        </w:rPr>
        <w:t>附</w:t>
      </w:r>
      <w:r>
        <w:rPr>
          <w:rFonts w:ascii="宋体" w:hAnsi="宋体" w:eastAsia="宋体" w:cs="宋体"/>
          <w:color w:val="auto"/>
          <w:spacing w:val="-3"/>
          <w:sz w:val="24"/>
          <w:szCs w:val="24"/>
          <w:highlight w:val="none"/>
        </w:rPr>
        <w:t>图</w:t>
      </w:r>
      <w:r>
        <w:rPr>
          <w:rFonts w:ascii="Times New Roman" w:hAnsi="Times New Roman" w:eastAsia="Times New Roman" w:cs="Times New Roman"/>
          <w:color w:val="auto"/>
          <w:spacing w:val="-3"/>
          <w:sz w:val="24"/>
          <w:szCs w:val="24"/>
          <w:highlight w:val="none"/>
        </w:rPr>
        <w:t>1</w:t>
      </w:r>
      <w:r>
        <w:rPr>
          <w:rFonts w:ascii="宋体" w:hAnsi="宋体" w:eastAsia="宋体" w:cs="宋体"/>
          <w:color w:val="auto"/>
          <w:spacing w:val="-3"/>
          <w:sz w:val="24"/>
          <w:szCs w:val="24"/>
          <w:highlight w:val="none"/>
        </w:rPr>
        <w:t>。</w:t>
      </w:r>
    </w:p>
    <w:p w14:paraId="4126B689">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ascii="Times New Roman" w:hAnsi="Times New Roman" w:eastAsia="Times New Roman" w:cs="Times New Roman"/>
          <w:b/>
          <w:bCs/>
          <w:color w:val="auto"/>
          <w:spacing w:val="-3"/>
          <w:sz w:val="24"/>
          <w:szCs w:val="24"/>
          <w:highlight w:val="none"/>
        </w:rPr>
      </w:pPr>
      <w:bookmarkStart w:id="969" w:name="bookmark37"/>
      <w:bookmarkEnd w:id="969"/>
      <w:bookmarkStart w:id="970" w:name="_Toc4018"/>
      <w:r>
        <w:rPr>
          <w:rFonts w:ascii="Times New Roman" w:hAnsi="Times New Roman" w:eastAsia="Times New Roman" w:cs="Times New Roman"/>
          <w:b/>
          <w:bCs/>
          <w:color w:val="auto"/>
          <w:spacing w:val="-3"/>
          <w:sz w:val="24"/>
          <w:szCs w:val="24"/>
          <w:highlight w:val="none"/>
        </w:rPr>
        <w:t>4.2规划范围与规划期限</w:t>
      </w:r>
      <w:bookmarkEnd w:id="970"/>
      <w:bookmarkStart w:id="971" w:name="pindex4075"/>
      <w:bookmarkEnd w:id="971"/>
    </w:p>
    <w:p w14:paraId="17A85D4E">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36" w:firstLineChars="200"/>
        <w:textAlignment w:val="baseline"/>
        <w:outlineLvl w:val="9"/>
        <w:rPr>
          <w:rFonts w:hint="default" w:ascii="Times New Roman" w:hAnsi="Times New Roman" w:eastAsia="宋体" w:cs="Times New Roman"/>
          <w:color w:val="auto"/>
          <w:spacing w:val="-3"/>
          <w:sz w:val="24"/>
          <w:szCs w:val="24"/>
          <w:highlight w:val="none"/>
          <w:lang w:val="en-US" w:eastAsia="zh-CN"/>
        </w:rPr>
      </w:pPr>
      <w:bookmarkStart w:id="972" w:name="OLE_LINK335"/>
      <w:bookmarkStart w:id="973" w:name="OLE_LINK336"/>
      <w:bookmarkStart w:id="974" w:name="OLE_LINK333"/>
      <w:r>
        <w:rPr>
          <w:rFonts w:hint="default" w:ascii="Times New Roman" w:hAnsi="Times New Roman" w:eastAsia="宋体" w:cs="Times New Roman"/>
          <w:color w:val="auto"/>
          <w:spacing w:val="-11"/>
          <w:sz w:val="24"/>
          <w:szCs w:val="24"/>
          <w:highlight w:val="none"/>
          <w:lang w:val="en-US" w:eastAsia="zh-CN"/>
        </w:rPr>
        <w:t>根据</w:t>
      </w:r>
      <w:r>
        <w:rPr>
          <w:rFonts w:hint="default" w:ascii="Times New Roman" w:hAnsi="Times New Roman" w:eastAsia="宋体" w:cs="Times New Roman"/>
          <w:color w:val="auto"/>
          <w:spacing w:val="-11"/>
          <w:sz w:val="24"/>
          <w:szCs w:val="24"/>
          <w:highlight w:val="none"/>
        </w:rPr>
        <w:t>《</w:t>
      </w:r>
      <w:r>
        <w:rPr>
          <w:rFonts w:hint="default" w:ascii="Times New Roman" w:hAnsi="Times New Roman" w:eastAsia="宋体" w:cs="Times New Roman"/>
          <w:color w:val="auto"/>
          <w:spacing w:val="-5"/>
          <w:sz w:val="24"/>
          <w:szCs w:val="24"/>
          <w:highlight w:val="none"/>
          <w:lang w:val="en-US" w:eastAsia="zh-CN"/>
        </w:rPr>
        <w:t>江宁经济技术开发区总体发展规划（</w:t>
      </w:r>
      <w:sdt>
        <w:sdtPr>
          <w:rPr>
            <w:color w:val="auto"/>
            <w:highlight w:val="none"/>
          </w:rPr>
          <w:alias w:val="易错词检查"/>
          <w:tag w:val="auto"/>
          <w:id w:val="21334"/>
        </w:sdtPr>
        <w:sdtEndPr>
          <w:rPr>
            <w:color w:val="auto"/>
            <w:highlight w:val="none"/>
          </w:rPr>
        </w:sdtEndPr>
        <w:sdtContent>
          <w:bookmarkStart w:id="975" w:name="bkReivew21334"/>
          <w:r>
            <w:rPr>
              <w:rFonts w:hint="default" w:ascii="Times New Roman" w:hAnsi="Times New Roman" w:eastAsia="宋体" w:cs="Times New Roman"/>
              <w:color w:val="auto"/>
              <w:spacing w:val="-5"/>
              <w:sz w:val="24"/>
              <w:szCs w:val="24"/>
              <w:highlight w:val="none"/>
              <w:lang w:val="en-US" w:eastAsia="zh-CN"/>
            </w:rPr>
            <w:t>2020-2035</w:t>
          </w:r>
          <w:bookmarkEnd w:id="975"/>
        </w:sdtContent>
      </w:sdt>
      <w:r>
        <w:rPr>
          <w:rFonts w:hint="default" w:ascii="Times New Roman" w:hAnsi="Times New Roman" w:eastAsia="宋体" w:cs="Times New Roman"/>
          <w:color w:val="auto"/>
          <w:spacing w:val="-5"/>
          <w:sz w:val="24"/>
          <w:szCs w:val="24"/>
          <w:highlight w:val="none"/>
          <w:lang w:val="en-US" w:eastAsia="zh-CN"/>
        </w:rPr>
        <w:t>）环境影响报告书</w:t>
      </w:r>
      <w:r>
        <w:rPr>
          <w:rFonts w:hint="default" w:ascii="Times New Roman" w:hAnsi="Times New Roman" w:eastAsia="宋体" w:cs="Times New Roman"/>
          <w:color w:val="auto"/>
          <w:spacing w:val="-3"/>
          <w:sz w:val="24"/>
          <w:szCs w:val="24"/>
          <w:highlight w:val="none"/>
        </w:rPr>
        <w:t>》</w:t>
      </w:r>
      <w:r>
        <w:rPr>
          <w:rFonts w:hint="default" w:ascii="Times New Roman" w:hAnsi="Times New Roman" w:eastAsia="宋体" w:cs="Times New Roman"/>
          <w:color w:val="auto"/>
          <w:spacing w:val="-3"/>
          <w:sz w:val="24"/>
          <w:szCs w:val="24"/>
          <w:highlight w:val="none"/>
          <w:lang w:eastAsia="zh-CN"/>
        </w:rPr>
        <w:t>，</w:t>
      </w:r>
      <w:bookmarkEnd w:id="972"/>
      <w:r>
        <w:rPr>
          <w:rFonts w:hint="default" w:ascii="Times New Roman" w:hAnsi="Times New Roman" w:eastAsia="宋体" w:cs="Times New Roman"/>
          <w:color w:val="auto"/>
          <w:spacing w:val="-3"/>
          <w:sz w:val="24"/>
          <w:szCs w:val="24"/>
          <w:highlight w:val="none"/>
          <w:lang w:val="en-US" w:eastAsia="zh-CN"/>
        </w:rPr>
        <w:t>江宁经济技术开发区</w:t>
      </w:r>
      <w:bookmarkEnd w:id="973"/>
      <w:r>
        <w:rPr>
          <w:rFonts w:hint="default" w:ascii="Times New Roman" w:hAnsi="Times New Roman" w:eastAsia="宋体" w:cs="Times New Roman"/>
          <w:color w:val="auto"/>
          <w:spacing w:val="-3"/>
          <w:sz w:val="24"/>
          <w:szCs w:val="24"/>
          <w:highlight w:val="none"/>
          <w:lang w:val="en-US" w:eastAsia="zh-CN"/>
        </w:rPr>
        <w:t>规划范围为东至青龙山-大连山，东南至汤铜公路，南至禄口新城、城市三环，西至吉山及吉山水库，和牛首山、祖堂山沿线，北至秦淮新河、东山老城和上坊地区，规划面积为348.7平方公里。</w:t>
      </w:r>
    </w:p>
    <w:bookmarkEnd w:id="974"/>
    <w:p w14:paraId="60B1107E">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36" w:firstLineChars="200"/>
        <w:textAlignment w:val="baseline"/>
        <w:outlineLvl w:val="9"/>
        <w:rPr>
          <w:rFonts w:ascii="宋体" w:hAnsi="宋体" w:eastAsia="宋体" w:cs="宋体"/>
          <w:color w:val="auto"/>
          <w:spacing w:val="-6"/>
          <w:sz w:val="24"/>
          <w:szCs w:val="24"/>
          <w:highlight w:val="none"/>
        </w:rPr>
      </w:pPr>
      <w:bookmarkStart w:id="976" w:name="OLE_LINK334"/>
      <w:r>
        <w:rPr>
          <w:rFonts w:ascii="宋体" w:hAnsi="宋体" w:eastAsia="宋体" w:cs="宋体"/>
          <w:color w:val="auto"/>
          <w:spacing w:val="-11"/>
          <w:sz w:val="24"/>
          <w:szCs w:val="24"/>
          <w:highlight w:val="none"/>
        </w:rPr>
        <w:t>本次规划</w:t>
      </w:r>
      <w:bookmarkEnd w:id="976"/>
      <w:r>
        <w:rPr>
          <w:rFonts w:ascii="宋体" w:hAnsi="宋体" w:eastAsia="宋体" w:cs="宋体"/>
          <w:color w:val="auto"/>
          <w:spacing w:val="-11"/>
          <w:sz w:val="24"/>
          <w:szCs w:val="24"/>
          <w:highlight w:val="none"/>
        </w:rPr>
        <w:t>分析依据</w:t>
      </w:r>
      <w:bookmarkStart w:id="977" w:name="OLE_LINK332"/>
      <w:r>
        <w:rPr>
          <w:rFonts w:ascii="宋体" w:hAnsi="宋体" w:eastAsia="宋体" w:cs="宋体"/>
          <w:color w:val="auto"/>
          <w:spacing w:val="-11"/>
          <w:sz w:val="24"/>
          <w:szCs w:val="24"/>
          <w:highlight w:val="none"/>
        </w:rPr>
        <w:t>《</w:t>
      </w:r>
      <w:r>
        <w:rPr>
          <w:rFonts w:hint="eastAsia" w:ascii="Times New Roman" w:hAnsi="Times New Roman" w:eastAsia="宋体" w:cs="Times New Roman"/>
          <w:color w:val="auto"/>
          <w:spacing w:val="-5"/>
          <w:sz w:val="24"/>
          <w:szCs w:val="24"/>
          <w:highlight w:val="none"/>
          <w:lang w:val="en-US" w:eastAsia="zh-CN"/>
        </w:rPr>
        <w:t>江宁经济技术开发区总体发展规划（</w:t>
      </w:r>
      <w:sdt>
        <w:sdtPr>
          <w:rPr>
            <w:color w:val="auto"/>
            <w:highlight w:val="none"/>
          </w:rPr>
          <w:alias w:val="易错词检查"/>
          <w:tag w:val="auto"/>
          <w:id w:val="141225"/>
        </w:sdtPr>
        <w:sdtEndPr>
          <w:rPr>
            <w:color w:val="auto"/>
            <w:highlight w:val="none"/>
          </w:rPr>
        </w:sdtEndPr>
        <w:sdtContent>
          <w:bookmarkStart w:id="978" w:name="bkReivew141225"/>
          <w:r>
            <w:rPr>
              <w:rFonts w:hint="eastAsia" w:ascii="Times New Roman" w:hAnsi="Times New Roman" w:eastAsia="宋体" w:cs="Times New Roman"/>
              <w:color w:val="auto"/>
              <w:spacing w:val="-5"/>
              <w:sz w:val="24"/>
              <w:szCs w:val="24"/>
              <w:highlight w:val="none"/>
              <w:lang w:val="en-US" w:eastAsia="zh-CN"/>
            </w:rPr>
            <w:t>2020-2035</w:t>
          </w:r>
          <w:bookmarkEnd w:id="978"/>
        </w:sdtContent>
      </w:sdt>
      <w:r>
        <w:rPr>
          <w:rFonts w:hint="eastAsia" w:ascii="Times New Roman" w:hAnsi="Times New Roman" w:eastAsia="宋体" w:cs="Times New Roman"/>
          <w:color w:val="auto"/>
          <w:spacing w:val="-5"/>
          <w:sz w:val="24"/>
          <w:szCs w:val="24"/>
          <w:highlight w:val="none"/>
          <w:lang w:val="en-US" w:eastAsia="zh-CN"/>
        </w:rPr>
        <w:t>）环境影响报告书</w:t>
      </w:r>
      <w:r>
        <w:rPr>
          <w:rFonts w:ascii="宋体" w:hAnsi="宋体" w:eastAsia="宋体" w:cs="宋体"/>
          <w:color w:val="auto"/>
          <w:spacing w:val="-3"/>
          <w:sz w:val="24"/>
          <w:szCs w:val="24"/>
          <w:highlight w:val="none"/>
        </w:rPr>
        <w:t>》</w:t>
      </w:r>
      <w:bookmarkEnd w:id="977"/>
      <w:r>
        <w:rPr>
          <w:rFonts w:ascii="宋体" w:hAnsi="宋体" w:eastAsia="宋体" w:cs="宋体"/>
          <w:color w:val="auto"/>
          <w:spacing w:val="-3"/>
          <w:sz w:val="24"/>
          <w:szCs w:val="24"/>
          <w:highlight w:val="none"/>
        </w:rPr>
        <w:t>进行分析。</w:t>
      </w:r>
      <w:r>
        <w:rPr>
          <w:rFonts w:hint="eastAsia" w:ascii="宋体" w:hAnsi="宋体" w:eastAsia="宋体" w:cs="宋体"/>
          <w:color w:val="auto"/>
          <w:spacing w:val="-3"/>
          <w:sz w:val="24"/>
          <w:szCs w:val="24"/>
          <w:highlight w:val="none"/>
          <w:lang w:val="en-US" w:eastAsia="zh-CN"/>
        </w:rPr>
        <w:t>本次</w:t>
      </w:r>
      <w:r>
        <w:rPr>
          <w:rFonts w:hint="eastAsia" w:ascii="宋体" w:hAnsi="宋体" w:eastAsia="宋体" w:cs="宋体"/>
          <w:color w:val="auto"/>
          <w:spacing w:val="-1"/>
          <w:sz w:val="24"/>
          <w:szCs w:val="24"/>
          <w:highlight w:val="none"/>
          <w:lang w:val="en-US" w:eastAsia="zh-CN"/>
        </w:rPr>
        <w:t>评估范围</w:t>
      </w:r>
      <w:r>
        <w:rPr>
          <w:rFonts w:ascii="宋体" w:hAnsi="宋体" w:eastAsia="宋体" w:cs="宋体"/>
          <w:color w:val="auto"/>
          <w:spacing w:val="-1"/>
          <w:sz w:val="24"/>
          <w:szCs w:val="24"/>
          <w:highlight w:val="none"/>
        </w:rPr>
        <w:t>面积：</w:t>
      </w:r>
      <w:r>
        <w:rPr>
          <w:rFonts w:hint="eastAsia" w:ascii="Times New Roman" w:hAnsi="Times New Roman" w:eastAsia="宋体" w:cs="Times New Roman"/>
          <w:color w:val="auto"/>
          <w:spacing w:val="-1"/>
          <w:sz w:val="24"/>
          <w:szCs w:val="24"/>
          <w:highlight w:val="none"/>
          <w:lang w:val="en-US" w:eastAsia="zh-CN"/>
        </w:rPr>
        <w:t>137.3</w:t>
      </w:r>
      <w:r>
        <w:rPr>
          <w:rFonts w:ascii="宋体" w:hAnsi="宋体" w:eastAsia="宋体" w:cs="宋体"/>
          <w:color w:val="auto"/>
          <w:spacing w:val="-1"/>
          <w:sz w:val="24"/>
          <w:szCs w:val="24"/>
          <w:highlight w:val="none"/>
        </w:rPr>
        <w:t>平方公里</w:t>
      </w:r>
      <w:r>
        <w:rPr>
          <w:rFonts w:hint="eastAsia" w:ascii="宋体" w:hAnsi="宋体" w:eastAsia="宋体" w:cs="宋体"/>
          <w:color w:val="auto"/>
          <w:spacing w:val="-1"/>
          <w:sz w:val="24"/>
          <w:szCs w:val="24"/>
          <w:highlight w:val="none"/>
          <w:lang w:eastAsia="zh-CN"/>
        </w:rPr>
        <w:t>；</w:t>
      </w:r>
      <w:bookmarkStart w:id="979" w:name="sys40776744"/>
      <w:r>
        <w:rPr>
          <w:rFonts w:ascii="宋体" w:hAnsi="宋体" w:eastAsia="宋体" w:cs="宋体"/>
          <w:color w:val="auto"/>
          <w:spacing w:val="-4"/>
          <w:sz w:val="24"/>
          <w:szCs w:val="24"/>
          <w:highlight w:val="none"/>
        </w:rPr>
        <w:t>四至范围：</w:t>
      </w:r>
      <w:r>
        <w:rPr>
          <w:rFonts w:ascii="Times New Roman" w:hAnsi="Times New Roman" w:eastAsia="宋体" w:cs="Times New Roman"/>
          <w:color w:val="auto"/>
          <w:sz w:val="24"/>
          <w:szCs w:val="24"/>
          <w:highlight w:val="none"/>
        </w:rPr>
        <w:t>东至秦淮河，南至银杏湖大道，北至秦淮新河，西至韩府山、翠屏山、将军山、牛首山</w:t>
      </w:r>
      <w:r>
        <w:rPr>
          <w:rFonts w:ascii="宋体" w:hAnsi="宋体" w:eastAsia="宋体" w:cs="宋体"/>
          <w:color w:val="auto"/>
          <w:spacing w:val="-6"/>
          <w:sz w:val="24"/>
          <w:szCs w:val="24"/>
          <w:highlight w:val="none"/>
        </w:rPr>
        <w:t>。</w:t>
      </w:r>
      <w:bookmarkEnd w:id="979"/>
    </w:p>
    <w:p w14:paraId="3D1F7FE2">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1"/>
        <w:rPr>
          <w:rFonts w:ascii="宋体" w:hAnsi="宋体" w:eastAsia="宋体" w:cs="宋体"/>
          <w:b/>
          <w:bCs/>
          <w:color w:val="auto"/>
          <w:spacing w:val="-2"/>
          <w:sz w:val="24"/>
          <w:szCs w:val="24"/>
          <w:highlight w:val="none"/>
        </w:rPr>
      </w:pPr>
      <w:bookmarkStart w:id="980" w:name="bookmark39"/>
      <w:bookmarkEnd w:id="980"/>
      <w:bookmarkStart w:id="981" w:name="_Toc18329"/>
      <w:r>
        <w:rPr>
          <w:rFonts w:ascii="Times New Roman" w:hAnsi="Times New Roman" w:eastAsia="Times New Roman" w:cs="Times New Roman"/>
          <w:b/>
          <w:bCs/>
          <w:color w:val="auto"/>
          <w:spacing w:val="-2"/>
          <w:sz w:val="24"/>
          <w:szCs w:val="24"/>
          <w:highlight w:val="none"/>
        </w:rPr>
        <w:t>4.3</w:t>
      </w:r>
      <w:r>
        <w:rPr>
          <w:rFonts w:ascii="宋体" w:hAnsi="宋体" w:eastAsia="宋体" w:cs="宋体"/>
          <w:b/>
          <w:bCs/>
          <w:color w:val="auto"/>
          <w:spacing w:val="-2"/>
          <w:sz w:val="24"/>
          <w:szCs w:val="24"/>
          <w:highlight w:val="none"/>
        </w:rPr>
        <w:t>规划目标和定位</w:t>
      </w:r>
      <w:bookmarkEnd w:id="981"/>
      <w:bookmarkStart w:id="982" w:name="pindex4078"/>
      <w:bookmarkEnd w:id="982"/>
    </w:p>
    <w:p w14:paraId="6BAF9F7C">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76" w:firstLineChars="200"/>
        <w:textAlignment w:val="baseline"/>
        <w:outlineLvl w:val="9"/>
        <w:rPr>
          <w:rFonts w:hint="default" w:ascii="宋体" w:hAnsi="宋体" w:eastAsia="宋体" w:cs="宋体"/>
          <w:color w:val="auto"/>
          <w:spacing w:val="-1"/>
          <w:sz w:val="24"/>
          <w:szCs w:val="24"/>
          <w:highlight w:val="none"/>
        </w:rPr>
      </w:pPr>
      <w:bookmarkStart w:id="983" w:name="sys4079066"/>
      <w:r>
        <w:rPr>
          <w:rFonts w:hint="default" w:ascii="宋体" w:hAnsi="宋体" w:eastAsia="宋体" w:cs="宋体"/>
          <w:color w:val="auto"/>
          <w:spacing w:val="-1"/>
          <w:sz w:val="24"/>
          <w:szCs w:val="24"/>
          <w:highlight w:val="none"/>
        </w:rPr>
        <w:t>总体</w:t>
      </w:r>
      <w:r>
        <w:rPr>
          <w:rFonts w:hint="eastAsia" w:ascii="宋体" w:hAnsi="宋体" w:eastAsia="宋体" w:cs="宋体"/>
          <w:color w:val="auto"/>
          <w:spacing w:val="-1"/>
          <w:sz w:val="24"/>
          <w:szCs w:val="24"/>
          <w:highlight w:val="none"/>
          <w:lang w:val="en-US" w:eastAsia="zh-CN"/>
        </w:rPr>
        <w:t>功能</w:t>
      </w:r>
      <w:r>
        <w:rPr>
          <w:rFonts w:hint="default" w:ascii="宋体" w:hAnsi="宋体" w:eastAsia="宋体" w:cs="宋体"/>
          <w:color w:val="auto"/>
          <w:spacing w:val="-1"/>
          <w:sz w:val="24"/>
          <w:szCs w:val="24"/>
          <w:highlight w:val="none"/>
        </w:rPr>
        <w:t>定位：国际性科技创新先行区、制造业高质量发展示范区、江苏国际航空枢纽核心区、南京主城南部中心标志区、江宁生态人文融合活力区。</w:t>
      </w:r>
      <w:bookmarkEnd w:id="983"/>
    </w:p>
    <w:p w14:paraId="56115448">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6" w:line="360" w:lineRule="auto"/>
        <w:ind w:firstLine="444" w:firstLineChars="200"/>
        <w:textAlignment w:val="baseline"/>
        <w:outlineLvl w:val="9"/>
        <w:rPr>
          <w:rFonts w:hint="default" w:ascii="Times New Roman" w:hAnsi="Times New Roman" w:eastAsia="宋体" w:cs="Times New Roman"/>
          <w:color w:val="auto"/>
          <w:spacing w:val="-9"/>
          <w:sz w:val="24"/>
          <w:szCs w:val="24"/>
          <w:highlight w:val="none"/>
        </w:rPr>
      </w:pPr>
      <w:r>
        <w:rPr>
          <w:rFonts w:hint="default" w:ascii="Times New Roman" w:hAnsi="Times New Roman" w:eastAsia="宋体" w:cs="Times New Roman"/>
          <w:color w:val="auto"/>
          <w:spacing w:val="-9"/>
          <w:sz w:val="24"/>
          <w:szCs w:val="24"/>
          <w:highlight w:val="none"/>
        </w:rPr>
        <w:t>总体发展目标：</w:t>
      </w:r>
    </w:p>
    <w:p w14:paraId="58613FE5">
      <w:pPr>
        <w:keepNext w:val="0"/>
        <w:keepLines w:val="0"/>
        <w:pageBreakBefore w:val="0"/>
        <w:widowControl/>
        <w:numPr>
          <w:ilvl w:val="0"/>
          <w:numId w:val="5"/>
        </w:numPr>
        <w:kinsoku w:val="0"/>
        <w:wordWrap/>
        <w:overflowPunct/>
        <w:topLinePunct w:val="0"/>
        <w:autoSpaceDE w:val="0"/>
        <w:autoSpaceDN w:val="0"/>
        <w:bidi w:val="0"/>
        <w:adjustRightInd w:val="0"/>
        <w:snapToGrid w:val="0"/>
        <w:spacing w:before="36" w:line="360" w:lineRule="auto"/>
        <w:ind w:firstLine="468" w:firstLineChars="200"/>
        <w:textAlignment w:val="baseline"/>
        <w:outlineLvl w:val="9"/>
        <w:rPr>
          <w:rFonts w:hint="default" w:ascii="Times New Roman" w:hAnsi="Times New Roman" w:eastAsia="宋体" w:cs="Times New Roman"/>
          <w:color w:val="auto"/>
          <w:spacing w:val="-4"/>
          <w:sz w:val="24"/>
          <w:szCs w:val="24"/>
          <w:highlight w:val="none"/>
        </w:rPr>
      </w:pPr>
      <w:r>
        <w:rPr>
          <w:rFonts w:hint="default" w:ascii="Times New Roman" w:hAnsi="Times New Roman" w:eastAsia="宋体" w:cs="Times New Roman"/>
          <w:color w:val="auto"/>
          <w:spacing w:val="-3"/>
          <w:sz w:val="24"/>
          <w:szCs w:val="24"/>
          <w:highlight w:val="none"/>
        </w:rPr>
        <w:t>近期</w:t>
      </w:r>
      <w:r>
        <w:rPr>
          <w:rFonts w:hint="eastAsia" w:ascii="Times New Roman" w:hAnsi="Times New Roman" w:eastAsia="宋体" w:cs="Times New Roman"/>
          <w:color w:val="auto"/>
          <w:spacing w:val="-3"/>
          <w:sz w:val="24"/>
          <w:szCs w:val="24"/>
          <w:highlight w:val="none"/>
          <w:lang w:eastAsia="zh-CN"/>
        </w:rPr>
        <w:t>：经济综合实力全面进入全国最前列，力争建成产业特色鲜明、整体创新效能突出、管理服务高效、经济与生态协调发展的现代化国际性高科技产业新城。推动产业转型和升级，调整发展路径，聚焦科技创新、先进制造业、现代服务业和带动力强的新兴产业，积极引入高水平人才和资金，积极构建健全、规范、国际化的发展环境，积极保护生态环境，打造高质量发展示范区。</w:t>
      </w:r>
      <w:bookmarkStart w:id="984" w:name="pindex4081"/>
      <w:bookmarkEnd w:id="984"/>
    </w:p>
    <w:p w14:paraId="23024D7C">
      <w:pPr>
        <w:keepNext w:val="0"/>
        <w:keepLines w:val="0"/>
        <w:pageBreakBefore w:val="0"/>
        <w:widowControl/>
        <w:numPr>
          <w:ilvl w:val="0"/>
          <w:numId w:val="0"/>
        </w:numPr>
        <w:kinsoku/>
        <w:wordWrap/>
        <w:overflowPunct/>
        <w:topLinePunct w:val="0"/>
        <w:autoSpaceDE w:val="0"/>
        <w:autoSpaceDN w:val="0"/>
        <w:bidi w:val="0"/>
        <w:adjustRightInd w:val="0"/>
        <w:snapToGrid w:val="0"/>
        <w:spacing w:before="36" w:line="360" w:lineRule="auto"/>
        <w:ind w:firstLine="472" w:firstLineChars="200"/>
        <w:textAlignment w:val="baseline"/>
        <w:outlineLvl w:val="9"/>
        <w:rPr>
          <w:rFonts w:hint="eastAsia" w:ascii="Times New Roman" w:hAnsi="Times New Roman" w:eastAsia="宋体" w:cs="Times New Roman"/>
          <w:color w:val="auto"/>
          <w:sz w:val="24"/>
          <w:szCs w:val="24"/>
          <w:highlight w:val="none"/>
          <w:lang w:eastAsia="zh-CN"/>
        </w:rPr>
      </w:pPr>
      <w:bookmarkStart w:id="985" w:name="sys40820159"/>
      <w:r>
        <w:rPr>
          <w:rFonts w:hint="default" w:ascii="Times New Roman" w:hAnsi="Times New Roman" w:eastAsia="宋体" w:cs="Times New Roman"/>
          <w:color w:val="auto"/>
          <w:spacing w:val="-2"/>
          <w:sz w:val="24"/>
          <w:szCs w:val="24"/>
          <w:highlight w:val="none"/>
        </w:rPr>
        <w:t>（2）远期</w:t>
      </w:r>
      <w:r>
        <w:rPr>
          <w:rFonts w:hint="eastAsia" w:ascii="Times New Roman" w:hAnsi="Times New Roman" w:eastAsia="宋体" w:cs="Times New Roman"/>
          <w:color w:val="auto"/>
          <w:spacing w:val="-2"/>
          <w:sz w:val="24"/>
          <w:szCs w:val="24"/>
          <w:highlight w:val="none"/>
          <w:lang w:eastAsia="zh-CN"/>
        </w:rPr>
        <w:t>：</w:t>
      </w:r>
      <w:r>
        <w:rPr>
          <w:rFonts w:hint="default" w:ascii="Times New Roman" w:hAnsi="Times New Roman" w:eastAsia="宋体" w:cs="Times New Roman"/>
          <w:color w:val="auto"/>
          <w:spacing w:val="-2"/>
          <w:sz w:val="24"/>
          <w:szCs w:val="24"/>
          <w:highlight w:val="none"/>
        </w:rPr>
        <w:t>规划围绕现代化国际性高科技产业新城发展定位，努力打造国际性科技创新先行区、制造业高质量发展示范区、江苏国际航空枢纽核心区、南京主城南部中心标志区、江宁生态人文融合活力区，加快建设“创新高地、智造强区、开放枢纽魅力新城、生态都市”，注重社会和谐、宜居宜业的现代、生态、文明之城，奋力由全国前列迈向全国最前列</w:t>
      </w:r>
      <w:r>
        <w:rPr>
          <w:rFonts w:hint="eastAsia" w:ascii="Times New Roman" w:hAnsi="Times New Roman" w:eastAsia="宋体" w:cs="Times New Roman"/>
          <w:color w:val="auto"/>
          <w:spacing w:val="-2"/>
          <w:sz w:val="24"/>
          <w:szCs w:val="24"/>
          <w:highlight w:val="none"/>
          <w:lang w:eastAsia="zh-CN"/>
        </w:rPr>
        <w:t>。</w:t>
      </w:r>
      <w:bookmarkEnd w:id="985"/>
      <w:bookmarkStart w:id="986" w:name="pindex4082"/>
      <w:bookmarkEnd w:id="986"/>
    </w:p>
    <w:p w14:paraId="69C32295">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1"/>
        <w:rPr>
          <w:rFonts w:ascii="Times New Roman" w:hAnsi="Times New Roman" w:eastAsia="Times New Roman" w:cs="Times New Roman"/>
          <w:b/>
          <w:bCs/>
          <w:color w:val="auto"/>
          <w:spacing w:val="-2"/>
          <w:sz w:val="24"/>
          <w:szCs w:val="24"/>
          <w:highlight w:val="none"/>
        </w:rPr>
      </w:pPr>
      <w:bookmarkStart w:id="987" w:name="bookmark41"/>
      <w:bookmarkEnd w:id="987"/>
      <w:bookmarkStart w:id="988" w:name="_Toc18484"/>
      <w:r>
        <w:rPr>
          <w:rFonts w:ascii="Times New Roman" w:hAnsi="Times New Roman" w:eastAsia="Times New Roman" w:cs="Times New Roman"/>
          <w:b/>
          <w:bCs/>
          <w:color w:val="auto"/>
          <w:spacing w:val="-2"/>
          <w:sz w:val="24"/>
          <w:szCs w:val="24"/>
          <w:highlight w:val="none"/>
        </w:rPr>
        <w:t>4.4产业发展规划</w:t>
      </w:r>
      <w:bookmarkEnd w:id="988"/>
      <w:bookmarkStart w:id="989" w:name="pindex4083"/>
      <w:bookmarkEnd w:id="989"/>
    </w:p>
    <w:p w14:paraId="5CEA01E1">
      <w:pPr>
        <w:keepNext w:val="0"/>
        <w:keepLines w:val="0"/>
        <w:pageBreakBefore w:val="0"/>
        <w:widowControl/>
        <w:numPr>
          <w:ilvl w:val="0"/>
          <w:numId w:val="0"/>
        </w:numPr>
        <w:kinsoku/>
        <w:wordWrap/>
        <w:overflowPunct/>
        <w:topLinePunct w:val="0"/>
        <w:autoSpaceDE w:val="0"/>
        <w:autoSpaceDN w:val="0"/>
        <w:bidi w:val="0"/>
        <w:adjustRightInd w:val="0"/>
        <w:snapToGrid w:val="0"/>
        <w:spacing w:before="36" w:line="360" w:lineRule="auto"/>
        <w:ind w:firstLine="472" w:firstLineChars="200"/>
        <w:textAlignment w:val="baseline"/>
        <w:outlineLvl w:val="9"/>
        <w:rPr>
          <w:rFonts w:hint="eastAsia" w:ascii="Times New Roman" w:hAnsi="Times New Roman" w:eastAsia="宋体" w:cs="Times New Roman"/>
          <w:color w:val="auto"/>
          <w:spacing w:val="-2"/>
          <w:sz w:val="24"/>
          <w:szCs w:val="24"/>
          <w:highlight w:val="none"/>
          <w:lang w:val="en-US" w:eastAsia="zh-CN"/>
        </w:rPr>
      </w:pPr>
      <w:bookmarkStart w:id="990" w:name="OLE_LINK339"/>
      <w:bookmarkStart w:id="991" w:name="OLE_LINK340"/>
      <w:bookmarkStart w:id="992" w:name="OLE_LINK341"/>
      <w:r>
        <w:rPr>
          <w:rFonts w:hint="default" w:ascii="Times New Roman" w:hAnsi="Times New Roman" w:eastAsia="宋体" w:cs="Times New Roman"/>
          <w:color w:val="auto"/>
          <w:spacing w:val="-2"/>
          <w:sz w:val="24"/>
          <w:szCs w:val="24"/>
          <w:highlight w:val="none"/>
          <w:lang w:val="en-US" w:eastAsia="zh-CN"/>
        </w:rPr>
        <w:t>根据</w:t>
      </w:r>
      <w:r>
        <w:rPr>
          <w:rFonts w:hint="default" w:ascii="Times New Roman" w:hAnsi="Times New Roman" w:eastAsia="宋体" w:cs="Times New Roman"/>
          <w:color w:val="auto"/>
          <w:spacing w:val="-2"/>
          <w:sz w:val="24"/>
          <w:szCs w:val="24"/>
          <w:highlight w:val="none"/>
        </w:rPr>
        <w:t>《</w:t>
      </w:r>
      <w:r>
        <w:rPr>
          <w:rFonts w:hint="default" w:ascii="Times New Roman" w:hAnsi="Times New Roman" w:eastAsia="宋体" w:cs="Times New Roman"/>
          <w:color w:val="auto"/>
          <w:spacing w:val="-2"/>
          <w:sz w:val="24"/>
          <w:szCs w:val="24"/>
          <w:highlight w:val="none"/>
          <w:lang w:val="en-US" w:eastAsia="zh-CN"/>
        </w:rPr>
        <w:t>江宁经济技术开发区总体发展规划（</w:t>
      </w:r>
      <w:sdt>
        <w:sdtPr>
          <w:rPr>
            <w:color w:val="auto"/>
            <w:highlight w:val="none"/>
          </w:rPr>
          <w:alias w:val="易错词检查"/>
          <w:tag w:val="auto"/>
          <w:id w:val="3162702"/>
        </w:sdtPr>
        <w:sdtEndPr>
          <w:rPr>
            <w:color w:val="auto"/>
            <w:highlight w:val="none"/>
          </w:rPr>
        </w:sdtEndPr>
        <w:sdtContent>
          <w:bookmarkStart w:id="993" w:name="bkReivew3162702"/>
          <w:r>
            <w:rPr>
              <w:rFonts w:hint="default" w:ascii="Times New Roman" w:hAnsi="Times New Roman" w:eastAsia="宋体" w:cs="Times New Roman"/>
              <w:color w:val="auto"/>
              <w:spacing w:val="-2"/>
              <w:sz w:val="24"/>
              <w:szCs w:val="24"/>
              <w:highlight w:val="none"/>
              <w:lang w:val="en-US" w:eastAsia="zh-CN"/>
            </w:rPr>
            <w:t>2020-2035</w:t>
          </w:r>
          <w:bookmarkEnd w:id="993"/>
        </w:sdtContent>
      </w:sdt>
      <w:r>
        <w:rPr>
          <w:rFonts w:hint="default" w:ascii="Times New Roman" w:hAnsi="Times New Roman" w:eastAsia="宋体" w:cs="Times New Roman"/>
          <w:color w:val="auto"/>
          <w:spacing w:val="-2"/>
          <w:sz w:val="24"/>
          <w:szCs w:val="24"/>
          <w:highlight w:val="none"/>
          <w:lang w:val="en-US" w:eastAsia="zh-CN"/>
        </w:rPr>
        <w:t>）环境影响报告书</w:t>
      </w:r>
      <w:r>
        <w:rPr>
          <w:rFonts w:hint="default" w:ascii="Times New Roman" w:hAnsi="Times New Roman" w:eastAsia="宋体" w:cs="Times New Roman"/>
          <w:color w:val="auto"/>
          <w:spacing w:val="-2"/>
          <w:sz w:val="24"/>
          <w:szCs w:val="24"/>
          <w:highlight w:val="none"/>
        </w:rPr>
        <w:t>》</w:t>
      </w:r>
      <w:r>
        <w:rPr>
          <w:rFonts w:hint="default" w:ascii="Times New Roman" w:hAnsi="Times New Roman" w:eastAsia="宋体" w:cs="Times New Roman"/>
          <w:color w:val="auto"/>
          <w:spacing w:val="-2"/>
          <w:sz w:val="24"/>
          <w:szCs w:val="24"/>
          <w:highlight w:val="none"/>
          <w:lang w:eastAsia="zh-CN"/>
        </w:rPr>
        <w:t>，</w:t>
      </w:r>
      <w:r>
        <w:rPr>
          <w:rFonts w:hint="eastAsia" w:ascii="Times New Roman" w:hAnsi="Times New Roman" w:eastAsia="宋体" w:cs="Times New Roman"/>
          <w:color w:val="auto"/>
          <w:spacing w:val="-2"/>
          <w:sz w:val="24"/>
          <w:szCs w:val="24"/>
          <w:highlight w:val="none"/>
          <w:lang w:val="en-US" w:eastAsia="zh-CN"/>
        </w:rPr>
        <w:t>江</w:t>
      </w:r>
      <w:bookmarkStart w:id="994" w:name="OLE_LINK342"/>
      <w:r>
        <w:rPr>
          <w:rFonts w:hint="eastAsia" w:ascii="Times New Roman" w:hAnsi="Times New Roman" w:eastAsia="宋体" w:cs="Times New Roman"/>
          <w:color w:val="auto"/>
          <w:spacing w:val="-2"/>
          <w:sz w:val="24"/>
          <w:szCs w:val="24"/>
          <w:highlight w:val="none"/>
          <w:lang w:val="en-US" w:eastAsia="zh-CN"/>
        </w:rPr>
        <w:t>宁经济技术开发区</w:t>
      </w:r>
      <w:bookmarkEnd w:id="990"/>
      <w:r>
        <w:rPr>
          <w:rFonts w:hint="eastAsia" w:ascii="Times New Roman" w:hAnsi="Times New Roman" w:eastAsia="宋体" w:cs="Times New Roman"/>
          <w:color w:val="auto"/>
          <w:spacing w:val="-2"/>
          <w:sz w:val="24"/>
          <w:szCs w:val="24"/>
          <w:highlight w:val="none"/>
          <w:lang w:val="en-US" w:eastAsia="zh-CN"/>
        </w:rPr>
        <w:t>分为</w:t>
      </w:r>
      <w:bookmarkStart w:id="995" w:name="OLE_LINK343"/>
      <w:r>
        <w:rPr>
          <w:rFonts w:hint="eastAsia" w:ascii="Times New Roman" w:hAnsi="Times New Roman" w:eastAsia="宋体" w:cs="Times New Roman"/>
          <w:color w:val="auto"/>
          <w:spacing w:val="-2"/>
          <w:sz w:val="24"/>
          <w:szCs w:val="24"/>
          <w:highlight w:val="none"/>
          <w:lang w:val="en-US" w:eastAsia="zh-CN"/>
        </w:rPr>
        <w:t>江南主城东山片区</w:t>
      </w:r>
      <w:bookmarkEnd w:id="995"/>
      <w:r>
        <w:rPr>
          <w:rFonts w:hint="eastAsia" w:ascii="Times New Roman" w:hAnsi="Times New Roman" w:eastAsia="宋体" w:cs="Times New Roman"/>
          <w:color w:val="auto"/>
          <w:spacing w:val="-2"/>
          <w:sz w:val="24"/>
          <w:szCs w:val="24"/>
          <w:highlight w:val="none"/>
          <w:lang w:val="en-US" w:eastAsia="zh-CN"/>
        </w:rPr>
        <w:t>、淳化-湖熟片区和禄口空港片区。</w:t>
      </w:r>
      <w:bookmarkEnd w:id="991"/>
      <w:bookmarkStart w:id="996" w:name="OLE_LINK348"/>
    </w:p>
    <w:p w14:paraId="46A63A32">
      <w:pPr>
        <w:keepNext w:val="0"/>
        <w:keepLines w:val="0"/>
        <w:pageBreakBefore w:val="0"/>
        <w:widowControl/>
        <w:numPr>
          <w:ilvl w:val="0"/>
          <w:numId w:val="0"/>
        </w:numPr>
        <w:kinsoku/>
        <w:wordWrap/>
        <w:overflowPunct/>
        <w:topLinePunct w:val="0"/>
        <w:autoSpaceDE w:val="0"/>
        <w:autoSpaceDN w:val="0"/>
        <w:bidi w:val="0"/>
        <w:adjustRightInd w:val="0"/>
        <w:snapToGrid w:val="0"/>
        <w:spacing w:before="36" w:line="360" w:lineRule="auto"/>
        <w:ind w:firstLine="472" w:firstLineChars="200"/>
        <w:textAlignment w:val="baseline"/>
        <w:outlineLvl w:val="9"/>
        <w:rPr>
          <w:rFonts w:hint="default" w:ascii="Times New Roman" w:hAnsi="Times New Roman" w:eastAsia="宋体" w:cs="Times New Roman"/>
          <w:color w:val="auto"/>
          <w:spacing w:val="-2"/>
          <w:sz w:val="24"/>
          <w:szCs w:val="24"/>
          <w:highlight w:val="none"/>
          <w:lang w:val="en-US"/>
        </w:rPr>
      </w:pPr>
      <w:r>
        <w:rPr>
          <w:rFonts w:hint="eastAsia" w:ascii="Times New Roman" w:hAnsi="Times New Roman" w:eastAsia="宋体" w:cs="Times New Roman"/>
          <w:color w:val="auto"/>
          <w:spacing w:val="-2"/>
          <w:sz w:val="24"/>
          <w:szCs w:val="24"/>
          <w:highlight w:val="none"/>
          <w:lang w:val="en-US" w:eastAsia="zh-CN"/>
        </w:rPr>
        <w:t>本次评估范围主要集中在江南主城东山片区</w:t>
      </w:r>
      <w:bookmarkEnd w:id="996"/>
      <w:r>
        <w:rPr>
          <w:rFonts w:hint="eastAsia" w:ascii="Times New Roman" w:hAnsi="Times New Roman" w:eastAsia="宋体" w:cs="Times New Roman"/>
          <w:color w:val="auto"/>
          <w:spacing w:val="-2"/>
          <w:sz w:val="24"/>
          <w:szCs w:val="24"/>
          <w:highlight w:val="none"/>
          <w:lang w:val="en-US" w:eastAsia="zh-CN"/>
        </w:rPr>
        <w:t>。</w:t>
      </w:r>
    </w:p>
    <w:bookmarkEnd w:id="992"/>
    <w:bookmarkEnd w:id="994"/>
    <w:p w14:paraId="48E971D6">
      <w:pPr>
        <w:keepNext w:val="0"/>
        <w:keepLines w:val="0"/>
        <w:pageBreakBefore w:val="0"/>
        <w:widowControl/>
        <w:kinsoku w:val="0"/>
        <w:wordWrap/>
        <w:overflowPunct/>
        <w:topLinePunct w:val="0"/>
        <w:autoSpaceDE w:val="0"/>
        <w:autoSpaceDN w:val="0"/>
        <w:bidi w:val="0"/>
        <w:adjustRightInd w:val="0"/>
        <w:snapToGrid w:val="0"/>
        <w:spacing w:before="40" w:line="360" w:lineRule="auto"/>
        <w:ind w:left="37"/>
        <w:textAlignment w:val="baseline"/>
        <w:outlineLvl w:val="2"/>
        <w:rPr>
          <w:rFonts w:hint="eastAsia" w:ascii="Times New Roman" w:hAnsi="Times New Roman" w:eastAsia="宋体" w:cs="Times New Roman"/>
          <w:b/>
          <w:bCs/>
          <w:color w:val="auto"/>
          <w:spacing w:val="-4"/>
          <w:sz w:val="24"/>
          <w:szCs w:val="24"/>
          <w:highlight w:val="none"/>
          <w:lang w:val="en-US" w:eastAsia="zh-CN"/>
        </w:rPr>
      </w:pPr>
      <w:bookmarkStart w:id="997" w:name="_Toc10145"/>
      <w:bookmarkStart w:id="998" w:name="OLE_LINK345"/>
      <w:r>
        <w:rPr>
          <w:rFonts w:hint="eastAsia" w:ascii="Times New Roman" w:hAnsi="Times New Roman" w:eastAsia="宋体" w:cs="Times New Roman"/>
          <w:b/>
          <w:bCs/>
          <w:color w:val="auto"/>
          <w:spacing w:val="-4"/>
          <w:sz w:val="24"/>
          <w:szCs w:val="24"/>
          <w:highlight w:val="none"/>
          <w:lang w:val="en-US" w:eastAsia="zh-CN"/>
        </w:rPr>
        <w:t>4.4.1产业定位</w:t>
      </w:r>
      <w:bookmarkEnd w:id="997"/>
      <w:bookmarkStart w:id="999" w:name="pindex4086"/>
      <w:bookmarkEnd w:id="999"/>
    </w:p>
    <w:bookmarkEnd w:id="998"/>
    <w:p w14:paraId="0FBA8BF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bookmarkStart w:id="1000" w:name="OLE_LINK344"/>
      <w:r>
        <w:rPr>
          <w:rFonts w:hint="default" w:ascii="Times New Roman" w:hAnsi="Times New Roman" w:eastAsia="宋体" w:cs="Times New Roman"/>
          <w:color w:val="auto"/>
          <w:sz w:val="24"/>
          <w:szCs w:val="24"/>
          <w:highlight w:val="none"/>
          <w:lang w:val="en-US" w:eastAsia="zh-CN"/>
        </w:rPr>
        <w:t>根据</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江宁经济技术开发区总体发展规划（</w:t>
      </w:r>
      <w:sdt>
        <w:sdtPr>
          <w:rPr>
            <w:color w:val="auto"/>
            <w:highlight w:val="none"/>
          </w:rPr>
          <w:alias w:val="易错词检查"/>
          <w:tag w:val="auto"/>
          <w:id w:val="2153424"/>
        </w:sdtPr>
        <w:sdtEndPr>
          <w:rPr>
            <w:color w:val="auto"/>
            <w:highlight w:val="none"/>
          </w:rPr>
        </w:sdtEndPr>
        <w:sdtContent>
          <w:bookmarkStart w:id="1001" w:name="bkReivew2153424"/>
          <w:r>
            <w:rPr>
              <w:rFonts w:hint="default" w:ascii="Times New Roman" w:hAnsi="Times New Roman" w:eastAsia="宋体" w:cs="Times New Roman"/>
              <w:color w:val="auto"/>
              <w:sz w:val="24"/>
              <w:szCs w:val="24"/>
              <w:highlight w:val="none"/>
              <w:lang w:val="en-US" w:eastAsia="zh-CN"/>
            </w:rPr>
            <w:t>2020-2035</w:t>
          </w:r>
          <w:bookmarkEnd w:id="1001"/>
        </w:sdtContent>
      </w:sdt>
      <w:r>
        <w:rPr>
          <w:rFonts w:hint="default" w:ascii="Times New Roman" w:hAnsi="Times New Roman" w:eastAsia="宋体" w:cs="Times New Roman"/>
          <w:color w:val="auto"/>
          <w:sz w:val="24"/>
          <w:szCs w:val="24"/>
          <w:highlight w:val="none"/>
          <w:lang w:val="en-US" w:eastAsia="zh-CN"/>
        </w:rPr>
        <w:t>）环境影响报告书</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bookmarkStart w:id="1002" w:name="OLE_LINK337"/>
      <w:r>
        <w:rPr>
          <w:rFonts w:hint="default" w:ascii="Times New Roman" w:hAnsi="Times New Roman" w:eastAsia="宋体" w:cs="Times New Roman"/>
          <w:color w:val="auto"/>
          <w:sz w:val="24"/>
          <w:szCs w:val="24"/>
          <w:highlight w:val="none"/>
          <w:lang w:val="en-US" w:eastAsia="zh-CN"/>
        </w:rPr>
        <w:t>江宁经济技术开发区整体产业定位为：</w:t>
      </w:r>
      <w:bookmarkEnd w:id="1002"/>
      <w:r>
        <w:rPr>
          <w:rFonts w:hint="default" w:ascii="Times New Roman" w:hAnsi="Times New Roman" w:eastAsia="宋体" w:cs="Times New Roman"/>
          <w:color w:val="auto"/>
          <w:sz w:val="24"/>
          <w:szCs w:val="24"/>
          <w:highlight w:val="none"/>
          <w:lang w:val="en-US" w:eastAsia="zh-CN"/>
        </w:rPr>
        <w:t>打造地标产业、壮大新兴产业、提升现代服务业，前瞻布局未来产业，构建形成包含绿色智能汽车、新一代信息技术</w:t>
      </w:r>
      <w:r>
        <w:rPr>
          <w:rFonts w:hint="eastAsia" w:ascii="Times New Roman" w:hAnsi="Times New Roman" w:eastAsia="宋体" w:cs="Times New Roman"/>
          <w:color w:val="auto"/>
          <w:sz w:val="24"/>
          <w:szCs w:val="24"/>
          <w:highlight w:val="none"/>
          <w:lang w:val="en-US" w:eastAsia="zh-CN"/>
        </w:rPr>
        <w:t>、智能制造、智能电网四大主导</w:t>
      </w:r>
      <w:r>
        <w:rPr>
          <w:rFonts w:hint="default" w:ascii="Times New Roman" w:hAnsi="Times New Roman" w:eastAsia="宋体" w:cs="Times New Roman"/>
          <w:color w:val="auto"/>
          <w:sz w:val="24"/>
          <w:szCs w:val="24"/>
          <w:highlight w:val="none"/>
          <w:lang w:val="en-US" w:eastAsia="zh-CN"/>
        </w:rPr>
        <w:t>产业</w:t>
      </w:r>
      <w:r>
        <w:rPr>
          <w:rFonts w:hint="eastAsia" w:ascii="Times New Roman" w:hAnsi="Times New Roman" w:eastAsia="宋体" w:cs="Times New Roman"/>
          <w:color w:val="auto"/>
          <w:sz w:val="24"/>
          <w:szCs w:val="24"/>
          <w:highlight w:val="none"/>
          <w:lang w:val="en-US" w:eastAsia="zh-CN"/>
        </w:rPr>
        <w:t>；</w:t>
      </w:r>
      <w:bookmarkStart w:id="1003" w:name="sys408712340"/>
      <w:r>
        <w:rPr>
          <w:rFonts w:hint="eastAsia" w:ascii="Times New Roman" w:hAnsi="Times New Roman" w:eastAsia="宋体" w:cs="Times New Roman"/>
          <w:color w:val="auto"/>
          <w:sz w:val="24"/>
          <w:szCs w:val="24"/>
          <w:highlight w:val="none"/>
          <w:lang w:val="en-US" w:eastAsia="zh-CN"/>
        </w:rPr>
        <w:t>临空产业、集成电路产业、医药大健康产业、轨道交通产业及节能环保产业五大新兴产业；</w:t>
      </w:r>
      <w:bookmarkEnd w:id="1003"/>
      <w:bookmarkStart w:id="1004" w:name="sys408716389"/>
      <w:r>
        <w:rPr>
          <w:rFonts w:hint="default" w:ascii="Times New Roman" w:hAnsi="Times New Roman" w:eastAsia="宋体" w:cs="Times New Roman"/>
          <w:color w:val="auto"/>
          <w:sz w:val="24"/>
          <w:szCs w:val="24"/>
          <w:highlight w:val="none"/>
          <w:lang w:val="en-US" w:eastAsia="zh-CN"/>
        </w:rPr>
        <w:t>高端商务商贸</w:t>
      </w:r>
      <w:r>
        <w:rPr>
          <w:rFonts w:hint="eastAsia" w:ascii="Times New Roman" w:hAnsi="Times New Roman" w:eastAsia="宋体" w:cs="Times New Roman"/>
          <w:color w:val="auto"/>
          <w:sz w:val="24"/>
          <w:szCs w:val="24"/>
          <w:highlight w:val="none"/>
          <w:lang w:val="en-US" w:eastAsia="zh-CN"/>
        </w:rPr>
        <w:t>产</w:t>
      </w:r>
      <w:r>
        <w:rPr>
          <w:rFonts w:hint="default" w:ascii="Times New Roman" w:hAnsi="Times New Roman" w:eastAsia="宋体" w:cs="Times New Roman"/>
          <w:color w:val="auto"/>
          <w:sz w:val="24"/>
          <w:szCs w:val="24"/>
          <w:highlight w:val="none"/>
          <w:lang w:val="en-US" w:eastAsia="zh-CN"/>
        </w:rPr>
        <w:t>业，</w:t>
      </w:r>
      <w:r>
        <w:rPr>
          <w:rFonts w:hint="eastAsia" w:ascii="Times New Roman" w:hAnsi="Times New Roman" w:eastAsia="宋体" w:cs="Times New Roman"/>
          <w:color w:val="auto"/>
          <w:sz w:val="24"/>
          <w:szCs w:val="24"/>
          <w:highlight w:val="none"/>
          <w:lang w:val="en-US" w:eastAsia="zh-CN"/>
        </w:rPr>
        <w:t>新金融产业、文化休旅产业</w:t>
      </w:r>
      <w:r>
        <w:rPr>
          <w:rFonts w:hint="default" w:ascii="Times New Roman" w:hAnsi="Times New Roman" w:eastAsia="宋体" w:cs="Times New Roman"/>
          <w:color w:val="auto"/>
          <w:sz w:val="24"/>
          <w:szCs w:val="24"/>
          <w:highlight w:val="none"/>
          <w:lang w:val="en-US" w:eastAsia="zh-CN"/>
        </w:rPr>
        <w:t>三大现代服务业，</w:t>
      </w:r>
      <w:r>
        <w:rPr>
          <w:rFonts w:hint="eastAsia" w:ascii="Times New Roman" w:hAnsi="Times New Roman" w:eastAsia="宋体" w:cs="Times New Roman"/>
          <w:color w:val="auto"/>
          <w:sz w:val="24"/>
          <w:szCs w:val="24"/>
          <w:highlight w:val="none"/>
          <w:lang w:val="en-US" w:eastAsia="zh-CN"/>
        </w:rPr>
        <w:t>以未来网络、人工智能、未来材料、未来探测为代表的一批未来产业</w:t>
      </w:r>
      <w:r>
        <w:rPr>
          <w:rFonts w:hint="default" w:ascii="Times New Roman" w:hAnsi="Times New Roman" w:eastAsia="宋体" w:cs="Times New Roman"/>
          <w:color w:val="auto"/>
          <w:sz w:val="24"/>
          <w:szCs w:val="24"/>
          <w:highlight w:val="none"/>
          <w:lang w:val="en-US" w:eastAsia="zh-CN"/>
        </w:rPr>
        <w:t>的“</w:t>
      </w:r>
      <w:r>
        <w:rPr>
          <w:rFonts w:hint="eastAsia" w:ascii="Times New Roman" w:hAnsi="Times New Roman" w:eastAsia="宋体" w:cs="Times New Roman"/>
          <w:color w:val="auto"/>
          <w:sz w:val="24"/>
          <w:szCs w:val="24"/>
          <w:highlight w:val="none"/>
          <w:lang w:val="en-US" w:eastAsia="zh-CN"/>
        </w:rPr>
        <w:t>4+5</w:t>
      </w:r>
      <w:r>
        <w:rPr>
          <w:rFonts w:hint="default" w:ascii="Times New Roman" w:hAnsi="Times New Roman" w:eastAsia="宋体" w:cs="Times New Roman"/>
          <w:color w:val="auto"/>
          <w:sz w:val="24"/>
          <w:szCs w:val="24"/>
          <w:highlight w:val="none"/>
          <w:lang w:val="en-US" w:eastAsia="zh-CN"/>
        </w:rPr>
        <w:t>+3+1”高端现代化产业体系，推动产业迈向中高端。</w:t>
      </w:r>
      <w:bookmarkEnd w:id="1004"/>
    </w:p>
    <w:p w14:paraId="0FAD3F8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本次评估范围产业定位为：</w:t>
      </w:r>
      <w:bookmarkEnd w:id="1000"/>
      <w:r>
        <w:rPr>
          <w:rFonts w:hint="default" w:ascii="Times New Roman" w:hAnsi="Times New Roman" w:eastAsia="宋体" w:cs="Times New Roman"/>
          <w:color w:val="auto"/>
          <w:sz w:val="24"/>
          <w:szCs w:val="24"/>
          <w:highlight w:val="none"/>
          <w:lang w:val="en-US" w:eastAsia="zh-CN"/>
        </w:rPr>
        <w:t>坚持以实体经济为基石、以科技创新为引领，形成绿色智能汽车、新一代信息技术</w:t>
      </w:r>
      <w:r>
        <w:rPr>
          <w:rFonts w:hint="eastAsia" w:ascii="Times New Roman" w:hAnsi="Times New Roman" w:eastAsia="宋体" w:cs="Times New Roman"/>
          <w:color w:val="auto"/>
          <w:sz w:val="24"/>
          <w:szCs w:val="24"/>
          <w:highlight w:val="none"/>
          <w:lang w:val="en-US" w:eastAsia="zh-CN"/>
        </w:rPr>
        <w:t>、智能制造、智能电网四大主导</w:t>
      </w:r>
      <w:r>
        <w:rPr>
          <w:rFonts w:hint="default" w:ascii="Times New Roman" w:hAnsi="Times New Roman" w:eastAsia="宋体" w:cs="Times New Roman"/>
          <w:color w:val="auto"/>
          <w:sz w:val="24"/>
          <w:szCs w:val="24"/>
          <w:highlight w:val="none"/>
          <w:lang w:val="en-US" w:eastAsia="zh-CN"/>
        </w:rPr>
        <w:t>产业</w:t>
      </w:r>
      <w:r>
        <w:rPr>
          <w:rFonts w:hint="eastAsia" w:ascii="Times New Roman" w:hAnsi="Times New Roman" w:eastAsia="宋体" w:cs="Times New Roman"/>
          <w:color w:val="auto"/>
          <w:sz w:val="24"/>
          <w:szCs w:val="24"/>
          <w:highlight w:val="none"/>
          <w:lang w:val="en-US" w:eastAsia="zh-CN"/>
        </w:rPr>
        <w:t>；</w:t>
      </w:r>
      <w:bookmarkStart w:id="1005" w:name="sys40886540"/>
      <w:r>
        <w:rPr>
          <w:rFonts w:hint="eastAsia" w:ascii="Times New Roman" w:hAnsi="Times New Roman" w:eastAsia="宋体" w:cs="Times New Roman"/>
          <w:color w:val="auto"/>
          <w:sz w:val="24"/>
          <w:szCs w:val="24"/>
          <w:highlight w:val="none"/>
          <w:lang w:val="en-US" w:eastAsia="zh-CN"/>
        </w:rPr>
        <w:t>临空产业、集成电路产业、医药大健康产业、轨道交通产业及节能环保产业五大新兴产业；</w:t>
      </w:r>
      <w:bookmarkEnd w:id="1005"/>
      <w:bookmarkStart w:id="1006" w:name="sys408810570"/>
      <w:r>
        <w:rPr>
          <w:rFonts w:hint="default" w:ascii="Times New Roman" w:hAnsi="Times New Roman" w:eastAsia="宋体" w:cs="Times New Roman"/>
          <w:color w:val="auto"/>
          <w:sz w:val="24"/>
          <w:szCs w:val="24"/>
          <w:highlight w:val="none"/>
          <w:lang w:val="en-US" w:eastAsia="zh-CN"/>
        </w:rPr>
        <w:t>高端商务商贸</w:t>
      </w:r>
      <w:r>
        <w:rPr>
          <w:rFonts w:hint="eastAsia" w:ascii="Times New Roman" w:hAnsi="Times New Roman" w:eastAsia="宋体" w:cs="Times New Roman"/>
          <w:color w:val="auto"/>
          <w:sz w:val="24"/>
          <w:szCs w:val="24"/>
          <w:highlight w:val="none"/>
          <w:lang w:val="en-US" w:eastAsia="zh-CN"/>
        </w:rPr>
        <w:t>产</w:t>
      </w:r>
      <w:r>
        <w:rPr>
          <w:rFonts w:hint="default" w:ascii="Times New Roman" w:hAnsi="Times New Roman" w:eastAsia="宋体" w:cs="Times New Roman"/>
          <w:color w:val="auto"/>
          <w:sz w:val="24"/>
          <w:szCs w:val="24"/>
          <w:highlight w:val="none"/>
          <w:lang w:val="en-US" w:eastAsia="zh-CN"/>
        </w:rPr>
        <w:t>业，</w:t>
      </w:r>
      <w:r>
        <w:rPr>
          <w:rFonts w:hint="eastAsia" w:ascii="Times New Roman" w:hAnsi="Times New Roman" w:eastAsia="宋体" w:cs="Times New Roman"/>
          <w:color w:val="auto"/>
          <w:sz w:val="24"/>
          <w:szCs w:val="24"/>
          <w:highlight w:val="none"/>
          <w:lang w:val="en-US" w:eastAsia="zh-CN"/>
        </w:rPr>
        <w:t>新金融产业、文化休旅产业</w:t>
      </w:r>
      <w:r>
        <w:rPr>
          <w:rFonts w:hint="default" w:ascii="Times New Roman" w:hAnsi="Times New Roman" w:eastAsia="宋体" w:cs="Times New Roman"/>
          <w:color w:val="auto"/>
          <w:sz w:val="24"/>
          <w:szCs w:val="24"/>
          <w:highlight w:val="none"/>
          <w:lang w:val="en-US" w:eastAsia="zh-CN"/>
        </w:rPr>
        <w:t>三大现代服务业，</w:t>
      </w:r>
      <w:r>
        <w:rPr>
          <w:rFonts w:hint="eastAsia" w:ascii="Times New Roman" w:hAnsi="Times New Roman" w:eastAsia="宋体" w:cs="Times New Roman"/>
          <w:color w:val="auto"/>
          <w:sz w:val="24"/>
          <w:szCs w:val="24"/>
          <w:highlight w:val="none"/>
          <w:lang w:val="en-US" w:eastAsia="zh-CN"/>
        </w:rPr>
        <w:t>以未来网络、人工智能、未来材料、未来探测为代表的一批未来产业</w:t>
      </w:r>
      <w:r>
        <w:rPr>
          <w:rFonts w:hint="default" w:ascii="Times New Roman" w:hAnsi="Times New Roman" w:eastAsia="宋体" w:cs="Times New Roman"/>
          <w:color w:val="auto"/>
          <w:sz w:val="24"/>
          <w:szCs w:val="24"/>
          <w:highlight w:val="none"/>
          <w:lang w:val="en-US" w:eastAsia="zh-CN"/>
        </w:rPr>
        <w:t>的“</w:t>
      </w:r>
      <w:r>
        <w:rPr>
          <w:rFonts w:hint="eastAsia" w:ascii="Times New Roman" w:hAnsi="Times New Roman" w:eastAsia="宋体" w:cs="Times New Roman"/>
          <w:color w:val="auto"/>
          <w:sz w:val="24"/>
          <w:szCs w:val="24"/>
          <w:highlight w:val="none"/>
          <w:lang w:val="en-US" w:eastAsia="zh-CN"/>
        </w:rPr>
        <w:t>4+5</w:t>
      </w:r>
      <w:r>
        <w:rPr>
          <w:rFonts w:hint="default" w:ascii="Times New Roman" w:hAnsi="Times New Roman" w:eastAsia="宋体" w:cs="Times New Roman"/>
          <w:color w:val="auto"/>
          <w:sz w:val="24"/>
          <w:szCs w:val="24"/>
          <w:highlight w:val="none"/>
          <w:lang w:val="en-US" w:eastAsia="zh-CN"/>
        </w:rPr>
        <w:t>+3+1”</w:t>
      </w:r>
      <w:r>
        <w:rPr>
          <w:rFonts w:hint="eastAsia" w:ascii="Times New Roman" w:hAnsi="Times New Roman" w:eastAsia="宋体" w:cs="Times New Roman"/>
          <w:color w:val="auto"/>
          <w:sz w:val="24"/>
          <w:szCs w:val="24"/>
          <w:highlight w:val="none"/>
          <w:lang w:val="en-US" w:eastAsia="zh-CN"/>
        </w:rPr>
        <w:t>。</w:t>
      </w:r>
      <w:bookmarkEnd w:id="1006"/>
    </w:p>
    <w:p w14:paraId="2292E9AF">
      <w:pPr>
        <w:keepNext w:val="0"/>
        <w:keepLines w:val="0"/>
        <w:pageBreakBefore w:val="0"/>
        <w:widowControl/>
        <w:kinsoku w:val="0"/>
        <w:wordWrap/>
        <w:overflowPunct/>
        <w:topLinePunct w:val="0"/>
        <w:autoSpaceDE w:val="0"/>
        <w:autoSpaceDN w:val="0"/>
        <w:bidi w:val="0"/>
        <w:adjustRightInd w:val="0"/>
        <w:snapToGrid w:val="0"/>
        <w:spacing w:before="40" w:line="360" w:lineRule="auto"/>
        <w:ind w:left="37"/>
        <w:textAlignment w:val="baseline"/>
        <w:outlineLvl w:val="2"/>
        <w:rPr>
          <w:rFonts w:hint="eastAsia" w:ascii="Times New Roman" w:hAnsi="Times New Roman" w:eastAsia="宋体" w:cs="Times New Roman"/>
          <w:b/>
          <w:bCs/>
          <w:color w:val="auto"/>
          <w:spacing w:val="-4"/>
          <w:sz w:val="24"/>
          <w:szCs w:val="24"/>
          <w:highlight w:val="none"/>
          <w:lang w:val="en-US" w:eastAsia="zh-CN"/>
        </w:rPr>
      </w:pPr>
      <w:bookmarkStart w:id="1007" w:name="_Toc5903"/>
      <w:bookmarkStart w:id="1008" w:name="OLE_LINK346"/>
      <w:r>
        <w:rPr>
          <w:rFonts w:hint="eastAsia" w:ascii="Times New Roman" w:hAnsi="Times New Roman" w:eastAsia="宋体" w:cs="Times New Roman"/>
          <w:b/>
          <w:bCs/>
          <w:color w:val="auto"/>
          <w:spacing w:val="-4"/>
          <w:sz w:val="24"/>
          <w:szCs w:val="24"/>
          <w:highlight w:val="none"/>
          <w:lang w:val="en-US" w:eastAsia="zh-CN"/>
        </w:rPr>
        <w:t>4.4.2产业布局</w:t>
      </w:r>
      <w:bookmarkEnd w:id="1007"/>
      <w:bookmarkStart w:id="1009" w:name="pindex4089"/>
      <w:bookmarkEnd w:id="1009"/>
    </w:p>
    <w:bookmarkEnd w:id="1008"/>
    <w:p w14:paraId="72706748">
      <w:pPr>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default" w:ascii="Times New Roman" w:hAnsi="Times New Roman" w:eastAsia="宋体" w:cs="Times New Roman"/>
          <w:color w:val="auto"/>
          <w:sz w:val="24"/>
          <w:szCs w:val="24"/>
          <w:highlight w:val="none"/>
        </w:rPr>
      </w:pPr>
      <w:bookmarkStart w:id="1010" w:name="sys40900109"/>
      <w:r>
        <w:rPr>
          <w:rFonts w:hint="default" w:ascii="Times New Roman" w:hAnsi="Times New Roman" w:eastAsia="宋体" w:cs="Times New Roman"/>
          <w:color w:val="auto"/>
          <w:spacing w:val="-3"/>
          <w:sz w:val="24"/>
          <w:szCs w:val="24"/>
          <w:highlight w:val="none"/>
          <w:lang w:val="en-US" w:eastAsia="zh-CN"/>
        </w:rPr>
        <w:t>江宁经济技术开发区</w:t>
      </w:r>
      <w:r>
        <w:rPr>
          <w:rFonts w:hint="eastAsia" w:ascii="Times New Roman" w:hAnsi="Times New Roman" w:eastAsia="宋体" w:cs="Times New Roman"/>
          <w:color w:val="auto"/>
          <w:spacing w:val="-3"/>
          <w:sz w:val="24"/>
          <w:szCs w:val="24"/>
          <w:highlight w:val="none"/>
          <w:lang w:val="en-US" w:eastAsia="zh-CN"/>
        </w:rPr>
        <w:t>整体产业布局为：制造业分布主要集中在三大片区、服务业主要分布在五个片区，加强龙头企业带动高端制造业的进一步集聚，加快形成以现代制造业和现代服务业为主体，建立技术领先、结构优化、特色鲜明的现代产业体系。</w:t>
      </w:r>
      <w:bookmarkEnd w:id="1010"/>
    </w:p>
    <w:p w14:paraId="30BF910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1011" w:name="OLE_LINK347"/>
      <w:bookmarkStart w:id="1012" w:name="OLE_LINK338"/>
      <w:r>
        <w:rPr>
          <w:rFonts w:hint="eastAsia" w:ascii="Times New Roman" w:hAnsi="Times New Roman" w:eastAsia="宋体" w:cs="Times New Roman"/>
          <w:color w:val="auto"/>
          <w:sz w:val="24"/>
          <w:szCs w:val="24"/>
          <w:highlight w:val="none"/>
          <w:lang w:val="en-US" w:eastAsia="zh-CN"/>
        </w:rPr>
        <w:t>本次评估范围</w:t>
      </w:r>
      <w:bookmarkEnd w:id="1011"/>
      <w:r>
        <w:rPr>
          <w:rFonts w:hint="eastAsia" w:ascii="Times New Roman" w:hAnsi="Times New Roman" w:eastAsia="宋体" w:cs="Times New Roman"/>
          <w:color w:val="auto"/>
          <w:sz w:val="24"/>
          <w:szCs w:val="24"/>
          <w:highlight w:val="none"/>
          <w:lang w:val="en-US" w:eastAsia="zh-CN"/>
        </w:rPr>
        <w:t>主要为江宁经济技术开发区江南主城东山片区，</w:t>
      </w:r>
      <w:bookmarkEnd w:id="1012"/>
      <w:r>
        <w:rPr>
          <w:rFonts w:hint="default" w:ascii="Times New Roman" w:hAnsi="Times New Roman" w:eastAsia="宋体" w:cs="Times New Roman"/>
          <w:color w:val="auto"/>
          <w:sz w:val="24"/>
          <w:szCs w:val="24"/>
          <w:highlight w:val="none"/>
        </w:rPr>
        <w:t>江南主城东山片区主导产业方向</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智能电网、绿色智能汽车产业、新一代信息技术、智能制造装备产业、轨道交通产业等，重点发展</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电力自动化、新一代智能变电站技术、汽车整车、新能源汽车、汽车发动机、汽车零部件及配件、高档数控机床整机及零部件、工业机器人核心部件等。</w:t>
      </w:r>
    </w:p>
    <w:p w14:paraId="0F658AF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1013" w:name="sys4092055"/>
      <w:r>
        <w:rPr>
          <w:rFonts w:hint="default" w:ascii="Times New Roman" w:hAnsi="Times New Roman" w:eastAsia="宋体" w:cs="Times New Roman"/>
          <w:color w:val="auto"/>
          <w:sz w:val="24"/>
          <w:szCs w:val="24"/>
          <w:highlight w:val="none"/>
        </w:rPr>
        <w:t>服务业主要分布在五个片区，包括北部服务业片区、中部服务业片区、西部服务业片区、南部服务业片区和东部服务业片区。</w:t>
      </w:r>
      <w:bookmarkEnd w:id="1013"/>
    </w:p>
    <w:p w14:paraId="1A05371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其中北部服务业片区主导产业方向</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总部经济、金融商务、文化创意等</w:t>
      </w:r>
      <w:r>
        <w:rPr>
          <w:rFonts w:hint="default" w:ascii="Times New Roman" w:hAnsi="Times New Roman" w:eastAsia="宋体" w:cs="Times New Roman"/>
          <w:color w:val="auto"/>
          <w:sz w:val="24"/>
          <w:szCs w:val="24"/>
          <w:highlight w:val="none"/>
          <w:lang w:eastAsia="zh-CN"/>
        </w:rPr>
        <w:t>；</w:t>
      </w:r>
    </w:p>
    <w:p w14:paraId="052DB5A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中部服务业片区主导产业方向</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信息网络通信、网络安全等</w:t>
      </w:r>
      <w:r>
        <w:rPr>
          <w:rFonts w:hint="default" w:ascii="Times New Roman" w:hAnsi="Times New Roman" w:eastAsia="宋体" w:cs="Times New Roman"/>
          <w:color w:val="auto"/>
          <w:sz w:val="24"/>
          <w:szCs w:val="24"/>
          <w:highlight w:val="none"/>
          <w:lang w:eastAsia="zh-CN"/>
        </w:rPr>
        <w:t>；</w:t>
      </w:r>
    </w:p>
    <w:p w14:paraId="5922E3F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西部服务业片区主导产业方向</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软件及外包、文化创意等产业</w:t>
      </w:r>
      <w:bookmarkStart w:id="1014" w:name="bookmark43"/>
      <w:bookmarkEnd w:id="1014"/>
      <w:r>
        <w:rPr>
          <w:rFonts w:hint="eastAsia" w:ascii="Times New Roman" w:hAnsi="Times New Roman" w:eastAsia="宋体" w:cs="Times New Roman"/>
          <w:color w:val="auto"/>
          <w:sz w:val="24"/>
          <w:szCs w:val="24"/>
          <w:highlight w:val="none"/>
          <w:lang w:eastAsia="zh-CN"/>
        </w:rPr>
        <w:t>。</w:t>
      </w:r>
    </w:p>
    <w:p w14:paraId="3A3D3947">
      <w:pPr>
        <w:keepNext w:val="0"/>
        <w:keepLines w:val="0"/>
        <w:pageBreakBefore w:val="0"/>
        <w:widowControl/>
        <w:kinsoku w:val="0"/>
        <w:wordWrap/>
        <w:overflowPunct/>
        <w:topLinePunct w:val="0"/>
        <w:autoSpaceDE w:val="0"/>
        <w:autoSpaceDN w:val="0"/>
        <w:bidi w:val="0"/>
        <w:adjustRightInd w:val="0"/>
        <w:snapToGrid w:val="0"/>
        <w:spacing w:before="40" w:line="360" w:lineRule="auto"/>
        <w:ind w:left="37"/>
        <w:textAlignment w:val="baseline"/>
        <w:outlineLvl w:val="1"/>
        <w:rPr>
          <w:rFonts w:hint="eastAsia" w:ascii="Times New Roman" w:hAnsi="Times New Roman" w:eastAsia="宋体" w:cs="Times New Roman"/>
          <w:b/>
          <w:bCs/>
          <w:color w:val="auto"/>
          <w:spacing w:val="-2"/>
          <w:sz w:val="24"/>
          <w:szCs w:val="24"/>
          <w:highlight w:val="none"/>
          <w:lang w:val="en-US" w:eastAsia="zh-CN"/>
        </w:rPr>
      </w:pPr>
      <w:bookmarkStart w:id="1015" w:name="_Toc19280"/>
      <w:bookmarkStart w:id="1016" w:name="OLE_LINK801"/>
      <w:r>
        <w:rPr>
          <w:rFonts w:hint="eastAsia" w:ascii="Times New Roman" w:hAnsi="Times New Roman" w:eastAsia="宋体" w:cs="Times New Roman"/>
          <w:b/>
          <w:bCs/>
          <w:color w:val="auto"/>
          <w:spacing w:val="-2"/>
          <w:sz w:val="24"/>
          <w:szCs w:val="24"/>
          <w:highlight w:val="none"/>
          <w:lang w:val="en-US" w:eastAsia="zh-CN"/>
        </w:rPr>
        <w:t>4.5基础设施规划</w:t>
      </w:r>
      <w:bookmarkEnd w:id="1015"/>
      <w:bookmarkStart w:id="1017" w:name="pindex4096"/>
      <w:bookmarkEnd w:id="1017"/>
    </w:p>
    <w:bookmarkEnd w:id="1016"/>
    <w:p w14:paraId="54C3E491">
      <w:pPr>
        <w:keepNext w:val="0"/>
        <w:keepLines w:val="0"/>
        <w:pageBreakBefore w:val="0"/>
        <w:widowControl/>
        <w:kinsoku w:val="0"/>
        <w:wordWrap/>
        <w:overflowPunct/>
        <w:topLinePunct w:val="0"/>
        <w:autoSpaceDE w:val="0"/>
        <w:autoSpaceDN w:val="0"/>
        <w:bidi w:val="0"/>
        <w:adjustRightInd w:val="0"/>
        <w:snapToGrid w:val="0"/>
        <w:spacing w:before="40" w:line="360" w:lineRule="auto"/>
        <w:ind w:left="37"/>
        <w:textAlignment w:val="baseline"/>
        <w:outlineLvl w:val="2"/>
        <w:rPr>
          <w:rFonts w:hint="eastAsia" w:ascii="Times New Roman" w:hAnsi="Times New Roman" w:eastAsia="宋体" w:cs="Times New Roman"/>
          <w:b/>
          <w:bCs/>
          <w:color w:val="auto"/>
          <w:spacing w:val="-4"/>
          <w:sz w:val="24"/>
          <w:szCs w:val="24"/>
          <w:highlight w:val="none"/>
          <w:lang w:val="en-US" w:eastAsia="zh-CN"/>
        </w:rPr>
      </w:pPr>
      <w:bookmarkStart w:id="1018" w:name="_Toc25565"/>
      <w:r>
        <w:rPr>
          <w:rFonts w:hint="eastAsia" w:ascii="Times New Roman" w:hAnsi="Times New Roman" w:eastAsia="宋体" w:cs="Times New Roman"/>
          <w:b/>
          <w:bCs/>
          <w:color w:val="auto"/>
          <w:spacing w:val="-4"/>
          <w:sz w:val="24"/>
          <w:szCs w:val="24"/>
          <w:highlight w:val="none"/>
          <w:lang w:val="en-US" w:eastAsia="zh-CN"/>
        </w:rPr>
        <w:t>4.5.1给水工程规划</w:t>
      </w:r>
      <w:bookmarkEnd w:id="1018"/>
      <w:bookmarkStart w:id="1019" w:name="pindex4097"/>
      <w:bookmarkEnd w:id="1019"/>
    </w:p>
    <w:p w14:paraId="0D58677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本次评估范围内用水除依托规划区内各个自来水厂外，还将依托规划区外滨江水厂。给水设</w:t>
      </w:r>
      <w:bookmarkStart w:id="1020" w:name="OLE_LINK1120"/>
      <w:r>
        <w:rPr>
          <w:rFonts w:hint="eastAsia" w:ascii="Times New Roman" w:hAnsi="Times New Roman" w:eastAsia="宋体" w:cs="Times New Roman"/>
          <w:color w:val="auto"/>
          <w:sz w:val="24"/>
          <w:szCs w:val="24"/>
          <w:highlight w:val="none"/>
          <w:lang w:val="en-US" w:eastAsia="zh-CN"/>
        </w:rPr>
        <w:t>施规划见表4.5-1。</w:t>
      </w:r>
    </w:p>
    <w:p w14:paraId="1F4C526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表4.5-1  开发区规划范围内水厂规划一览表</w:t>
      </w:r>
      <w:bookmarkStart w:id="1021" w:name="pindex4099"/>
      <w:bookmarkEnd w:id="1021"/>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1"/>
        <w:gridCol w:w="1935"/>
        <w:gridCol w:w="2175"/>
        <w:gridCol w:w="2130"/>
        <w:gridCol w:w="1372"/>
      </w:tblGrid>
      <w:tr w14:paraId="79BAC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1" w:type="dxa"/>
            <w:tcBorders>
              <w:tl2br w:val="nil"/>
              <w:tr2bl w:val="nil"/>
            </w:tcBorders>
          </w:tcPr>
          <w:p w14:paraId="30197E2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序号</w:t>
            </w:r>
          </w:p>
        </w:tc>
        <w:tc>
          <w:tcPr>
            <w:tcW w:w="1935" w:type="dxa"/>
            <w:tcBorders>
              <w:tl2br w:val="nil"/>
              <w:tr2bl w:val="nil"/>
            </w:tcBorders>
          </w:tcPr>
          <w:p w14:paraId="63F588C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水厂名称</w:t>
            </w:r>
          </w:p>
        </w:tc>
        <w:tc>
          <w:tcPr>
            <w:tcW w:w="2175" w:type="dxa"/>
            <w:tcBorders>
              <w:tl2br w:val="nil"/>
              <w:tr2bl w:val="nil"/>
            </w:tcBorders>
          </w:tcPr>
          <w:p w14:paraId="7E80309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现状规模（万m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vertAlign w:val="baseline"/>
                <w:lang w:val="en-US" w:eastAsia="zh-CN"/>
              </w:rPr>
              <w:t>/d）</w:t>
            </w:r>
          </w:p>
        </w:tc>
        <w:tc>
          <w:tcPr>
            <w:tcW w:w="2130" w:type="dxa"/>
            <w:tcBorders>
              <w:tl2br w:val="nil"/>
              <w:tr2bl w:val="nil"/>
            </w:tcBorders>
          </w:tcPr>
          <w:p w14:paraId="2022974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规划规模（万m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vertAlign w:val="baseline"/>
                <w:lang w:val="en-US" w:eastAsia="zh-CN"/>
              </w:rPr>
              <w:t>/d）</w:t>
            </w:r>
          </w:p>
        </w:tc>
        <w:tc>
          <w:tcPr>
            <w:tcW w:w="1372" w:type="dxa"/>
            <w:tcBorders>
              <w:tl2br w:val="nil"/>
              <w:tr2bl w:val="nil"/>
            </w:tcBorders>
          </w:tcPr>
          <w:p w14:paraId="15B2022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备注</w:t>
            </w:r>
          </w:p>
        </w:tc>
      </w:tr>
      <w:tr w14:paraId="7BFE29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1" w:type="dxa"/>
            <w:tcBorders>
              <w:tl2br w:val="nil"/>
              <w:tr2bl w:val="nil"/>
            </w:tcBorders>
          </w:tcPr>
          <w:p w14:paraId="34CEE61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w:t>
            </w:r>
          </w:p>
        </w:tc>
        <w:tc>
          <w:tcPr>
            <w:tcW w:w="1935" w:type="dxa"/>
            <w:tcBorders>
              <w:tl2br w:val="nil"/>
              <w:tr2bl w:val="nil"/>
            </w:tcBorders>
          </w:tcPr>
          <w:p w14:paraId="0245C7A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江宁开发区水厂</w:t>
            </w:r>
          </w:p>
        </w:tc>
        <w:tc>
          <w:tcPr>
            <w:tcW w:w="2175" w:type="dxa"/>
            <w:tcBorders>
              <w:tl2br w:val="nil"/>
              <w:tr2bl w:val="nil"/>
            </w:tcBorders>
          </w:tcPr>
          <w:p w14:paraId="6D2DACD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30</w:t>
            </w:r>
          </w:p>
        </w:tc>
        <w:tc>
          <w:tcPr>
            <w:tcW w:w="2130" w:type="dxa"/>
            <w:tcBorders>
              <w:tl2br w:val="nil"/>
              <w:tr2bl w:val="nil"/>
            </w:tcBorders>
          </w:tcPr>
          <w:p w14:paraId="71524EF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30</w:t>
            </w:r>
          </w:p>
        </w:tc>
        <w:tc>
          <w:tcPr>
            <w:tcW w:w="1372" w:type="dxa"/>
            <w:tcBorders>
              <w:tl2br w:val="nil"/>
              <w:tr2bl w:val="nil"/>
            </w:tcBorders>
          </w:tcPr>
          <w:p w14:paraId="68816AD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现状保留</w:t>
            </w:r>
          </w:p>
        </w:tc>
      </w:tr>
      <w:tr w14:paraId="0984F4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1" w:type="dxa"/>
            <w:tcBorders>
              <w:tl2br w:val="nil"/>
              <w:tr2bl w:val="nil"/>
            </w:tcBorders>
          </w:tcPr>
          <w:p w14:paraId="1BE8131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w:t>
            </w:r>
          </w:p>
        </w:tc>
        <w:tc>
          <w:tcPr>
            <w:tcW w:w="1935" w:type="dxa"/>
            <w:tcBorders>
              <w:tl2br w:val="nil"/>
              <w:tr2bl w:val="nil"/>
            </w:tcBorders>
          </w:tcPr>
          <w:p w14:paraId="10758FA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江宁科学园水厂</w:t>
            </w:r>
          </w:p>
        </w:tc>
        <w:tc>
          <w:tcPr>
            <w:tcW w:w="2175" w:type="dxa"/>
            <w:tcBorders>
              <w:tl2br w:val="nil"/>
              <w:tr2bl w:val="nil"/>
            </w:tcBorders>
          </w:tcPr>
          <w:p w14:paraId="7C4A11C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15</w:t>
            </w:r>
          </w:p>
        </w:tc>
        <w:tc>
          <w:tcPr>
            <w:tcW w:w="2130" w:type="dxa"/>
            <w:tcBorders>
              <w:tl2br w:val="nil"/>
              <w:tr2bl w:val="nil"/>
            </w:tcBorders>
          </w:tcPr>
          <w:p w14:paraId="74ED1BD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15</w:t>
            </w:r>
          </w:p>
        </w:tc>
        <w:tc>
          <w:tcPr>
            <w:tcW w:w="1372" w:type="dxa"/>
            <w:tcBorders>
              <w:tl2br w:val="nil"/>
              <w:tr2bl w:val="nil"/>
            </w:tcBorders>
          </w:tcPr>
          <w:p w14:paraId="26CEAD8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现状保留</w:t>
            </w:r>
          </w:p>
        </w:tc>
      </w:tr>
      <w:tr w14:paraId="499C96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1" w:type="dxa"/>
            <w:tcBorders>
              <w:tl2br w:val="nil"/>
              <w:tr2bl w:val="nil"/>
            </w:tcBorders>
          </w:tcPr>
          <w:p w14:paraId="7D882A7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w:t>
            </w:r>
          </w:p>
        </w:tc>
        <w:tc>
          <w:tcPr>
            <w:tcW w:w="1935" w:type="dxa"/>
            <w:tcBorders>
              <w:tl2br w:val="nil"/>
              <w:tr2bl w:val="nil"/>
            </w:tcBorders>
          </w:tcPr>
          <w:p w14:paraId="3288E0A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pacing w:val="1"/>
                <w:sz w:val="21"/>
                <w:szCs w:val="21"/>
                <w:highlight w:val="none"/>
              </w:rPr>
              <w:t>滨江水厂</w:t>
            </w:r>
          </w:p>
        </w:tc>
        <w:tc>
          <w:tcPr>
            <w:tcW w:w="2175" w:type="dxa"/>
            <w:tcBorders>
              <w:tl2br w:val="nil"/>
              <w:tr2bl w:val="nil"/>
            </w:tcBorders>
          </w:tcPr>
          <w:p w14:paraId="29B8E18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45</w:t>
            </w:r>
          </w:p>
        </w:tc>
        <w:tc>
          <w:tcPr>
            <w:tcW w:w="2130" w:type="dxa"/>
            <w:tcBorders>
              <w:tl2br w:val="nil"/>
              <w:tr2bl w:val="nil"/>
            </w:tcBorders>
          </w:tcPr>
          <w:p w14:paraId="41B3DAF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110</w:t>
            </w:r>
          </w:p>
        </w:tc>
        <w:tc>
          <w:tcPr>
            <w:tcW w:w="1372" w:type="dxa"/>
            <w:tcBorders>
              <w:tl2br w:val="nil"/>
              <w:tr2bl w:val="nil"/>
            </w:tcBorders>
          </w:tcPr>
          <w:p w14:paraId="68C6BDC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现状保留</w:t>
            </w:r>
          </w:p>
        </w:tc>
      </w:tr>
      <w:tr w14:paraId="1D717F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06" w:type="dxa"/>
            <w:gridSpan w:val="2"/>
            <w:tcBorders>
              <w:tl2br w:val="nil"/>
              <w:tr2bl w:val="nil"/>
            </w:tcBorders>
          </w:tcPr>
          <w:p w14:paraId="2A039A0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合计</w:t>
            </w:r>
          </w:p>
        </w:tc>
        <w:tc>
          <w:tcPr>
            <w:tcW w:w="2175" w:type="dxa"/>
            <w:tcBorders>
              <w:tl2br w:val="nil"/>
              <w:tr2bl w:val="nil"/>
            </w:tcBorders>
          </w:tcPr>
          <w:p w14:paraId="39B3EBC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90</w:t>
            </w:r>
          </w:p>
        </w:tc>
        <w:tc>
          <w:tcPr>
            <w:tcW w:w="2130" w:type="dxa"/>
            <w:tcBorders>
              <w:tl2br w:val="nil"/>
              <w:tr2bl w:val="nil"/>
            </w:tcBorders>
          </w:tcPr>
          <w:p w14:paraId="4331FA2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155</w:t>
            </w:r>
          </w:p>
        </w:tc>
        <w:tc>
          <w:tcPr>
            <w:tcW w:w="1372" w:type="dxa"/>
            <w:tcBorders>
              <w:tl2br w:val="nil"/>
              <w:tr2bl w:val="nil"/>
            </w:tcBorders>
          </w:tcPr>
          <w:p w14:paraId="539AC91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sdt>
              <w:sdtPr>
                <w:rPr>
                  <w:color w:val="auto"/>
                  <w:highlight w:val="none"/>
                </w:rPr>
                <w:alias w:val="标点符号检查"/>
                <w:tag w:val="auto"/>
                <w:id w:val="3103805"/>
              </w:sdtPr>
              <w:sdtEndPr>
                <w:rPr>
                  <w:color w:val="auto"/>
                  <w:highlight w:val="none"/>
                </w:rPr>
              </w:sdtEndPr>
              <w:sdtContent>
                <w:bookmarkStart w:id="1022" w:name="bkReivew3103805"/>
                <w:r>
                  <w:rPr>
                    <w:rFonts w:hint="eastAsia" w:ascii="Times New Roman" w:hAnsi="Times New Roman" w:eastAsia="宋体" w:cs="Times New Roman"/>
                    <w:b w:val="0"/>
                    <w:bCs w:val="0"/>
                    <w:color w:val="auto"/>
                    <w:sz w:val="21"/>
                    <w:szCs w:val="21"/>
                    <w:highlight w:val="none"/>
                    <w:vertAlign w:val="baseline"/>
                    <w:lang w:val="en-US" w:eastAsia="zh-CN"/>
                  </w:rPr>
                  <w:t>/</w:t>
                </w:r>
                <w:bookmarkEnd w:id="1022"/>
              </w:sdtContent>
            </w:sdt>
          </w:p>
        </w:tc>
      </w:tr>
    </w:tbl>
    <w:p w14:paraId="6667903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江宁经济技术开发区规划范围内的水厂规模共达到45万m</w:t>
      </w:r>
      <w:r>
        <w:rPr>
          <w:rFonts w:hint="eastAsia"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不能满足内部需求</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剩余的用水量由规划区外的滨江水厂提供。</w:t>
      </w:r>
      <w:bookmarkStart w:id="1023" w:name="sys41245867"/>
      <w:r>
        <w:rPr>
          <w:rFonts w:hint="default" w:ascii="Times New Roman" w:hAnsi="Times New Roman" w:eastAsia="宋体" w:cs="Times New Roman"/>
          <w:color w:val="auto"/>
          <w:spacing w:val="1"/>
          <w:sz w:val="24"/>
          <w:szCs w:val="24"/>
          <w:highlight w:val="none"/>
          <w:lang w:val="en-US" w:eastAsia="zh-CN"/>
        </w:rPr>
        <w:t>滨江水厂现状供水规模45万m</w:t>
      </w:r>
      <w:r>
        <w:rPr>
          <w:rFonts w:hint="eastAsia" w:ascii="Times New Roman" w:hAnsi="Times New Roman" w:eastAsia="宋体" w:cs="Times New Roman"/>
          <w:color w:val="auto"/>
          <w:spacing w:val="1"/>
          <w:sz w:val="24"/>
          <w:szCs w:val="24"/>
          <w:highlight w:val="none"/>
          <w:vertAlign w:val="superscript"/>
          <w:lang w:val="en-US" w:eastAsia="zh-CN"/>
        </w:rPr>
        <w:t>3</w:t>
      </w:r>
      <w:r>
        <w:rPr>
          <w:rFonts w:hint="default" w:ascii="Times New Roman" w:hAnsi="Times New Roman" w:eastAsia="宋体" w:cs="Times New Roman"/>
          <w:color w:val="auto"/>
          <w:spacing w:val="1"/>
          <w:sz w:val="24"/>
          <w:szCs w:val="24"/>
          <w:highlight w:val="none"/>
          <w:lang w:val="en-US" w:eastAsia="zh-CN"/>
        </w:rPr>
        <w:t>/d，规划至2035年，其供水规模为110万m</w:t>
      </w:r>
      <w:r>
        <w:rPr>
          <w:rFonts w:hint="eastAsia" w:ascii="Times New Roman" w:hAnsi="Times New Roman" w:eastAsia="宋体" w:cs="Times New Roman"/>
          <w:color w:val="auto"/>
          <w:spacing w:val="1"/>
          <w:sz w:val="24"/>
          <w:szCs w:val="24"/>
          <w:highlight w:val="none"/>
          <w:vertAlign w:val="superscript"/>
          <w:lang w:val="en-US" w:eastAsia="zh-CN"/>
        </w:rPr>
        <w:t>3</w:t>
      </w:r>
      <w:r>
        <w:rPr>
          <w:rFonts w:hint="default" w:ascii="Times New Roman" w:hAnsi="Times New Roman" w:eastAsia="宋体" w:cs="Times New Roman"/>
          <w:color w:val="auto"/>
          <w:spacing w:val="1"/>
          <w:sz w:val="24"/>
          <w:szCs w:val="24"/>
          <w:highlight w:val="none"/>
          <w:lang w:val="en-US" w:eastAsia="zh-CN"/>
        </w:rPr>
        <w:t>/d，</w:t>
      </w:r>
      <w:r>
        <w:rPr>
          <w:rFonts w:hint="default" w:ascii="Times New Roman" w:hAnsi="Times New Roman" w:eastAsia="宋体" w:cs="Times New Roman"/>
          <w:color w:val="auto"/>
          <w:sz w:val="24"/>
          <w:szCs w:val="24"/>
          <w:highlight w:val="none"/>
          <w:lang w:val="en-US" w:eastAsia="zh-CN"/>
        </w:rPr>
        <w:t>且主要</w:t>
      </w:r>
      <w:bookmarkEnd w:id="1020"/>
      <w:r>
        <w:rPr>
          <w:rFonts w:hint="default" w:ascii="Times New Roman" w:hAnsi="Times New Roman" w:eastAsia="宋体" w:cs="Times New Roman"/>
          <w:color w:val="auto"/>
          <w:sz w:val="24"/>
          <w:szCs w:val="24"/>
          <w:highlight w:val="none"/>
          <w:lang w:val="en-US" w:eastAsia="zh-CN"/>
        </w:rPr>
        <w:t>向规划区范围内供水，可满足规划区内用水需求。</w:t>
      </w:r>
      <w:bookmarkEnd w:id="1023"/>
    </w:p>
    <w:p w14:paraId="23E93C4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乡村供水</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规划保留的特色村及规划的新市镇，由城市供水管网供水，规划将供水管敷设到户，形成枝状供水管网，并逐渐完善，形成环状供水管网。为解决水压可能不足的问题，宜建设局部增压设施</w:t>
      </w:r>
      <w:r>
        <w:rPr>
          <w:rFonts w:hint="eastAsia" w:ascii="Times New Roman" w:hAnsi="Times New Roman" w:eastAsia="宋体" w:cs="Times New Roman"/>
          <w:color w:val="auto"/>
          <w:sz w:val="24"/>
          <w:szCs w:val="24"/>
          <w:highlight w:val="none"/>
          <w:lang w:val="en-US" w:eastAsia="zh-CN"/>
        </w:rPr>
        <w:t>。</w:t>
      </w:r>
    </w:p>
    <w:p w14:paraId="00FE704E">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eastAsia" w:ascii="Times New Roman" w:hAnsi="Times New Roman" w:eastAsia="宋体" w:cs="Times New Roman"/>
          <w:b/>
          <w:bCs/>
          <w:color w:val="auto"/>
          <w:sz w:val="24"/>
          <w:szCs w:val="24"/>
          <w:highlight w:val="none"/>
          <w:lang w:val="en-US" w:eastAsia="zh-CN"/>
        </w:rPr>
      </w:pPr>
      <w:bookmarkStart w:id="1024" w:name="_Toc884"/>
      <w:r>
        <w:rPr>
          <w:rFonts w:hint="eastAsia" w:ascii="Times New Roman" w:hAnsi="Times New Roman" w:eastAsia="宋体" w:cs="Times New Roman"/>
          <w:b/>
          <w:bCs/>
          <w:color w:val="auto"/>
          <w:sz w:val="24"/>
          <w:szCs w:val="24"/>
          <w:highlight w:val="none"/>
          <w:lang w:val="en-US" w:eastAsia="zh-CN"/>
        </w:rPr>
        <w:t>4.5.2排水工程规划</w:t>
      </w:r>
      <w:bookmarkEnd w:id="1024"/>
      <w:bookmarkStart w:id="1025" w:name="pindex4126"/>
      <w:bookmarkEnd w:id="1025"/>
    </w:p>
    <w:p w14:paraId="3C3CF0E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snapToGrid w:val="0"/>
          <w:color w:val="auto"/>
          <w:kern w:val="0"/>
          <w:sz w:val="24"/>
          <w:szCs w:val="24"/>
          <w:highlight w:val="none"/>
          <w:lang w:val="en-US" w:eastAsia="zh-CN" w:bidi="ar-SA"/>
        </w:rPr>
        <w:t>（1）</w:t>
      </w:r>
      <w:r>
        <w:rPr>
          <w:rFonts w:hint="eastAsia" w:ascii="Times New Roman" w:hAnsi="Times New Roman" w:eastAsia="宋体" w:cs="Times New Roman"/>
          <w:color w:val="auto"/>
          <w:sz w:val="24"/>
          <w:szCs w:val="24"/>
          <w:highlight w:val="none"/>
          <w:lang w:val="en-US" w:eastAsia="zh-CN"/>
        </w:rPr>
        <w:t>排水体制</w:t>
      </w:r>
      <w:bookmarkStart w:id="1026" w:name="pindex4127"/>
      <w:bookmarkEnd w:id="1026"/>
    </w:p>
    <w:p w14:paraId="324F152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优化排水体制，开发区排水体制为雨污分流制，乡村地区建立初步的排水管网系统，近期采用雨污合流，远期采用截流式管网系统。</w:t>
      </w:r>
    </w:p>
    <w:p w14:paraId="507C51A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0"/>
          <w:sz w:val="24"/>
          <w:szCs w:val="24"/>
          <w:highlight w:val="none"/>
          <w:lang w:val="en-US" w:eastAsia="zh-CN" w:bidi="ar-SA"/>
        </w:rPr>
        <w:t>（2）</w:t>
      </w:r>
      <w:r>
        <w:rPr>
          <w:rFonts w:hint="eastAsia" w:ascii="Times New Roman" w:hAnsi="Times New Roman" w:eastAsia="宋体" w:cs="Times New Roman"/>
          <w:color w:val="auto"/>
          <w:sz w:val="24"/>
          <w:szCs w:val="24"/>
          <w:highlight w:val="none"/>
          <w:lang w:val="en-US" w:eastAsia="zh-CN"/>
        </w:rPr>
        <w:t>污水处理厂规划</w:t>
      </w:r>
      <w:bookmarkStart w:id="1027" w:name="pindex4129"/>
      <w:bookmarkEnd w:id="1027"/>
    </w:p>
    <w:p w14:paraId="02285A9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规划合理布置排水设施厂站，完善排水管网体系。逐步建立健全污水处理系统。</w:t>
      </w:r>
      <w:bookmarkStart w:id="1028" w:name="sys41303532"/>
      <w:r>
        <w:rPr>
          <w:rFonts w:hint="default" w:ascii="Times New Roman" w:hAnsi="Times New Roman" w:eastAsia="宋体" w:cs="Times New Roman"/>
          <w:color w:val="auto"/>
          <w:sz w:val="24"/>
          <w:szCs w:val="24"/>
          <w:highlight w:val="none"/>
          <w:lang w:val="en-US" w:eastAsia="zh-CN"/>
        </w:rPr>
        <w:t>开发区</w:t>
      </w:r>
      <w:r>
        <w:rPr>
          <w:rFonts w:hint="eastAsia" w:ascii="Times New Roman" w:hAnsi="Times New Roman" w:eastAsia="宋体" w:cs="Times New Roman"/>
          <w:color w:val="auto"/>
          <w:sz w:val="24"/>
          <w:szCs w:val="24"/>
          <w:highlight w:val="none"/>
          <w:lang w:val="en-US" w:eastAsia="zh-CN"/>
        </w:rPr>
        <w:t>评估范围接管</w:t>
      </w:r>
      <w:r>
        <w:rPr>
          <w:rFonts w:hint="default" w:ascii="Times New Roman" w:hAnsi="Times New Roman" w:eastAsia="宋体" w:cs="Times New Roman"/>
          <w:color w:val="auto"/>
          <w:sz w:val="24"/>
          <w:szCs w:val="24"/>
          <w:highlight w:val="none"/>
          <w:lang w:val="en-US" w:eastAsia="zh-CN"/>
        </w:rPr>
        <w:t>污水</w:t>
      </w:r>
      <w:r>
        <w:rPr>
          <w:rFonts w:hint="eastAsia" w:ascii="Times New Roman" w:hAnsi="Times New Roman" w:eastAsia="宋体" w:cs="Times New Roman"/>
          <w:color w:val="auto"/>
          <w:sz w:val="24"/>
          <w:szCs w:val="24"/>
          <w:highlight w:val="none"/>
          <w:lang w:val="en-US" w:eastAsia="zh-CN"/>
        </w:rPr>
        <w:t>处理</w:t>
      </w:r>
      <w:r>
        <w:rPr>
          <w:rFonts w:hint="default" w:ascii="Times New Roman" w:hAnsi="Times New Roman" w:eastAsia="宋体" w:cs="Times New Roman"/>
          <w:color w:val="auto"/>
          <w:sz w:val="24"/>
          <w:szCs w:val="24"/>
          <w:highlight w:val="none"/>
          <w:lang w:val="en-US" w:eastAsia="zh-CN"/>
        </w:rPr>
        <w:t>厂有开发区污水处理厂和南区污水处理厂。</w:t>
      </w:r>
      <w:bookmarkEnd w:id="1028"/>
      <w:r>
        <w:rPr>
          <w:rFonts w:hint="default" w:ascii="Times New Roman" w:hAnsi="Times New Roman" w:eastAsia="宋体" w:cs="Times New Roman"/>
          <w:color w:val="auto"/>
          <w:sz w:val="24"/>
          <w:szCs w:val="24"/>
          <w:highlight w:val="none"/>
          <w:lang w:val="en-US" w:eastAsia="zh-CN"/>
        </w:rPr>
        <w:t>污水处理厂规划情况见下表，见表</w:t>
      </w:r>
      <w:r>
        <w:rPr>
          <w:rFonts w:hint="eastAsia" w:ascii="Times New Roman" w:hAnsi="Times New Roman" w:eastAsia="宋体" w:cs="Times New Roman"/>
          <w:color w:val="auto"/>
          <w:sz w:val="24"/>
          <w:szCs w:val="24"/>
          <w:highlight w:val="none"/>
          <w:lang w:val="en-US" w:eastAsia="zh-CN"/>
        </w:rPr>
        <w:t>4.5-2。</w:t>
      </w:r>
    </w:p>
    <w:p w14:paraId="40C0B34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表4.5-2  开发区规划污水处理厂一览表</w:t>
      </w:r>
      <w:bookmarkStart w:id="1029" w:name="pindex4131"/>
      <w:bookmarkEnd w:id="1029"/>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1"/>
        <w:gridCol w:w="1290"/>
        <w:gridCol w:w="465"/>
        <w:gridCol w:w="2770"/>
        <w:gridCol w:w="1064"/>
        <w:gridCol w:w="1117"/>
        <w:gridCol w:w="1326"/>
      </w:tblGrid>
      <w:tr w14:paraId="2CF110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1" w:type="dxa"/>
            <w:tcBorders>
              <w:tl2br w:val="nil"/>
              <w:tr2bl w:val="nil"/>
            </w:tcBorders>
            <w:vAlign w:val="center"/>
          </w:tcPr>
          <w:p w14:paraId="0BC37D9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序号</w:t>
            </w:r>
          </w:p>
        </w:tc>
        <w:tc>
          <w:tcPr>
            <w:tcW w:w="1290" w:type="dxa"/>
            <w:tcBorders>
              <w:tl2br w:val="nil"/>
              <w:tr2bl w:val="nil"/>
            </w:tcBorders>
            <w:vAlign w:val="center"/>
          </w:tcPr>
          <w:p w14:paraId="41DFB1D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设施名称</w:t>
            </w:r>
          </w:p>
        </w:tc>
        <w:tc>
          <w:tcPr>
            <w:tcW w:w="465" w:type="dxa"/>
            <w:tcBorders>
              <w:tl2br w:val="nil"/>
              <w:tr2bl w:val="nil"/>
            </w:tcBorders>
            <w:vAlign w:val="center"/>
          </w:tcPr>
          <w:p w14:paraId="75EC404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位置</w:t>
            </w:r>
          </w:p>
        </w:tc>
        <w:tc>
          <w:tcPr>
            <w:tcW w:w="2770" w:type="dxa"/>
            <w:tcBorders>
              <w:tl2br w:val="nil"/>
              <w:tr2bl w:val="nil"/>
            </w:tcBorders>
            <w:vAlign w:val="center"/>
          </w:tcPr>
          <w:p w14:paraId="47653D5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服务范围</w:t>
            </w:r>
          </w:p>
        </w:tc>
        <w:tc>
          <w:tcPr>
            <w:tcW w:w="1064" w:type="dxa"/>
            <w:tcBorders>
              <w:tl2br w:val="nil"/>
              <w:tr2bl w:val="nil"/>
            </w:tcBorders>
            <w:vAlign w:val="center"/>
          </w:tcPr>
          <w:p w14:paraId="37A1480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现状规模</w:t>
            </w:r>
          </w:p>
          <w:p w14:paraId="217F162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（万m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vertAlign w:val="baseline"/>
                <w:lang w:val="en-US" w:eastAsia="zh-CN"/>
              </w:rPr>
              <w:t>/d）</w:t>
            </w:r>
          </w:p>
        </w:tc>
        <w:tc>
          <w:tcPr>
            <w:tcW w:w="1117" w:type="dxa"/>
            <w:tcBorders>
              <w:tl2br w:val="nil"/>
              <w:tr2bl w:val="nil"/>
            </w:tcBorders>
            <w:vAlign w:val="center"/>
          </w:tcPr>
          <w:p w14:paraId="1659385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2025年规划规模</w:t>
            </w:r>
          </w:p>
          <w:p w14:paraId="360E6FD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（万m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vertAlign w:val="baseline"/>
                <w:lang w:val="en-US" w:eastAsia="zh-CN"/>
              </w:rPr>
              <w:t>/d）</w:t>
            </w:r>
          </w:p>
        </w:tc>
        <w:tc>
          <w:tcPr>
            <w:tcW w:w="1326" w:type="dxa"/>
            <w:tcBorders>
              <w:tl2br w:val="nil"/>
              <w:tr2bl w:val="nil"/>
            </w:tcBorders>
            <w:vAlign w:val="center"/>
          </w:tcPr>
          <w:p w14:paraId="3239A7D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2035年规划规模</w:t>
            </w:r>
          </w:p>
          <w:p w14:paraId="75E3191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（万m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vertAlign w:val="baseline"/>
                <w:lang w:val="en-US" w:eastAsia="zh-CN"/>
              </w:rPr>
              <w:t>/d）</w:t>
            </w:r>
          </w:p>
        </w:tc>
      </w:tr>
      <w:tr w14:paraId="4CEF70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1" w:type="dxa"/>
            <w:tcBorders>
              <w:tl2br w:val="nil"/>
              <w:tr2bl w:val="nil"/>
            </w:tcBorders>
            <w:vAlign w:val="center"/>
          </w:tcPr>
          <w:p w14:paraId="0326DCB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w:t>
            </w:r>
          </w:p>
        </w:tc>
        <w:tc>
          <w:tcPr>
            <w:tcW w:w="1290" w:type="dxa"/>
            <w:tcBorders>
              <w:tl2br w:val="nil"/>
              <w:tr2bl w:val="nil"/>
            </w:tcBorders>
            <w:vAlign w:val="center"/>
          </w:tcPr>
          <w:p w14:paraId="561C54D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开发区污水处理厂</w:t>
            </w:r>
          </w:p>
        </w:tc>
        <w:tc>
          <w:tcPr>
            <w:tcW w:w="465" w:type="dxa"/>
            <w:tcBorders>
              <w:tl2br w:val="nil"/>
              <w:tr2bl w:val="nil"/>
            </w:tcBorders>
            <w:vAlign w:val="center"/>
          </w:tcPr>
          <w:p w14:paraId="5376F76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区内</w:t>
            </w:r>
          </w:p>
        </w:tc>
        <w:tc>
          <w:tcPr>
            <w:tcW w:w="2770" w:type="dxa"/>
            <w:tcBorders>
              <w:tl2br w:val="nil"/>
              <w:tr2bl w:val="nil"/>
            </w:tcBorders>
            <w:vAlign w:val="center"/>
          </w:tcPr>
          <w:p w14:paraId="189D9E39">
            <w:pPr>
              <w:widowControl w:val="0"/>
              <w:bidi w:val="0"/>
              <w:rPr>
                <w:rFonts w:hint="default"/>
                <w:color w:val="auto"/>
                <w:highlight w:val="none"/>
                <w:lang w:val="en-US" w:eastAsia="zh-CN"/>
              </w:rPr>
            </w:pPr>
            <w:bookmarkStart w:id="1030" w:name="sys4145041"/>
            <w:r>
              <w:rPr>
                <w:rFonts w:hint="default" w:ascii="Times New Roman" w:hAnsi="Times New Roman" w:eastAsia="宋体" w:cs="Times New Roman"/>
                <w:i w:val="0"/>
                <w:iCs w:val="0"/>
                <w:color w:val="auto"/>
                <w:kern w:val="0"/>
                <w:sz w:val="21"/>
                <w:szCs w:val="21"/>
                <w:highlight w:val="none"/>
                <w:u w:val="none"/>
                <w:lang w:val="en-US" w:eastAsia="zh-CN" w:bidi="ar"/>
              </w:rPr>
              <w:t>西至将军山、北至秦淮新河、东至秦淮河，南至国检路→机场高速→利源路→百家湖→池田路</w:t>
            </w:r>
            <w:bookmarkEnd w:id="1030"/>
          </w:p>
        </w:tc>
        <w:tc>
          <w:tcPr>
            <w:tcW w:w="1064" w:type="dxa"/>
            <w:tcBorders>
              <w:tl2br w:val="nil"/>
              <w:tr2bl w:val="nil"/>
            </w:tcBorders>
            <w:vAlign w:val="center"/>
          </w:tcPr>
          <w:p w14:paraId="230AB1D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8</w:t>
            </w:r>
          </w:p>
        </w:tc>
        <w:tc>
          <w:tcPr>
            <w:tcW w:w="1117" w:type="dxa"/>
            <w:tcBorders>
              <w:tl2br w:val="nil"/>
              <w:tr2bl w:val="nil"/>
            </w:tcBorders>
            <w:vAlign w:val="center"/>
          </w:tcPr>
          <w:p w14:paraId="53F4FC1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8</w:t>
            </w:r>
          </w:p>
        </w:tc>
        <w:tc>
          <w:tcPr>
            <w:tcW w:w="1326" w:type="dxa"/>
            <w:tcBorders>
              <w:tl2br w:val="nil"/>
              <w:tr2bl w:val="nil"/>
            </w:tcBorders>
            <w:vAlign w:val="center"/>
          </w:tcPr>
          <w:p w14:paraId="58CE623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w:t>
            </w:r>
          </w:p>
        </w:tc>
      </w:tr>
      <w:tr w14:paraId="5EB6E6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1" w:type="dxa"/>
            <w:tcBorders>
              <w:tl2br w:val="nil"/>
              <w:tr2bl w:val="nil"/>
            </w:tcBorders>
            <w:vAlign w:val="center"/>
          </w:tcPr>
          <w:p w14:paraId="7E17C91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w:t>
            </w:r>
          </w:p>
        </w:tc>
        <w:tc>
          <w:tcPr>
            <w:tcW w:w="1290" w:type="dxa"/>
            <w:tcBorders>
              <w:tl2br w:val="nil"/>
              <w:tr2bl w:val="nil"/>
            </w:tcBorders>
            <w:vAlign w:val="center"/>
          </w:tcPr>
          <w:p w14:paraId="29E0013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南区污水处理厂</w:t>
            </w:r>
          </w:p>
        </w:tc>
        <w:tc>
          <w:tcPr>
            <w:tcW w:w="465" w:type="dxa"/>
            <w:tcBorders>
              <w:tl2br w:val="nil"/>
              <w:tr2bl w:val="nil"/>
            </w:tcBorders>
            <w:vAlign w:val="center"/>
          </w:tcPr>
          <w:p w14:paraId="6517FF4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区外</w:t>
            </w:r>
          </w:p>
        </w:tc>
        <w:tc>
          <w:tcPr>
            <w:tcW w:w="2770" w:type="dxa"/>
            <w:tcBorders>
              <w:tl2br w:val="nil"/>
              <w:tr2bl w:val="nil"/>
            </w:tcBorders>
            <w:vAlign w:val="center"/>
          </w:tcPr>
          <w:p w14:paraId="7654E4E0">
            <w:pPr>
              <w:widowControl w:val="0"/>
              <w:bidi w:val="0"/>
              <w:rPr>
                <w:rFonts w:hint="default"/>
                <w:color w:val="auto"/>
                <w:highlight w:val="none"/>
                <w:lang w:val="en-US" w:eastAsia="zh-CN"/>
              </w:rPr>
            </w:pPr>
            <w:bookmarkStart w:id="1031" w:name="sys4152037"/>
            <w:r>
              <w:rPr>
                <w:rFonts w:hint="default" w:ascii="Times New Roman" w:hAnsi="Times New Roman" w:eastAsia="宋体" w:cs="Times New Roman"/>
                <w:i w:val="0"/>
                <w:iCs w:val="0"/>
                <w:color w:val="auto"/>
                <w:kern w:val="0"/>
                <w:sz w:val="21"/>
                <w:szCs w:val="21"/>
                <w:highlight w:val="none"/>
                <w:u w:val="none"/>
                <w:lang w:val="en-US" w:eastAsia="zh-CN" w:bidi="ar"/>
              </w:rPr>
              <w:t>北至秣</w:t>
            </w:r>
            <w:sdt>
              <w:sdtPr>
                <w:rPr>
                  <w:color w:val="auto"/>
                  <w:highlight w:val="none"/>
                </w:rPr>
                <w:alias w:val="敏感词检查"/>
                <w:tag w:val="auto"/>
                <w:id w:val="111752"/>
              </w:sdtPr>
              <w:sdtEndPr>
                <w:rPr>
                  <w:color w:val="auto"/>
                  <w:highlight w:val="none"/>
                </w:rPr>
              </w:sdtEndPr>
              <w:sdtContent>
                <w:bookmarkStart w:id="1032" w:name="bkPolitics111752"/>
                <w:r>
                  <w:rPr>
                    <w:rFonts w:hint="default" w:ascii="Times New Roman" w:hAnsi="Times New Roman" w:eastAsia="宋体" w:cs="Times New Roman"/>
                    <w:i w:val="0"/>
                    <w:iCs w:val="0"/>
                    <w:color w:val="auto"/>
                    <w:kern w:val="0"/>
                    <w:sz w:val="21"/>
                    <w:szCs w:val="21"/>
                    <w:highlight w:val="none"/>
                    <w:u w:val="none"/>
                    <w:lang w:val="en-US" w:eastAsia="zh-CN" w:bidi="ar"/>
                  </w:rPr>
                  <w:t>周路</w:t>
                </w:r>
                <w:bookmarkEnd w:id="1032"/>
              </w:sdtContent>
            </w:sdt>
            <w:r>
              <w:rPr>
                <w:rFonts w:hint="default" w:ascii="Times New Roman" w:hAnsi="Times New Roman" w:eastAsia="宋体" w:cs="Times New Roman"/>
                <w:i w:val="0"/>
                <w:iCs w:val="0"/>
                <w:color w:val="auto"/>
                <w:kern w:val="0"/>
                <w:sz w:val="21"/>
                <w:szCs w:val="21"/>
                <w:highlight w:val="none"/>
                <w:u w:val="none"/>
                <w:lang w:val="en-US" w:eastAsia="zh-CN" w:bidi="ar"/>
              </w:rPr>
              <w:t>→宁丹路→绕越高速→吉印大道→将军大道→阳山河，南至秣陵四横沟；</w:t>
            </w:r>
            <w:bookmarkEnd w:id="1031"/>
            <w:r>
              <w:rPr>
                <w:rFonts w:hint="default" w:ascii="Times New Roman" w:hAnsi="Times New Roman" w:eastAsia="宋体" w:cs="Times New Roman"/>
                <w:i w:val="0"/>
                <w:iCs w:val="0"/>
                <w:color w:val="auto"/>
                <w:kern w:val="0"/>
                <w:sz w:val="21"/>
                <w:szCs w:val="21"/>
                <w:highlight w:val="none"/>
                <w:u w:val="none"/>
                <w:lang w:val="en-US" w:eastAsia="zh-CN" w:bidi="ar"/>
              </w:rPr>
              <w:t>东至秦淮河；西至吉山→将军大道</w:t>
            </w:r>
          </w:p>
        </w:tc>
        <w:tc>
          <w:tcPr>
            <w:tcW w:w="1064" w:type="dxa"/>
            <w:tcBorders>
              <w:tl2br w:val="nil"/>
              <w:tr2bl w:val="nil"/>
            </w:tcBorders>
            <w:vAlign w:val="center"/>
          </w:tcPr>
          <w:p w14:paraId="2577C29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pacing w:val="-6"/>
                <w:sz w:val="21"/>
                <w:szCs w:val="21"/>
                <w:highlight w:val="none"/>
                <w:lang w:val="en-US" w:eastAsia="zh-CN"/>
              </w:rPr>
              <w:t>15</w:t>
            </w:r>
          </w:p>
        </w:tc>
        <w:tc>
          <w:tcPr>
            <w:tcW w:w="1117" w:type="dxa"/>
            <w:tcBorders>
              <w:tl2br w:val="nil"/>
              <w:tr2bl w:val="nil"/>
            </w:tcBorders>
            <w:vAlign w:val="center"/>
          </w:tcPr>
          <w:p w14:paraId="38B4DE4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w:t>
            </w:r>
          </w:p>
        </w:tc>
        <w:tc>
          <w:tcPr>
            <w:tcW w:w="1326" w:type="dxa"/>
            <w:tcBorders>
              <w:tl2br w:val="nil"/>
              <w:tr2bl w:val="nil"/>
            </w:tcBorders>
            <w:vAlign w:val="center"/>
          </w:tcPr>
          <w:p w14:paraId="22F6A16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w:t>
            </w:r>
          </w:p>
        </w:tc>
      </w:tr>
      <w:tr w14:paraId="0A5B69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5076" w:type="dxa"/>
            <w:gridSpan w:val="4"/>
            <w:tcBorders>
              <w:tl2br w:val="nil"/>
              <w:tr2bl w:val="nil"/>
            </w:tcBorders>
            <w:vAlign w:val="center"/>
          </w:tcPr>
          <w:p w14:paraId="2823CAD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合计</w:t>
            </w:r>
          </w:p>
        </w:tc>
        <w:tc>
          <w:tcPr>
            <w:tcW w:w="1064" w:type="dxa"/>
            <w:tcBorders>
              <w:tl2br w:val="nil"/>
              <w:tr2bl w:val="nil"/>
            </w:tcBorders>
            <w:vAlign w:val="center"/>
          </w:tcPr>
          <w:p w14:paraId="797F869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pacing w:val="-6"/>
                <w:sz w:val="21"/>
                <w:szCs w:val="21"/>
                <w:highlight w:val="none"/>
                <w:lang w:val="en-US" w:eastAsia="zh-CN"/>
              </w:rPr>
              <w:t>23</w:t>
            </w:r>
          </w:p>
        </w:tc>
        <w:tc>
          <w:tcPr>
            <w:tcW w:w="1117" w:type="dxa"/>
            <w:tcBorders>
              <w:tl2br w:val="nil"/>
              <w:tr2bl w:val="nil"/>
            </w:tcBorders>
            <w:vAlign w:val="center"/>
          </w:tcPr>
          <w:p w14:paraId="08C019F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23</w:t>
            </w:r>
          </w:p>
        </w:tc>
        <w:tc>
          <w:tcPr>
            <w:tcW w:w="1326" w:type="dxa"/>
            <w:tcBorders>
              <w:tl2br w:val="nil"/>
              <w:tr2bl w:val="nil"/>
            </w:tcBorders>
            <w:vAlign w:val="center"/>
          </w:tcPr>
          <w:p w14:paraId="4A2FDB5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31</w:t>
            </w:r>
          </w:p>
        </w:tc>
      </w:tr>
    </w:tbl>
    <w:p w14:paraId="0654E60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污水</w:t>
      </w:r>
      <w:r>
        <w:rPr>
          <w:rFonts w:hint="eastAsia" w:ascii="Times New Roman" w:hAnsi="Times New Roman" w:eastAsia="宋体" w:cs="Times New Roman"/>
          <w:color w:val="auto"/>
          <w:sz w:val="24"/>
          <w:szCs w:val="24"/>
          <w:highlight w:val="none"/>
          <w:lang w:val="en-US" w:eastAsia="zh-CN"/>
        </w:rPr>
        <w:t>遵循</w:t>
      </w:r>
      <w:r>
        <w:rPr>
          <w:rFonts w:hint="default" w:ascii="Times New Roman" w:hAnsi="Times New Roman" w:eastAsia="宋体" w:cs="Times New Roman"/>
          <w:color w:val="auto"/>
          <w:sz w:val="24"/>
          <w:szCs w:val="24"/>
          <w:highlight w:val="none"/>
          <w:lang w:val="en-US" w:eastAsia="zh-CN"/>
        </w:rPr>
        <w:t>集中与分散处理相结合的原则，结合乡村实际情况，选用分散式污水处理装置处理后排放。</w:t>
      </w:r>
    </w:p>
    <w:p w14:paraId="458D2AD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（3）污水处理厂纳管要求</w:t>
      </w:r>
      <w:bookmarkStart w:id="1033" w:name="pindex4161"/>
      <w:bookmarkEnd w:id="1033"/>
    </w:p>
    <w:p w14:paraId="12670206">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根据《江苏省工业废水与生活污水分质处理工作推进方案》（苏环办〔</w:t>
      </w:r>
      <w:r>
        <w:rPr>
          <w:rFonts w:hint="default" w:ascii="Times New Roman" w:hAnsi="Times New Roman" w:eastAsia="宋体" w:cs="Times New Roman"/>
          <w:color w:val="auto"/>
          <w:sz w:val="24"/>
          <w:szCs w:val="24"/>
          <w:highlight w:val="none"/>
          <w:lang w:val="en-US" w:eastAsia="zh-CN"/>
        </w:rPr>
        <w:t>2023</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144</w:t>
      </w:r>
      <w:r>
        <w:rPr>
          <w:rFonts w:hint="eastAsia" w:ascii="Times New Roman" w:hAnsi="Times New Roman" w:eastAsia="宋体" w:cs="Times New Roman"/>
          <w:color w:val="auto"/>
          <w:sz w:val="24"/>
          <w:szCs w:val="24"/>
          <w:highlight w:val="none"/>
          <w:lang w:val="en-US" w:eastAsia="zh-CN"/>
        </w:rPr>
        <w:t xml:space="preserve">号）文件要求，以及《江宁区城镇污水处理厂纳管工业废水分质处理综合评估报告》的评估结果，不涉及限期退出清单以及工业废水集中（预）处理设施建设清单、城镇污水处理厂改造清单；允许接入的工业企业应依法取得并更新维护排水许可和排污许可证，并与下游城镇污水处理厂签订纳管协议；列入重点企业清单的企业在总排口设置检查井、控制阀门，安装水质水量在线监控系统，与城镇排水主管部门、生态环境部门及依托的城镇污水处理厂联网实现数据共享。地方生态环境部门可根据需要对接管企业提出针对重点管控特征污染物安装水质水量在线监控系统的具体要求。 </w:t>
      </w:r>
    </w:p>
    <w:p w14:paraId="0B5A6EE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2023</w:t>
      </w:r>
      <w:r>
        <w:rPr>
          <w:rFonts w:hint="eastAsia" w:ascii="Times New Roman" w:hAnsi="Times New Roman" w:eastAsia="宋体" w:cs="Times New Roman"/>
          <w:color w:val="auto"/>
          <w:sz w:val="24"/>
          <w:szCs w:val="24"/>
          <w:highlight w:val="none"/>
          <w:lang w:val="en-US" w:eastAsia="zh-CN"/>
        </w:rPr>
        <w:t>年江宁区组织编制了《南京市江宁区工业废水与生活污水分类收集分质处理实施方案》，进入南区污水处理厂和开发区污水处理厂的纳管企业废水，其总排口中污染物均应满足相应的排放标准及污水处理厂接管标准限值。</w:t>
      </w:r>
      <w:bookmarkStart w:id="1034" w:name="sys416310130"/>
      <w:r>
        <w:rPr>
          <w:rFonts w:hint="eastAsia" w:ascii="Times New Roman" w:hAnsi="Times New Roman" w:eastAsia="宋体" w:cs="Times New Roman"/>
          <w:color w:val="auto"/>
          <w:sz w:val="24"/>
          <w:szCs w:val="24"/>
          <w:highlight w:val="none"/>
          <w:lang w:val="en-US" w:eastAsia="zh-CN"/>
        </w:rPr>
        <w:t>工业废水纳入城镇污水处理厂处理的准入条件及评估原则详见下表。</w:t>
      </w:r>
      <w:bookmarkEnd w:id="1034"/>
    </w:p>
    <w:p w14:paraId="7DCD3389">
      <w:pPr>
        <w:jc w:val="center"/>
        <w:rPr>
          <w:rFonts w:hint="default" w:ascii="Times New Roman" w:hAnsi="Times New Roman" w:eastAsia="宋体" w:cs="Times New Roman"/>
          <w:b/>
          <w:bCs/>
          <w:color w:val="auto"/>
          <w:sz w:val="24"/>
          <w:szCs w:val="24"/>
          <w:highlight w:val="none"/>
          <w:lang w:val="en-US" w:eastAsia="zh-CN"/>
        </w:rPr>
      </w:pPr>
      <w:bookmarkStart w:id="1035" w:name="sys4164039"/>
      <w:r>
        <w:rPr>
          <w:rFonts w:hint="eastAsia" w:ascii="Times New Roman" w:hAnsi="Times New Roman" w:eastAsia="宋体" w:cs="Times New Roman"/>
          <w:b/>
          <w:bCs/>
          <w:color w:val="auto"/>
          <w:sz w:val="24"/>
          <w:szCs w:val="24"/>
          <w:highlight w:val="none"/>
          <w:lang w:val="en-US" w:eastAsia="zh-CN"/>
        </w:rPr>
        <w:t>表4.5-3    新建企业工业废水纳入城镇污水处理厂处理的准入条件及评估原则</w:t>
      </w:r>
      <w:bookmarkEnd w:id="1035"/>
      <w:bookmarkStart w:id="1036" w:name="pindex4164"/>
      <w:bookmarkEnd w:id="1036"/>
    </w:p>
    <w:tbl>
      <w:tblPr>
        <w:tblStyle w:val="20"/>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2865"/>
        <w:gridCol w:w="1519"/>
        <w:gridCol w:w="3492"/>
      </w:tblGrid>
      <w:tr w14:paraId="085ED9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11" w:type="pct"/>
            <w:tcBorders>
              <w:top w:val="single" w:color="auto" w:sz="12" w:space="0"/>
              <w:bottom w:val="single" w:color="auto" w:sz="6" w:space="0"/>
            </w:tcBorders>
            <w:noWrap w:val="0"/>
            <w:vAlign w:val="center"/>
          </w:tcPr>
          <w:p w14:paraId="207974D0">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类别</w:t>
            </w:r>
          </w:p>
        </w:tc>
        <w:tc>
          <w:tcPr>
            <w:tcW w:w="1669" w:type="pct"/>
            <w:tcBorders>
              <w:top w:val="single" w:color="auto" w:sz="12" w:space="0"/>
              <w:bottom w:val="single" w:color="auto" w:sz="6" w:space="0"/>
            </w:tcBorders>
            <w:noWrap w:val="0"/>
            <w:vAlign w:val="center"/>
          </w:tcPr>
          <w:p w14:paraId="19877F40">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典型行业</w:t>
            </w:r>
          </w:p>
        </w:tc>
        <w:tc>
          <w:tcPr>
            <w:tcW w:w="884" w:type="pct"/>
            <w:tcBorders>
              <w:top w:val="single" w:color="auto" w:sz="12" w:space="0"/>
              <w:bottom w:val="single" w:color="auto" w:sz="6" w:space="0"/>
            </w:tcBorders>
            <w:noWrap w:val="0"/>
            <w:vAlign w:val="center"/>
          </w:tcPr>
          <w:p w14:paraId="47BE26B4">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典型废水</w:t>
            </w:r>
          </w:p>
        </w:tc>
        <w:tc>
          <w:tcPr>
            <w:tcW w:w="2034" w:type="pct"/>
            <w:tcBorders>
              <w:top w:val="single" w:color="auto" w:sz="12" w:space="0"/>
              <w:bottom w:val="single" w:color="auto" w:sz="6" w:space="0"/>
            </w:tcBorders>
            <w:noWrap w:val="0"/>
            <w:vAlign w:val="center"/>
          </w:tcPr>
          <w:p w14:paraId="0790FD06">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判定结果</w:t>
            </w:r>
          </w:p>
        </w:tc>
      </w:tr>
      <w:tr w14:paraId="32EF9B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11" w:type="pct"/>
            <w:tcBorders>
              <w:top w:val="single" w:color="auto" w:sz="6" w:space="0"/>
              <w:bottom w:val="single" w:color="auto" w:sz="6" w:space="0"/>
            </w:tcBorders>
            <w:noWrap w:val="0"/>
            <w:vAlign w:val="center"/>
          </w:tcPr>
          <w:p w14:paraId="60B40641">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一</w:t>
            </w:r>
          </w:p>
        </w:tc>
        <w:tc>
          <w:tcPr>
            <w:tcW w:w="1669" w:type="pct"/>
            <w:tcBorders>
              <w:top w:val="single" w:color="auto" w:sz="6" w:space="0"/>
              <w:bottom w:val="single" w:color="auto" w:sz="6" w:space="0"/>
            </w:tcBorders>
            <w:noWrap w:val="0"/>
            <w:vAlign w:val="center"/>
          </w:tcPr>
          <w:p w14:paraId="0B8EF243">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冶金、电镀、化工、印染、原料药制造（有工业废水处理资质且出水达到国家标准的原料药制造企业除外）</w:t>
            </w:r>
          </w:p>
        </w:tc>
        <w:tc>
          <w:tcPr>
            <w:tcW w:w="884" w:type="pct"/>
            <w:tcBorders>
              <w:top w:val="single" w:color="auto" w:sz="6" w:space="0"/>
              <w:bottom w:val="single" w:color="auto" w:sz="6" w:space="0"/>
            </w:tcBorders>
            <w:noWrap w:val="0"/>
            <w:vAlign w:val="center"/>
          </w:tcPr>
          <w:p w14:paraId="16EB2DE5">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含重金属、难生化降解废水、高盐废水</w:t>
            </w:r>
          </w:p>
        </w:tc>
        <w:tc>
          <w:tcPr>
            <w:tcW w:w="2034" w:type="pct"/>
            <w:tcBorders>
              <w:top w:val="single" w:color="auto" w:sz="6" w:space="0"/>
              <w:bottom w:val="single" w:color="auto" w:sz="6" w:space="0"/>
            </w:tcBorders>
            <w:noWrap w:val="0"/>
            <w:vAlign w:val="center"/>
          </w:tcPr>
          <w:p w14:paraId="669CDCF2">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不得排入城市污水集中收集处理设施。</w:t>
            </w:r>
          </w:p>
        </w:tc>
      </w:tr>
      <w:tr w14:paraId="2B6913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11" w:type="pct"/>
            <w:tcBorders>
              <w:top w:val="single" w:color="auto" w:sz="6" w:space="0"/>
              <w:bottom w:val="single" w:color="auto" w:sz="6" w:space="0"/>
            </w:tcBorders>
            <w:noWrap w:val="0"/>
            <w:vAlign w:val="center"/>
          </w:tcPr>
          <w:p w14:paraId="15376FCF">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二</w:t>
            </w:r>
          </w:p>
        </w:tc>
        <w:tc>
          <w:tcPr>
            <w:tcW w:w="1669" w:type="pct"/>
            <w:tcBorders>
              <w:top w:val="single" w:color="auto" w:sz="6" w:space="0"/>
              <w:bottom w:val="single" w:color="auto" w:sz="6" w:space="0"/>
            </w:tcBorders>
            <w:noWrap w:val="0"/>
            <w:vAlign w:val="center"/>
          </w:tcPr>
          <w:p w14:paraId="204EA207">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①发酵酒精和白酒、啤酒、味精、制糖；②淀粉、酵母、柠檬酸；③肉类加工等制造业工业企业</w:t>
            </w:r>
          </w:p>
        </w:tc>
        <w:tc>
          <w:tcPr>
            <w:tcW w:w="884" w:type="pct"/>
            <w:tcBorders>
              <w:top w:val="single" w:color="auto" w:sz="6" w:space="0"/>
              <w:bottom w:val="single" w:color="auto" w:sz="6" w:space="0"/>
            </w:tcBorders>
            <w:noWrap w:val="0"/>
            <w:vAlign w:val="center"/>
          </w:tcPr>
          <w:p w14:paraId="0385EBCE">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生产废水含优质碳源，可生化性较好，不</w:t>
            </w:r>
            <w:r>
              <w:rPr>
                <w:rFonts w:hint="eastAsia" w:ascii="Times New Roman" w:hAnsi="Times New Roman" w:eastAsia="宋体" w:cs="Times New Roman"/>
                <w:b w:val="0"/>
                <w:bCs w:val="0"/>
                <w:color w:val="auto"/>
                <w:sz w:val="21"/>
                <w:szCs w:val="21"/>
                <w:highlight w:val="none"/>
                <w:lang w:eastAsia="zh-CN"/>
              </w:rPr>
              <w:t>含其他</w:t>
            </w:r>
            <w:r>
              <w:rPr>
                <w:rFonts w:hint="default" w:ascii="Times New Roman" w:hAnsi="Times New Roman" w:eastAsia="宋体" w:cs="Times New Roman"/>
                <w:b w:val="0"/>
                <w:bCs w:val="0"/>
                <w:color w:val="auto"/>
                <w:sz w:val="21"/>
                <w:szCs w:val="21"/>
                <w:highlight w:val="none"/>
              </w:rPr>
              <w:t>高浓度或有毒有害污染物</w:t>
            </w:r>
          </w:p>
        </w:tc>
        <w:tc>
          <w:tcPr>
            <w:tcW w:w="2034" w:type="pct"/>
            <w:tcBorders>
              <w:top w:val="single" w:color="auto" w:sz="6" w:space="0"/>
              <w:bottom w:val="single" w:color="auto" w:sz="6" w:space="0"/>
            </w:tcBorders>
            <w:noWrap w:val="0"/>
            <w:vAlign w:val="center"/>
          </w:tcPr>
          <w:p w14:paraId="35B443F7">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企业与城镇污水处理厂协商确定纳管间接排放限值，签订具备法律效力的书面合同，向当地城镇排水主管部门申领排水许可证，并报当地生态环境主管部门备案后，可准予接入。</w:t>
            </w:r>
          </w:p>
        </w:tc>
      </w:tr>
      <w:tr w14:paraId="161E6A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11" w:type="pct"/>
            <w:tcBorders>
              <w:top w:val="single" w:color="auto" w:sz="6" w:space="0"/>
              <w:bottom w:val="single" w:color="auto" w:sz="12" w:space="0"/>
            </w:tcBorders>
            <w:noWrap w:val="0"/>
            <w:vAlign w:val="center"/>
          </w:tcPr>
          <w:p w14:paraId="03168E4E">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三</w:t>
            </w:r>
          </w:p>
        </w:tc>
        <w:tc>
          <w:tcPr>
            <w:tcW w:w="2554" w:type="pct"/>
            <w:gridSpan w:val="2"/>
            <w:tcBorders>
              <w:top w:val="single" w:color="auto" w:sz="6" w:space="0"/>
              <w:bottom w:val="single" w:color="auto" w:sz="12" w:space="0"/>
            </w:tcBorders>
            <w:noWrap w:val="0"/>
            <w:vAlign w:val="center"/>
          </w:tcPr>
          <w:p w14:paraId="4ADAC089">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除以上两种情形</w:t>
            </w:r>
          </w:p>
        </w:tc>
        <w:tc>
          <w:tcPr>
            <w:tcW w:w="2034" w:type="pct"/>
            <w:tcBorders>
              <w:top w:val="single" w:color="auto" w:sz="6" w:space="0"/>
              <w:bottom w:val="single" w:color="auto" w:sz="12" w:space="0"/>
            </w:tcBorders>
            <w:noWrap w:val="0"/>
            <w:vAlign w:val="center"/>
          </w:tcPr>
          <w:p w14:paraId="271DB58C">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需在建设项目环境影响评价中参照评估技术指南评估纳管城镇污水处理厂进行处理的可行性。企业在向生态环境部门申请领取排污许可证的同时，应向城镇排水主管部门申请领取排水许可证。</w:t>
            </w:r>
          </w:p>
        </w:tc>
      </w:tr>
    </w:tbl>
    <w:p w14:paraId="6944AF58">
      <w:pPr>
        <w:pStyle w:val="5"/>
        <w:keepNext w:val="0"/>
        <w:keepLines w:val="0"/>
        <w:pageBreakBefore w:val="0"/>
        <w:widowControl w:val="0"/>
        <w:numPr>
          <w:ilvl w:val="4"/>
          <w:numId w:val="0"/>
        </w:numPr>
        <w:shd w:val="clear" w:color="auto" w:fill="auto"/>
        <w:tabs>
          <w:tab w:val="left" w:pos="0"/>
          <w:tab w:val="left" w:pos="420"/>
          <w:tab w:val="clear" w:pos="431"/>
        </w:tabs>
        <w:kinsoku/>
        <w:wordWrap/>
        <w:overflowPunct/>
        <w:topLinePunct w:val="0"/>
        <w:autoSpaceDE/>
        <w:autoSpaceDN/>
        <w:bidi w:val="0"/>
        <w:adjustRightInd w:val="0"/>
        <w:snapToGrid w:val="0"/>
        <w:spacing w:line="240" w:lineRule="auto"/>
        <w:ind w:leftChars="0"/>
        <w:jc w:val="center"/>
        <w:textAlignment w:val="auto"/>
        <w:rPr>
          <w:rFonts w:hint="eastAsia" w:ascii="Times New Roman" w:hAnsi="Times New Roman" w:eastAsia="宋体" w:cs="Times New Roman"/>
          <w:color w:val="auto"/>
          <w:highlight w:val="none"/>
          <w:lang w:val="en-US" w:eastAsia="zh-CN"/>
        </w:rPr>
      </w:pPr>
      <w:bookmarkStart w:id="1037" w:name="sys4180039"/>
      <w:r>
        <w:rPr>
          <w:rFonts w:hint="eastAsia" w:ascii="Times New Roman" w:hAnsi="Times New Roman" w:eastAsia="宋体" w:cs="Times New Roman"/>
          <w:b/>
          <w:bCs/>
          <w:snapToGrid w:val="0"/>
          <w:color w:val="auto"/>
          <w:kern w:val="0"/>
          <w:sz w:val="24"/>
          <w:szCs w:val="24"/>
          <w:highlight w:val="none"/>
          <w:lang w:val="en-US" w:eastAsia="zh-CN" w:bidi="ar-SA"/>
        </w:rPr>
        <w:t>表4.5-4    现有企业工业废水纳入城镇污水处理厂处理的准入条件及评估原则</w:t>
      </w:r>
      <w:bookmarkEnd w:id="1037"/>
      <w:bookmarkStart w:id="1038" w:name="pindex4180"/>
      <w:bookmarkEnd w:id="1038"/>
    </w:p>
    <w:tbl>
      <w:tblPr>
        <w:tblStyle w:val="20"/>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1025"/>
        <w:gridCol w:w="6904"/>
      </w:tblGrid>
      <w:tr w14:paraId="7380B7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380" w:type="pct"/>
            <w:tcBorders>
              <w:tl2br w:val="nil"/>
              <w:tr2bl w:val="nil"/>
            </w:tcBorders>
            <w:noWrap w:val="0"/>
            <w:vAlign w:val="center"/>
          </w:tcPr>
          <w:p w14:paraId="123F59A5">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序号</w:t>
            </w:r>
          </w:p>
        </w:tc>
        <w:tc>
          <w:tcPr>
            <w:tcW w:w="597" w:type="pct"/>
            <w:tcBorders>
              <w:tl2br w:val="nil"/>
              <w:tr2bl w:val="nil"/>
            </w:tcBorders>
            <w:noWrap w:val="0"/>
            <w:vAlign w:val="center"/>
          </w:tcPr>
          <w:p w14:paraId="29D1F986">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评估</w:t>
            </w:r>
          </w:p>
          <w:p w14:paraId="19D7EC5C">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原则</w:t>
            </w:r>
          </w:p>
        </w:tc>
        <w:tc>
          <w:tcPr>
            <w:tcW w:w="4021" w:type="pct"/>
            <w:tcBorders>
              <w:tl2br w:val="nil"/>
              <w:tr2bl w:val="nil"/>
            </w:tcBorders>
            <w:noWrap w:val="0"/>
            <w:vAlign w:val="center"/>
          </w:tcPr>
          <w:p w14:paraId="3B9AAD09">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原则解释</w:t>
            </w:r>
          </w:p>
        </w:tc>
      </w:tr>
      <w:tr w14:paraId="4285E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80" w:type="pct"/>
            <w:tcBorders>
              <w:tl2br w:val="nil"/>
              <w:tr2bl w:val="nil"/>
            </w:tcBorders>
            <w:noWrap w:val="0"/>
            <w:vAlign w:val="center"/>
          </w:tcPr>
          <w:p w14:paraId="7A9700EF">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一</w:t>
            </w:r>
          </w:p>
        </w:tc>
        <w:tc>
          <w:tcPr>
            <w:tcW w:w="597" w:type="pct"/>
            <w:tcBorders>
              <w:tl2br w:val="nil"/>
              <w:tr2bl w:val="nil"/>
            </w:tcBorders>
            <w:noWrap w:val="0"/>
            <w:vAlign w:val="center"/>
          </w:tcPr>
          <w:p w14:paraId="0FBF7804">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可生化优先原则</w:t>
            </w:r>
          </w:p>
        </w:tc>
        <w:tc>
          <w:tcPr>
            <w:tcW w:w="4021" w:type="pct"/>
            <w:tcBorders>
              <w:tl2br w:val="nil"/>
              <w:tr2bl w:val="nil"/>
            </w:tcBorders>
            <w:noWrap w:val="0"/>
            <w:vAlign w:val="center"/>
          </w:tcPr>
          <w:p w14:paraId="2CC12704">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left"/>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以下制造业工业企业，生产废水可生化性较好，有利于城镇污水处理厂提高处理效能，与城镇污水处理厂约定纳管标准限值、签订书面合同、变更排污及排水许可证内容、完成备案手续后可优先接入城镇污水处理厂：</w:t>
            </w:r>
          </w:p>
          <w:p w14:paraId="66ADC16C">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left"/>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①发酵酒精和白酒、啤酒、味精、制糖工业（依据行业标准修改单和排污许可证技术规范，排放浓度可协商）；</w:t>
            </w:r>
          </w:p>
          <w:p w14:paraId="55CE79E1">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left"/>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②淀粉、酵母、柠檬酸工业（依据行业标准修改单征求意见稿，排放浓度可协商）；</w:t>
            </w:r>
          </w:p>
          <w:p w14:paraId="508712E4">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left"/>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③肉类加工工业（依据行业标准，BOD</w:t>
            </w:r>
            <w:r>
              <w:rPr>
                <w:rFonts w:hint="eastAsia" w:ascii="Times New Roman" w:hAnsi="Times New Roman" w:eastAsia="宋体" w:cs="Times New Roman"/>
                <w:b w:val="0"/>
                <w:bCs w:val="0"/>
                <w:color w:val="auto"/>
                <w:sz w:val="21"/>
                <w:szCs w:val="21"/>
                <w:highlight w:val="none"/>
                <w:vertAlign w:val="subscript"/>
                <w:lang w:val="en-US" w:eastAsia="zh-CN"/>
              </w:rPr>
              <w:t>5</w:t>
            </w:r>
            <w:r>
              <w:rPr>
                <w:rFonts w:hint="eastAsia" w:ascii="Times New Roman" w:hAnsi="Times New Roman" w:eastAsia="宋体" w:cs="Times New Roman"/>
                <w:b w:val="0"/>
                <w:bCs w:val="0"/>
                <w:color w:val="auto"/>
                <w:sz w:val="21"/>
                <w:szCs w:val="21"/>
                <w:highlight w:val="none"/>
                <w:lang w:val="en-US" w:eastAsia="zh-CN"/>
              </w:rPr>
              <w:t>浓度可放宽至600 mg/L，CODCr浓度可放宽至1000 mg/L）。</w:t>
            </w:r>
          </w:p>
          <w:p w14:paraId="44F161A7">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left"/>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除发酵酒精、白酒、啤酒外的酒和饮料制造工业；除柠檬酸、酵母、味精外的调味品和发酵制品制造工业；乳制品制造工业；方便食品、食品及饲料添加剂制造工业；饲料加工、植物油加工工业；水产品加工工业等执行《污水综合排放标准》（GB 8978-1996）的三级排放限值，待国家有关行业排放标准发布后，污染物许可排放浓度从其规定。</w:t>
            </w:r>
          </w:p>
        </w:tc>
      </w:tr>
      <w:tr w14:paraId="213934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380" w:type="pct"/>
            <w:tcBorders>
              <w:tl2br w:val="nil"/>
              <w:tr2bl w:val="nil"/>
            </w:tcBorders>
            <w:noWrap w:val="0"/>
            <w:vAlign w:val="center"/>
          </w:tcPr>
          <w:p w14:paraId="5C003BCE">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二</w:t>
            </w:r>
          </w:p>
        </w:tc>
        <w:tc>
          <w:tcPr>
            <w:tcW w:w="597" w:type="pct"/>
            <w:tcBorders>
              <w:tl2br w:val="nil"/>
              <w:tr2bl w:val="nil"/>
            </w:tcBorders>
            <w:noWrap w:val="0"/>
            <w:vAlign w:val="center"/>
          </w:tcPr>
          <w:p w14:paraId="70213876">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纳管浓度达标原则</w:t>
            </w:r>
          </w:p>
        </w:tc>
        <w:tc>
          <w:tcPr>
            <w:tcW w:w="4021" w:type="pct"/>
            <w:tcBorders>
              <w:tl2br w:val="nil"/>
              <w:tr2bl w:val="nil"/>
            </w:tcBorders>
            <w:noWrap w:val="0"/>
            <w:vAlign w:val="center"/>
          </w:tcPr>
          <w:p w14:paraId="63C33F7A">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left"/>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纳管工业废水常规污染物和特征污染物需达到相应的纳管标准和协议要求，其中①冶金（再生铜、铝、铅、锌工业）②电镀（有电镀、化学镀、转化处理等生产工序的）③石油化学工业、石油炼制工业、化学工业④生物制药工业（提取、制剂、发酵、生物工程、生物医药研发机构）部分行业污染物须达到行业直接排放限值，方可接入；其他工业废水需达到相应排放限值方可接入。</w:t>
            </w:r>
          </w:p>
        </w:tc>
      </w:tr>
      <w:tr w14:paraId="063CBE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80" w:type="pct"/>
            <w:tcBorders>
              <w:tl2br w:val="nil"/>
              <w:tr2bl w:val="nil"/>
            </w:tcBorders>
            <w:noWrap w:val="0"/>
            <w:vAlign w:val="center"/>
          </w:tcPr>
          <w:p w14:paraId="0BB1D163">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三</w:t>
            </w:r>
          </w:p>
        </w:tc>
        <w:tc>
          <w:tcPr>
            <w:tcW w:w="597" w:type="pct"/>
            <w:tcBorders>
              <w:tl2br w:val="nil"/>
              <w:tr2bl w:val="nil"/>
            </w:tcBorders>
            <w:noWrap w:val="0"/>
            <w:vAlign w:val="center"/>
          </w:tcPr>
          <w:p w14:paraId="3DF92BF8">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总量达标双控原则</w:t>
            </w:r>
          </w:p>
        </w:tc>
        <w:tc>
          <w:tcPr>
            <w:tcW w:w="4021" w:type="pct"/>
            <w:tcBorders>
              <w:tl2br w:val="nil"/>
              <w:tr2bl w:val="nil"/>
            </w:tcBorders>
            <w:noWrap w:val="0"/>
            <w:vAlign w:val="center"/>
          </w:tcPr>
          <w:p w14:paraId="64620970">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left"/>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接入城镇污水处理厂处理的工业企业，其排放的废水和污染物总量不得高于环评报告及其批复、排污及排水许可证等核定的纳管总量控制限值，同时，城镇污水处理厂排放的某项特征污染物的总量不得高于所有纳管工业企业按照相应行业标准直接排放限值核算的该项特征污染物排放总量之和。</w:t>
            </w:r>
          </w:p>
        </w:tc>
      </w:tr>
      <w:tr w14:paraId="07958A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80" w:type="pct"/>
            <w:tcBorders>
              <w:tl2br w:val="nil"/>
              <w:tr2bl w:val="nil"/>
            </w:tcBorders>
            <w:noWrap w:val="0"/>
            <w:vAlign w:val="center"/>
          </w:tcPr>
          <w:p w14:paraId="35BC2A7F">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四</w:t>
            </w:r>
          </w:p>
        </w:tc>
        <w:tc>
          <w:tcPr>
            <w:tcW w:w="597" w:type="pct"/>
            <w:tcBorders>
              <w:tl2br w:val="nil"/>
              <w:tr2bl w:val="nil"/>
            </w:tcBorders>
            <w:noWrap w:val="0"/>
            <w:vAlign w:val="center"/>
          </w:tcPr>
          <w:p w14:paraId="1F0F21F8">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工业废水限量纳管原则</w:t>
            </w:r>
          </w:p>
        </w:tc>
        <w:tc>
          <w:tcPr>
            <w:tcW w:w="4021" w:type="pct"/>
            <w:tcBorders>
              <w:tl2br w:val="nil"/>
              <w:tr2bl w:val="nil"/>
            </w:tcBorders>
            <w:noWrap w:val="0"/>
            <w:vAlign w:val="center"/>
          </w:tcPr>
          <w:p w14:paraId="7FFDFCF3">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left"/>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工业废水总量超过1万吨/日的省级以上工业园区，或者工业废水纳管量占比超过40%的城镇污水处理厂所在区域，原则上应配套专业的工业废水处理厂。</w:t>
            </w:r>
          </w:p>
        </w:tc>
      </w:tr>
      <w:tr w14:paraId="3B566F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80" w:type="pct"/>
            <w:tcBorders>
              <w:tl2br w:val="nil"/>
              <w:tr2bl w:val="nil"/>
            </w:tcBorders>
            <w:noWrap w:val="0"/>
            <w:vAlign w:val="center"/>
          </w:tcPr>
          <w:p w14:paraId="68819ED8">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五</w:t>
            </w:r>
          </w:p>
        </w:tc>
        <w:tc>
          <w:tcPr>
            <w:tcW w:w="597" w:type="pct"/>
            <w:tcBorders>
              <w:tl2br w:val="nil"/>
              <w:tr2bl w:val="nil"/>
            </w:tcBorders>
            <w:noWrap w:val="0"/>
            <w:vAlign w:val="center"/>
          </w:tcPr>
          <w:p w14:paraId="7565FB3E">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污水处理厂稳定运行原则</w:t>
            </w:r>
          </w:p>
        </w:tc>
        <w:tc>
          <w:tcPr>
            <w:tcW w:w="4021" w:type="pct"/>
            <w:tcBorders>
              <w:tl2br w:val="nil"/>
              <w:tr2bl w:val="nil"/>
            </w:tcBorders>
            <w:noWrap w:val="0"/>
            <w:vAlign w:val="center"/>
          </w:tcPr>
          <w:p w14:paraId="37AE25BA">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left"/>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纳管的工业企业废水不得影响城镇污水处理厂的稳定运行和达标排放。</w:t>
            </w:r>
          </w:p>
        </w:tc>
      </w:tr>
      <w:tr w14:paraId="7CDE1E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80" w:type="pct"/>
            <w:tcBorders>
              <w:tl2br w:val="nil"/>
              <w:tr2bl w:val="nil"/>
            </w:tcBorders>
            <w:noWrap w:val="0"/>
            <w:vAlign w:val="center"/>
          </w:tcPr>
          <w:p w14:paraId="266035DE">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六</w:t>
            </w:r>
          </w:p>
        </w:tc>
        <w:tc>
          <w:tcPr>
            <w:tcW w:w="597" w:type="pct"/>
            <w:tcBorders>
              <w:tl2br w:val="nil"/>
              <w:tr2bl w:val="nil"/>
            </w:tcBorders>
            <w:noWrap w:val="0"/>
            <w:vAlign w:val="center"/>
          </w:tcPr>
          <w:p w14:paraId="05A892AA">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环境质量达标原则</w:t>
            </w:r>
          </w:p>
        </w:tc>
        <w:tc>
          <w:tcPr>
            <w:tcW w:w="4021" w:type="pct"/>
            <w:tcBorders>
              <w:tl2br w:val="nil"/>
              <w:tr2bl w:val="nil"/>
            </w:tcBorders>
            <w:noWrap w:val="0"/>
            <w:vAlign w:val="center"/>
          </w:tcPr>
          <w:p w14:paraId="0133E6AD">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left"/>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区域内主要水体（特别是国省考断面、水源地等）不得出现氟化物、挥发酚等特征污染物检出超标情况。</w:t>
            </w:r>
          </w:p>
        </w:tc>
      </w:tr>
      <w:tr w14:paraId="75FB52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trPr>
        <w:tc>
          <w:tcPr>
            <w:tcW w:w="380" w:type="pct"/>
            <w:tcBorders>
              <w:tl2br w:val="nil"/>
              <w:tr2bl w:val="nil"/>
            </w:tcBorders>
            <w:noWrap w:val="0"/>
            <w:vAlign w:val="center"/>
          </w:tcPr>
          <w:p w14:paraId="6E038704">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七</w:t>
            </w:r>
          </w:p>
        </w:tc>
        <w:tc>
          <w:tcPr>
            <w:tcW w:w="597" w:type="pct"/>
            <w:tcBorders>
              <w:tl2br w:val="nil"/>
              <w:tr2bl w:val="nil"/>
            </w:tcBorders>
            <w:noWrap w:val="0"/>
            <w:vAlign w:val="center"/>
          </w:tcPr>
          <w:p w14:paraId="2490CC42">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污水处理厂出水</w:t>
            </w:r>
            <w:sdt>
              <w:sdtPr>
                <w:rPr>
                  <w:color w:val="auto"/>
                  <w:highlight w:val="none"/>
                </w:rPr>
                <w:alias w:val="易错词检查"/>
                <w:tag w:val="auto"/>
                <w:id w:val="1122153"/>
              </w:sdtPr>
              <w:sdtEndPr>
                <w:rPr>
                  <w:color w:val="auto"/>
                  <w:highlight w:val="none"/>
                </w:rPr>
              </w:sdtEndPr>
              <w:sdtContent>
                <w:bookmarkStart w:id="1039" w:name="bkReivew1122153"/>
                <w:r>
                  <w:rPr>
                    <w:rFonts w:hint="eastAsia" w:ascii="Times New Roman" w:hAnsi="Times New Roman" w:eastAsia="宋体" w:cs="Times New Roman"/>
                    <w:b w:val="0"/>
                    <w:bCs w:val="0"/>
                    <w:color w:val="auto"/>
                    <w:sz w:val="21"/>
                    <w:szCs w:val="21"/>
                    <w:highlight w:val="none"/>
                    <w:lang w:val="en-US" w:eastAsia="zh-CN"/>
                  </w:rPr>
                  <w:t>负责</w:t>
                </w:r>
                <w:bookmarkEnd w:id="1039"/>
              </w:sdtContent>
            </w:sdt>
            <w:r>
              <w:rPr>
                <w:rFonts w:hint="eastAsia" w:ascii="Times New Roman" w:hAnsi="Times New Roman" w:eastAsia="宋体" w:cs="Times New Roman"/>
                <w:b w:val="0"/>
                <w:bCs w:val="0"/>
                <w:color w:val="auto"/>
                <w:sz w:val="21"/>
                <w:szCs w:val="21"/>
                <w:highlight w:val="none"/>
                <w:lang w:val="en-US" w:eastAsia="zh-CN"/>
              </w:rPr>
              <w:t>原则</w:t>
            </w:r>
          </w:p>
        </w:tc>
        <w:tc>
          <w:tcPr>
            <w:tcW w:w="4021" w:type="pct"/>
            <w:tcBorders>
              <w:tl2br w:val="nil"/>
              <w:tr2bl w:val="nil"/>
            </w:tcBorders>
            <w:noWrap w:val="0"/>
            <w:vAlign w:val="center"/>
          </w:tcPr>
          <w:p w14:paraId="4177B6F7">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left"/>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城镇污水处理厂及其运营单位，对城镇污水集中处理设施的出水水质负责，应积极参与纳管企业水质水量对污水处理设施正常运行影响的评估工作，认为其生产废水含有污染物不能被污水处理设施有效处理或者可能影响污水处理设施出水稳定达标的，应及时报城镇排水主管部门和生态环境部门。</w:t>
            </w:r>
          </w:p>
        </w:tc>
      </w:tr>
    </w:tbl>
    <w:p w14:paraId="0BA18C4D">
      <w:pP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sz w:val="21"/>
          <w:szCs w:val="21"/>
          <w:highlight w:val="none"/>
          <w:lang w:val="en-US" w:eastAsia="zh-CN"/>
        </w:rPr>
        <w:t>注：</w:t>
      </w:r>
      <w:r>
        <w:rPr>
          <w:rFonts w:hint="eastAsia" w:ascii="Times New Roman" w:hAnsi="Times New Roman" w:eastAsia="宋体" w:cs="Times New Roman"/>
          <w:b/>
          <w:bCs/>
          <w:color w:val="auto"/>
          <w:kern w:val="2"/>
          <w:sz w:val="21"/>
          <w:szCs w:val="21"/>
          <w:highlight w:val="none"/>
          <w:lang w:val="en-US" w:eastAsia="zh-CN" w:bidi="ar-SA"/>
        </w:rPr>
        <w:t>关于印发《江苏省工业废水与生活污水分质处理工作推进方案》的通知，纳管企业调查评估包括新建企业和现有企业。新建企业是指自2018年9月30日起，环境影响评价文件通过审批或备案的新建、改建和扩  建的工业企业；现有企业指在2018年9月30日之前，已建成投产或环境影响评价文件已通过审批的工业企业。</w:t>
      </w:r>
    </w:p>
    <w:p w14:paraId="6C4B4033">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eastAsia" w:ascii="Times New Roman" w:hAnsi="Times New Roman" w:eastAsia="宋体" w:cs="Times New Roman"/>
          <w:b/>
          <w:bCs/>
          <w:color w:val="auto"/>
          <w:sz w:val="24"/>
          <w:szCs w:val="24"/>
          <w:highlight w:val="none"/>
          <w:lang w:val="en-US" w:eastAsia="zh-CN"/>
        </w:rPr>
      </w:pPr>
      <w:bookmarkStart w:id="1040" w:name="_Toc3428"/>
      <w:r>
        <w:rPr>
          <w:rFonts w:hint="eastAsia" w:ascii="Times New Roman" w:hAnsi="Times New Roman" w:eastAsia="宋体" w:cs="Times New Roman"/>
          <w:b/>
          <w:bCs/>
          <w:color w:val="auto"/>
          <w:sz w:val="24"/>
          <w:szCs w:val="24"/>
          <w:highlight w:val="none"/>
          <w:lang w:val="en-US" w:eastAsia="zh-CN"/>
        </w:rPr>
        <w:t>4.5.3供电工程规划</w:t>
      </w:r>
      <w:bookmarkEnd w:id="1040"/>
      <w:bookmarkStart w:id="1041" w:name="pindex4211"/>
      <w:bookmarkEnd w:id="1041"/>
    </w:p>
    <w:p w14:paraId="3287BC7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snapToGrid w:val="0"/>
          <w:color w:val="auto"/>
          <w:kern w:val="0"/>
          <w:sz w:val="24"/>
          <w:szCs w:val="24"/>
          <w:highlight w:val="none"/>
          <w:lang w:val="en-US" w:eastAsia="zh-CN" w:bidi="ar-SA"/>
        </w:rPr>
        <w:t>（1）</w:t>
      </w:r>
      <w:r>
        <w:rPr>
          <w:rFonts w:hint="eastAsia" w:ascii="Times New Roman" w:hAnsi="Times New Roman" w:eastAsia="宋体" w:cs="Times New Roman"/>
          <w:color w:val="auto"/>
          <w:sz w:val="24"/>
          <w:szCs w:val="24"/>
          <w:highlight w:val="none"/>
          <w:lang w:val="en-US" w:eastAsia="zh-CN"/>
        </w:rPr>
        <w:t>电网规划</w:t>
      </w:r>
      <w:bookmarkStart w:id="1042" w:name="pindex4212"/>
      <w:bookmarkEnd w:id="1042"/>
    </w:p>
    <w:p w14:paraId="07973432">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随着开发区的不断发展，500</w:t>
      </w:r>
      <w:r>
        <w:rPr>
          <w:rFonts w:hint="default" w:ascii="Times New Roman" w:hAnsi="Times New Roman" w:eastAsia="宋体" w:cs="Times New Roman"/>
          <w:color w:val="auto"/>
          <w:sz w:val="24"/>
          <w:szCs w:val="24"/>
          <w:highlight w:val="none"/>
          <w:lang w:val="en-US" w:eastAsia="zh-CN"/>
        </w:rPr>
        <w:t>KV</w:t>
      </w:r>
      <w:r>
        <w:rPr>
          <w:rFonts w:hint="eastAsia" w:ascii="Times New Roman" w:hAnsi="Times New Roman" w:eastAsia="宋体" w:cs="Times New Roman"/>
          <w:color w:val="auto"/>
          <w:sz w:val="24"/>
          <w:szCs w:val="24"/>
          <w:highlight w:val="none"/>
          <w:lang w:val="en-US" w:eastAsia="zh-CN"/>
        </w:rPr>
        <w:t>东善桥变已位于城市建设中心，变电站及其众多高压走廊都对建设用地影响较大。江宁电网是南京江南电网的一部分，规划维持江南220</w:t>
      </w:r>
      <w:r>
        <w:rPr>
          <w:rFonts w:hint="default" w:ascii="Times New Roman" w:hAnsi="Times New Roman" w:eastAsia="宋体" w:cs="Times New Roman"/>
          <w:color w:val="auto"/>
          <w:sz w:val="24"/>
          <w:szCs w:val="24"/>
          <w:highlight w:val="none"/>
          <w:lang w:val="en-US" w:eastAsia="zh-CN"/>
        </w:rPr>
        <w:t>KV</w:t>
      </w:r>
      <w:r>
        <w:rPr>
          <w:rFonts w:hint="eastAsia" w:ascii="Times New Roman" w:hAnsi="Times New Roman" w:eastAsia="宋体" w:cs="Times New Roman"/>
          <w:color w:val="auto"/>
          <w:sz w:val="24"/>
          <w:szCs w:val="24"/>
          <w:highlight w:val="none"/>
          <w:lang w:val="en-US" w:eastAsia="zh-CN"/>
        </w:rPr>
        <w:t>双环网结构。新增220</w:t>
      </w:r>
      <w:r>
        <w:rPr>
          <w:rFonts w:hint="default" w:ascii="Times New Roman" w:hAnsi="Times New Roman" w:eastAsia="宋体" w:cs="Times New Roman"/>
          <w:color w:val="auto"/>
          <w:sz w:val="24"/>
          <w:szCs w:val="24"/>
          <w:highlight w:val="none"/>
          <w:lang w:val="en-US" w:eastAsia="zh-CN"/>
        </w:rPr>
        <w:t>KV</w:t>
      </w:r>
      <w:r>
        <w:rPr>
          <w:rFonts w:hint="eastAsia" w:ascii="Times New Roman" w:hAnsi="Times New Roman" w:eastAsia="宋体" w:cs="Times New Roman"/>
          <w:color w:val="auto"/>
          <w:sz w:val="24"/>
          <w:szCs w:val="24"/>
          <w:highlight w:val="none"/>
          <w:lang w:val="en-US" w:eastAsia="zh-CN"/>
        </w:rPr>
        <w:t>变电站电源进线就近接入220</w:t>
      </w:r>
      <w:r>
        <w:rPr>
          <w:rFonts w:hint="default" w:ascii="Times New Roman" w:hAnsi="Times New Roman" w:eastAsia="宋体" w:cs="Times New Roman"/>
          <w:color w:val="auto"/>
          <w:sz w:val="24"/>
          <w:szCs w:val="24"/>
          <w:highlight w:val="none"/>
          <w:lang w:val="en-US" w:eastAsia="zh-CN"/>
        </w:rPr>
        <w:t>KV</w:t>
      </w:r>
      <w:r>
        <w:rPr>
          <w:rFonts w:hint="eastAsia" w:ascii="Times New Roman" w:hAnsi="Times New Roman" w:eastAsia="宋体" w:cs="Times New Roman"/>
          <w:color w:val="auto"/>
          <w:sz w:val="24"/>
          <w:szCs w:val="24"/>
          <w:highlight w:val="none"/>
          <w:lang w:val="en-US" w:eastAsia="zh-CN"/>
        </w:rPr>
        <w:t>环网，走廊路径结合规划道路，减少对建设用地的影响</w:t>
      </w:r>
      <w:sdt>
        <w:sdtPr>
          <w:rPr>
            <w:color w:val="auto"/>
            <w:highlight w:val="none"/>
          </w:rPr>
          <w:alias w:val="标点符号检查"/>
          <w:tag w:val="auto"/>
          <w:id w:val="33036"/>
        </w:sdtPr>
        <w:sdtEndPr>
          <w:rPr>
            <w:color w:val="auto"/>
            <w:highlight w:val="none"/>
          </w:rPr>
        </w:sdtEndPr>
        <w:sdtContent>
          <w:bookmarkStart w:id="1043" w:name="bkReivew33036"/>
          <w:r>
            <w:rPr>
              <w:rFonts w:hint="eastAsia" w:ascii="Times New Roman" w:hAnsi="Times New Roman" w:eastAsia="宋体" w:cs="Times New Roman"/>
              <w:color w:val="auto"/>
              <w:sz w:val="24"/>
              <w:szCs w:val="24"/>
              <w:highlight w:val="none"/>
              <w:lang w:val="en-US" w:eastAsia="zh-CN"/>
            </w:rPr>
            <w:t>，</w:t>
          </w:r>
          <w:bookmarkEnd w:id="1043"/>
        </w:sdtContent>
      </w:sdt>
    </w:p>
    <w:p w14:paraId="28D96E7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适时逐步增加110</w:t>
      </w:r>
      <w:r>
        <w:rPr>
          <w:rFonts w:hint="default" w:ascii="Times New Roman" w:hAnsi="Times New Roman" w:eastAsia="宋体" w:cs="Times New Roman"/>
          <w:color w:val="auto"/>
          <w:sz w:val="24"/>
          <w:szCs w:val="24"/>
          <w:highlight w:val="none"/>
          <w:lang w:val="en-US" w:eastAsia="zh-CN"/>
        </w:rPr>
        <w:t>KV</w:t>
      </w:r>
      <w:r>
        <w:rPr>
          <w:rFonts w:hint="eastAsia" w:ascii="Times New Roman" w:hAnsi="Times New Roman" w:eastAsia="宋体" w:cs="Times New Roman"/>
          <w:color w:val="auto"/>
          <w:sz w:val="24"/>
          <w:szCs w:val="24"/>
          <w:highlight w:val="none"/>
          <w:lang w:val="en-US" w:eastAsia="zh-CN"/>
        </w:rPr>
        <w:t>变电站，就近接入电网或220</w:t>
      </w:r>
      <w:r>
        <w:rPr>
          <w:rFonts w:hint="default" w:ascii="Times New Roman" w:hAnsi="Times New Roman" w:eastAsia="宋体" w:cs="Times New Roman"/>
          <w:color w:val="auto"/>
          <w:sz w:val="24"/>
          <w:szCs w:val="24"/>
          <w:highlight w:val="none"/>
          <w:lang w:val="en-US" w:eastAsia="zh-CN"/>
        </w:rPr>
        <w:t>KV</w:t>
      </w:r>
      <w:r>
        <w:rPr>
          <w:rFonts w:hint="eastAsia" w:ascii="Times New Roman" w:hAnsi="Times New Roman" w:eastAsia="宋体" w:cs="Times New Roman"/>
          <w:color w:val="auto"/>
          <w:sz w:val="24"/>
          <w:szCs w:val="24"/>
          <w:highlight w:val="none"/>
          <w:lang w:val="en-US" w:eastAsia="zh-CN"/>
        </w:rPr>
        <w:t>变电站。</w:t>
      </w:r>
    </w:p>
    <w:p w14:paraId="77AA64A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snapToGrid w:val="0"/>
          <w:color w:val="auto"/>
          <w:kern w:val="0"/>
          <w:sz w:val="24"/>
          <w:szCs w:val="24"/>
          <w:highlight w:val="none"/>
          <w:lang w:val="en-US" w:eastAsia="zh-CN" w:bidi="ar-SA"/>
        </w:rPr>
        <w:t>（2）</w:t>
      </w:r>
      <w:r>
        <w:rPr>
          <w:rFonts w:hint="eastAsia" w:ascii="Times New Roman" w:hAnsi="Times New Roman" w:eastAsia="宋体" w:cs="Times New Roman"/>
          <w:color w:val="auto"/>
          <w:sz w:val="24"/>
          <w:szCs w:val="24"/>
          <w:highlight w:val="none"/>
          <w:lang w:val="en-US" w:eastAsia="zh-CN"/>
        </w:rPr>
        <w:t>变电站规划</w:t>
      </w:r>
      <w:bookmarkStart w:id="1044" w:name="pindex4215"/>
      <w:bookmarkEnd w:id="1044"/>
    </w:p>
    <w:p w14:paraId="3C8DCC3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①500KV变电站规划</w:t>
      </w:r>
      <w:bookmarkStart w:id="1045" w:name="pindex4216"/>
      <w:bookmarkEnd w:id="1045"/>
    </w:p>
    <w:p w14:paraId="2C1FDDB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保留现状500KV东善桥变电站。新建2台1000MVA主变</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远景规模6台1000MVA。</w:t>
      </w:r>
    </w:p>
    <w:p w14:paraId="75A56D1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2020江苏省发改委批复在江宁区东部建设南京青龙山500千伏输变电工程，升压建设500千伏变电站1座、增容扩建2座，建设500千伏主变容量600万千伏安，新建及改造500千伏线路折单为5.3公里。</w:t>
      </w:r>
    </w:p>
    <w:p w14:paraId="507F2DC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依靠</w:t>
      </w:r>
      <w:sdt>
        <w:sdtPr>
          <w:rPr>
            <w:color w:val="auto"/>
            <w:highlight w:val="none"/>
          </w:rPr>
          <w:alias w:val="地名检查"/>
          <w:tag w:val="auto"/>
          <w:id w:val="71526"/>
        </w:sdtPr>
        <w:sdtEndPr>
          <w:rPr>
            <w:color w:val="auto"/>
            <w:highlight w:val="none"/>
          </w:rPr>
        </w:sdtEndPr>
        <w:sdtContent>
          <w:bookmarkStart w:id="1046" w:name="bkKnowledge71526"/>
          <w:r>
            <w:rPr>
              <w:rFonts w:hint="default" w:ascii="Times New Roman" w:hAnsi="Times New Roman" w:eastAsia="宋体" w:cs="Times New Roman"/>
              <w:color w:val="auto"/>
              <w:sz w:val="24"/>
              <w:szCs w:val="24"/>
              <w:highlight w:val="none"/>
              <w:lang w:val="en-US" w:eastAsia="zh-CN"/>
            </w:rPr>
            <w:t>溧阳县</w:t>
          </w:r>
          <w:bookmarkEnd w:id="1046"/>
        </w:sdtContent>
      </w:sdt>
      <w:r>
        <w:rPr>
          <w:rFonts w:hint="default" w:ascii="Times New Roman" w:hAnsi="Times New Roman" w:eastAsia="宋体" w:cs="Times New Roman"/>
          <w:color w:val="auto"/>
          <w:sz w:val="24"/>
          <w:szCs w:val="24"/>
          <w:highlight w:val="none"/>
          <w:lang w:val="en-US" w:eastAsia="zh-CN"/>
        </w:rPr>
        <w:t>境内的</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00KV宁东南变电站、南京栖霞区的500KV龙王山变电站，作为本规划区内220KV变电站的补充电源。</w:t>
      </w:r>
    </w:p>
    <w:p w14:paraId="4FAED5E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考虑到城市发展的不可预见性</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规划建议在横溪境内预留1座500KV变电站用地。</w:t>
      </w:r>
    </w:p>
    <w:p w14:paraId="556B633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②220KV变电站规划</w:t>
      </w:r>
      <w:bookmarkStart w:id="1047" w:name="pindex4221"/>
      <w:bookmarkEnd w:id="1047"/>
    </w:p>
    <w:p w14:paraId="78ABC852">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imes New Roman" w:hAnsi="Times New Roman" w:eastAsia="宋体" w:cs="Times New Roman"/>
          <w:color w:val="auto"/>
          <w:sz w:val="24"/>
          <w:szCs w:val="24"/>
          <w:highlight w:val="none"/>
          <w:lang w:val="en-US" w:eastAsia="zh-CN"/>
        </w:rPr>
      </w:pPr>
      <w:bookmarkStart w:id="1048" w:name="sys4222031"/>
      <w:r>
        <w:rPr>
          <w:rFonts w:hint="default" w:ascii="Times New Roman" w:hAnsi="Times New Roman" w:eastAsia="宋体" w:cs="Times New Roman"/>
          <w:color w:val="auto"/>
          <w:sz w:val="24"/>
          <w:szCs w:val="24"/>
          <w:highlight w:val="none"/>
          <w:lang w:val="en-US" w:eastAsia="zh-CN"/>
        </w:rPr>
        <w:t>开发区现状拥有3座220千伏变电站，即殷巷变、苏庄变和华科变</w:t>
      </w:r>
      <w:r>
        <w:rPr>
          <w:rFonts w:hint="eastAsia" w:ascii="Times New Roman" w:hAnsi="Times New Roman" w:eastAsia="宋体" w:cs="Times New Roman"/>
          <w:color w:val="auto"/>
          <w:sz w:val="24"/>
          <w:szCs w:val="24"/>
          <w:highlight w:val="none"/>
          <w:lang w:val="en-US" w:eastAsia="zh-CN"/>
        </w:rPr>
        <w:t>；</w:t>
      </w:r>
      <w:bookmarkEnd w:id="1048"/>
    </w:p>
    <w:p w14:paraId="4ABA5C5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近期增设10座220KV变电站</w:t>
      </w:r>
      <w:r>
        <w:rPr>
          <w:rFonts w:hint="eastAsia" w:ascii="Times New Roman" w:hAnsi="Times New Roman" w:eastAsia="宋体" w:cs="Times New Roman"/>
          <w:color w:val="auto"/>
          <w:sz w:val="24"/>
          <w:szCs w:val="24"/>
          <w:highlight w:val="none"/>
          <w:lang w:val="en-US" w:eastAsia="zh-CN"/>
        </w:rPr>
        <w:t>：</w:t>
      </w:r>
    </w:p>
    <w:p w14:paraId="36A8F17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220KV空港变电站、220KV公塘变电站、220KV后巷变电站、220KV王家山变电站、220KV机场变电站、220KV双龙变电站、220KV九龙湖变电站、220KV科学园电站</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220KV开发区电站、220KV府里变电站。</w:t>
      </w:r>
    </w:p>
    <w:p w14:paraId="3C32CE47">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eastAsia" w:ascii="Times New Roman" w:hAnsi="Times New Roman" w:eastAsia="宋体" w:cs="Times New Roman"/>
          <w:b/>
          <w:bCs/>
          <w:color w:val="auto"/>
          <w:sz w:val="24"/>
          <w:szCs w:val="24"/>
          <w:highlight w:val="none"/>
          <w:lang w:val="en-US" w:eastAsia="zh-CN"/>
        </w:rPr>
      </w:pPr>
      <w:bookmarkStart w:id="1049" w:name="_Toc2085"/>
      <w:r>
        <w:rPr>
          <w:rFonts w:hint="eastAsia" w:ascii="Times New Roman" w:hAnsi="Times New Roman" w:eastAsia="宋体" w:cs="Times New Roman"/>
          <w:b/>
          <w:bCs/>
          <w:color w:val="auto"/>
          <w:sz w:val="24"/>
          <w:szCs w:val="24"/>
          <w:highlight w:val="none"/>
          <w:lang w:val="en-US" w:eastAsia="zh-CN"/>
        </w:rPr>
        <w:t>4.5.4燃气工程规划</w:t>
      </w:r>
      <w:bookmarkEnd w:id="1049"/>
      <w:bookmarkStart w:id="1050" w:name="pindex4225"/>
      <w:bookmarkEnd w:id="1050"/>
    </w:p>
    <w:p w14:paraId="3CDA27D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气源规划</w:t>
      </w:r>
      <w:bookmarkStart w:id="1051" w:name="pindex4226"/>
      <w:bookmarkEnd w:id="1051"/>
    </w:p>
    <w:p w14:paraId="77A0F7C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开发区使</w:t>
      </w:r>
      <w:r>
        <w:rPr>
          <w:rFonts w:hint="eastAsia" w:ascii="宋体" w:hAnsi="宋体" w:eastAsia="宋体" w:cs="宋体"/>
          <w:color w:val="auto"/>
          <w:sz w:val="24"/>
          <w:szCs w:val="24"/>
          <w:highlight w:val="none"/>
          <w:lang w:val="en-US" w:eastAsia="zh-CN"/>
        </w:rPr>
        <w:t>用“川气东送”天</w:t>
      </w:r>
      <w:r>
        <w:rPr>
          <w:rFonts w:hint="default" w:ascii="Times New Roman" w:hAnsi="Times New Roman" w:eastAsia="宋体" w:cs="Times New Roman"/>
          <w:color w:val="auto"/>
          <w:sz w:val="24"/>
          <w:szCs w:val="24"/>
          <w:highlight w:val="none"/>
          <w:lang w:val="en-US" w:eastAsia="zh-CN"/>
        </w:rPr>
        <w:t>然气</w:t>
      </w:r>
      <w:r>
        <w:rPr>
          <w:rFonts w:hint="eastAsia" w:ascii="Times New Roman" w:hAnsi="Times New Roman" w:eastAsia="宋体" w:cs="Times New Roman"/>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“西气东输”</w:t>
      </w:r>
      <w:r>
        <w:rPr>
          <w:rFonts w:hint="default" w:ascii="Times New Roman" w:hAnsi="Times New Roman" w:eastAsia="宋体" w:cs="Times New Roman"/>
          <w:color w:val="auto"/>
          <w:sz w:val="24"/>
          <w:szCs w:val="24"/>
          <w:highlight w:val="none"/>
          <w:lang w:val="en-US" w:eastAsia="zh-CN"/>
        </w:rPr>
        <w:t>作为备用气源。</w:t>
      </w:r>
    </w:p>
    <w:p w14:paraId="1EA5426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输配场站</w:t>
      </w:r>
      <w:bookmarkStart w:id="1052" w:name="pindex4228"/>
      <w:bookmarkEnd w:id="1052"/>
    </w:p>
    <w:p w14:paraId="509867B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①高压A级天然气千管规划</w:t>
      </w:r>
      <w:bookmarkStart w:id="1053" w:name="pindex4229"/>
      <w:bookmarkEnd w:id="1053"/>
    </w:p>
    <w:p w14:paraId="28C2012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bookmarkStart w:id="1054" w:name="sys4230054"/>
      <w:r>
        <w:rPr>
          <w:rFonts w:hint="default" w:ascii="Times New Roman" w:hAnsi="Times New Roman" w:eastAsia="宋体" w:cs="Times New Roman"/>
          <w:color w:val="auto"/>
          <w:sz w:val="24"/>
          <w:szCs w:val="24"/>
          <w:highlight w:val="none"/>
          <w:lang w:val="en-US" w:eastAsia="zh-CN"/>
        </w:rPr>
        <w:t>落实“川气东输”高压A级天然气干管，江宁经济技术开发区境内主线走向</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淳化-湖熟-东山组团南部-谷里组团北部。</w:t>
      </w:r>
      <w:bookmarkEnd w:id="1054"/>
    </w:p>
    <w:p w14:paraId="47B62FE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②天然气设施规划</w:t>
      </w:r>
      <w:bookmarkStart w:id="1055" w:name="pindex4231"/>
      <w:bookmarkEnd w:id="1055"/>
    </w:p>
    <w:p w14:paraId="0E19854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bookmarkStart w:id="1056" w:name="sys4232052"/>
      <w:r>
        <w:rPr>
          <w:rFonts w:hint="default" w:ascii="Times New Roman" w:hAnsi="Times New Roman" w:eastAsia="宋体" w:cs="Times New Roman"/>
          <w:color w:val="auto"/>
          <w:sz w:val="24"/>
          <w:szCs w:val="24"/>
          <w:highlight w:val="none"/>
          <w:lang w:val="en-US" w:eastAsia="zh-CN"/>
        </w:rPr>
        <w:t>在江宁区东山组团东南部、溧水河西岸，设1座天然气门站，以“川气东输”天然气为气源，向东山组团供应天然气。</w:t>
      </w:r>
      <w:bookmarkEnd w:id="1056"/>
      <w:r>
        <w:rPr>
          <w:rFonts w:hint="default" w:ascii="Times New Roman" w:hAnsi="Times New Roman" w:eastAsia="宋体" w:cs="Times New Roman"/>
          <w:color w:val="auto"/>
          <w:sz w:val="24"/>
          <w:szCs w:val="24"/>
          <w:highlight w:val="none"/>
          <w:lang w:val="en-US" w:eastAsia="zh-CN"/>
        </w:rPr>
        <w:t>该门站占地约12公顷。</w:t>
      </w:r>
    </w:p>
    <w:p w14:paraId="431C536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在禄口组团北部、东善桥和淳化，各设天然气调压站1座</w:t>
      </w:r>
      <w:r>
        <w:rPr>
          <w:rFonts w:hint="eastAsia" w:ascii="Times New Roman" w:hAnsi="Times New Roman" w:eastAsia="宋体" w:cs="Times New Roman"/>
          <w:color w:val="auto"/>
          <w:sz w:val="24"/>
          <w:szCs w:val="24"/>
          <w:highlight w:val="none"/>
          <w:lang w:val="en-US" w:eastAsia="zh-CN"/>
        </w:rPr>
        <w:t>。</w:t>
      </w:r>
    </w:p>
    <w:p w14:paraId="60F2CD33">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eastAsia" w:ascii="Times New Roman" w:hAnsi="Times New Roman" w:eastAsia="宋体" w:cs="Times New Roman"/>
          <w:b/>
          <w:bCs/>
          <w:color w:val="auto"/>
          <w:sz w:val="24"/>
          <w:szCs w:val="24"/>
          <w:highlight w:val="none"/>
          <w:lang w:val="en-US" w:eastAsia="zh-CN"/>
        </w:rPr>
      </w:pPr>
      <w:bookmarkStart w:id="1057" w:name="_Toc5663"/>
      <w:r>
        <w:rPr>
          <w:rFonts w:hint="eastAsia" w:ascii="Times New Roman" w:hAnsi="Times New Roman" w:eastAsia="宋体" w:cs="Times New Roman"/>
          <w:b/>
          <w:bCs/>
          <w:color w:val="auto"/>
          <w:sz w:val="24"/>
          <w:szCs w:val="24"/>
          <w:highlight w:val="none"/>
          <w:lang w:val="en-US" w:eastAsia="zh-CN"/>
        </w:rPr>
        <w:t>4.5.5供热工程规划</w:t>
      </w:r>
      <w:bookmarkEnd w:id="1057"/>
      <w:bookmarkStart w:id="1058" w:name="pindex4234"/>
      <w:bookmarkEnd w:id="1058"/>
    </w:p>
    <w:p w14:paraId="6BFD2CC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0"/>
          <w:sz w:val="24"/>
          <w:szCs w:val="24"/>
          <w:highlight w:val="none"/>
          <w:lang w:val="en-US" w:eastAsia="zh-CN" w:bidi="ar-SA"/>
        </w:rPr>
        <w:t>（1）</w:t>
      </w:r>
      <w:r>
        <w:rPr>
          <w:rFonts w:hint="eastAsia" w:ascii="Times New Roman" w:hAnsi="Times New Roman" w:eastAsia="宋体" w:cs="Times New Roman"/>
          <w:color w:val="auto"/>
          <w:sz w:val="24"/>
          <w:szCs w:val="24"/>
          <w:highlight w:val="none"/>
          <w:lang w:val="en-US" w:eastAsia="zh-CN"/>
        </w:rPr>
        <w:t>热</w:t>
      </w:r>
      <w:r>
        <w:rPr>
          <w:rFonts w:hint="default" w:ascii="Times New Roman" w:hAnsi="Times New Roman" w:eastAsia="宋体" w:cs="Times New Roman"/>
          <w:color w:val="auto"/>
          <w:sz w:val="24"/>
          <w:szCs w:val="24"/>
          <w:highlight w:val="none"/>
          <w:lang w:val="en-US" w:eastAsia="zh-CN"/>
        </w:rPr>
        <w:t>源规划</w:t>
      </w:r>
      <w:bookmarkStart w:id="1059" w:name="pindex4235"/>
      <w:bookmarkEnd w:id="1059"/>
    </w:p>
    <w:p w14:paraId="71834C9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bookmarkStart w:id="1060" w:name="sys4236094"/>
      <w:r>
        <w:rPr>
          <w:rFonts w:hint="default" w:ascii="Times New Roman" w:hAnsi="Times New Roman" w:eastAsia="宋体" w:cs="Times New Roman"/>
          <w:color w:val="auto"/>
          <w:sz w:val="24"/>
          <w:szCs w:val="24"/>
          <w:highlight w:val="none"/>
          <w:lang w:val="en-US" w:eastAsia="zh-CN"/>
        </w:rPr>
        <w:t>规划范围内施行集中供热</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供热以南京协鑫燃机热电有限公司南京蓝天燃机热电联产项目作为热源，保留现状2*180MW级燃气-蒸汽联合循环热电联产机组，规划建设一台60t</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h的小锅炉作为备用热源。</w:t>
      </w:r>
      <w:bookmarkEnd w:id="1060"/>
      <w:r>
        <w:rPr>
          <w:rFonts w:hint="default" w:ascii="Times New Roman" w:hAnsi="Times New Roman" w:eastAsia="宋体" w:cs="Times New Roman"/>
          <w:color w:val="auto"/>
          <w:sz w:val="24"/>
          <w:szCs w:val="24"/>
          <w:highlight w:val="none"/>
          <w:lang w:val="en-US" w:eastAsia="zh-CN"/>
        </w:rPr>
        <w:t>协鑫燃机热电主要供应东山、淳化以及秣陵片区。</w:t>
      </w:r>
    </w:p>
    <w:p w14:paraId="09C7044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供热范围内逐步淘汰企业自备锅炉。</w:t>
      </w:r>
      <w:bookmarkStart w:id="1061" w:name="sys42371635"/>
      <w:r>
        <w:rPr>
          <w:rFonts w:hint="default" w:ascii="Times New Roman" w:hAnsi="Times New Roman" w:eastAsia="宋体" w:cs="Times New Roman"/>
          <w:color w:val="auto"/>
          <w:sz w:val="24"/>
          <w:szCs w:val="24"/>
          <w:highlight w:val="none"/>
          <w:lang w:val="en-US" w:eastAsia="zh-CN"/>
        </w:rPr>
        <w:t>供热范围外，企业根据供热需求，可自备供热锅炉，需使用天然气等清洁能源</w:t>
      </w:r>
      <w:r>
        <w:rPr>
          <w:rFonts w:hint="eastAsia" w:ascii="Times New Roman" w:hAnsi="Times New Roman" w:eastAsia="宋体" w:cs="Times New Roman"/>
          <w:color w:val="auto"/>
          <w:sz w:val="24"/>
          <w:szCs w:val="24"/>
          <w:highlight w:val="none"/>
          <w:lang w:val="en-US" w:eastAsia="zh-CN"/>
        </w:rPr>
        <w:t>。</w:t>
      </w:r>
      <w:bookmarkEnd w:id="1061"/>
    </w:p>
    <w:p w14:paraId="6E77C9A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0"/>
          <w:sz w:val="24"/>
          <w:szCs w:val="24"/>
          <w:highlight w:val="none"/>
          <w:lang w:val="en-US" w:eastAsia="zh-CN" w:bidi="ar-SA"/>
        </w:rPr>
        <w:t>（2）</w:t>
      </w:r>
      <w:r>
        <w:rPr>
          <w:rFonts w:hint="eastAsia" w:ascii="Times New Roman" w:hAnsi="Times New Roman" w:eastAsia="宋体" w:cs="Times New Roman"/>
          <w:color w:val="auto"/>
          <w:sz w:val="24"/>
          <w:szCs w:val="24"/>
          <w:highlight w:val="none"/>
          <w:lang w:val="en-US" w:eastAsia="zh-CN"/>
        </w:rPr>
        <w:t>热力管网规划</w:t>
      </w:r>
      <w:bookmarkStart w:id="1062" w:name="pindex4238"/>
      <w:bookmarkEnd w:id="1062"/>
    </w:p>
    <w:p w14:paraId="7FDF23A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以热源厂为中心合理划分供热分区，各分区内供热管网自成体系，主要采用枝状结构。相邻供热分区的供热管道可考虑连通为环网，互为备用，提高供热可靠性。</w:t>
      </w:r>
    </w:p>
    <w:p w14:paraId="5215B41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针对现状架空管道进行绿化遮挡或入地改造，以改善其对开发区景观的影响。新建供热管道原则采用埋地敷设方式，工业区在满足美观前提下可采用低支架架空敷设。</w:t>
      </w:r>
    </w:p>
    <w:p w14:paraId="07FE1DA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供热工程规划见附图</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w:t>
      </w:r>
    </w:p>
    <w:p w14:paraId="555C50EF">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eastAsia" w:ascii="Times New Roman" w:hAnsi="Times New Roman" w:eastAsia="宋体" w:cs="Times New Roman"/>
          <w:b/>
          <w:bCs/>
          <w:color w:val="auto"/>
          <w:sz w:val="24"/>
          <w:szCs w:val="24"/>
          <w:highlight w:val="none"/>
          <w:lang w:val="en-US" w:eastAsia="zh-CN"/>
        </w:rPr>
      </w:pPr>
      <w:bookmarkStart w:id="1063" w:name="_Toc22957"/>
      <w:r>
        <w:rPr>
          <w:rFonts w:hint="eastAsia" w:ascii="Times New Roman" w:hAnsi="Times New Roman" w:eastAsia="宋体" w:cs="Times New Roman"/>
          <w:b/>
          <w:bCs/>
          <w:color w:val="auto"/>
          <w:sz w:val="24"/>
          <w:szCs w:val="24"/>
          <w:highlight w:val="none"/>
          <w:lang w:val="en-US" w:eastAsia="zh-CN"/>
        </w:rPr>
        <w:t>4.5.6固废处置规划</w:t>
      </w:r>
      <w:bookmarkEnd w:id="1063"/>
      <w:bookmarkStart w:id="1064" w:name="pindex4242"/>
      <w:bookmarkEnd w:id="1064"/>
    </w:p>
    <w:p w14:paraId="7994537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b w:val="0"/>
          <w:bCs w:val="0"/>
          <w:color w:val="auto"/>
          <w:sz w:val="24"/>
          <w:szCs w:val="24"/>
          <w:highlight w:val="none"/>
          <w:lang w:val="en-US" w:eastAsia="zh-CN"/>
        </w:rPr>
      </w:pPr>
      <w:bookmarkStart w:id="1065" w:name="sys4243065"/>
      <w:r>
        <w:rPr>
          <w:rFonts w:hint="eastAsia" w:ascii="Times New Roman" w:hAnsi="Times New Roman" w:eastAsia="宋体" w:cs="Times New Roman"/>
          <w:b w:val="0"/>
          <w:bCs w:val="0"/>
          <w:color w:val="auto"/>
          <w:sz w:val="24"/>
          <w:szCs w:val="24"/>
          <w:highlight w:val="none"/>
          <w:lang w:val="en-US" w:eastAsia="zh-CN"/>
        </w:rPr>
        <w:t>规划区内的生活垃圾处理依托南京江南静脉产业园生活垃圾焚烧发电厂进行处理，该厂处理规模为3600t/d，位于江宁区铜井社区（区外）。</w:t>
      </w:r>
      <w:bookmarkEnd w:id="1065"/>
    </w:p>
    <w:p w14:paraId="6224DFE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b w:val="0"/>
          <w:bCs w:val="0"/>
          <w:color w:val="auto"/>
          <w:sz w:val="24"/>
          <w:szCs w:val="24"/>
          <w:highlight w:val="none"/>
          <w:lang w:val="en-US" w:eastAsia="zh-CN"/>
        </w:rPr>
      </w:pPr>
      <w:bookmarkStart w:id="1066" w:name="sys42440169"/>
      <w:r>
        <w:rPr>
          <w:rFonts w:hint="eastAsia" w:ascii="Times New Roman" w:hAnsi="Times New Roman" w:eastAsia="宋体" w:cs="Times New Roman"/>
          <w:b w:val="0"/>
          <w:bCs w:val="0"/>
          <w:color w:val="auto"/>
          <w:sz w:val="24"/>
          <w:szCs w:val="24"/>
          <w:highlight w:val="none"/>
          <w:lang w:val="en-US" w:eastAsia="zh-CN"/>
        </w:rPr>
        <w:t>规划区外现有南京伊环环境服务有限公司1家危险废物集中收集贮存单位，危废经营许可证核准经营范围：实验室废物HW49（900-047-49）、废药品HW49（900-999-49）、沾染物HW49（900-041-49）、废有机溶剂HW06（900-401-06、900-402-06、900-403-06），最大收集贮存量为2000t/a。</w:t>
      </w:r>
      <w:bookmarkEnd w:id="1066"/>
    </w:p>
    <w:p w14:paraId="1E2C5DA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b w:val="0"/>
          <w:bCs w:val="0"/>
          <w:color w:val="auto"/>
          <w:sz w:val="24"/>
          <w:szCs w:val="24"/>
          <w:highlight w:val="none"/>
          <w:lang w:val="en-US" w:eastAsia="zh-CN"/>
        </w:rPr>
      </w:pPr>
      <w:bookmarkStart w:id="1067" w:name="sys4245031"/>
      <w:r>
        <w:rPr>
          <w:rFonts w:hint="eastAsia" w:ascii="Times New Roman" w:hAnsi="Times New Roman" w:eastAsia="宋体" w:cs="Times New Roman"/>
          <w:b w:val="0"/>
          <w:bCs w:val="0"/>
          <w:color w:val="auto"/>
          <w:sz w:val="24"/>
          <w:szCs w:val="24"/>
          <w:highlight w:val="none"/>
          <w:lang w:val="en-US" w:eastAsia="zh-CN"/>
        </w:rPr>
        <w:t>规划区内现有大唐南京环保科技有限责任公司1家危险废物处置单位。</w:t>
      </w:r>
      <w:bookmarkEnd w:id="1067"/>
      <w:bookmarkStart w:id="1068" w:name="sys42453190"/>
      <w:r>
        <w:rPr>
          <w:rFonts w:hint="eastAsia" w:ascii="Times New Roman" w:hAnsi="Times New Roman" w:eastAsia="宋体" w:cs="Times New Roman"/>
          <w:b w:val="0"/>
          <w:bCs w:val="0"/>
          <w:color w:val="auto"/>
          <w:sz w:val="24"/>
          <w:szCs w:val="24"/>
          <w:highlight w:val="none"/>
          <w:lang w:val="en-US" w:eastAsia="zh-CN"/>
        </w:rPr>
        <w:t>企业主要从事脱硝催化剂的再生，危险废物经营类别为收集、贮存、处置综合经营，处置类别为：HW50烟气脱硝过程中产生的废钒钛系催化剂（772-007-50），处置规模为8300t/a。</w:t>
      </w:r>
      <w:bookmarkEnd w:id="1068"/>
    </w:p>
    <w:p w14:paraId="71EF149C">
      <w:pPr>
        <w:keepNext w:val="0"/>
        <w:keepLines w:val="0"/>
        <w:pageBreakBefore w:val="0"/>
        <w:widowControl/>
        <w:kinsoku w:val="0"/>
        <w:wordWrap/>
        <w:overflowPunct/>
        <w:topLinePunct w:val="0"/>
        <w:autoSpaceDE w:val="0"/>
        <w:autoSpaceDN w:val="0"/>
        <w:bidi w:val="0"/>
        <w:adjustRightInd w:val="0"/>
        <w:snapToGrid w:val="0"/>
        <w:spacing w:line="360" w:lineRule="auto"/>
        <w:ind w:firstLine="456" w:firstLineChars="200"/>
        <w:textAlignment w:val="baseline"/>
        <w:rPr>
          <w:rFonts w:hint="default" w:ascii="Times New Roman" w:hAnsi="Times New Roman" w:eastAsia="宋体" w:cs="Times New Roman"/>
          <w:color w:val="auto"/>
          <w:spacing w:val="-6"/>
          <w:sz w:val="24"/>
          <w:szCs w:val="24"/>
          <w:highlight w:val="none"/>
          <w:lang w:val="en-US" w:eastAsia="zh-CN"/>
        </w:rPr>
      </w:pPr>
      <w:bookmarkStart w:id="1069" w:name="sys4246057"/>
      <w:r>
        <w:rPr>
          <w:rFonts w:hint="eastAsia" w:ascii="Times New Roman" w:hAnsi="Times New Roman" w:eastAsia="宋体" w:cs="Times New Roman"/>
          <w:color w:val="auto"/>
          <w:spacing w:val="-6"/>
          <w:sz w:val="24"/>
          <w:szCs w:val="24"/>
          <w:highlight w:val="none"/>
          <w:lang w:val="en-US" w:eastAsia="zh-CN"/>
        </w:rPr>
        <w:t>规划区外光国生物能源（南京）有限公司1家餐厨垃圾处理单位，处理规模为餐厨垃圾660吨/日（含废弃油脂60吨/日）。</w:t>
      </w:r>
      <w:bookmarkEnd w:id="1069"/>
    </w:p>
    <w:p w14:paraId="2D85B24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b w:val="0"/>
          <w:bCs w:val="0"/>
          <w:color w:val="auto"/>
          <w:sz w:val="24"/>
          <w:szCs w:val="24"/>
          <w:highlight w:val="none"/>
          <w:lang w:val="en-US" w:eastAsia="zh-CN"/>
        </w:rPr>
      </w:pPr>
      <w:bookmarkStart w:id="1070" w:name="sys4247035"/>
      <w:r>
        <w:rPr>
          <w:rFonts w:hint="eastAsia" w:ascii="Times New Roman" w:hAnsi="Times New Roman" w:eastAsia="宋体" w:cs="Times New Roman"/>
          <w:b w:val="0"/>
          <w:bCs w:val="0"/>
          <w:color w:val="auto"/>
          <w:sz w:val="24"/>
          <w:szCs w:val="24"/>
          <w:highlight w:val="none"/>
          <w:lang w:val="en-US" w:eastAsia="zh-CN"/>
        </w:rPr>
        <w:t>规划区内企业产生的危险固废均交由区内或周边区域有资质单位进行处理处置。</w:t>
      </w:r>
      <w:bookmarkEnd w:id="1070"/>
    </w:p>
    <w:p w14:paraId="787B0D41">
      <w:pPr>
        <w:keepNext w:val="0"/>
        <w:keepLines w:val="0"/>
        <w:pageBreakBefore w:val="0"/>
        <w:widowControl/>
        <w:kinsoku w:val="0"/>
        <w:wordWrap/>
        <w:overflowPunct/>
        <w:topLinePunct w:val="0"/>
        <w:autoSpaceDE w:val="0"/>
        <w:autoSpaceDN w:val="0"/>
        <w:bidi w:val="0"/>
        <w:adjustRightInd w:val="0"/>
        <w:snapToGrid w:val="0"/>
        <w:spacing w:before="40" w:line="360" w:lineRule="auto"/>
        <w:ind w:left="37"/>
        <w:textAlignment w:val="baseline"/>
        <w:outlineLvl w:val="1"/>
        <w:rPr>
          <w:rFonts w:hint="default" w:ascii="Times New Roman" w:hAnsi="Times New Roman" w:eastAsia="宋体" w:cs="Times New Roman"/>
          <w:b/>
          <w:bCs/>
          <w:color w:val="auto"/>
          <w:spacing w:val="-2"/>
          <w:sz w:val="24"/>
          <w:szCs w:val="24"/>
          <w:highlight w:val="none"/>
          <w:lang w:val="en-US" w:eastAsia="zh-CN"/>
        </w:rPr>
      </w:pPr>
      <w:bookmarkStart w:id="1071" w:name="_Toc19969"/>
      <w:bookmarkStart w:id="1072" w:name="OLE_LINK803"/>
      <w:r>
        <w:rPr>
          <w:rFonts w:hint="eastAsia" w:ascii="Times New Roman" w:hAnsi="Times New Roman" w:eastAsia="宋体" w:cs="Times New Roman"/>
          <w:b/>
          <w:bCs/>
          <w:color w:val="auto"/>
          <w:spacing w:val="-2"/>
          <w:sz w:val="24"/>
          <w:szCs w:val="24"/>
          <w:highlight w:val="none"/>
          <w:lang w:val="en-US" w:eastAsia="zh-CN"/>
        </w:rPr>
        <w:t>4.6行业准入清单</w:t>
      </w:r>
      <w:bookmarkEnd w:id="1071"/>
      <w:bookmarkStart w:id="1073" w:name="pindex4248"/>
      <w:bookmarkEnd w:id="1073"/>
    </w:p>
    <w:bookmarkEnd w:id="1072"/>
    <w:p w14:paraId="2D7F2AEC">
      <w:pPr>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Times New Roman" w:hAnsi="Times New Roman" w:eastAsia="宋体" w:cs="Times New Roman"/>
          <w:color w:val="auto"/>
          <w:spacing w:val="-3"/>
          <w:sz w:val="24"/>
          <w:szCs w:val="24"/>
          <w:highlight w:val="none"/>
          <w:lang w:val="en-US" w:eastAsia="zh-CN"/>
        </w:rPr>
      </w:pPr>
      <w:bookmarkStart w:id="1074" w:name="OLE_LINK802"/>
      <w:r>
        <w:rPr>
          <w:rFonts w:hint="eastAsia" w:ascii="Times New Roman" w:hAnsi="Times New Roman" w:eastAsia="宋体" w:cs="Times New Roman"/>
          <w:color w:val="auto"/>
          <w:spacing w:val="-3"/>
          <w:sz w:val="24"/>
          <w:szCs w:val="24"/>
          <w:highlight w:val="none"/>
          <w:lang w:val="en-US" w:eastAsia="zh-CN"/>
        </w:rPr>
        <w:t>根据《</w:t>
      </w:r>
      <w:r>
        <w:rPr>
          <w:rFonts w:hint="default" w:ascii="Times New Roman" w:hAnsi="Times New Roman" w:eastAsia="宋体" w:cs="Times New Roman"/>
          <w:color w:val="auto"/>
          <w:spacing w:val="-3"/>
          <w:sz w:val="24"/>
          <w:szCs w:val="24"/>
          <w:highlight w:val="none"/>
        </w:rPr>
        <w:t>江宁经济技术开发区总体发展规划</w:t>
      </w:r>
      <w:r>
        <w:rPr>
          <w:rFonts w:hint="eastAsia" w:ascii="Times New Roman" w:hAnsi="Times New Roman" w:eastAsia="宋体" w:cs="Times New Roman"/>
          <w:color w:val="auto"/>
          <w:spacing w:val="-3"/>
          <w:sz w:val="24"/>
          <w:szCs w:val="24"/>
          <w:highlight w:val="none"/>
          <w:lang w:eastAsia="zh-CN"/>
        </w:rPr>
        <w:t>（</w:t>
      </w:r>
      <w:sdt>
        <w:sdtPr>
          <w:rPr>
            <w:color w:val="auto"/>
            <w:highlight w:val="none"/>
          </w:rPr>
          <w:alias w:val="易错词检查"/>
          <w:tag w:val="auto"/>
          <w:id w:val="12732"/>
        </w:sdtPr>
        <w:sdtEndPr>
          <w:rPr>
            <w:color w:val="auto"/>
            <w:highlight w:val="none"/>
          </w:rPr>
        </w:sdtEndPr>
        <w:sdtContent>
          <w:bookmarkStart w:id="1075" w:name="bkReivew12732"/>
          <w:r>
            <w:rPr>
              <w:rFonts w:hint="default" w:ascii="Times New Roman" w:hAnsi="Times New Roman" w:eastAsia="宋体" w:cs="Times New Roman"/>
              <w:color w:val="auto"/>
              <w:spacing w:val="-3"/>
              <w:sz w:val="24"/>
              <w:szCs w:val="24"/>
              <w:highlight w:val="none"/>
            </w:rPr>
            <w:t>2020-2035</w:t>
          </w:r>
          <w:bookmarkEnd w:id="1075"/>
        </w:sdtContent>
      </w:sdt>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环境影响报告书</w:t>
      </w:r>
      <w:r>
        <w:rPr>
          <w:rFonts w:hint="eastAsia" w:ascii="Times New Roman" w:hAnsi="Times New Roman" w:eastAsia="宋体" w:cs="Times New Roman"/>
          <w:color w:val="auto"/>
          <w:spacing w:val="-3"/>
          <w:sz w:val="24"/>
          <w:szCs w:val="24"/>
          <w:highlight w:val="none"/>
          <w:lang w:val="en-US" w:eastAsia="zh-CN"/>
        </w:rPr>
        <w:t>》</w:t>
      </w:r>
      <w:r>
        <w:rPr>
          <w:rFonts w:hint="eastAsia" w:cs="Times New Roman"/>
          <w:color w:val="auto"/>
          <w:spacing w:val="-3"/>
          <w:sz w:val="24"/>
          <w:szCs w:val="24"/>
          <w:highlight w:val="none"/>
          <w:lang w:val="en-US" w:eastAsia="zh-CN"/>
        </w:rPr>
        <w:t>，</w:t>
      </w:r>
      <w:r>
        <w:rPr>
          <w:rFonts w:hint="eastAsia" w:ascii="Times New Roman" w:hAnsi="Times New Roman" w:eastAsia="宋体" w:cs="Times New Roman"/>
          <w:color w:val="auto"/>
          <w:spacing w:val="-3"/>
          <w:sz w:val="24"/>
          <w:szCs w:val="24"/>
          <w:highlight w:val="none"/>
          <w:lang w:val="en-US" w:eastAsia="zh-CN"/>
        </w:rPr>
        <w:t>本次评估范围属于江南主城东山片区，</w:t>
      </w:r>
      <w:r>
        <w:rPr>
          <w:rFonts w:hint="default" w:ascii="Times New Roman" w:hAnsi="Times New Roman" w:eastAsia="宋体" w:cs="Times New Roman"/>
          <w:color w:val="auto"/>
          <w:spacing w:val="-3"/>
          <w:sz w:val="24"/>
          <w:szCs w:val="24"/>
          <w:highlight w:val="none"/>
          <w:lang w:val="en-US" w:eastAsia="zh-CN"/>
        </w:rPr>
        <w:t>准入清单</w:t>
      </w:r>
      <w:r>
        <w:rPr>
          <w:rFonts w:hint="eastAsia" w:ascii="Times New Roman" w:hAnsi="Times New Roman" w:eastAsia="宋体" w:cs="Times New Roman"/>
          <w:color w:val="auto"/>
          <w:spacing w:val="-3"/>
          <w:sz w:val="24"/>
          <w:szCs w:val="24"/>
          <w:highlight w:val="none"/>
          <w:lang w:val="en-US" w:eastAsia="zh-CN"/>
        </w:rPr>
        <w:t>见下表：</w:t>
      </w:r>
    </w:p>
    <w:p w14:paraId="034D250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bCs/>
          <w:color w:val="auto"/>
          <w:spacing w:val="-6"/>
          <w:sz w:val="24"/>
          <w:szCs w:val="24"/>
          <w:highlight w:val="none"/>
          <w:lang w:val="en-US" w:eastAsia="zh-CN"/>
        </w:rPr>
      </w:pPr>
      <w:bookmarkStart w:id="1076" w:name="OLE_LINK799"/>
    </w:p>
    <w:p w14:paraId="7111F42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pacing w:val="-6"/>
          <w:sz w:val="24"/>
          <w:szCs w:val="24"/>
          <w:highlight w:val="none"/>
          <w:lang w:val="en-US" w:eastAsia="zh-CN"/>
        </w:rPr>
      </w:pPr>
      <w:r>
        <w:rPr>
          <w:rFonts w:hint="eastAsia" w:ascii="Times New Roman" w:hAnsi="Times New Roman" w:eastAsia="宋体" w:cs="Times New Roman"/>
          <w:b/>
          <w:bCs/>
          <w:color w:val="auto"/>
          <w:spacing w:val="-6"/>
          <w:sz w:val="24"/>
          <w:szCs w:val="24"/>
          <w:highlight w:val="none"/>
          <w:lang w:val="en-US" w:eastAsia="zh-CN"/>
        </w:rPr>
        <w:t xml:space="preserve">表4.6-1  </w:t>
      </w:r>
      <w:bookmarkStart w:id="1077" w:name="OLE_LINK800"/>
      <w:r>
        <w:rPr>
          <w:rFonts w:hint="eastAsia" w:ascii="Times New Roman" w:hAnsi="Times New Roman" w:eastAsia="宋体" w:cs="Times New Roman"/>
          <w:b/>
          <w:bCs/>
          <w:color w:val="auto"/>
          <w:spacing w:val="-6"/>
          <w:sz w:val="24"/>
          <w:szCs w:val="24"/>
          <w:highlight w:val="none"/>
          <w:lang w:val="en-US" w:eastAsia="zh-CN"/>
        </w:rPr>
        <w:t>江宁经济技术开发区行业准入清单</w:t>
      </w:r>
      <w:bookmarkStart w:id="1078" w:name="pindex4251"/>
      <w:bookmarkEnd w:id="1078"/>
    </w:p>
    <w:bookmarkEnd w:id="1076"/>
    <w:bookmarkEnd w:id="1077"/>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4"/>
        <w:gridCol w:w="570"/>
        <w:gridCol w:w="5250"/>
        <w:gridCol w:w="2076"/>
      </w:tblGrid>
      <w:tr w14:paraId="702320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tcBorders>
              <w:tl2br w:val="nil"/>
              <w:tr2bl w:val="nil"/>
            </w:tcBorders>
            <w:noWrap w:val="0"/>
            <w:vAlign w:val="center"/>
          </w:tcPr>
          <w:p w14:paraId="024C284D">
            <w:pPr>
              <w:pStyle w:val="47"/>
              <w:keepNext w:val="0"/>
              <w:keepLines w:val="0"/>
              <w:pageBreakBefore w:val="0"/>
              <w:widowControl w:val="0"/>
              <w:kinsoku/>
              <w:wordWrap/>
              <w:overflowPunct/>
              <w:topLinePunct w:val="0"/>
              <w:autoSpaceDE/>
              <w:autoSpaceDN/>
              <w:bidi w:val="0"/>
              <w:adjustRightInd/>
              <w:snapToGrid w:val="0"/>
              <w:spacing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pacing w:val="-2"/>
                <w:sz w:val="21"/>
                <w:szCs w:val="21"/>
                <w:highlight w:val="none"/>
              </w:rPr>
              <w:t>产业</w:t>
            </w:r>
            <w:r>
              <w:rPr>
                <w:rFonts w:hint="default" w:ascii="Times New Roman" w:hAnsi="Times New Roman" w:eastAsia="宋体" w:cs="Times New Roman"/>
                <w:b/>
                <w:bCs/>
                <w:color w:val="auto"/>
                <w:spacing w:val="-1"/>
                <w:sz w:val="21"/>
                <w:szCs w:val="21"/>
                <w:highlight w:val="none"/>
              </w:rPr>
              <w:t>片</w:t>
            </w:r>
            <w:r>
              <w:rPr>
                <w:rFonts w:hint="default" w:ascii="Times New Roman" w:hAnsi="Times New Roman" w:eastAsia="宋体" w:cs="Times New Roman"/>
                <w:b/>
                <w:bCs/>
                <w:color w:val="auto"/>
                <w:spacing w:val="-12"/>
                <w:sz w:val="21"/>
                <w:szCs w:val="21"/>
                <w:highlight w:val="none"/>
              </w:rPr>
              <w:t>区</w:t>
            </w:r>
            <w:r>
              <w:rPr>
                <w:rFonts w:hint="default" w:ascii="Times New Roman" w:hAnsi="Times New Roman" w:eastAsia="宋体" w:cs="Times New Roman"/>
                <w:b/>
                <w:bCs/>
                <w:color w:val="auto"/>
                <w:spacing w:val="-11"/>
                <w:sz w:val="21"/>
                <w:szCs w:val="21"/>
                <w:highlight w:val="none"/>
              </w:rPr>
              <w:t>名称</w:t>
            </w:r>
          </w:p>
        </w:tc>
        <w:tc>
          <w:tcPr>
            <w:tcW w:w="332" w:type="pct"/>
            <w:tcBorders>
              <w:tl2br w:val="nil"/>
              <w:tr2bl w:val="nil"/>
            </w:tcBorders>
            <w:noWrap w:val="0"/>
            <w:vAlign w:val="center"/>
          </w:tcPr>
          <w:p w14:paraId="2DA94A38">
            <w:pPr>
              <w:pStyle w:val="47"/>
              <w:keepNext w:val="0"/>
              <w:keepLines w:val="0"/>
              <w:pageBreakBefore w:val="0"/>
              <w:widowControl w:val="0"/>
              <w:kinsoku/>
              <w:wordWrap/>
              <w:overflowPunct/>
              <w:topLinePunct w:val="0"/>
              <w:autoSpaceDE/>
              <w:autoSpaceDN/>
              <w:bidi w:val="0"/>
              <w:adjustRightInd/>
              <w:snapToGrid w:val="0"/>
              <w:spacing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类别</w:t>
            </w:r>
          </w:p>
        </w:tc>
        <w:tc>
          <w:tcPr>
            <w:tcW w:w="3059" w:type="pct"/>
            <w:tcBorders>
              <w:tl2br w:val="nil"/>
              <w:tr2bl w:val="nil"/>
            </w:tcBorders>
            <w:noWrap w:val="0"/>
            <w:vAlign w:val="center"/>
          </w:tcPr>
          <w:p w14:paraId="7FE8707B">
            <w:pPr>
              <w:pStyle w:val="47"/>
              <w:keepNext w:val="0"/>
              <w:keepLines w:val="0"/>
              <w:pageBreakBefore w:val="0"/>
              <w:widowControl w:val="0"/>
              <w:kinsoku/>
              <w:wordWrap/>
              <w:overflowPunct/>
              <w:topLinePunct w:val="0"/>
              <w:autoSpaceDE/>
              <w:autoSpaceDN/>
              <w:bidi w:val="0"/>
              <w:adjustRightInd/>
              <w:snapToGrid w:val="0"/>
              <w:spacing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要求</w:t>
            </w:r>
          </w:p>
        </w:tc>
        <w:tc>
          <w:tcPr>
            <w:tcW w:w="1209" w:type="pct"/>
            <w:tcBorders>
              <w:tl2br w:val="nil"/>
              <w:tr2bl w:val="nil"/>
            </w:tcBorders>
            <w:noWrap w:val="0"/>
            <w:vAlign w:val="center"/>
          </w:tcPr>
          <w:p w14:paraId="7191AA18">
            <w:pPr>
              <w:pStyle w:val="47"/>
              <w:keepNext w:val="0"/>
              <w:keepLines w:val="0"/>
              <w:pageBreakBefore w:val="0"/>
              <w:widowControl w:val="0"/>
              <w:kinsoku/>
              <w:wordWrap/>
              <w:overflowPunct/>
              <w:topLinePunct w:val="0"/>
              <w:autoSpaceDE/>
              <w:autoSpaceDN/>
              <w:bidi w:val="0"/>
              <w:adjustRightInd/>
              <w:snapToGrid w:val="0"/>
              <w:spacing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eastAsia" w:ascii="Times New Roman" w:hAnsi="Times New Roman" w:eastAsia="宋体" w:cs="Times New Roman"/>
                <w:b/>
                <w:bCs/>
                <w:color w:val="auto"/>
                <w:sz w:val="21"/>
                <w:szCs w:val="21"/>
                <w:highlight w:val="none"/>
                <w:vertAlign w:val="baseline"/>
                <w:lang w:eastAsia="zh-CN"/>
              </w:rPr>
              <w:t>本次区域评估</w:t>
            </w:r>
          </w:p>
        </w:tc>
      </w:tr>
      <w:tr w14:paraId="41FF82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restart"/>
            <w:tcBorders>
              <w:tl2br w:val="nil"/>
              <w:tr2bl w:val="nil"/>
            </w:tcBorders>
            <w:noWrap w:val="0"/>
            <w:vAlign w:val="center"/>
          </w:tcPr>
          <w:p w14:paraId="0A93CE0F">
            <w:pPr>
              <w:pStyle w:val="47"/>
              <w:keepNext w:val="0"/>
              <w:keepLines w:val="0"/>
              <w:pageBreakBefore w:val="0"/>
              <w:widowControl w:val="0"/>
              <w:kinsoku/>
              <w:wordWrap/>
              <w:overflowPunct/>
              <w:topLinePunct w:val="0"/>
              <w:autoSpaceDE/>
              <w:autoSpaceDN/>
              <w:bidi w:val="0"/>
              <w:adjustRightInd/>
              <w:snapToGrid w:val="0"/>
              <w:spacing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kern w:val="0"/>
                <w:sz w:val="21"/>
                <w:szCs w:val="21"/>
                <w:highlight w:val="none"/>
                <w:lang w:val="en-US" w:eastAsia="zh-CN"/>
              </w:rPr>
              <w:t>江南主城东山片区</w:t>
            </w:r>
          </w:p>
        </w:tc>
        <w:tc>
          <w:tcPr>
            <w:tcW w:w="332" w:type="pct"/>
            <w:tcBorders>
              <w:tl2br w:val="nil"/>
              <w:tr2bl w:val="nil"/>
            </w:tcBorders>
            <w:noWrap w:val="0"/>
            <w:vAlign w:val="center"/>
          </w:tcPr>
          <w:p w14:paraId="2575BF48">
            <w:pPr>
              <w:pStyle w:val="47"/>
              <w:keepNext w:val="0"/>
              <w:keepLines w:val="0"/>
              <w:pageBreakBefore w:val="0"/>
              <w:widowControl w:val="0"/>
              <w:kinsoku/>
              <w:wordWrap/>
              <w:overflowPunct/>
              <w:topLinePunct w:val="0"/>
              <w:autoSpaceDE/>
              <w:autoSpaceDN/>
              <w:bidi w:val="0"/>
              <w:adjustRightInd/>
              <w:snapToGrid w:val="0"/>
              <w:spacing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b w:val="0"/>
                <w:bCs w:val="0"/>
                <w:color w:val="auto"/>
                <w:spacing w:val="-4"/>
                <w:sz w:val="21"/>
                <w:szCs w:val="21"/>
                <w:highlight w:val="none"/>
              </w:rPr>
              <w:t>重</w:t>
            </w:r>
            <w:r>
              <w:rPr>
                <w:rFonts w:hint="default" w:ascii="Times New Roman" w:hAnsi="Times New Roman" w:eastAsia="宋体" w:cs="Times New Roman"/>
                <w:b w:val="0"/>
                <w:bCs w:val="0"/>
                <w:color w:val="auto"/>
                <w:spacing w:val="-2"/>
                <w:sz w:val="21"/>
                <w:szCs w:val="21"/>
                <w:highlight w:val="none"/>
              </w:rPr>
              <w:t>点发展</w:t>
            </w:r>
          </w:p>
        </w:tc>
        <w:tc>
          <w:tcPr>
            <w:tcW w:w="3059" w:type="pct"/>
            <w:tcBorders>
              <w:tl2br w:val="nil"/>
              <w:tr2bl w:val="nil"/>
            </w:tcBorders>
            <w:noWrap w:val="0"/>
            <w:vAlign w:val="center"/>
          </w:tcPr>
          <w:p w14:paraId="30E60213">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b/>
                <w:bCs/>
                <w:color w:val="auto"/>
                <w:kern w:val="0"/>
                <w:sz w:val="21"/>
                <w:szCs w:val="21"/>
                <w:highlight w:val="none"/>
              </w:rPr>
              <w:t>智能电网</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重点发展智能调度系统、储能系统等领域。巩固提升继电保护、配网自动化、信息系统集成等产品优势</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鼓励突破电力电子关键基础元器件及先进复合材料和高端芯片技术、交直流混合大电网安全运行系统、大规模可再生能源接入电网控制技术</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微电网协同控制及电网实时动态监控技术、配电设备一二次融合技术</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变电设备在线监测一体化和自诊断技术等关键技术。</w:t>
            </w:r>
          </w:p>
          <w:p w14:paraId="0941DC39">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rPr>
              <w:t>绿色智能汽车</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重点发展动力电池、电控系统、智能网联、车内感知和整车集成技术，支持发展驱动电机、数字座舱等领域。重点突破</w:t>
            </w:r>
            <w:sdt>
              <w:sdtPr>
                <w:rPr>
                  <w:color w:val="auto"/>
                  <w:highlight w:val="none"/>
                </w:rPr>
                <w:alias w:val="易错词检查"/>
                <w:tag w:val="auto"/>
                <w:id w:val="52156"/>
              </w:sdtPr>
              <w:sdtEndPr>
                <w:rPr>
                  <w:color w:val="auto"/>
                  <w:highlight w:val="none"/>
                </w:rPr>
              </w:sdtEndPr>
              <w:sdtContent>
                <w:bookmarkStart w:id="1079" w:name="bkReivew52156"/>
                <w:r>
                  <w:rPr>
                    <w:rFonts w:hint="eastAsia" w:ascii="Times New Roman" w:hAnsi="Times New Roman" w:eastAsia="宋体" w:cs="Times New Roman"/>
                    <w:color w:val="auto"/>
                    <w:kern w:val="0"/>
                    <w:sz w:val="21"/>
                    <w:szCs w:val="21"/>
                    <w:highlight w:val="none"/>
                  </w:rPr>
                  <w:t>制约</w:t>
                </w:r>
                <w:bookmarkEnd w:id="1079"/>
              </w:sdtContent>
            </w:sdt>
            <w:r>
              <w:rPr>
                <w:rFonts w:hint="eastAsia" w:ascii="Times New Roman" w:hAnsi="Times New Roman" w:eastAsia="宋体" w:cs="Times New Roman"/>
                <w:color w:val="auto"/>
                <w:kern w:val="0"/>
                <w:sz w:val="21"/>
                <w:szCs w:val="21"/>
                <w:highlight w:val="none"/>
              </w:rPr>
              <w:t>续航里程技术瓶颈，鼓励发展轻量化车身等关键材料</w:t>
            </w:r>
            <w:r>
              <w:rPr>
                <w:rFonts w:hint="eastAsia" w:ascii="Times New Roman" w:hAnsi="Times New Roman" w:eastAsia="宋体" w:cs="Times New Roman"/>
                <w:color w:val="auto"/>
                <w:kern w:val="0"/>
                <w:sz w:val="21"/>
                <w:szCs w:val="21"/>
                <w:highlight w:val="none"/>
                <w:lang w:eastAsia="zh-CN"/>
              </w:rPr>
              <w:t>。</w:t>
            </w:r>
          </w:p>
          <w:p w14:paraId="6925750E">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b/>
                <w:bCs/>
                <w:color w:val="auto"/>
                <w:kern w:val="0"/>
                <w:sz w:val="21"/>
                <w:szCs w:val="21"/>
                <w:highlight w:val="none"/>
              </w:rPr>
              <w:t>新一代信息技术</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重点发展支撑软件、平台软件和信息安全软件</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深入发展云计算大数据、移动互联网、区块链等新兴软件及信息</w:t>
            </w:r>
            <w:r>
              <w:rPr>
                <w:rFonts w:hint="eastAsia" w:ascii="Times New Roman" w:hAnsi="Times New Roman" w:eastAsia="宋体" w:cs="Times New Roman"/>
                <w:color w:val="auto"/>
                <w:kern w:val="0"/>
                <w:sz w:val="21"/>
                <w:szCs w:val="21"/>
                <w:highlight w:val="none"/>
                <w:lang w:eastAsia="zh-CN"/>
              </w:rPr>
              <w:t>服务技术</w:t>
            </w:r>
            <w:r>
              <w:rPr>
                <w:rFonts w:hint="eastAsia" w:ascii="Times New Roman" w:hAnsi="Times New Roman" w:eastAsia="宋体" w:cs="Times New Roman"/>
                <w:color w:val="auto"/>
                <w:kern w:val="0"/>
                <w:sz w:val="21"/>
                <w:szCs w:val="21"/>
                <w:highlight w:val="none"/>
              </w:rPr>
              <w:t>发展加强产学研对接。</w:t>
            </w:r>
          </w:p>
          <w:p w14:paraId="13C6E496">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b/>
                <w:bCs/>
                <w:color w:val="auto"/>
                <w:kern w:val="0"/>
                <w:sz w:val="21"/>
                <w:szCs w:val="21"/>
                <w:highlight w:val="none"/>
              </w:rPr>
              <w:t>智能制造装备</w:t>
            </w:r>
            <w:r>
              <w:rPr>
                <w:rFonts w:hint="eastAsia" w:ascii="Times New Roman" w:hAnsi="Times New Roman" w:eastAsia="宋体" w:cs="Times New Roman"/>
                <w:b/>
                <w:bCs/>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重点发展工业机器人和专业服务机器人、高档数控机床、增材制造、智能制造成套装备等领域，聚焦控制系统、伺服电机、功能零部件、精密减速器等环节。重点突破高性能光纤传感器、微机电系统</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MEMS</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传感器、视觉传感器、分散式控制系统</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DCS</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、可编程逻辑控制器</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PLC</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、数据采集系统</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SCADA</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高性能高可靠嵌入式控制系统、专业伺服电机及驱动器、末端控制器等关键核心技术。</w:t>
            </w:r>
          </w:p>
          <w:p w14:paraId="01A30428">
            <w:pPr>
              <w:keepNext w:val="0"/>
              <w:keepLines w:val="0"/>
              <w:pageBreakBefore w:val="0"/>
              <w:widowControl w:val="0"/>
              <w:kinsoku/>
              <w:wordWrap/>
              <w:overflowPunct/>
              <w:topLinePunct w:val="0"/>
              <w:autoSpaceDE/>
              <w:autoSpaceDN/>
              <w:bidi w:val="0"/>
              <w:adjustRightInd/>
              <w:snapToGrid w:val="0"/>
              <w:spacing w:line="240" w:lineRule="auto"/>
              <w:ind w:right="0"/>
              <w:jc w:val="left"/>
              <w:textAlignment w:val="auto"/>
              <w:rPr>
                <w:rFonts w:hint="default" w:ascii="Times New Roman" w:hAnsi="Times New Roman" w:eastAsia="宋体" w:cs="Times New Roman"/>
                <w:color w:val="auto"/>
                <w:spacing w:val="-7"/>
                <w:sz w:val="21"/>
                <w:szCs w:val="21"/>
                <w:highlight w:val="none"/>
              </w:rPr>
            </w:pPr>
            <w:r>
              <w:rPr>
                <w:rFonts w:hint="eastAsia" w:ascii="Times New Roman" w:hAnsi="Times New Roman" w:eastAsia="宋体" w:cs="Times New Roman"/>
                <w:b/>
                <w:bCs/>
                <w:color w:val="auto"/>
                <w:kern w:val="0"/>
                <w:sz w:val="21"/>
                <w:szCs w:val="21"/>
                <w:highlight w:val="none"/>
              </w:rPr>
              <w:t>轨道交通</w:t>
            </w:r>
            <w:r>
              <w:rPr>
                <w:rFonts w:hint="eastAsia" w:ascii="Times New Roman" w:hAnsi="Times New Roman" w:eastAsia="宋体" w:cs="Times New Roman"/>
                <w:b/>
                <w:bCs/>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重点发展多系列城市轨道车辆配套产品，在智慧能源系统、智能技术装备等领域形成发展新优势，推动产业链向上游设计咨询和下游运营与资源开发领域延伸</w:t>
            </w:r>
            <w:r>
              <w:rPr>
                <w:rFonts w:hint="eastAsia" w:ascii="Times New Roman" w:hAnsi="Times New Roman" w:eastAsia="宋体" w:cs="Times New Roman"/>
                <w:color w:val="auto"/>
                <w:kern w:val="0"/>
                <w:sz w:val="21"/>
                <w:szCs w:val="21"/>
                <w:highlight w:val="none"/>
                <w:lang w:eastAsia="zh-CN"/>
              </w:rPr>
              <w:t>。</w:t>
            </w:r>
          </w:p>
        </w:tc>
        <w:tc>
          <w:tcPr>
            <w:tcW w:w="1209" w:type="pct"/>
            <w:tcBorders>
              <w:tl2br w:val="nil"/>
              <w:tr2bl w:val="nil"/>
            </w:tcBorders>
            <w:noWrap w:val="0"/>
            <w:vAlign w:val="center"/>
          </w:tcPr>
          <w:p w14:paraId="2D0E0033">
            <w:pPr>
              <w:keepNext w:val="0"/>
              <w:keepLines w:val="0"/>
              <w:pageBreakBefore w:val="0"/>
              <w:widowControl w:val="0"/>
              <w:kinsoku/>
              <w:wordWrap/>
              <w:overflowPunct/>
              <w:topLinePunct w:val="0"/>
              <w:autoSpaceDE/>
              <w:autoSpaceDN/>
              <w:bidi w:val="0"/>
              <w:adjustRightInd/>
              <w:snapToGrid w:val="0"/>
              <w:spacing w:line="240" w:lineRule="auto"/>
              <w:ind w:right="0"/>
              <w:textAlignment w:val="auto"/>
              <w:rPr>
                <w:rFonts w:hint="eastAsia" w:ascii="Times New Roman" w:hAnsi="Times New Roman" w:eastAsia="宋体" w:cs="Times New Roman"/>
                <w:b w:val="0"/>
                <w:bCs/>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eastAsia="zh-CN"/>
              </w:rPr>
              <w:t>多家包装及纸制品加工、纺织服装、家具制造、金属制品、设备维修、食品饮料、文教娱乐用品、橡胶和塑料制品等企业不符合开发区规划产业定位，根据区内不符合产业定位企业污染程度，分别提出对策建议，对纺织服装、包装等污染较轻的企业，建议加强管理，确保污染物达标排放；对废水量产生较大的食品饮料企业，建议加强管理，确保污染物达标排放，禁止新（扩）建工业生产废水排水量大于1000吨/日的项目。</w:t>
            </w:r>
          </w:p>
        </w:tc>
      </w:tr>
      <w:tr w14:paraId="0F2330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tcBorders>
              <w:tl2br w:val="nil"/>
              <w:tr2bl w:val="nil"/>
            </w:tcBorders>
            <w:noWrap w:val="0"/>
            <w:vAlign w:val="center"/>
          </w:tcPr>
          <w:p w14:paraId="24896D32">
            <w:pPr>
              <w:pStyle w:val="47"/>
              <w:keepNext w:val="0"/>
              <w:keepLines w:val="0"/>
              <w:pageBreakBefore w:val="0"/>
              <w:widowControl w:val="0"/>
              <w:kinsoku/>
              <w:wordWrap/>
              <w:overflowPunct/>
              <w:topLinePunct w:val="0"/>
              <w:autoSpaceDE/>
              <w:autoSpaceDN/>
              <w:bidi w:val="0"/>
              <w:adjustRightInd/>
              <w:snapToGrid w:val="0"/>
              <w:spacing w:line="240" w:lineRule="auto"/>
              <w:ind w:right="0"/>
              <w:jc w:val="both"/>
              <w:textAlignment w:val="auto"/>
              <w:rPr>
                <w:rFonts w:hint="default" w:ascii="Times New Roman" w:hAnsi="Times New Roman" w:eastAsia="宋体" w:cs="Times New Roman"/>
                <w:color w:val="auto"/>
                <w:sz w:val="21"/>
                <w:szCs w:val="21"/>
                <w:highlight w:val="none"/>
                <w:vertAlign w:val="baseline"/>
              </w:rPr>
            </w:pPr>
          </w:p>
        </w:tc>
        <w:tc>
          <w:tcPr>
            <w:tcW w:w="332" w:type="pct"/>
            <w:tcBorders>
              <w:tl2br w:val="nil"/>
              <w:tr2bl w:val="nil"/>
            </w:tcBorders>
            <w:noWrap w:val="0"/>
            <w:vAlign w:val="center"/>
          </w:tcPr>
          <w:p w14:paraId="07F4436B">
            <w:pPr>
              <w:pStyle w:val="47"/>
              <w:keepNext w:val="0"/>
              <w:keepLines w:val="0"/>
              <w:pageBreakBefore w:val="0"/>
              <w:widowControl w:val="0"/>
              <w:kinsoku/>
              <w:wordWrap/>
              <w:overflowPunct/>
              <w:topLinePunct w:val="0"/>
              <w:autoSpaceDE/>
              <w:autoSpaceDN/>
              <w:bidi w:val="0"/>
              <w:adjustRightInd/>
              <w:snapToGrid w:val="0"/>
              <w:spacing w:line="240" w:lineRule="auto"/>
              <w:ind w:left="0" w:leftChars="0" w:right="0" w:firstLine="0" w:firstLineChars="0"/>
              <w:jc w:val="both"/>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b w:val="0"/>
                <w:bCs w:val="0"/>
                <w:color w:val="auto"/>
                <w:spacing w:val="-2"/>
                <w:sz w:val="21"/>
                <w:szCs w:val="21"/>
                <w:highlight w:val="none"/>
              </w:rPr>
              <w:t>限</w:t>
            </w:r>
            <w:r>
              <w:rPr>
                <w:rFonts w:hint="default" w:ascii="Times New Roman" w:hAnsi="Times New Roman" w:eastAsia="宋体" w:cs="Times New Roman"/>
                <w:color w:val="auto"/>
                <w:spacing w:val="-7"/>
                <w:kern w:val="2"/>
                <w:sz w:val="21"/>
                <w:szCs w:val="21"/>
                <w:highlight w:val="none"/>
                <w:lang w:val="en-US" w:eastAsia="zh-CN" w:bidi="ar-SA"/>
              </w:rPr>
              <w:t>制、禁止发展产业清单</w:t>
            </w:r>
          </w:p>
        </w:tc>
        <w:tc>
          <w:tcPr>
            <w:tcW w:w="3059" w:type="pct"/>
            <w:tcBorders>
              <w:tl2br w:val="nil"/>
              <w:tr2bl w:val="nil"/>
            </w:tcBorders>
            <w:noWrap w:val="0"/>
            <w:vAlign w:val="center"/>
          </w:tcPr>
          <w:p w14:paraId="5CA802DB">
            <w:pPr>
              <w:keepNext w:val="0"/>
              <w:keepLines w:val="0"/>
              <w:pageBreakBefore w:val="0"/>
              <w:widowControl/>
              <w:numPr>
                <w:ilvl w:val="0"/>
                <w:numId w:val="0"/>
              </w:numPr>
              <w:kinsoku w:val="0"/>
              <w:wordWrap/>
              <w:overflowPunct/>
              <w:topLinePunct w:val="0"/>
              <w:autoSpaceDE w:val="0"/>
              <w:autoSpaceDN w:val="0"/>
              <w:bidi w:val="0"/>
              <w:adjustRightInd w:val="0"/>
              <w:snapToGrid w:val="0"/>
              <w:spacing w:line="240" w:lineRule="auto"/>
              <w:jc w:val="left"/>
              <w:textAlignment w:val="baseline"/>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b/>
                <w:bCs/>
                <w:snapToGrid w:val="0"/>
                <w:color w:val="auto"/>
                <w:kern w:val="0"/>
                <w:sz w:val="21"/>
                <w:szCs w:val="21"/>
                <w:highlight w:val="none"/>
                <w:lang w:val="en-US" w:eastAsia="en-US" w:bidi="ar-SA"/>
              </w:rPr>
              <w:t>（1）</w:t>
            </w:r>
            <w:r>
              <w:rPr>
                <w:rFonts w:hint="eastAsia" w:ascii="Times New Roman" w:hAnsi="Times New Roman" w:eastAsia="宋体" w:cs="Times New Roman"/>
                <w:b/>
                <w:bCs/>
                <w:color w:val="auto"/>
                <w:kern w:val="0"/>
                <w:sz w:val="21"/>
                <w:szCs w:val="21"/>
                <w:highlight w:val="none"/>
              </w:rPr>
              <w:t>智能电网产业</w:t>
            </w:r>
            <w:r>
              <w:rPr>
                <w:rFonts w:hint="eastAsia" w:ascii="Times New Roman" w:hAnsi="Times New Roman" w:eastAsia="宋体" w:cs="Times New Roman"/>
                <w:b/>
                <w:bCs/>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禁止含铅焊接工艺项目。</w:t>
            </w:r>
          </w:p>
          <w:p w14:paraId="731B538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240" w:lineRule="auto"/>
              <w:jc w:val="left"/>
              <w:textAlignment w:val="baseline"/>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b/>
                <w:bCs/>
                <w:snapToGrid w:val="0"/>
                <w:color w:val="auto"/>
                <w:kern w:val="0"/>
                <w:sz w:val="21"/>
                <w:szCs w:val="21"/>
                <w:highlight w:val="none"/>
                <w:lang w:val="en-US" w:eastAsia="en-US" w:bidi="ar-SA"/>
              </w:rPr>
              <w:t>（2）</w:t>
            </w:r>
            <w:r>
              <w:rPr>
                <w:rFonts w:hint="eastAsia" w:ascii="Times New Roman" w:hAnsi="Times New Roman" w:eastAsia="宋体" w:cs="Times New Roman"/>
                <w:b/>
                <w:bCs/>
                <w:color w:val="auto"/>
                <w:kern w:val="0"/>
                <w:sz w:val="21"/>
                <w:szCs w:val="21"/>
                <w:highlight w:val="none"/>
              </w:rPr>
              <w:t>绿色智能汽车</w:t>
            </w:r>
            <w:r>
              <w:rPr>
                <w:rFonts w:hint="eastAsia" w:ascii="Times New Roman" w:hAnsi="Times New Roman" w:eastAsia="宋体" w:cs="Times New Roman"/>
                <w:b/>
                <w:bCs/>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禁止4档以下机械式车用自动变速箱。</w:t>
            </w:r>
          </w:p>
          <w:p w14:paraId="02F8A6A2">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b/>
                <w:bCs/>
                <w:color w:val="auto"/>
                <w:kern w:val="0"/>
                <w:sz w:val="21"/>
                <w:szCs w:val="21"/>
                <w:highlight w:val="none"/>
                <w:lang w:eastAsia="zh-CN"/>
              </w:rPr>
              <w:t>（</w:t>
            </w:r>
            <w:r>
              <w:rPr>
                <w:rFonts w:hint="eastAsia" w:ascii="Times New Roman" w:hAnsi="Times New Roman" w:eastAsia="宋体" w:cs="Times New Roman"/>
                <w:b/>
                <w:bCs/>
                <w:color w:val="auto"/>
                <w:kern w:val="0"/>
                <w:sz w:val="21"/>
                <w:szCs w:val="21"/>
                <w:highlight w:val="none"/>
                <w:lang w:val="en-US" w:eastAsia="zh-CN"/>
              </w:rPr>
              <w:t>3</w:t>
            </w:r>
            <w:r>
              <w:rPr>
                <w:rFonts w:hint="eastAsia" w:ascii="Times New Roman" w:hAnsi="Times New Roman" w:eastAsia="宋体" w:cs="Times New Roman"/>
                <w:b/>
                <w:bCs/>
                <w:color w:val="auto"/>
                <w:kern w:val="0"/>
                <w:sz w:val="21"/>
                <w:szCs w:val="21"/>
                <w:highlight w:val="none"/>
                <w:lang w:eastAsia="zh-CN"/>
              </w:rPr>
              <w:t>）</w:t>
            </w:r>
            <w:r>
              <w:rPr>
                <w:rFonts w:hint="eastAsia" w:ascii="Times New Roman" w:hAnsi="Times New Roman" w:eastAsia="宋体" w:cs="Times New Roman"/>
                <w:b/>
                <w:bCs/>
                <w:color w:val="auto"/>
                <w:kern w:val="0"/>
                <w:sz w:val="21"/>
                <w:szCs w:val="21"/>
                <w:highlight w:val="none"/>
              </w:rPr>
              <w:t>制造业总体要求</w:t>
            </w:r>
            <w:r>
              <w:rPr>
                <w:rFonts w:hint="eastAsia" w:ascii="Times New Roman" w:hAnsi="Times New Roman" w:eastAsia="宋体" w:cs="Times New Roman"/>
                <w:b/>
                <w:bCs/>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禁止新</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扩</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建电镀项目，确属工艺需要、不能剥离电镀工序的项目，需由环保部门会同经济主管部门组织专家技术论证，通过专家论证同意后方可审批建设。</w:t>
            </w:r>
            <w:bookmarkStart w:id="1080" w:name="sys42688139"/>
            <w:r>
              <w:rPr>
                <w:rFonts w:hint="eastAsia" w:ascii="Times New Roman" w:hAnsi="Times New Roman" w:eastAsia="宋体" w:cs="Times New Roman"/>
                <w:color w:val="auto"/>
                <w:kern w:val="0"/>
                <w:sz w:val="21"/>
                <w:szCs w:val="21"/>
                <w:highlight w:val="none"/>
              </w:rPr>
              <w:t>禁止新</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扩</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建排放含汞、砷、镉、铬、铅等重金属以及持久性有机污染物的工业项目。</w:t>
            </w:r>
            <w:bookmarkEnd w:id="1080"/>
          </w:p>
          <w:p w14:paraId="2CD572A9">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Times New Roman" w:hAnsi="Times New Roman" w:eastAsia="宋体" w:cs="Times New Roman"/>
                <w:color w:val="auto"/>
                <w:kern w:val="0"/>
                <w:sz w:val="21"/>
                <w:szCs w:val="21"/>
                <w:highlight w:val="none"/>
              </w:rPr>
            </w:pPr>
            <w:bookmarkStart w:id="1081" w:name="sys4269053"/>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lang w:val="en-US" w:eastAsia="zh-CN"/>
              </w:rPr>
              <w:t>4</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禁止新</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扩</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建酿造、制革等水污染重的项目</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禁止新</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扩</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建工业生产废水排水量大于1000吨</w:t>
            </w:r>
            <w:r>
              <w:rPr>
                <w:rFonts w:hint="eastAsia" w:ascii="Times New Roman" w:hAnsi="Times New Roman" w:eastAsia="宋体" w:cs="Times New Roman"/>
                <w:color w:val="auto"/>
                <w:kern w:val="0"/>
                <w:sz w:val="21"/>
                <w:szCs w:val="21"/>
                <w:highlight w:val="none"/>
                <w:lang w:val="en-US" w:eastAsia="zh-CN"/>
              </w:rPr>
              <w:t>/</w:t>
            </w:r>
            <w:r>
              <w:rPr>
                <w:rFonts w:hint="eastAsia" w:ascii="Times New Roman" w:hAnsi="Times New Roman" w:eastAsia="宋体" w:cs="Times New Roman"/>
                <w:color w:val="auto"/>
                <w:kern w:val="0"/>
                <w:sz w:val="21"/>
                <w:szCs w:val="21"/>
                <w:highlight w:val="none"/>
              </w:rPr>
              <w:t>日的项目。</w:t>
            </w:r>
            <w:bookmarkEnd w:id="1081"/>
          </w:p>
          <w:p w14:paraId="36A46B9D">
            <w:pPr>
              <w:keepNext w:val="0"/>
              <w:keepLines w:val="0"/>
              <w:pageBreakBefore w:val="0"/>
              <w:widowControl/>
              <w:kinsoku w:val="0"/>
              <w:wordWrap/>
              <w:overflowPunct/>
              <w:topLinePunct w:val="0"/>
              <w:autoSpaceDE w:val="0"/>
              <w:autoSpaceDN w:val="0"/>
              <w:bidi w:val="0"/>
              <w:adjustRightInd w:val="0"/>
              <w:snapToGrid w:val="0"/>
              <w:spacing w:line="240" w:lineRule="auto"/>
              <w:jc w:val="left"/>
              <w:textAlignment w:val="baseline"/>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lang w:val="en-US" w:eastAsia="zh-CN"/>
              </w:rPr>
              <w:t>5</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禁止建设生产和使用高VOCs含量的溶剂型涂料</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油墨、</w:t>
            </w:r>
            <w:r>
              <w:rPr>
                <w:rFonts w:hint="eastAsia" w:ascii="Times New Roman" w:hAnsi="Times New Roman" w:eastAsia="宋体" w:cs="Times New Roman"/>
                <w:color w:val="auto"/>
                <w:kern w:val="0"/>
                <w:sz w:val="21"/>
                <w:szCs w:val="21"/>
                <w:highlight w:val="none"/>
                <w:lang w:eastAsia="zh-CN"/>
              </w:rPr>
              <w:t>胶黏剂</w:t>
            </w:r>
            <w:r>
              <w:rPr>
                <w:rFonts w:hint="eastAsia" w:ascii="Times New Roman" w:hAnsi="Times New Roman" w:eastAsia="宋体" w:cs="Times New Roman"/>
                <w:color w:val="auto"/>
                <w:kern w:val="0"/>
                <w:sz w:val="21"/>
                <w:szCs w:val="21"/>
                <w:highlight w:val="none"/>
              </w:rPr>
              <w:t>等项目。</w:t>
            </w:r>
          </w:p>
          <w:p w14:paraId="3A003DA7">
            <w:pPr>
              <w:keepNext w:val="0"/>
              <w:keepLines w:val="0"/>
              <w:pageBreakBefore w:val="0"/>
              <w:widowControl w:val="0"/>
              <w:kinsoku/>
              <w:wordWrap/>
              <w:overflowPunct/>
              <w:topLinePunct w:val="0"/>
              <w:autoSpaceDE/>
              <w:autoSpaceDN/>
              <w:bidi w:val="0"/>
              <w:adjustRightInd/>
              <w:snapToGrid w:val="0"/>
              <w:spacing w:line="240" w:lineRule="auto"/>
              <w:ind w:right="0"/>
              <w:jc w:val="left"/>
              <w:textAlignment w:val="auto"/>
              <w:rPr>
                <w:rFonts w:hint="default" w:ascii="Times New Roman" w:hAnsi="Times New Roman" w:eastAsia="宋体" w:cs="Times New Roman"/>
                <w:color w:val="auto"/>
                <w:spacing w:val="-7"/>
                <w:sz w:val="21"/>
                <w:szCs w:val="21"/>
                <w:highlight w:val="none"/>
              </w:rPr>
            </w:pP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lang w:val="en-US" w:eastAsia="zh-CN"/>
              </w:rPr>
              <w:t>6</w:t>
            </w: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rPr>
              <w:t>禁止引入燃用高污染燃料的项目和设施</w:t>
            </w:r>
            <w:r>
              <w:rPr>
                <w:rFonts w:hint="eastAsia" w:ascii="Times New Roman" w:hAnsi="Times New Roman" w:eastAsia="宋体" w:cs="Times New Roman"/>
                <w:color w:val="auto"/>
                <w:kern w:val="0"/>
                <w:sz w:val="21"/>
                <w:szCs w:val="21"/>
                <w:highlight w:val="none"/>
                <w:lang w:eastAsia="zh-CN"/>
              </w:rPr>
              <w:t>。</w:t>
            </w:r>
          </w:p>
        </w:tc>
        <w:tc>
          <w:tcPr>
            <w:tcW w:w="1209" w:type="pct"/>
            <w:tcBorders>
              <w:tl2br w:val="nil"/>
              <w:tr2bl w:val="nil"/>
            </w:tcBorders>
            <w:noWrap w:val="0"/>
            <w:vAlign w:val="center"/>
          </w:tcPr>
          <w:p w14:paraId="1CBAC16C">
            <w:pPr>
              <w:keepNext w:val="0"/>
              <w:keepLines w:val="0"/>
              <w:pageBreakBefore w:val="0"/>
              <w:widowControl w:val="0"/>
              <w:kinsoku/>
              <w:wordWrap/>
              <w:overflowPunct/>
              <w:topLinePunct w:val="0"/>
              <w:autoSpaceDE/>
              <w:autoSpaceDN/>
              <w:bidi w:val="0"/>
              <w:adjustRightInd/>
              <w:snapToGrid w:val="0"/>
              <w:spacing w:line="240" w:lineRule="auto"/>
              <w:ind w:right="0"/>
              <w:textAlignment w:val="auto"/>
              <w:rPr>
                <w:rFonts w:hint="eastAsia" w:ascii="Times New Roman" w:hAnsi="Times New Roman" w:eastAsia="宋体" w:cs="Times New Roman"/>
                <w:b w:val="0"/>
                <w:bCs/>
                <w:color w:val="auto"/>
                <w:kern w:val="0"/>
                <w:sz w:val="21"/>
                <w:szCs w:val="21"/>
                <w:highlight w:val="none"/>
                <w:lang w:val="en-US" w:eastAsia="zh-CN" w:bidi="ar-SA"/>
              </w:rPr>
            </w:pPr>
            <w:r>
              <w:rPr>
                <w:rFonts w:hint="eastAsia" w:ascii="Times New Roman" w:hAnsi="Times New Roman" w:eastAsia="宋体" w:cs="Times New Roman"/>
                <w:b w:val="0"/>
                <w:bCs/>
                <w:color w:val="auto"/>
                <w:kern w:val="0"/>
                <w:sz w:val="21"/>
                <w:szCs w:val="21"/>
                <w:highlight w:val="none"/>
                <w:lang w:val="en-US" w:eastAsia="zh-CN" w:bidi="ar-SA"/>
              </w:rPr>
              <w:t>区域内企业均不属于</w:t>
            </w:r>
            <w:r>
              <w:rPr>
                <w:rFonts w:hint="default" w:ascii="Times New Roman" w:hAnsi="Times New Roman" w:eastAsia="宋体" w:cs="Times New Roman"/>
                <w:b w:val="0"/>
                <w:bCs/>
                <w:color w:val="auto"/>
                <w:kern w:val="0"/>
                <w:sz w:val="21"/>
                <w:szCs w:val="21"/>
                <w:highlight w:val="none"/>
                <w:lang w:val="en-US" w:eastAsia="zh-CN" w:bidi="ar-SA"/>
              </w:rPr>
              <w:t>限制、禁止发展产业清单</w:t>
            </w:r>
            <w:r>
              <w:rPr>
                <w:rFonts w:hint="eastAsia" w:ascii="Times New Roman" w:hAnsi="Times New Roman" w:eastAsia="宋体" w:cs="Times New Roman"/>
                <w:b w:val="0"/>
                <w:bCs/>
                <w:color w:val="auto"/>
                <w:kern w:val="0"/>
                <w:sz w:val="21"/>
                <w:szCs w:val="21"/>
                <w:highlight w:val="none"/>
                <w:lang w:val="en-US" w:eastAsia="zh-CN" w:bidi="ar-SA"/>
              </w:rPr>
              <w:t>。</w:t>
            </w:r>
          </w:p>
        </w:tc>
      </w:tr>
    </w:tbl>
    <w:p w14:paraId="0E827E44">
      <w:pPr>
        <w:bidi w:val="0"/>
        <w:rPr>
          <w:rFonts w:hint="default"/>
          <w:color w:val="auto"/>
          <w:highlight w:val="none"/>
          <w:lang w:val="en-US" w:eastAsia="zh-CN"/>
        </w:rPr>
        <w:sectPr>
          <w:headerReference r:id="rId15" w:type="default"/>
          <w:footerReference r:id="rId16" w:type="default"/>
          <w:pgSz w:w="11907" w:h="16839"/>
          <w:pgMar w:top="1134" w:right="1769" w:bottom="1168" w:left="1771" w:header="863" w:footer="991" w:gutter="0"/>
          <w:pgBorders>
            <w:top w:val="none" w:sz="0" w:space="0"/>
            <w:left w:val="none" w:sz="0" w:space="0"/>
            <w:bottom w:val="none" w:sz="0" w:space="0"/>
            <w:right w:val="none" w:sz="0" w:space="0"/>
          </w:pgBorders>
          <w:pgNumType w:fmt="decimal"/>
          <w:cols w:space="720" w:num="1"/>
        </w:sectPr>
      </w:pPr>
    </w:p>
    <w:bookmarkEnd w:id="1074"/>
    <w:p w14:paraId="13F9B215">
      <w:pPr>
        <w:keepNext w:val="0"/>
        <w:keepLines w:val="0"/>
        <w:pageBreakBefore w:val="0"/>
        <w:widowControl/>
        <w:kinsoku w:val="0"/>
        <w:wordWrap/>
        <w:overflowPunct/>
        <w:topLinePunct w:val="0"/>
        <w:autoSpaceDE w:val="0"/>
        <w:autoSpaceDN w:val="0"/>
        <w:bidi w:val="0"/>
        <w:adjustRightInd w:val="0"/>
        <w:snapToGrid w:val="0"/>
        <w:spacing w:before="91" w:line="360" w:lineRule="auto"/>
        <w:textAlignment w:val="baseline"/>
        <w:outlineLvl w:val="0"/>
        <w:rPr>
          <w:rFonts w:hint="eastAsia" w:ascii="Times New Roman" w:hAnsi="Times New Roman" w:eastAsia="Times New Roman" w:cs="Times New Roman"/>
          <w:b/>
          <w:bCs/>
          <w:color w:val="auto"/>
          <w:spacing w:val="-2"/>
          <w:sz w:val="28"/>
          <w:szCs w:val="28"/>
          <w:highlight w:val="none"/>
          <w:lang w:val="en-US" w:eastAsia="zh-CN"/>
        </w:rPr>
      </w:pPr>
      <w:bookmarkStart w:id="1082" w:name="bookmark45"/>
      <w:bookmarkEnd w:id="1082"/>
      <w:bookmarkStart w:id="1083" w:name="_Toc23995"/>
      <w:r>
        <w:rPr>
          <w:rFonts w:hint="eastAsia" w:ascii="Times New Roman" w:hAnsi="Times New Roman" w:eastAsia="Times New Roman" w:cs="Times New Roman"/>
          <w:b/>
          <w:bCs/>
          <w:color w:val="auto"/>
          <w:spacing w:val="-2"/>
          <w:sz w:val="28"/>
          <w:szCs w:val="28"/>
          <w:highlight w:val="none"/>
          <w:lang w:val="en-US" w:eastAsia="zh-CN"/>
        </w:rPr>
        <w:t>5分析判定相关情况</w:t>
      </w:r>
      <w:bookmarkEnd w:id="1083"/>
      <w:bookmarkStart w:id="1084" w:name="pindex4274"/>
      <w:bookmarkEnd w:id="1084"/>
    </w:p>
    <w:p w14:paraId="55744EC9">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ascii="Times New Roman" w:hAnsi="Times New Roman" w:eastAsia="Times New Roman" w:cs="Times New Roman"/>
          <w:b/>
          <w:bCs/>
          <w:color w:val="auto"/>
          <w:spacing w:val="-3"/>
          <w:sz w:val="24"/>
          <w:szCs w:val="24"/>
          <w:highlight w:val="none"/>
        </w:rPr>
      </w:pPr>
      <w:bookmarkStart w:id="1085" w:name="bookmark47"/>
      <w:bookmarkEnd w:id="1085"/>
      <w:bookmarkStart w:id="1086" w:name="_Toc11104"/>
      <w:r>
        <w:rPr>
          <w:rFonts w:hint="eastAsia" w:ascii="Times New Roman" w:hAnsi="Times New Roman" w:eastAsia="Times New Roman" w:cs="Times New Roman"/>
          <w:b/>
          <w:bCs/>
          <w:color w:val="auto"/>
          <w:spacing w:val="-3"/>
          <w:sz w:val="24"/>
          <w:szCs w:val="24"/>
          <w:highlight w:val="none"/>
          <w:lang w:val="en-US" w:eastAsia="zh-CN"/>
        </w:rPr>
        <w:t>5.1</w:t>
      </w:r>
      <w:r>
        <w:rPr>
          <w:rFonts w:ascii="Times New Roman" w:hAnsi="Times New Roman" w:eastAsia="Times New Roman" w:cs="Times New Roman"/>
          <w:b/>
          <w:bCs/>
          <w:color w:val="auto"/>
          <w:spacing w:val="-3"/>
          <w:sz w:val="24"/>
          <w:szCs w:val="24"/>
          <w:highlight w:val="none"/>
        </w:rPr>
        <w:t>与区域主导产业相关的政策、规范相符性分析</w:t>
      </w:r>
      <w:bookmarkEnd w:id="1086"/>
      <w:bookmarkStart w:id="1087" w:name="pindex4275"/>
      <w:bookmarkEnd w:id="1087"/>
    </w:p>
    <w:p w14:paraId="60E6A525">
      <w:pPr>
        <w:tabs>
          <w:tab w:val="left" w:pos="993"/>
          <w:tab w:val="left" w:pos="1050"/>
          <w:tab w:val="left" w:pos="8789"/>
        </w:tabs>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开发区</w:t>
      </w:r>
      <w:r>
        <w:rPr>
          <w:rFonts w:hint="default" w:ascii="Times New Roman" w:hAnsi="Times New Roman" w:eastAsia="宋体" w:cs="Times New Roman"/>
          <w:color w:val="auto"/>
          <w:sz w:val="24"/>
          <w:szCs w:val="24"/>
          <w:highlight w:val="none"/>
          <w:lang w:val="en-US" w:eastAsia="zh-CN"/>
        </w:rPr>
        <w:t>构建形成包含绿色智能汽车、新一代信息技术、智能制造、智能电网四大主导产业；</w:t>
      </w:r>
      <w:bookmarkStart w:id="1088" w:name="sys42764040"/>
      <w:r>
        <w:rPr>
          <w:rFonts w:hint="default" w:ascii="Times New Roman" w:hAnsi="Times New Roman" w:eastAsia="宋体" w:cs="Times New Roman"/>
          <w:color w:val="auto"/>
          <w:sz w:val="24"/>
          <w:szCs w:val="24"/>
          <w:highlight w:val="none"/>
          <w:lang w:val="en-US" w:eastAsia="zh-CN"/>
        </w:rPr>
        <w:t>临空产业、集成电路产业、医药大健康产业、轨道交通产业及节能环保产业五大新兴产业；</w:t>
      </w:r>
      <w:bookmarkEnd w:id="1088"/>
      <w:bookmarkStart w:id="1089" w:name="sys42768079"/>
      <w:r>
        <w:rPr>
          <w:rFonts w:hint="default" w:ascii="Times New Roman" w:hAnsi="Times New Roman" w:eastAsia="宋体" w:cs="Times New Roman"/>
          <w:color w:val="auto"/>
          <w:sz w:val="24"/>
          <w:szCs w:val="24"/>
          <w:highlight w:val="none"/>
          <w:lang w:val="en-US" w:eastAsia="zh-CN"/>
        </w:rPr>
        <w:t>高端商务商贸产业，新金融产业、文化休旅产业三大现代服务业，以未来网络、人工智能、未来材料、未来探测为代表的一批未来产业的“4+5+3+1”高端现代化产业体系</w:t>
      </w:r>
      <w:r>
        <w:rPr>
          <w:rFonts w:hint="default" w:ascii="Times New Roman" w:hAnsi="Times New Roman" w:eastAsia="宋体" w:cs="Times New Roman"/>
          <w:color w:val="auto"/>
          <w:sz w:val="24"/>
          <w:szCs w:val="24"/>
          <w:highlight w:val="none"/>
        </w:rPr>
        <w:t>。</w:t>
      </w:r>
      <w:bookmarkEnd w:id="1089"/>
    </w:p>
    <w:p w14:paraId="160D7944">
      <w:pPr>
        <w:keepNext w:val="0"/>
        <w:keepLines w:val="0"/>
        <w:pageBreakBefore w:val="0"/>
        <w:widowControl/>
        <w:tabs>
          <w:tab w:val="left" w:pos="993"/>
          <w:tab w:val="left" w:pos="1050"/>
          <w:tab w:val="left" w:pos="8789"/>
        </w:tabs>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1090" w:name="sys42770107"/>
      <w:r>
        <w:rPr>
          <w:rFonts w:hint="default" w:ascii="Times New Roman" w:hAnsi="Times New Roman" w:eastAsia="宋体" w:cs="Times New Roman"/>
          <w:color w:val="auto"/>
          <w:sz w:val="24"/>
          <w:szCs w:val="24"/>
          <w:highlight w:val="none"/>
        </w:rPr>
        <w:t>规划实施后，后续可入区建设项目均符合开发区规划产业定位，以及《产业结构调整指导目录》（20</w:t>
      </w:r>
      <w:r>
        <w:rPr>
          <w:rFonts w:hint="eastAsia"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年</w:t>
      </w:r>
      <w:sdt>
        <w:sdtPr>
          <w:rPr>
            <w:color w:val="auto"/>
            <w:highlight w:val="none"/>
          </w:rPr>
          <w:alias w:val="易错词检查"/>
          <w:tag w:val="0000FF"/>
          <w:id w:val="30524"/>
        </w:sdtPr>
        <w:sdtEndPr>
          <w:rPr>
            <w:color w:val="auto"/>
            <w:highlight w:val="none"/>
          </w:rPr>
        </w:sdtEndPr>
        <w:sdtContent>
          <w:bookmarkStart w:id="1091" w:name="bkReivew30524"/>
          <w:r>
            <w:rPr>
              <w:rFonts w:hint="default" w:ascii="Times New Roman" w:hAnsi="Times New Roman" w:eastAsia="宋体" w:cs="Times New Roman"/>
              <w:color w:val="auto"/>
              <w:sz w:val="24"/>
              <w:szCs w:val="24"/>
              <w:highlight w:val="none"/>
            </w:rPr>
            <w:t>本</w:t>
          </w:r>
          <w:bookmarkEnd w:id="1091"/>
        </w:sdtContent>
      </w:sdt>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《外商投资准入特别管理措施（负面清单）》（20</w:t>
      </w:r>
      <w:r>
        <w:rPr>
          <w:rFonts w:hint="eastAsia" w:ascii="Times New Roman" w:hAnsi="Times New Roman" w:eastAsia="宋体" w:cs="Times New Roman"/>
          <w:color w:val="auto"/>
          <w:sz w:val="24"/>
          <w:szCs w:val="24"/>
          <w:highlight w:val="none"/>
          <w:lang w:val="en-US" w:eastAsia="zh-CN"/>
        </w:rPr>
        <w:t>21</w:t>
      </w:r>
      <w:r>
        <w:rPr>
          <w:rFonts w:hint="default" w:ascii="Times New Roman" w:hAnsi="Times New Roman" w:eastAsia="宋体" w:cs="Times New Roman"/>
          <w:color w:val="auto"/>
          <w:sz w:val="24"/>
          <w:szCs w:val="24"/>
          <w:highlight w:val="none"/>
        </w:rPr>
        <w:t>年版）《鼓励外商投资产业目录》（20</w:t>
      </w:r>
      <w:r>
        <w:rPr>
          <w:rFonts w:hint="eastAsia" w:ascii="Times New Roman" w:hAnsi="Times New Roman" w:eastAsia="宋体" w:cs="Times New Roman"/>
          <w:color w:val="auto"/>
          <w:sz w:val="24"/>
          <w:szCs w:val="24"/>
          <w:highlight w:val="none"/>
          <w:lang w:val="en-US" w:eastAsia="zh-CN"/>
        </w:rPr>
        <w:t>22</w:t>
      </w:r>
      <w:r>
        <w:rPr>
          <w:rFonts w:hint="default" w:ascii="Times New Roman" w:hAnsi="Times New Roman" w:eastAsia="宋体" w:cs="Times New Roman"/>
          <w:color w:val="auto"/>
          <w:sz w:val="24"/>
          <w:szCs w:val="24"/>
          <w:highlight w:val="none"/>
        </w:rPr>
        <w:t>年版）等相关产业政策。</w:t>
      </w:r>
      <w:bookmarkEnd w:id="1090"/>
      <w:r>
        <w:rPr>
          <w:rFonts w:hint="eastAsia" w:ascii="Times New Roman" w:hAnsi="Times New Roman" w:eastAsia="宋体" w:cs="Times New Roman"/>
          <w:color w:val="auto"/>
          <w:sz w:val="24"/>
          <w:szCs w:val="24"/>
          <w:highlight w:val="none"/>
          <w:lang w:val="en-US" w:eastAsia="zh-CN"/>
        </w:rPr>
        <w:t>对列入《重点管控新污染物清单（2023年版）》的新污染物，应当按照《南京市新污染物治理工作方案》相关要求采取禁止、限值、限排等环境风险管控措施；对列入《优先控制化学品名录》的化学品，针对其产生环境与健康风险的主要环节，依据相关政策法规，结合经济技术可行性，采取纳入排污许可制度管理、实行限制措施（限制使用、鼓励替代）、实施清洁生产审核及信息公开等一种或几种风险管控措施，最大限度降低化学品的生产、使用对人类健康和环境的重大影响；根据《南京市危险化学品禁止、限制和控制目录》，江宁区共有349种限制和控制类危险化学品，《限控目录》所列危险化学品，其生产、储存、使用和经营应符合所在板块行业和用途的限控要求；根据</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省生态环境厅印发关于进一步加强重金属污染防控工作的实施方案的通知</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苏环办〔2022〕155号），对重点企业重有色金属矿采选业（铜、铅锌、镍钴、锡、锑和汞矿采选），重有色金属冶炼业（铜、铅锌、镍钴锡、锑和汞冶炼），铅蓄电池制造业，电镀行业，化学原料及化学制品制造业（电石法聚氯乙烯制造、铬盐制造、以工业固体废物为原料的锌无机化合物工业），皮革制加工业等6个行业。重点污染物（铅、汞、镉、铬、砷、铊和锑）实施管控。</w:t>
      </w:r>
    </w:p>
    <w:p w14:paraId="2375712C">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hint="default" w:ascii="Times New Roman" w:hAnsi="Times New Roman" w:eastAsia="Times New Roman" w:cs="Times New Roman"/>
          <w:b/>
          <w:bCs/>
          <w:color w:val="auto"/>
          <w:spacing w:val="-3"/>
          <w:sz w:val="24"/>
          <w:szCs w:val="24"/>
          <w:highlight w:val="none"/>
          <w:lang w:val="en-US" w:eastAsia="zh-CN"/>
        </w:rPr>
      </w:pPr>
      <w:bookmarkStart w:id="1092" w:name="_Toc17188"/>
      <w:r>
        <w:rPr>
          <w:rFonts w:hint="eastAsia" w:ascii="Times New Roman" w:hAnsi="Times New Roman" w:eastAsia="Times New Roman" w:cs="Times New Roman"/>
          <w:b/>
          <w:bCs/>
          <w:color w:val="auto"/>
          <w:spacing w:val="-3"/>
          <w:sz w:val="24"/>
          <w:szCs w:val="24"/>
          <w:highlight w:val="none"/>
          <w:lang w:val="en-US" w:eastAsia="zh-CN"/>
        </w:rPr>
        <w:t>5.2园区环境准入</w:t>
      </w:r>
      <w:bookmarkEnd w:id="1092"/>
      <w:bookmarkStart w:id="1093" w:name="pindex4278"/>
      <w:bookmarkEnd w:id="1093"/>
    </w:p>
    <w:p w14:paraId="1F85E617">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2"/>
        <w:rPr>
          <w:rFonts w:hint="eastAsia" w:ascii="Times New Roman" w:hAnsi="Times New Roman" w:eastAsia="Times New Roman" w:cs="Times New Roman"/>
          <w:b/>
          <w:bCs/>
          <w:color w:val="auto"/>
          <w:spacing w:val="-3"/>
          <w:sz w:val="24"/>
          <w:szCs w:val="24"/>
          <w:highlight w:val="none"/>
          <w:lang w:val="en-US" w:eastAsia="zh-CN"/>
        </w:rPr>
      </w:pPr>
      <w:bookmarkStart w:id="1094" w:name="_Toc21550"/>
      <w:r>
        <w:rPr>
          <w:rFonts w:hint="eastAsia" w:ascii="Times New Roman" w:hAnsi="Times New Roman" w:eastAsia="Times New Roman" w:cs="Times New Roman"/>
          <w:b/>
          <w:bCs/>
          <w:color w:val="auto"/>
          <w:spacing w:val="-3"/>
          <w:sz w:val="24"/>
          <w:szCs w:val="24"/>
          <w:highlight w:val="none"/>
          <w:lang w:val="en-US" w:eastAsia="zh-CN"/>
        </w:rPr>
        <w:t>5.2.1</w:t>
      </w:r>
      <w:bookmarkStart w:id="1095" w:name="OLE_LINK351"/>
      <w:r>
        <w:rPr>
          <w:rFonts w:hint="eastAsia" w:ascii="Times New Roman" w:hAnsi="Times New Roman" w:eastAsia="Times New Roman" w:cs="Times New Roman"/>
          <w:b/>
          <w:bCs/>
          <w:color w:val="auto"/>
          <w:spacing w:val="-3"/>
          <w:sz w:val="24"/>
          <w:szCs w:val="24"/>
          <w:highlight w:val="none"/>
          <w:lang w:val="en-US" w:eastAsia="zh-CN"/>
        </w:rPr>
        <w:t>生态保护红线</w:t>
      </w:r>
      <w:bookmarkEnd w:id="1095"/>
      <w:r>
        <w:rPr>
          <w:rFonts w:hint="eastAsia" w:ascii="Times New Roman" w:hAnsi="Times New Roman" w:eastAsia="Times New Roman" w:cs="Times New Roman"/>
          <w:b/>
          <w:bCs/>
          <w:color w:val="auto"/>
          <w:spacing w:val="-3"/>
          <w:sz w:val="24"/>
          <w:szCs w:val="24"/>
          <w:highlight w:val="none"/>
          <w:lang w:val="en-US" w:eastAsia="zh-CN"/>
        </w:rPr>
        <w:t>及生态空间管控区域</w:t>
      </w:r>
      <w:bookmarkEnd w:id="1094"/>
      <w:bookmarkStart w:id="1096" w:name="pindex4279"/>
      <w:bookmarkEnd w:id="1096"/>
    </w:p>
    <w:p w14:paraId="14CF43F0">
      <w:pPr>
        <w:pStyle w:val="8"/>
        <w:keepNext w:val="0"/>
        <w:keepLines w:val="0"/>
        <w:pageBreakBefore w:val="0"/>
        <w:widowControl/>
        <w:kinsoku/>
        <w:wordWrap/>
        <w:overflowPunct/>
        <w:topLinePunct w:val="0"/>
        <w:autoSpaceDE w:val="0"/>
        <w:autoSpaceDN w:val="0"/>
        <w:bidi w:val="0"/>
        <w:adjustRightInd w:val="0"/>
        <w:snapToGrid w:val="0"/>
        <w:spacing w:line="360" w:lineRule="auto"/>
        <w:ind w:firstLine="496" w:firstLineChars="200"/>
        <w:textAlignment w:val="baseline"/>
        <w:rPr>
          <w:rFonts w:hint="default" w:ascii="Times New Roman" w:hAnsi="Times New Roman" w:eastAsia="宋体" w:cs="Times New Roman"/>
          <w:snapToGrid w:val="0"/>
          <w:color w:val="auto"/>
          <w:kern w:val="0"/>
          <w:sz w:val="24"/>
          <w:szCs w:val="24"/>
          <w:highlight w:val="none"/>
          <w:lang w:val="en-US" w:eastAsia="zh-CN" w:bidi="ar-SA"/>
        </w:rPr>
      </w:pPr>
      <w:bookmarkStart w:id="1097" w:name="sys42800230"/>
      <w:r>
        <w:rPr>
          <w:rFonts w:ascii="宋体" w:hAnsi="宋体" w:eastAsia="宋体" w:cs="宋体"/>
          <w:color w:val="auto"/>
          <w:spacing w:val="4"/>
          <w:sz w:val="24"/>
          <w:szCs w:val="24"/>
          <w:highlight w:val="none"/>
        </w:rPr>
        <w:t>本次评估范围内生态环境保护目标主要</w:t>
      </w:r>
      <w:bookmarkStart w:id="1098" w:name="OLE_LINK350"/>
      <w:bookmarkStart w:id="1099" w:name="OLE_LINK794"/>
      <w:r>
        <w:rPr>
          <w:rFonts w:hint="default" w:ascii="Times New Roman" w:hAnsi="Times New Roman" w:eastAsia="宋体" w:cs="Times New Roman"/>
          <w:color w:val="auto"/>
          <w:spacing w:val="-6"/>
          <w:sz w:val="24"/>
          <w:szCs w:val="24"/>
          <w:highlight w:val="none"/>
          <w:lang w:val="en-US" w:eastAsia="zh-CN"/>
        </w:rPr>
        <w:t>对照《自然资源部办公厅关于北京等省</w:t>
      </w:r>
      <w:r>
        <w:rPr>
          <w:rFonts w:hint="eastAsia" w:ascii="Times New Roman" w:hAnsi="Times New Roman" w:eastAsia="宋体" w:cs="Times New Roman"/>
          <w:color w:val="auto"/>
          <w:spacing w:val="-6"/>
          <w:sz w:val="24"/>
          <w:szCs w:val="24"/>
          <w:highlight w:val="none"/>
          <w:lang w:val="en-US" w:eastAsia="zh-CN"/>
        </w:rPr>
        <w:t>（</w:t>
      </w:r>
      <w:r>
        <w:rPr>
          <w:rFonts w:hint="default" w:ascii="Times New Roman" w:hAnsi="Times New Roman" w:eastAsia="宋体" w:cs="Times New Roman"/>
          <w:color w:val="auto"/>
          <w:spacing w:val="-6"/>
          <w:sz w:val="24"/>
          <w:szCs w:val="24"/>
          <w:highlight w:val="none"/>
          <w:lang w:val="en-US" w:eastAsia="zh-CN"/>
        </w:rPr>
        <w:t>区、市</w:t>
      </w:r>
      <w:r>
        <w:rPr>
          <w:rFonts w:hint="eastAsia" w:ascii="Times New Roman" w:hAnsi="Times New Roman" w:eastAsia="宋体" w:cs="Times New Roman"/>
          <w:color w:val="auto"/>
          <w:spacing w:val="-6"/>
          <w:sz w:val="24"/>
          <w:szCs w:val="24"/>
          <w:highlight w:val="none"/>
          <w:lang w:val="en-US" w:eastAsia="zh-CN"/>
        </w:rPr>
        <w:t>）</w:t>
      </w:r>
      <w:r>
        <w:rPr>
          <w:rFonts w:hint="default" w:ascii="Times New Roman" w:hAnsi="Times New Roman" w:eastAsia="宋体" w:cs="Times New Roman"/>
          <w:color w:val="auto"/>
          <w:spacing w:val="-6"/>
          <w:sz w:val="24"/>
          <w:szCs w:val="24"/>
          <w:highlight w:val="none"/>
          <w:lang w:val="en-US" w:eastAsia="zh-CN"/>
        </w:rPr>
        <w:t>启用“三区三线”划定成果作为报批建设项目用地用海依据的函》（自然资办函〔202</w:t>
      </w:r>
      <w:r>
        <w:rPr>
          <w:rFonts w:hint="eastAsia" w:ascii="Times New Roman" w:hAnsi="Times New Roman" w:eastAsia="宋体" w:cs="Times New Roman"/>
          <w:color w:val="auto"/>
          <w:spacing w:val="-6"/>
          <w:sz w:val="24"/>
          <w:szCs w:val="24"/>
          <w:highlight w:val="none"/>
          <w:lang w:val="en-US" w:eastAsia="zh-CN"/>
        </w:rPr>
        <w:t>2</w:t>
      </w:r>
      <w:r>
        <w:rPr>
          <w:rFonts w:hint="default" w:ascii="Times New Roman" w:hAnsi="Times New Roman" w:eastAsia="宋体" w:cs="Times New Roman"/>
          <w:color w:val="auto"/>
          <w:spacing w:val="-6"/>
          <w:sz w:val="24"/>
          <w:szCs w:val="24"/>
          <w:highlight w:val="none"/>
          <w:lang w:val="en-US" w:eastAsia="zh-CN"/>
        </w:rPr>
        <w:t>〕2207号）、南京市“三区三线”划定成果、《南京市江宁区2023年度生态空间管控区调整方案》《江苏省自然资源厅关于南京市江宁区2023年度生态空间管控区调整方案的复函》（苏自然资函〔2023〕1058号）</w:t>
      </w:r>
      <w:r>
        <w:rPr>
          <w:rFonts w:hint="default" w:ascii="Times New Roman" w:hAnsi="Times New Roman" w:eastAsia="宋体" w:cs="Times New Roman"/>
          <w:color w:val="auto"/>
          <w:spacing w:val="-6"/>
          <w:sz w:val="24"/>
          <w:szCs w:val="24"/>
          <w:highlight w:val="none"/>
        </w:rPr>
        <w:t>进行确定</w:t>
      </w:r>
      <w:bookmarkEnd w:id="1098"/>
      <w:r>
        <w:rPr>
          <w:rFonts w:ascii="宋体" w:hAnsi="宋体" w:eastAsia="宋体" w:cs="宋体"/>
          <w:color w:val="auto"/>
          <w:spacing w:val="-6"/>
          <w:sz w:val="24"/>
          <w:szCs w:val="24"/>
          <w:highlight w:val="none"/>
        </w:rPr>
        <w:t>，</w:t>
      </w:r>
      <w:r>
        <w:rPr>
          <w:rFonts w:hint="eastAsia" w:ascii="宋体" w:hAnsi="宋体" w:eastAsia="宋体" w:cs="宋体"/>
          <w:color w:val="auto"/>
          <w:spacing w:val="-6"/>
          <w:sz w:val="24"/>
          <w:szCs w:val="24"/>
          <w:highlight w:val="none"/>
          <w:lang w:val="en-US" w:eastAsia="zh-CN"/>
        </w:rPr>
        <w:t>本次评估范围内</w:t>
      </w:r>
      <w:r>
        <w:rPr>
          <w:rFonts w:hint="eastAsia" w:ascii="宋体" w:hAnsi="宋体" w:eastAsia="宋体" w:cs="宋体"/>
          <w:color w:val="auto"/>
          <w:spacing w:val="-7"/>
          <w:sz w:val="24"/>
          <w:szCs w:val="24"/>
          <w:highlight w:val="none"/>
          <w:lang w:val="en-US" w:eastAsia="zh-CN"/>
        </w:rPr>
        <w:t>及周边</w:t>
      </w:r>
      <w:r>
        <w:rPr>
          <w:rFonts w:ascii="宋体" w:hAnsi="宋体" w:eastAsia="宋体" w:cs="宋体"/>
          <w:color w:val="auto"/>
          <w:spacing w:val="-7"/>
          <w:sz w:val="24"/>
          <w:szCs w:val="24"/>
          <w:highlight w:val="none"/>
        </w:rPr>
        <w:t>生态</w:t>
      </w:r>
      <w:r>
        <w:rPr>
          <w:rFonts w:ascii="宋体" w:hAnsi="宋体" w:eastAsia="宋体" w:cs="宋体"/>
          <w:color w:val="auto"/>
          <w:spacing w:val="-3"/>
          <w:sz w:val="24"/>
          <w:szCs w:val="24"/>
          <w:highlight w:val="none"/>
        </w:rPr>
        <w:t>保护红线区域</w:t>
      </w:r>
      <w:r>
        <w:rPr>
          <w:rFonts w:hint="eastAsia" w:ascii="宋体" w:hAnsi="宋体" w:eastAsia="宋体" w:cs="宋体"/>
          <w:color w:val="auto"/>
          <w:spacing w:val="-3"/>
          <w:sz w:val="24"/>
          <w:szCs w:val="24"/>
          <w:highlight w:val="none"/>
          <w:lang w:eastAsia="zh-CN"/>
        </w:rPr>
        <w:t>、</w:t>
      </w:r>
      <w:r>
        <w:rPr>
          <w:rFonts w:ascii="宋体" w:hAnsi="宋体" w:eastAsia="宋体" w:cs="宋体"/>
          <w:color w:val="auto"/>
          <w:spacing w:val="-3"/>
          <w:sz w:val="24"/>
          <w:szCs w:val="24"/>
          <w:highlight w:val="none"/>
        </w:rPr>
        <w:t>生态空间管控区域</w:t>
      </w:r>
      <w:r>
        <w:rPr>
          <w:rFonts w:ascii="宋体" w:hAnsi="宋体" w:eastAsia="宋体" w:cs="宋体"/>
          <w:color w:val="auto"/>
          <w:spacing w:val="-4"/>
          <w:sz w:val="24"/>
          <w:szCs w:val="24"/>
          <w:highlight w:val="none"/>
        </w:rPr>
        <w:t>共有</w:t>
      </w:r>
      <w:r>
        <w:rPr>
          <w:rFonts w:hint="eastAsia" w:ascii="Times New Roman" w:hAnsi="Times New Roman" w:eastAsia="宋体" w:cs="Times New Roman"/>
          <w:color w:val="auto"/>
          <w:spacing w:val="-4"/>
          <w:sz w:val="24"/>
          <w:szCs w:val="24"/>
          <w:highlight w:val="none"/>
          <w:lang w:val="en-US" w:eastAsia="zh-CN"/>
        </w:rPr>
        <w:t>7</w:t>
      </w:r>
      <w:r>
        <w:rPr>
          <w:rFonts w:ascii="宋体" w:hAnsi="宋体" w:eastAsia="宋体" w:cs="宋体"/>
          <w:color w:val="auto"/>
          <w:spacing w:val="-4"/>
          <w:sz w:val="24"/>
          <w:szCs w:val="24"/>
          <w:highlight w:val="none"/>
        </w:rPr>
        <w:t>个生态敏感目标</w:t>
      </w:r>
      <w:r>
        <w:rPr>
          <w:rFonts w:hint="eastAsia" w:ascii="宋体" w:hAnsi="宋体" w:eastAsia="宋体" w:cs="宋体"/>
          <w:color w:val="auto"/>
          <w:spacing w:val="-4"/>
          <w:sz w:val="24"/>
          <w:szCs w:val="24"/>
          <w:highlight w:val="none"/>
          <w:lang w:eastAsia="zh-CN"/>
        </w:rPr>
        <w:t>，</w:t>
      </w:r>
      <w:bookmarkEnd w:id="1099"/>
      <w:r>
        <w:rPr>
          <w:rFonts w:hint="eastAsia" w:ascii="宋体" w:hAnsi="宋体" w:eastAsia="宋体" w:cs="宋体"/>
          <w:color w:val="auto"/>
          <w:spacing w:val="-4"/>
          <w:sz w:val="24"/>
          <w:szCs w:val="24"/>
          <w:highlight w:val="none"/>
          <w:lang w:val="en-US" w:eastAsia="zh-CN"/>
        </w:rPr>
        <w:t>见</w:t>
      </w:r>
      <w:r>
        <w:rPr>
          <w:rFonts w:hint="eastAsia" w:ascii="Times New Roman" w:hAnsi="Times New Roman" w:eastAsia="宋体" w:cs="Times New Roman"/>
          <w:color w:val="auto"/>
          <w:spacing w:val="-4"/>
          <w:sz w:val="24"/>
          <w:szCs w:val="24"/>
          <w:highlight w:val="none"/>
          <w:lang w:val="en-US" w:eastAsia="zh-CN"/>
        </w:rPr>
        <w:t>附图6</w:t>
      </w:r>
      <w:r>
        <w:rPr>
          <w:rFonts w:ascii="宋体" w:hAnsi="宋体" w:eastAsia="宋体" w:cs="宋体"/>
          <w:color w:val="auto"/>
          <w:spacing w:val="-4"/>
          <w:sz w:val="24"/>
          <w:szCs w:val="24"/>
          <w:highlight w:val="none"/>
        </w:rPr>
        <w:t>。</w:t>
      </w:r>
      <w:bookmarkEnd w:id="1097"/>
    </w:p>
    <w:p w14:paraId="08DF987B">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2"/>
        <w:rPr>
          <w:rFonts w:hint="default" w:ascii="Times New Roman" w:hAnsi="Times New Roman" w:eastAsia="Times New Roman" w:cs="Times New Roman"/>
          <w:b/>
          <w:bCs/>
          <w:color w:val="auto"/>
          <w:spacing w:val="-3"/>
          <w:sz w:val="24"/>
          <w:szCs w:val="24"/>
          <w:highlight w:val="none"/>
          <w:lang w:val="en-US" w:eastAsia="zh-CN"/>
        </w:rPr>
      </w:pPr>
      <w:bookmarkStart w:id="1100" w:name="_Toc18625"/>
      <w:r>
        <w:rPr>
          <w:rFonts w:hint="eastAsia" w:ascii="Times New Roman" w:hAnsi="Times New Roman" w:eastAsia="Times New Roman" w:cs="Times New Roman"/>
          <w:b/>
          <w:bCs/>
          <w:color w:val="auto"/>
          <w:spacing w:val="-3"/>
          <w:sz w:val="24"/>
          <w:szCs w:val="24"/>
          <w:highlight w:val="none"/>
          <w:lang w:val="en-US" w:eastAsia="zh-CN"/>
        </w:rPr>
        <w:t>5.2.2</w:t>
      </w:r>
      <w:bookmarkStart w:id="1101" w:name="OLE_LINK330"/>
      <w:r>
        <w:rPr>
          <w:rFonts w:hint="eastAsia" w:ascii="Times New Roman" w:hAnsi="Times New Roman" w:eastAsia="Times New Roman" w:cs="Times New Roman"/>
          <w:b/>
          <w:bCs/>
          <w:color w:val="auto"/>
          <w:spacing w:val="-3"/>
          <w:sz w:val="24"/>
          <w:szCs w:val="24"/>
          <w:highlight w:val="none"/>
          <w:lang w:val="en-US" w:eastAsia="zh-CN"/>
        </w:rPr>
        <w:t>生活空间</w:t>
      </w:r>
      <w:bookmarkEnd w:id="1101"/>
      <w:r>
        <w:rPr>
          <w:rFonts w:hint="eastAsia" w:ascii="Times New Roman" w:hAnsi="Times New Roman" w:eastAsia="Times New Roman" w:cs="Times New Roman"/>
          <w:b/>
          <w:bCs/>
          <w:color w:val="auto"/>
          <w:spacing w:val="-3"/>
          <w:sz w:val="24"/>
          <w:szCs w:val="24"/>
          <w:highlight w:val="none"/>
          <w:lang w:val="en-US" w:eastAsia="zh-CN"/>
        </w:rPr>
        <w:t>和生产空间</w:t>
      </w:r>
      <w:bookmarkEnd w:id="1100"/>
      <w:bookmarkStart w:id="1102" w:name="pindex4281"/>
      <w:bookmarkEnd w:id="1102"/>
    </w:p>
    <w:p w14:paraId="7AA7DD28">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在明确生态空间的基础上</w:t>
      </w:r>
      <w:r>
        <w:rPr>
          <w:rFonts w:hint="eastAsia" w:ascii="Times New Roman" w:hAnsi="Times New Roman" w:eastAsia="宋体"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本次评价针对规划划定的功能组团及规划布局优化调整建议，划定本区域的生产空间、生活空间。本次划定的生活空间主要为居住用地、公共管理与公共服务设施用地、商业服务业设施用地等</w:t>
      </w:r>
      <w:r>
        <w:rPr>
          <w:rFonts w:hint="eastAsia" w:ascii="Times New Roman" w:hAnsi="Times New Roman" w:eastAsia="宋体"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划定的生产空间主要包括工业用地物流仓储用地、道路与交通设施用地、公用设施用地等。规划期本区域生活空间、生产空间具体分布及管制要求见表</w:t>
      </w:r>
      <w:r>
        <w:rPr>
          <w:rFonts w:hint="eastAsia" w:ascii="Times New Roman" w:hAnsi="Times New Roman" w:eastAsia="宋体" w:cs="Times New Roman"/>
          <w:snapToGrid w:val="0"/>
          <w:color w:val="auto"/>
          <w:kern w:val="0"/>
          <w:sz w:val="24"/>
          <w:szCs w:val="24"/>
          <w:highlight w:val="none"/>
          <w:lang w:val="en-US" w:eastAsia="zh-CN" w:bidi="ar-SA"/>
        </w:rPr>
        <w:t>5.2-1。</w:t>
      </w:r>
    </w:p>
    <w:p w14:paraId="2DBCF76E">
      <w:pPr>
        <w:pStyle w:val="8"/>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snapToGrid w:val="0"/>
          <w:color w:val="auto"/>
          <w:kern w:val="0"/>
          <w:sz w:val="24"/>
          <w:szCs w:val="24"/>
          <w:lang w:val="en-US" w:eastAsia="zh-CN" w:bidi="ar-SA"/>
        </w:rPr>
      </w:pPr>
      <w:r>
        <w:rPr>
          <w:rFonts w:hint="eastAsia" w:ascii="Times New Roman" w:hAnsi="Times New Roman" w:eastAsia="宋体" w:cs="Times New Roman"/>
          <w:b/>
          <w:bCs/>
          <w:snapToGrid w:val="0"/>
          <w:color w:val="auto"/>
          <w:kern w:val="0"/>
          <w:sz w:val="24"/>
          <w:szCs w:val="24"/>
          <w:highlight w:val="none"/>
          <w:lang w:val="en-US" w:eastAsia="zh-CN" w:bidi="ar-SA"/>
        </w:rPr>
        <w:t>表5.2-1  本区域生活空间、生产空间组成说明表</w:t>
      </w:r>
      <w:bookmarkStart w:id="1103" w:name="pindex4283"/>
      <w:bookmarkEnd w:id="1103"/>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1323"/>
        <w:gridCol w:w="1502"/>
        <w:gridCol w:w="1486"/>
        <w:gridCol w:w="1525"/>
        <w:gridCol w:w="2059"/>
      </w:tblGrid>
      <w:tr w14:paraId="392E19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0" w:type="dxa"/>
            <w:tcBorders>
              <w:tl2br w:val="nil"/>
              <w:tr2bl w:val="nil"/>
            </w:tcBorders>
            <w:vAlign w:val="center"/>
          </w:tcPr>
          <w:p w14:paraId="3FF625F2">
            <w:pPr>
              <w:widowControl w:val="0"/>
              <w:bidi w:val="0"/>
              <w:jc w:val="center"/>
              <w:rPr>
                <w:rFonts w:hint="default" w:ascii="Times New Roman" w:hAnsi="Times New Roman" w:eastAsia="宋体" w:cs="Times New Roman"/>
                <w:b/>
                <w:bCs/>
                <w:color w:val="auto"/>
                <w:sz w:val="21"/>
                <w:szCs w:val="21"/>
                <w:lang w:val="en-US" w:eastAsia="zh-CN"/>
              </w:rPr>
            </w:pPr>
            <w:bookmarkStart w:id="1104" w:name="_Toc17205"/>
            <w:r>
              <w:rPr>
                <w:rFonts w:hint="default" w:ascii="Times New Roman" w:hAnsi="Times New Roman" w:eastAsia="宋体" w:cs="Times New Roman"/>
                <w:b/>
                <w:bCs/>
                <w:color w:val="auto"/>
                <w:sz w:val="21"/>
                <w:szCs w:val="21"/>
                <w:lang w:val="en-US" w:eastAsia="zh-CN"/>
              </w:rPr>
              <w:t>类别</w:t>
            </w:r>
            <w:bookmarkEnd w:id="1104"/>
          </w:p>
        </w:tc>
        <w:tc>
          <w:tcPr>
            <w:tcW w:w="1323" w:type="dxa"/>
            <w:tcBorders>
              <w:tl2br w:val="nil"/>
              <w:tr2bl w:val="nil"/>
            </w:tcBorders>
            <w:vAlign w:val="center"/>
          </w:tcPr>
          <w:p w14:paraId="689F14A7">
            <w:pPr>
              <w:widowControl w:val="0"/>
              <w:bidi w:val="0"/>
              <w:jc w:val="center"/>
              <w:rPr>
                <w:rFonts w:hint="default" w:ascii="Times New Roman" w:hAnsi="Times New Roman" w:eastAsia="宋体" w:cs="Times New Roman"/>
                <w:b/>
                <w:bCs/>
                <w:color w:val="auto"/>
                <w:sz w:val="21"/>
                <w:szCs w:val="21"/>
                <w:lang w:val="en-US" w:eastAsia="zh-CN"/>
              </w:rPr>
            </w:pPr>
            <w:bookmarkStart w:id="1105" w:name="_Toc18925"/>
            <w:r>
              <w:rPr>
                <w:rFonts w:hint="default" w:ascii="Times New Roman" w:hAnsi="Times New Roman" w:eastAsia="宋体" w:cs="Times New Roman"/>
                <w:b/>
                <w:bCs/>
                <w:color w:val="auto"/>
                <w:sz w:val="21"/>
                <w:szCs w:val="21"/>
                <w:lang w:val="en-US" w:eastAsia="zh-CN"/>
              </w:rPr>
              <w:t>范围</w:t>
            </w:r>
            <w:bookmarkEnd w:id="1105"/>
          </w:p>
        </w:tc>
        <w:tc>
          <w:tcPr>
            <w:tcW w:w="1502" w:type="dxa"/>
            <w:tcBorders>
              <w:tl2br w:val="nil"/>
              <w:tr2bl w:val="nil"/>
            </w:tcBorders>
            <w:vAlign w:val="center"/>
          </w:tcPr>
          <w:p w14:paraId="777912AC">
            <w:pPr>
              <w:widowControl w:val="0"/>
              <w:bidi w:val="0"/>
              <w:jc w:val="center"/>
              <w:rPr>
                <w:rFonts w:hint="default" w:ascii="Times New Roman" w:hAnsi="Times New Roman" w:eastAsia="宋体" w:cs="Times New Roman"/>
                <w:b/>
                <w:bCs/>
                <w:color w:val="auto"/>
                <w:sz w:val="21"/>
                <w:szCs w:val="21"/>
                <w:lang w:val="en-US" w:eastAsia="zh-CN"/>
              </w:rPr>
            </w:pPr>
            <w:bookmarkStart w:id="1106" w:name="_Toc3208"/>
            <w:r>
              <w:rPr>
                <w:rFonts w:hint="default" w:ascii="Times New Roman" w:hAnsi="Times New Roman" w:eastAsia="宋体" w:cs="Times New Roman"/>
                <w:b/>
                <w:bCs/>
                <w:color w:val="auto"/>
                <w:sz w:val="21"/>
                <w:szCs w:val="21"/>
                <w:lang w:val="en-US" w:eastAsia="zh-CN"/>
              </w:rPr>
              <w:t>近期2025年面积（km</w:t>
            </w:r>
            <w:r>
              <w:rPr>
                <w:rFonts w:hint="default" w:ascii="Times New Roman" w:hAnsi="Times New Roman" w:eastAsia="宋体" w:cs="Times New Roman"/>
                <w:b/>
                <w:bCs/>
                <w:color w:val="auto"/>
                <w:sz w:val="21"/>
                <w:szCs w:val="21"/>
                <w:vertAlign w:val="superscript"/>
                <w:lang w:val="en-US" w:eastAsia="zh-CN"/>
              </w:rPr>
              <w:t>2</w:t>
            </w:r>
            <w:r>
              <w:rPr>
                <w:rFonts w:hint="default" w:ascii="Times New Roman" w:hAnsi="Times New Roman" w:eastAsia="宋体" w:cs="Times New Roman"/>
                <w:b/>
                <w:bCs/>
                <w:color w:val="auto"/>
                <w:sz w:val="21"/>
                <w:szCs w:val="21"/>
                <w:lang w:val="en-US" w:eastAsia="zh-CN"/>
              </w:rPr>
              <w:t>）</w:t>
            </w:r>
            <w:bookmarkEnd w:id="1106"/>
          </w:p>
        </w:tc>
        <w:tc>
          <w:tcPr>
            <w:tcW w:w="1486" w:type="dxa"/>
            <w:tcBorders>
              <w:tl2br w:val="nil"/>
              <w:tr2bl w:val="nil"/>
            </w:tcBorders>
            <w:vAlign w:val="center"/>
          </w:tcPr>
          <w:p w14:paraId="1CBE5BAB">
            <w:pPr>
              <w:widowControl w:val="0"/>
              <w:bidi w:val="0"/>
              <w:jc w:val="center"/>
              <w:rPr>
                <w:rFonts w:hint="default" w:ascii="Times New Roman" w:hAnsi="Times New Roman" w:eastAsia="宋体" w:cs="Times New Roman"/>
                <w:b/>
                <w:bCs/>
                <w:color w:val="auto"/>
                <w:sz w:val="21"/>
                <w:szCs w:val="21"/>
                <w:lang w:val="en-US" w:eastAsia="zh-CN"/>
              </w:rPr>
            </w:pPr>
            <w:bookmarkStart w:id="1107" w:name="_Toc21218"/>
            <w:r>
              <w:rPr>
                <w:rFonts w:hint="default" w:ascii="Times New Roman" w:hAnsi="Times New Roman" w:eastAsia="宋体" w:cs="Times New Roman"/>
                <w:b/>
                <w:bCs/>
                <w:color w:val="auto"/>
                <w:sz w:val="21"/>
                <w:szCs w:val="21"/>
                <w:lang w:val="en-US" w:eastAsia="zh-CN"/>
              </w:rPr>
              <w:t>远期2025年面积（km</w:t>
            </w:r>
            <w:r>
              <w:rPr>
                <w:rFonts w:hint="default" w:ascii="Times New Roman" w:hAnsi="Times New Roman" w:eastAsia="宋体" w:cs="Times New Roman"/>
                <w:b/>
                <w:bCs/>
                <w:color w:val="auto"/>
                <w:sz w:val="21"/>
                <w:szCs w:val="21"/>
                <w:vertAlign w:val="superscript"/>
                <w:lang w:val="en-US" w:eastAsia="zh-CN"/>
              </w:rPr>
              <w:t>2</w:t>
            </w:r>
            <w:r>
              <w:rPr>
                <w:rFonts w:hint="default" w:ascii="Times New Roman" w:hAnsi="Times New Roman" w:eastAsia="宋体" w:cs="Times New Roman"/>
                <w:b/>
                <w:bCs/>
                <w:color w:val="auto"/>
                <w:sz w:val="21"/>
                <w:szCs w:val="21"/>
                <w:lang w:val="en-US" w:eastAsia="zh-CN"/>
              </w:rPr>
              <w:t>）</w:t>
            </w:r>
            <w:bookmarkEnd w:id="1107"/>
          </w:p>
        </w:tc>
        <w:tc>
          <w:tcPr>
            <w:tcW w:w="1525" w:type="dxa"/>
            <w:tcBorders>
              <w:tl2br w:val="nil"/>
              <w:tr2bl w:val="nil"/>
            </w:tcBorders>
            <w:vAlign w:val="center"/>
          </w:tcPr>
          <w:p w14:paraId="7189DEA3">
            <w:pPr>
              <w:widowControl w:val="0"/>
              <w:bidi w:val="0"/>
              <w:jc w:val="center"/>
              <w:rPr>
                <w:rFonts w:hint="default" w:ascii="Times New Roman" w:hAnsi="Times New Roman" w:eastAsia="宋体" w:cs="Times New Roman"/>
                <w:b/>
                <w:bCs/>
                <w:color w:val="auto"/>
                <w:sz w:val="21"/>
                <w:szCs w:val="21"/>
                <w:lang w:val="en-US" w:eastAsia="zh-CN"/>
              </w:rPr>
            </w:pPr>
            <w:bookmarkStart w:id="1108" w:name="_Toc24069"/>
            <w:r>
              <w:rPr>
                <w:rFonts w:hint="default" w:ascii="Times New Roman" w:hAnsi="Times New Roman" w:eastAsia="宋体" w:cs="Times New Roman"/>
                <w:b/>
                <w:bCs/>
                <w:color w:val="auto"/>
                <w:sz w:val="21"/>
                <w:szCs w:val="21"/>
                <w:lang w:val="en-US" w:eastAsia="zh-CN"/>
              </w:rPr>
              <w:t>保护对象</w:t>
            </w:r>
            <w:bookmarkEnd w:id="1108"/>
          </w:p>
        </w:tc>
        <w:tc>
          <w:tcPr>
            <w:tcW w:w="2059" w:type="dxa"/>
            <w:tcBorders>
              <w:tl2br w:val="nil"/>
              <w:tr2bl w:val="nil"/>
            </w:tcBorders>
            <w:vAlign w:val="center"/>
          </w:tcPr>
          <w:p w14:paraId="577D0BA3">
            <w:pPr>
              <w:widowControl w:val="0"/>
              <w:bidi w:val="0"/>
              <w:jc w:val="center"/>
              <w:rPr>
                <w:rFonts w:hint="default" w:ascii="Times New Roman" w:hAnsi="Times New Roman" w:eastAsia="宋体" w:cs="Times New Roman"/>
                <w:b/>
                <w:bCs/>
                <w:color w:val="auto"/>
                <w:sz w:val="21"/>
                <w:szCs w:val="21"/>
                <w:lang w:val="en-US" w:eastAsia="zh-CN"/>
              </w:rPr>
            </w:pPr>
            <w:bookmarkStart w:id="1109" w:name="_Toc18426"/>
            <w:r>
              <w:rPr>
                <w:rFonts w:hint="default" w:ascii="Times New Roman" w:hAnsi="Times New Roman" w:eastAsia="宋体" w:cs="Times New Roman"/>
                <w:b/>
                <w:bCs/>
                <w:color w:val="auto"/>
                <w:sz w:val="21"/>
                <w:szCs w:val="21"/>
                <w:lang w:val="en-US" w:eastAsia="zh-CN"/>
              </w:rPr>
              <w:t>管制要求</w:t>
            </w:r>
            <w:bookmarkEnd w:id="1109"/>
          </w:p>
        </w:tc>
      </w:tr>
      <w:tr w14:paraId="7D50C1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0" w:type="dxa"/>
            <w:tcBorders>
              <w:tl2br w:val="nil"/>
              <w:tr2bl w:val="nil"/>
            </w:tcBorders>
            <w:vAlign w:val="center"/>
          </w:tcPr>
          <w:p w14:paraId="11774CED">
            <w:pPr>
              <w:widowControl w:val="0"/>
              <w:bidi w:val="0"/>
              <w:jc w:val="center"/>
              <w:rPr>
                <w:rFonts w:hint="default" w:ascii="Times New Roman" w:hAnsi="Times New Roman" w:eastAsia="宋体" w:cs="Times New Roman"/>
                <w:color w:val="auto"/>
                <w:sz w:val="21"/>
                <w:szCs w:val="21"/>
                <w:lang w:val="en-US" w:eastAsia="zh-CN"/>
              </w:rPr>
            </w:pPr>
            <w:bookmarkStart w:id="1110" w:name="_Toc13872"/>
            <w:r>
              <w:rPr>
                <w:rFonts w:hint="default" w:ascii="Times New Roman" w:hAnsi="Times New Roman" w:eastAsia="宋体" w:cs="Times New Roman"/>
                <w:color w:val="auto"/>
                <w:sz w:val="21"/>
                <w:szCs w:val="21"/>
                <w:lang w:val="en-US" w:eastAsia="zh-CN"/>
              </w:rPr>
              <w:t>生活空间</w:t>
            </w:r>
            <w:bookmarkEnd w:id="1110"/>
          </w:p>
        </w:tc>
        <w:tc>
          <w:tcPr>
            <w:tcW w:w="1323" w:type="dxa"/>
            <w:tcBorders>
              <w:tl2br w:val="nil"/>
              <w:tr2bl w:val="nil"/>
            </w:tcBorders>
            <w:vAlign w:val="center"/>
          </w:tcPr>
          <w:p w14:paraId="7D350014">
            <w:pPr>
              <w:widowControl w:val="0"/>
              <w:bidi w:val="0"/>
              <w:jc w:val="center"/>
              <w:rPr>
                <w:rFonts w:hint="default" w:ascii="Times New Roman" w:hAnsi="Times New Roman" w:eastAsia="宋体" w:cs="Times New Roman"/>
                <w:color w:val="auto"/>
                <w:sz w:val="21"/>
                <w:szCs w:val="21"/>
                <w:lang w:val="en-US" w:eastAsia="zh-CN"/>
              </w:rPr>
            </w:pPr>
            <w:bookmarkStart w:id="1111" w:name="_Toc15546"/>
            <w:r>
              <w:rPr>
                <w:rFonts w:hint="default" w:ascii="Times New Roman" w:hAnsi="Times New Roman" w:eastAsia="宋体" w:cs="Times New Roman"/>
                <w:color w:val="auto"/>
                <w:sz w:val="21"/>
                <w:szCs w:val="21"/>
                <w:lang w:val="en-US" w:eastAsia="zh-CN"/>
              </w:rPr>
              <w:t>居住用地、公共管理与公共服务设施用地、商业服务业设施用地等</w:t>
            </w:r>
            <w:bookmarkEnd w:id="1111"/>
          </w:p>
        </w:tc>
        <w:tc>
          <w:tcPr>
            <w:tcW w:w="1502" w:type="dxa"/>
            <w:tcBorders>
              <w:tl2br w:val="nil"/>
              <w:tr2bl w:val="nil"/>
            </w:tcBorders>
            <w:vAlign w:val="center"/>
          </w:tcPr>
          <w:p w14:paraId="36D9C087">
            <w:pPr>
              <w:widowControl w:val="0"/>
              <w:bidi w:val="0"/>
              <w:jc w:val="center"/>
              <w:rPr>
                <w:rFonts w:hint="default" w:ascii="Times New Roman" w:hAnsi="Times New Roman" w:eastAsia="宋体" w:cs="Times New Roman"/>
                <w:color w:val="auto"/>
                <w:sz w:val="21"/>
                <w:szCs w:val="21"/>
                <w:lang w:val="en-US" w:eastAsia="zh-CN"/>
              </w:rPr>
            </w:pPr>
            <w:bookmarkStart w:id="1112" w:name="_Toc30024"/>
            <w:r>
              <w:rPr>
                <w:rFonts w:hint="default" w:ascii="Times New Roman" w:hAnsi="Times New Roman" w:eastAsia="宋体" w:cs="Times New Roman"/>
                <w:color w:val="auto"/>
                <w:sz w:val="21"/>
                <w:szCs w:val="21"/>
                <w:lang w:val="en-US" w:eastAsia="zh-CN"/>
              </w:rPr>
              <w:t>82.88</w:t>
            </w:r>
            <w:bookmarkEnd w:id="1112"/>
          </w:p>
        </w:tc>
        <w:tc>
          <w:tcPr>
            <w:tcW w:w="1486" w:type="dxa"/>
            <w:tcBorders>
              <w:tl2br w:val="nil"/>
              <w:tr2bl w:val="nil"/>
            </w:tcBorders>
            <w:vAlign w:val="center"/>
          </w:tcPr>
          <w:p w14:paraId="0ED155CD">
            <w:pPr>
              <w:widowControl w:val="0"/>
              <w:bidi w:val="0"/>
              <w:jc w:val="center"/>
              <w:rPr>
                <w:rFonts w:hint="default" w:ascii="Times New Roman" w:hAnsi="Times New Roman" w:eastAsia="宋体" w:cs="Times New Roman"/>
                <w:color w:val="auto"/>
                <w:sz w:val="21"/>
                <w:szCs w:val="21"/>
                <w:lang w:val="en-US" w:eastAsia="zh-CN"/>
              </w:rPr>
            </w:pPr>
            <w:bookmarkStart w:id="1113" w:name="_Toc26635"/>
            <w:r>
              <w:rPr>
                <w:rFonts w:hint="default" w:ascii="Times New Roman" w:hAnsi="Times New Roman" w:eastAsia="宋体" w:cs="Times New Roman"/>
                <w:color w:val="auto"/>
                <w:sz w:val="21"/>
                <w:szCs w:val="21"/>
                <w:lang w:val="en-US" w:eastAsia="zh-CN"/>
              </w:rPr>
              <w:t>89.5</w:t>
            </w:r>
            <w:bookmarkEnd w:id="1113"/>
          </w:p>
        </w:tc>
        <w:tc>
          <w:tcPr>
            <w:tcW w:w="1525" w:type="dxa"/>
            <w:tcBorders>
              <w:tl2br w:val="nil"/>
              <w:tr2bl w:val="nil"/>
            </w:tcBorders>
            <w:vAlign w:val="center"/>
          </w:tcPr>
          <w:p w14:paraId="08ABD761">
            <w:pPr>
              <w:widowControl w:val="0"/>
              <w:bidi w:val="0"/>
              <w:jc w:val="center"/>
              <w:rPr>
                <w:rFonts w:hint="default" w:ascii="Times New Roman" w:hAnsi="Times New Roman" w:eastAsia="宋体" w:cs="Times New Roman"/>
                <w:color w:val="auto"/>
                <w:sz w:val="21"/>
                <w:szCs w:val="21"/>
                <w:lang w:val="en-US" w:eastAsia="zh-CN"/>
              </w:rPr>
            </w:pPr>
            <w:bookmarkStart w:id="1114" w:name="_Toc30634"/>
            <w:r>
              <w:rPr>
                <w:rFonts w:hint="default" w:ascii="Times New Roman" w:hAnsi="Times New Roman" w:eastAsia="宋体" w:cs="Times New Roman"/>
                <w:color w:val="auto"/>
                <w:sz w:val="21"/>
                <w:szCs w:val="21"/>
                <w:lang w:val="en-US" w:eastAsia="zh-CN"/>
              </w:rPr>
              <w:t>居住、商业服务业场所、行政办公、医疗卫生、文化活动、教育等</w:t>
            </w:r>
            <w:bookmarkEnd w:id="1114"/>
          </w:p>
        </w:tc>
        <w:tc>
          <w:tcPr>
            <w:tcW w:w="2059" w:type="dxa"/>
            <w:tcBorders>
              <w:tl2br w:val="nil"/>
              <w:tr2bl w:val="nil"/>
            </w:tcBorders>
            <w:vAlign w:val="center"/>
          </w:tcPr>
          <w:p w14:paraId="37C55240">
            <w:pPr>
              <w:widowControl w:val="0"/>
              <w:bidi w:val="0"/>
              <w:jc w:val="center"/>
              <w:rPr>
                <w:rFonts w:hint="default" w:ascii="Times New Roman" w:hAnsi="Times New Roman" w:eastAsia="宋体" w:cs="Times New Roman"/>
                <w:color w:val="auto"/>
                <w:sz w:val="21"/>
                <w:szCs w:val="21"/>
                <w:lang w:val="en-US" w:eastAsia="zh-CN"/>
              </w:rPr>
            </w:pPr>
            <w:bookmarkStart w:id="1115" w:name="_Toc6535"/>
            <w:r>
              <w:rPr>
                <w:rFonts w:hint="default" w:ascii="Times New Roman" w:hAnsi="Times New Roman" w:eastAsia="宋体" w:cs="Times New Roman"/>
                <w:color w:val="auto"/>
                <w:sz w:val="21"/>
                <w:szCs w:val="21"/>
                <w:lang w:val="en-US" w:eastAsia="zh-CN"/>
              </w:rPr>
              <w:t>完善城镇绿地系统，加强环境基础设施建设，提高经济发展水平，改善人居环境质量</w:t>
            </w:r>
            <w:bookmarkEnd w:id="1115"/>
          </w:p>
        </w:tc>
      </w:tr>
      <w:tr w14:paraId="1257BB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0" w:type="dxa"/>
            <w:tcBorders>
              <w:tl2br w:val="nil"/>
              <w:tr2bl w:val="nil"/>
            </w:tcBorders>
            <w:vAlign w:val="center"/>
          </w:tcPr>
          <w:p w14:paraId="1DAC47B7">
            <w:pPr>
              <w:widowControl w:val="0"/>
              <w:bidi w:val="0"/>
              <w:jc w:val="center"/>
              <w:rPr>
                <w:rFonts w:hint="default" w:ascii="Times New Roman" w:hAnsi="Times New Roman" w:eastAsia="宋体" w:cs="Times New Roman"/>
                <w:color w:val="auto"/>
                <w:sz w:val="21"/>
                <w:szCs w:val="21"/>
                <w:lang w:val="en-US" w:eastAsia="zh-CN"/>
              </w:rPr>
            </w:pPr>
            <w:bookmarkStart w:id="1116" w:name="_Toc26740"/>
            <w:r>
              <w:rPr>
                <w:rFonts w:hint="default" w:ascii="Times New Roman" w:hAnsi="Times New Roman" w:eastAsia="宋体" w:cs="Times New Roman"/>
                <w:color w:val="auto"/>
                <w:sz w:val="21"/>
                <w:szCs w:val="21"/>
                <w:lang w:val="en-US" w:eastAsia="zh-CN"/>
              </w:rPr>
              <w:t>生产空间</w:t>
            </w:r>
            <w:bookmarkEnd w:id="1116"/>
          </w:p>
        </w:tc>
        <w:tc>
          <w:tcPr>
            <w:tcW w:w="1323" w:type="dxa"/>
            <w:tcBorders>
              <w:tl2br w:val="nil"/>
              <w:tr2bl w:val="nil"/>
            </w:tcBorders>
            <w:vAlign w:val="center"/>
          </w:tcPr>
          <w:p w14:paraId="4F24D930">
            <w:pPr>
              <w:widowControl w:val="0"/>
              <w:bidi w:val="0"/>
              <w:jc w:val="center"/>
              <w:rPr>
                <w:rFonts w:hint="default" w:ascii="Times New Roman" w:hAnsi="Times New Roman" w:eastAsia="宋体" w:cs="Times New Roman"/>
                <w:color w:val="auto"/>
                <w:sz w:val="21"/>
                <w:szCs w:val="21"/>
                <w:lang w:val="en-US" w:eastAsia="zh-CN"/>
              </w:rPr>
            </w:pPr>
            <w:bookmarkStart w:id="1117" w:name="_Toc10774"/>
            <w:r>
              <w:rPr>
                <w:rFonts w:hint="default" w:ascii="Times New Roman" w:hAnsi="Times New Roman" w:eastAsia="宋体" w:cs="Times New Roman"/>
                <w:color w:val="auto"/>
                <w:sz w:val="21"/>
                <w:szCs w:val="21"/>
                <w:lang w:val="en-US" w:eastAsia="zh-CN"/>
              </w:rPr>
              <w:t>工业用地、物流仓储用地、道路与交通设施用地、公用设施用地等</w:t>
            </w:r>
            <w:bookmarkEnd w:id="1117"/>
          </w:p>
        </w:tc>
        <w:tc>
          <w:tcPr>
            <w:tcW w:w="1502" w:type="dxa"/>
            <w:tcBorders>
              <w:tl2br w:val="nil"/>
              <w:tr2bl w:val="nil"/>
            </w:tcBorders>
            <w:vAlign w:val="center"/>
          </w:tcPr>
          <w:p w14:paraId="6136E0B9">
            <w:pPr>
              <w:widowControl w:val="0"/>
              <w:bidi w:val="0"/>
              <w:jc w:val="center"/>
              <w:rPr>
                <w:rFonts w:hint="default" w:ascii="Times New Roman" w:hAnsi="Times New Roman" w:eastAsia="宋体" w:cs="Times New Roman"/>
                <w:color w:val="auto"/>
                <w:sz w:val="21"/>
                <w:szCs w:val="21"/>
                <w:lang w:val="en-US" w:eastAsia="zh-CN"/>
              </w:rPr>
            </w:pPr>
            <w:bookmarkStart w:id="1118" w:name="_Toc13860"/>
            <w:r>
              <w:rPr>
                <w:rFonts w:hint="default" w:ascii="Times New Roman" w:hAnsi="Times New Roman" w:eastAsia="宋体" w:cs="Times New Roman"/>
                <w:color w:val="auto"/>
                <w:sz w:val="21"/>
                <w:szCs w:val="21"/>
                <w:lang w:val="en-US" w:eastAsia="zh-CN"/>
              </w:rPr>
              <w:t>56.72</w:t>
            </w:r>
            <w:bookmarkEnd w:id="1118"/>
          </w:p>
        </w:tc>
        <w:tc>
          <w:tcPr>
            <w:tcW w:w="1486" w:type="dxa"/>
            <w:tcBorders>
              <w:tl2br w:val="nil"/>
              <w:tr2bl w:val="nil"/>
            </w:tcBorders>
            <w:vAlign w:val="center"/>
          </w:tcPr>
          <w:p w14:paraId="7C22C7CB">
            <w:pPr>
              <w:widowControl w:val="0"/>
              <w:bidi w:val="0"/>
              <w:jc w:val="center"/>
              <w:rPr>
                <w:rFonts w:hint="default" w:ascii="Times New Roman" w:hAnsi="Times New Roman" w:eastAsia="宋体" w:cs="Times New Roman"/>
                <w:color w:val="auto"/>
                <w:sz w:val="21"/>
                <w:szCs w:val="21"/>
                <w:lang w:val="en-US" w:eastAsia="zh-CN"/>
              </w:rPr>
            </w:pPr>
            <w:bookmarkStart w:id="1119" w:name="_Toc19086"/>
            <w:r>
              <w:rPr>
                <w:rFonts w:hint="default" w:ascii="Times New Roman" w:hAnsi="Times New Roman" w:eastAsia="宋体" w:cs="Times New Roman"/>
                <w:color w:val="auto"/>
                <w:sz w:val="21"/>
                <w:szCs w:val="21"/>
                <w:lang w:val="en-US" w:eastAsia="zh-CN"/>
              </w:rPr>
              <w:t>60.2</w:t>
            </w:r>
            <w:bookmarkEnd w:id="1119"/>
          </w:p>
        </w:tc>
        <w:tc>
          <w:tcPr>
            <w:tcW w:w="1525" w:type="dxa"/>
            <w:tcBorders>
              <w:tl2br w:val="nil"/>
              <w:tr2bl w:val="nil"/>
            </w:tcBorders>
            <w:vAlign w:val="center"/>
          </w:tcPr>
          <w:p w14:paraId="4110A08D">
            <w:pPr>
              <w:widowControl w:val="0"/>
              <w:bidi w:val="0"/>
              <w:jc w:val="center"/>
              <w:rPr>
                <w:rFonts w:hint="default" w:ascii="Times New Roman" w:hAnsi="Times New Roman" w:eastAsia="宋体" w:cs="Times New Roman"/>
                <w:color w:val="auto"/>
                <w:sz w:val="21"/>
                <w:szCs w:val="21"/>
                <w:lang w:val="en-US" w:eastAsia="zh-CN"/>
              </w:rPr>
            </w:pPr>
            <w:bookmarkStart w:id="1120" w:name="_Toc8516"/>
            <w:r>
              <w:rPr>
                <w:rFonts w:hint="default" w:ascii="Times New Roman" w:hAnsi="Times New Roman" w:eastAsia="宋体" w:cs="Times New Roman"/>
                <w:color w:val="auto"/>
                <w:sz w:val="21"/>
                <w:szCs w:val="21"/>
                <w:lang w:val="en-US" w:eastAsia="zh-CN"/>
              </w:rPr>
              <w:t>工业生产活动，供水、供电等供应设施以及排水、环卫等环境和安全设施，城市道路、轨道交通、交通场站、社会停车场等交通设施</w:t>
            </w:r>
            <w:bookmarkEnd w:id="1120"/>
          </w:p>
        </w:tc>
        <w:tc>
          <w:tcPr>
            <w:tcW w:w="2059" w:type="dxa"/>
            <w:tcBorders>
              <w:tl2br w:val="nil"/>
              <w:tr2bl w:val="nil"/>
            </w:tcBorders>
            <w:vAlign w:val="center"/>
          </w:tcPr>
          <w:p w14:paraId="3533BB95">
            <w:pPr>
              <w:widowControl w:val="0"/>
              <w:bidi w:val="0"/>
              <w:jc w:val="center"/>
              <w:rPr>
                <w:rFonts w:hint="default" w:ascii="Times New Roman" w:hAnsi="Times New Roman" w:eastAsia="宋体" w:cs="Times New Roman"/>
                <w:color w:val="auto"/>
                <w:sz w:val="21"/>
                <w:szCs w:val="21"/>
                <w:lang w:val="en-US" w:eastAsia="zh-CN"/>
              </w:rPr>
            </w:pPr>
            <w:bookmarkStart w:id="1121" w:name="_Toc26674"/>
            <w:r>
              <w:rPr>
                <w:rFonts w:hint="default" w:ascii="Times New Roman" w:hAnsi="Times New Roman" w:eastAsia="宋体" w:cs="Times New Roman"/>
                <w:color w:val="auto"/>
                <w:sz w:val="21"/>
                <w:szCs w:val="21"/>
                <w:lang w:val="en-US" w:eastAsia="zh-CN"/>
              </w:rPr>
              <w:t>严格控制工业用地边界，强化规划指导，限制占用生态用地和生活用地；坚持生态优先的原则，协调城市发展与生态保护的关系；加强产业用地管理，优化生产空间内部布局</w:t>
            </w:r>
            <w:bookmarkEnd w:id="1121"/>
          </w:p>
        </w:tc>
      </w:tr>
    </w:tbl>
    <w:p w14:paraId="68800AD6">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2"/>
        <w:rPr>
          <w:rFonts w:hint="eastAsia" w:ascii="Times New Roman" w:hAnsi="Times New Roman" w:eastAsia="Times New Roman" w:cs="Times New Roman"/>
          <w:b/>
          <w:bCs/>
          <w:color w:val="auto"/>
          <w:spacing w:val="-3"/>
          <w:sz w:val="24"/>
          <w:szCs w:val="24"/>
          <w:lang w:val="en-US" w:eastAsia="zh-CN"/>
        </w:rPr>
      </w:pPr>
      <w:bookmarkStart w:id="1122" w:name="_Toc8671"/>
      <w:r>
        <w:rPr>
          <w:rFonts w:hint="eastAsia" w:ascii="Times New Roman" w:hAnsi="Times New Roman" w:eastAsia="Times New Roman" w:cs="Times New Roman"/>
          <w:b/>
          <w:bCs/>
          <w:color w:val="auto"/>
          <w:spacing w:val="-3"/>
          <w:sz w:val="24"/>
          <w:szCs w:val="24"/>
          <w:lang w:val="en-US" w:eastAsia="zh-CN"/>
        </w:rPr>
        <w:t>5.2.3环境质量底线</w:t>
      </w:r>
      <w:bookmarkEnd w:id="1122"/>
      <w:bookmarkStart w:id="1123" w:name="pindex4302"/>
      <w:bookmarkEnd w:id="1123"/>
    </w:p>
    <w:p w14:paraId="3818D3C2">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本次评价的环境质量底线即本区域所在区域的大气、地表水、声环境功能区划，以此作为区域环境容量管控的依据</w:t>
      </w:r>
      <w:r>
        <w:rPr>
          <w:rFonts w:hint="eastAsia" w:ascii="Times New Roman" w:hAnsi="Times New Roman" w:eastAsia="宋体" w:cs="Times New Roman"/>
          <w:snapToGrid w:val="0"/>
          <w:color w:val="auto"/>
          <w:kern w:val="0"/>
          <w:sz w:val="24"/>
          <w:szCs w:val="24"/>
          <w:lang w:val="en-US" w:eastAsia="zh-CN" w:bidi="ar-SA"/>
        </w:rPr>
        <w:t>。</w:t>
      </w:r>
    </w:p>
    <w:p w14:paraId="75ABE75A">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本区域为不达标区，不达标因子为</w:t>
      </w:r>
      <w:r>
        <w:rPr>
          <w:rFonts w:hint="eastAsia" w:ascii="Times New Roman" w:hAnsi="Times New Roman" w:eastAsia="宋体" w:cs="Times New Roman"/>
          <w:snapToGrid w:val="0"/>
          <w:color w:val="auto"/>
          <w:kern w:val="0"/>
          <w:sz w:val="24"/>
          <w:szCs w:val="24"/>
          <w:lang w:val="en-US" w:eastAsia="zh-CN" w:bidi="ar-SA"/>
        </w:rPr>
        <w:t>O</w:t>
      </w:r>
      <w:r>
        <w:rPr>
          <w:rFonts w:hint="eastAsia" w:ascii="Times New Roman" w:hAnsi="Times New Roman" w:eastAsia="宋体" w:cs="Times New Roman"/>
          <w:snapToGrid w:val="0"/>
          <w:color w:val="auto"/>
          <w:kern w:val="0"/>
          <w:sz w:val="24"/>
          <w:szCs w:val="24"/>
          <w:vertAlign w:val="subscript"/>
          <w:lang w:val="en-US" w:eastAsia="zh-CN" w:bidi="ar-SA"/>
        </w:rPr>
        <w:t>3</w:t>
      </w:r>
      <w:r>
        <w:rPr>
          <w:rFonts w:hint="default" w:ascii="Times New Roman" w:hAnsi="Times New Roman" w:eastAsia="宋体" w:cs="Times New Roman"/>
          <w:snapToGrid w:val="0"/>
          <w:color w:val="auto"/>
          <w:kern w:val="0"/>
          <w:sz w:val="24"/>
          <w:szCs w:val="24"/>
          <w:lang w:val="en-US" w:eastAsia="zh-CN" w:bidi="ar-SA"/>
        </w:rPr>
        <w:t>，提出达标管控要求。具体见表</w:t>
      </w:r>
      <w:r>
        <w:rPr>
          <w:rFonts w:hint="eastAsia" w:ascii="Times New Roman" w:hAnsi="Times New Roman" w:eastAsia="宋体" w:cs="Times New Roman"/>
          <w:snapToGrid w:val="0"/>
          <w:color w:val="auto"/>
          <w:kern w:val="0"/>
          <w:sz w:val="24"/>
          <w:szCs w:val="24"/>
          <w:lang w:val="en-US" w:eastAsia="zh-CN" w:bidi="ar-SA"/>
        </w:rPr>
        <w:t>5.2-</w:t>
      </w:r>
      <w:r>
        <w:rPr>
          <w:rFonts w:hint="default" w:ascii="Times New Roman" w:hAnsi="Times New Roman" w:eastAsia="宋体" w:cs="Times New Roman"/>
          <w:snapToGrid w:val="0"/>
          <w:color w:val="auto"/>
          <w:kern w:val="0"/>
          <w:sz w:val="24"/>
          <w:szCs w:val="24"/>
          <w:lang w:val="en-US" w:eastAsia="zh-CN" w:bidi="ar-SA"/>
        </w:rPr>
        <w:t>2</w:t>
      </w:r>
      <w:r>
        <w:rPr>
          <w:rFonts w:hint="eastAsia" w:ascii="Times New Roman" w:hAnsi="Times New Roman" w:eastAsia="宋体" w:cs="Times New Roman"/>
          <w:snapToGrid w:val="0"/>
          <w:color w:val="auto"/>
          <w:kern w:val="0"/>
          <w:sz w:val="24"/>
          <w:szCs w:val="24"/>
          <w:lang w:val="en-US" w:eastAsia="zh-CN" w:bidi="ar-SA"/>
        </w:rPr>
        <w:t>。</w:t>
      </w:r>
    </w:p>
    <w:p w14:paraId="09DC50C8">
      <w:pPr>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br w:type="page"/>
      </w:r>
    </w:p>
    <w:p w14:paraId="0C099324">
      <w:pPr>
        <w:rPr>
          <w:rFonts w:hint="default" w:ascii="Times New Roman" w:hAnsi="Times New Roman" w:eastAsia="宋体" w:cs="Times New Roman"/>
          <w:snapToGrid w:val="0"/>
          <w:color w:val="auto"/>
          <w:kern w:val="0"/>
          <w:sz w:val="24"/>
          <w:szCs w:val="24"/>
          <w:lang w:val="en-US" w:eastAsia="zh-CN" w:bidi="ar-SA"/>
        </w:rPr>
        <w:sectPr>
          <w:headerReference r:id="rId17" w:type="default"/>
          <w:footerReference r:id="rId18" w:type="default"/>
          <w:pgSz w:w="11907" w:h="16839"/>
          <w:pgMar w:top="1134" w:right="1774" w:bottom="1169" w:left="1774" w:header="863" w:footer="991" w:gutter="0"/>
          <w:pgBorders>
            <w:top w:val="none" w:sz="0" w:space="0"/>
            <w:left w:val="none" w:sz="0" w:space="0"/>
            <w:bottom w:val="none" w:sz="0" w:space="0"/>
            <w:right w:val="none" w:sz="0" w:space="0"/>
          </w:pgBorders>
          <w:pgNumType w:fmt="decimal"/>
          <w:cols w:space="720" w:num="1"/>
        </w:sectPr>
      </w:pPr>
    </w:p>
    <w:p w14:paraId="530FA73B">
      <w:pPr>
        <w:jc w:val="center"/>
        <w:rPr>
          <w:rFonts w:hint="default" w:ascii="Times New Roman" w:hAnsi="Times New Roman" w:eastAsia="宋体" w:cs="Times New Roman"/>
          <w:b/>
          <w:bCs/>
          <w:snapToGrid w:val="0"/>
          <w:color w:val="auto"/>
          <w:kern w:val="0"/>
          <w:sz w:val="24"/>
          <w:szCs w:val="24"/>
          <w:lang w:val="en-US" w:eastAsia="zh-CN" w:bidi="ar-SA"/>
        </w:rPr>
      </w:pPr>
      <w:r>
        <w:rPr>
          <w:rFonts w:hint="eastAsia" w:ascii="Times New Roman" w:hAnsi="Times New Roman" w:eastAsia="宋体" w:cs="Times New Roman"/>
          <w:b/>
          <w:bCs/>
          <w:snapToGrid w:val="0"/>
          <w:color w:val="auto"/>
          <w:kern w:val="0"/>
          <w:sz w:val="24"/>
          <w:szCs w:val="24"/>
          <w:lang w:val="en-US" w:eastAsia="zh-CN" w:bidi="ar-SA"/>
        </w:rPr>
        <w:t>表5.2-2  本区域环境功能区划一览表</w:t>
      </w:r>
      <w:bookmarkStart w:id="1124" w:name="pindex4307"/>
      <w:bookmarkEnd w:id="1124"/>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7"/>
        <w:gridCol w:w="2150"/>
        <w:gridCol w:w="1900"/>
        <w:gridCol w:w="9645"/>
      </w:tblGrid>
      <w:tr w14:paraId="154D10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7" w:type="dxa"/>
            <w:tcBorders>
              <w:tl2br w:val="nil"/>
              <w:tr2bl w:val="nil"/>
            </w:tcBorders>
            <w:vAlign w:val="center"/>
          </w:tcPr>
          <w:p w14:paraId="4ECCC24E">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eastAsia="宋体" w:cs="Times New Roman"/>
                <w:b/>
                <w:bCs/>
                <w:snapToGrid w:val="0"/>
                <w:color w:val="auto"/>
                <w:kern w:val="0"/>
                <w:sz w:val="21"/>
                <w:szCs w:val="21"/>
                <w:highlight w:val="none"/>
                <w:vertAlign w:val="baseline"/>
                <w:lang w:val="en-US" w:eastAsia="zh-CN" w:bidi="ar-SA"/>
              </w:rPr>
              <w:t>环境要素</w:t>
            </w:r>
          </w:p>
        </w:tc>
        <w:tc>
          <w:tcPr>
            <w:tcW w:w="2150" w:type="dxa"/>
            <w:tcBorders>
              <w:tl2br w:val="nil"/>
              <w:tr2bl w:val="nil"/>
            </w:tcBorders>
            <w:vAlign w:val="center"/>
          </w:tcPr>
          <w:p w14:paraId="1AEC0F01">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eastAsia="宋体" w:cs="Times New Roman"/>
                <w:b/>
                <w:bCs/>
                <w:snapToGrid w:val="0"/>
                <w:color w:val="auto"/>
                <w:kern w:val="0"/>
                <w:sz w:val="21"/>
                <w:szCs w:val="21"/>
                <w:highlight w:val="none"/>
                <w:vertAlign w:val="baseline"/>
                <w:lang w:val="en-US" w:eastAsia="zh-CN" w:bidi="ar-SA"/>
              </w:rPr>
              <w:t>环境功能区范围</w:t>
            </w:r>
          </w:p>
        </w:tc>
        <w:tc>
          <w:tcPr>
            <w:tcW w:w="1900" w:type="dxa"/>
            <w:tcBorders>
              <w:tl2br w:val="nil"/>
              <w:tr2bl w:val="nil"/>
            </w:tcBorders>
            <w:vAlign w:val="center"/>
          </w:tcPr>
          <w:p w14:paraId="11813056">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eastAsia="宋体" w:cs="Times New Roman"/>
                <w:b/>
                <w:bCs/>
                <w:snapToGrid w:val="0"/>
                <w:color w:val="auto"/>
                <w:kern w:val="0"/>
                <w:sz w:val="21"/>
                <w:szCs w:val="21"/>
                <w:vertAlign w:val="baseline"/>
                <w:lang w:val="en-US" w:eastAsia="zh-CN" w:bidi="ar-SA"/>
              </w:rPr>
              <w:t>环境功能区划及目标</w:t>
            </w:r>
          </w:p>
        </w:tc>
        <w:tc>
          <w:tcPr>
            <w:tcW w:w="9645" w:type="dxa"/>
            <w:tcBorders>
              <w:tl2br w:val="nil"/>
              <w:tr2bl w:val="nil"/>
            </w:tcBorders>
            <w:vAlign w:val="center"/>
          </w:tcPr>
          <w:p w14:paraId="32B3C117">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eastAsia="宋体" w:cs="Times New Roman"/>
                <w:b/>
                <w:bCs/>
                <w:snapToGrid w:val="0"/>
                <w:color w:val="auto"/>
                <w:kern w:val="0"/>
                <w:sz w:val="21"/>
                <w:szCs w:val="21"/>
                <w:vertAlign w:val="baseline"/>
                <w:lang w:val="en-US" w:eastAsia="zh-CN" w:bidi="ar-SA"/>
              </w:rPr>
              <w:t>环境治理改善潜力</w:t>
            </w:r>
          </w:p>
        </w:tc>
      </w:tr>
      <w:tr w14:paraId="15500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7" w:type="dxa"/>
            <w:tcBorders>
              <w:tl2br w:val="nil"/>
              <w:tr2bl w:val="nil"/>
            </w:tcBorders>
            <w:vAlign w:val="center"/>
          </w:tcPr>
          <w:p w14:paraId="0A3F1F34">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snapToGrid w:val="0"/>
                <w:color w:val="auto"/>
                <w:kern w:val="0"/>
                <w:sz w:val="21"/>
                <w:szCs w:val="21"/>
                <w:vertAlign w:val="baseline"/>
                <w:lang w:val="en-US" w:eastAsia="zh-CN" w:bidi="ar-SA"/>
              </w:rPr>
              <w:t>大气</w:t>
            </w:r>
          </w:p>
        </w:tc>
        <w:tc>
          <w:tcPr>
            <w:tcW w:w="2150" w:type="dxa"/>
            <w:tcBorders>
              <w:tl2br w:val="nil"/>
              <w:tr2bl w:val="nil"/>
            </w:tcBorders>
            <w:vAlign w:val="center"/>
          </w:tcPr>
          <w:p w14:paraId="7B15D0CC">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bookmarkStart w:id="1125" w:name="OLE_LINK731"/>
            <w:r>
              <w:rPr>
                <w:rFonts w:hint="eastAsia" w:ascii="Times New Roman" w:hAnsi="Times New Roman" w:eastAsia="宋体" w:cs="Times New Roman"/>
                <w:snapToGrid w:val="0"/>
                <w:color w:val="auto"/>
                <w:kern w:val="0"/>
                <w:sz w:val="21"/>
                <w:szCs w:val="21"/>
                <w:vertAlign w:val="baseline"/>
                <w:lang w:val="en-US" w:eastAsia="zh-CN" w:bidi="ar-SA"/>
              </w:rPr>
              <w:t>本</w:t>
            </w:r>
            <w:bookmarkStart w:id="1126" w:name="OLE_LINK730"/>
            <w:r>
              <w:rPr>
                <w:rFonts w:hint="eastAsia" w:ascii="Times New Roman" w:hAnsi="Times New Roman" w:eastAsia="宋体" w:cs="Times New Roman"/>
                <w:snapToGrid w:val="0"/>
                <w:color w:val="auto"/>
                <w:kern w:val="0"/>
                <w:sz w:val="21"/>
                <w:szCs w:val="21"/>
                <w:vertAlign w:val="baseline"/>
                <w:lang w:val="en-US" w:eastAsia="zh-CN" w:bidi="ar-SA"/>
              </w:rPr>
              <w:t>区域规划范</w:t>
            </w:r>
            <w:bookmarkEnd w:id="1126"/>
            <w:r>
              <w:rPr>
                <w:rFonts w:hint="eastAsia" w:ascii="Times New Roman" w:hAnsi="Times New Roman" w:eastAsia="宋体" w:cs="Times New Roman"/>
                <w:snapToGrid w:val="0"/>
                <w:color w:val="auto"/>
                <w:kern w:val="0"/>
                <w:sz w:val="21"/>
                <w:szCs w:val="21"/>
                <w:vertAlign w:val="baseline"/>
                <w:lang w:val="en-US" w:eastAsia="zh-CN" w:bidi="ar-SA"/>
              </w:rPr>
              <w:t>围</w:t>
            </w:r>
            <w:bookmarkEnd w:id="1125"/>
          </w:p>
        </w:tc>
        <w:tc>
          <w:tcPr>
            <w:tcW w:w="1900" w:type="dxa"/>
            <w:tcBorders>
              <w:tl2br w:val="nil"/>
              <w:tr2bl w:val="nil"/>
            </w:tcBorders>
            <w:vAlign w:val="center"/>
          </w:tcPr>
          <w:p w14:paraId="5E2FAB42">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牛首-祖堂风景名胜区为环境空气质量一类区，达到《环境空气质量标准》</w:t>
            </w:r>
            <w:r>
              <w:rPr>
                <w:rFonts w:hint="eastAsia" w:ascii="Times New Roman" w:hAnsi="Times New Roman" w:eastAsia="宋体" w:cs="Times New Roman"/>
                <w:snapToGrid w:val="0"/>
                <w:color w:val="auto"/>
                <w:kern w:val="0"/>
                <w:sz w:val="21"/>
                <w:szCs w:val="21"/>
                <w:vertAlign w:val="baseline"/>
                <w:lang w:val="en-US" w:eastAsia="zh-CN" w:bidi="ar-SA"/>
              </w:rPr>
              <w:t>（</w:t>
            </w:r>
            <w:r>
              <w:rPr>
                <w:rFonts w:hint="default" w:ascii="Times New Roman" w:hAnsi="Times New Roman" w:eastAsia="宋体" w:cs="Times New Roman"/>
                <w:snapToGrid w:val="0"/>
                <w:color w:val="auto"/>
                <w:kern w:val="0"/>
                <w:sz w:val="21"/>
                <w:szCs w:val="21"/>
                <w:vertAlign w:val="baseline"/>
                <w:lang w:val="en-US" w:eastAsia="zh-CN" w:bidi="ar-SA"/>
              </w:rPr>
              <w:t>GB3095-2012</w:t>
            </w:r>
            <w:r>
              <w:rPr>
                <w:rFonts w:hint="eastAsia" w:ascii="Times New Roman" w:hAnsi="Times New Roman" w:eastAsia="宋体" w:cs="Times New Roman"/>
                <w:snapToGrid w:val="0"/>
                <w:color w:val="auto"/>
                <w:kern w:val="0"/>
                <w:sz w:val="21"/>
                <w:szCs w:val="21"/>
                <w:vertAlign w:val="baseline"/>
                <w:lang w:val="en-US" w:eastAsia="zh-CN" w:bidi="ar-SA"/>
              </w:rPr>
              <w:t>）</w:t>
            </w:r>
            <w:r>
              <w:rPr>
                <w:rFonts w:hint="default" w:ascii="Times New Roman" w:hAnsi="Times New Roman" w:eastAsia="宋体" w:cs="Times New Roman"/>
                <w:snapToGrid w:val="0"/>
                <w:color w:val="auto"/>
                <w:kern w:val="0"/>
                <w:sz w:val="21"/>
                <w:szCs w:val="21"/>
                <w:vertAlign w:val="baseline"/>
                <w:lang w:val="en-US" w:eastAsia="zh-CN" w:bidi="ar-SA"/>
              </w:rPr>
              <w:t>一级标准</w:t>
            </w:r>
            <w:r>
              <w:rPr>
                <w:rFonts w:hint="eastAsia" w:ascii="Times New Roman" w:hAnsi="Times New Roman" w:eastAsia="宋体" w:cs="Times New Roman"/>
                <w:snapToGrid w:val="0"/>
                <w:color w:val="auto"/>
                <w:kern w:val="0"/>
                <w:sz w:val="21"/>
                <w:szCs w:val="21"/>
                <w:vertAlign w:val="baseline"/>
                <w:lang w:val="en-US" w:eastAsia="zh-CN" w:bidi="ar-SA"/>
              </w:rPr>
              <w:t>；</w:t>
            </w:r>
          </w:p>
          <w:p w14:paraId="1FA5166A">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开发区内其他区域为环境空气质量二类区，达到《环境空气质量标准》</w:t>
            </w:r>
            <w:r>
              <w:rPr>
                <w:rFonts w:hint="eastAsia" w:ascii="Times New Roman" w:hAnsi="Times New Roman" w:eastAsia="宋体" w:cs="Times New Roman"/>
                <w:snapToGrid w:val="0"/>
                <w:color w:val="auto"/>
                <w:kern w:val="0"/>
                <w:sz w:val="21"/>
                <w:szCs w:val="21"/>
                <w:vertAlign w:val="baseline"/>
                <w:lang w:val="en-US" w:eastAsia="zh-CN" w:bidi="ar-SA"/>
              </w:rPr>
              <w:t>（</w:t>
            </w:r>
            <w:r>
              <w:rPr>
                <w:rFonts w:hint="default" w:ascii="Times New Roman" w:hAnsi="Times New Roman" w:eastAsia="宋体" w:cs="Times New Roman"/>
                <w:snapToGrid w:val="0"/>
                <w:color w:val="auto"/>
                <w:kern w:val="0"/>
                <w:sz w:val="21"/>
                <w:szCs w:val="21"/>
                <w:vertAlign w:val="baseline"/>
                <w:lang w:val="en-US" w:eastAsia="zh-CN" w:bidi="ar-SA"/>
              </w:rPr>
              <w:t>GB3095-2012</w:t>
            </w:r>
            <w:r>
              <w:rPr>
                <w:rFonts w:hint="eastAsia" w:ascii="Times New Roman" w:hAnsi="Times New Roman" w:eastAsia="宋体" w:cs="Times New Roman"/>
                <w:snapToGrid w:val="0"/>
                <w:color w:val="auto"/>
                <w:kern w:val="0"/>
                <w:sz w:val="21"/>
                <w:szCs w:val="21"/>
                <w:vertAlign w:val="baseline"/>
                <w:lang w:val="en-US" w:eastAsia="zh-CN" w:bidi="ar-SA"/>
              </w:rPr>
              <w:t>）</w:t>
            </w:r>
            <w:r>
              <w:rPr>
                <w:rFonts w:hint="default" w:ascii="Times New Roman" w:hAnsi="Times New Roman" w:eastAsia="宋体" w:cs="Times New Roman"/>
                <w:snapToGrid w:val="0"/>
                <w:color w:val="auto"/>
                <w:kern w:val="0"/>
                <w:sz w:val="21"/>
                <w:szCs w:val="21"/>
                <w:vertAlign w:val="baseline"/>
                <w:lang w:val="en-US" w:eastAsia="zh-CN" w:bidi="ar-SA"/>
              </w:rPr>
              <w:t>二级标准</w:t>
            </w:r>
          </w:p>
        </w:tc>
        <w:tc>
          <w:tcPr>
            <w:tcW w:w="9645" w:type="dxa"/>
            <w:tcBorders>
              <w:tl2br w:val="nil"/>
              <w:tr2bl w:val="nil"/>
            </w:tcBorders>
          </w:tcPr>
          <w:p w14:paraId="6B0B39A1">
            <w:pPr>
              <w:pStyle w:val="8"/>
              <w:keepNext w:val="0"/>
              <w:keepLines w:val="0"/>
              <w:pageBreakBefore w:val="0"/>
              <w:widowControl/>
              <w:numPr>
                <w:ilvl w:val="0"/>
                <w:numId w:val="6"/>
              </w:numPr>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扩大集中供热范围，进一步加快区域内集中供热管网的建设，不断扩大集中供热范围。不得新增分散燃煤锅炉和</w:t>
            </w:r>
            <w:r>
              <w:rPr>
                <w:rFonts w:hint="eastAsia" w:ascii="Times New Roman" w:hAnsi="Times New Roman" w:eastAsia="宋体" w:cs="Times New Roman"/>
                <w:snapToGrid w:val="0"/>
                <w:color w:val="auto"/>
                <w:kern w:val="0"/>
                <w:sz w:val="21"/>
                <w:szCs w:val="21"/>
                <w:highlight w:val="none"/>
                <w:vertAlign w:val="baseline"/>
                <w:lang w:val="en-US" w:eastAsia="zh-CN" w:bidi="ar-SA"/>
              </w:rPr>
              <w:t>炉窑</w:t>
            </w:r>
            <w:r>
              <w:rPr>
                <w:rFonts w:hint="default" w:ascii="Times New Roman" w:hAnsi="Times New Roman" w:eastAsia="宋体" w:cs="Times New Roman"/>
                <w:snapToGrid w:val="0"/>
                <w:color w:val="auto"/>
                <w:kern w:val="0"/>
                <w:sz w:val="21"/>
                <w:szCs w:val="21"/>
                <w:highlight w:val="none"/>
                <w:vertAlign w:val="baseline"/>
                <w:lang w:val="en-US" w:eastAsia="zh-CN" w:bidi="ar-SA"/>
              </w:rPr>
              <w:t>。</w:t>
            </w:r>
          </w:p>
          <w:p w14:paraId="0B62B3EF">
            <w:pPr>
              <w:pStyle w:val="8"/>
              <w:keepNext w:val="0"/>
              <w:keepLines w:val="0"/>
              <w:pageBreakBefore w:val="0"/>
              <w:widowControl/>
              <w:numPr>
                <w:ilvl w:val="0"/>
                <w:numId w:val="6"/>
              </w:numPr>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严控工业污染，企业生产过程中产生的废气进行</w:t>
            </w:r>
            <w:r>
              <w:rPr>
                <w:rFonts w:hint="eastAsia" w:ascii="Times New Roman" w:hAnsi="Times New Roman" w:eastAsia="宋体" w:cs="Times New Roman"/>
                <w:snapToGrid w:val="0"/>
                <w:color w:val="auto"/>
                <w:kern w:val="0"/>
                <w:sz w:val="21"/>
                <w:szCs w:val="21"/>
                <w:vertAlign w:val="baseline"/>
                <w:lang w:val="en-US" w:eastAsia="zh-CN" w:bidi="ar-SA"/>
              </w:rPr>
              <w:t>最大限度地集中</w:t>
            </w:r>
            <w:r>
              <w:rPr>
                <w:rFonts w:hint="default" w:ascii="Times New Roman" w:hAnsi="Times New Roman" w:eastAsia="宋体" w:cs="Times New Roman"/>
                <w:snapToGrid w:val="0"/>
                <w:color w:val="auto"/>
                <w:kern w:val="0"/>
                <w:sz w:val="21"/>
                <w:szCs w:val="21"/>
                <w:vertAlign w:val="baseline"/>
                <w:lang w:val="en-US" w:eastAsia="zh-CN" w:bidi="ar-SA"/>
              </w:rPr>
              <w:t>收集处理，减少无组织排放。对重点区域内所有涉VOCs企业开展治理效果核查评估，并对不满足要求的，实施整治。定期核查工业源废气治理设</w:t>
            </w:r>
            <w:r>
              <w:rPr>
                <w:rFonts w:hint="default" w:ascii="Times New Roman" w:hAnsi="Times New Roman" w:eastAsia="宋体" w:cs="Times New Roman"/>
                <w:snapToGrid w:val="0"/>
                <w:color w:val="auto"/>
                <w:kern w:val="0"/>
                <w:sz w:val="21"/>
                <w:szCs w:val="21"/>
                <w:highlight w:val="none"/>
                <w:vertAlign w:val="baseline"/>
                <w:lang w:val="en-US" w:eastAsia="zh-CN" w:bidi="ar-SA"/>
              </w:rPr>
              <w:t>施运行状况，严查处理设施未安装或不正常运行、不能稳定达标排放的企业。</w:t>
            </w:r>
          </w:p>
          <w:p w14:paraId="5E37F227">
            <w:pPr>
              <w:pStyle w:val="8"/>
              <w:keepNext w:val="0"/>
              <w:keepLines w:val="0"/>
              <w:pageBreakBefore w:val="0"/>
              <w:widowControl/>
              <w:numPr>
                <w:ilvl w:val="0"/>
                <w:numId w:val="6"/>
              </w:numPr>
              <w:kinsoku w:val="0"/>
              <w:wordWrap/>
              <w:overflowPunct/>
              <w:topLinePunct w:val="0"/>
              <w:autoSpaceDE w:val="0"/>
              <w:autoSpaceDN w:val="0"/>
              <w:bidi w:val="0"/>
              <w:adjustRightInd w:val="0"/>
              <w:snapToGrid w:val="0"/>
              <w:ind w:left="0" w:leftChars="0" w:firstLine="0" w:firstLineChars="0"/>
              <w:textAlignment w:val="baseline"/>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着力推进上一轮试点一片区剩余</w:t>
            </w:r>
            <w:r>
              <w:rPr>
                <w:rFonts w:hint="eastAsia" w:ascii="Times New Roman" w:hAnsi="Times New Roman" w:eastAsia="宋体" w:cs="Times New Roman"/>
                <w:snapToGrid w:val="0"/>
                <w:color w:val="auto"/>
                <w:kern w:val="0"/>
                <w:sz w:val="21"/>
                <w:szCs w:val="21"/>
                <w:vertAlign w:val="baseline"/>
                <w:lang w:val="en-US" w:eastAsia="zh-CN" w:bidi="ar-SA"/>
              </w:rPr>
              <w:t>10</w:t>
            </w:r>
            <w:r>
              <w:rPr>
                <w:rFonts w:hint="default" w:ascii="Times New Roman" w:hAnsi="Times New Roman" w:eastAsia="宋体" w:cs="Times New Roman"/>
                <w:snapToGrid w:val="0"/>
                <w:color w:val="auto"/>
                <w:kern w:val="0"/>
                <w:sz w:val="21"/>
                <w:szCs w:val="21"/>
                <w:vertAlign w:val="baseline"/>
                <w:lang w:val="en-US" w:eastAsia="zh-CN" w:bidi="ar-SA"/>
              </w:rPr>
              <w:t>家企业、试点二片区剩余1家企业以及新一轮低效用地企业</w:t>
            </w:r>
            <w:r>
              <w:rPr>
                <w:rFonts w:hint="eastAsia" w:ascii="Times New Roman" w:hAnsi="Times New Roman" w:eastAsia="宋体" w:cs="Times New Roman"/>
                <w:snapToGrid w:val="0"/>
                <w:color w:val="auto"/>
                <w:kern w:val="0"/>
                <w:sz w:val="21"/>
                <w:szCs w:val="21"/>
                <w:vertAlign w:val="baseline"/>
                <w:lang w:val="en-US" w:eastAsia="zh-CN" w:bidi="ar-SA"/>
              </w:rPr>
              <w:t>14</w:t>
            </w:r>
            <w:r>
              <w:rPr>
                <w:rFonts w:hint="default" w:ascii="Times New Roman" w:hAnsi="Times New Roman" w:eastAsia="宋体" w:cs="Times New Roman"/>
                <w:snapToGrid w:val="0"/>
                <w:color w:val="auto"/>
                <w:kern w:val="0"/>
                <w:sz w:val="21"/>
                <w:szCs w:val="21"/>
                <w:vertAlign w:val="baseline"/>
                <w:lang w:val="en-US" w:eastAsia="zh-CN" w:bidi="ar-SA"/>
              </w:rPr>
              <w:t>家的转型升级，严格要求规定时限内搬迁或转型升级，在整改工作完成之前加强污染防治措施管理，避免对周边敏感目标的影响。</w:t>
            </w:r>
          </w:p>
          <w:p w14:paraId="04DEA282">
            <w:pPr>
              <w:pStyle w:val="8"/>
              <w:keepNext w:val="0"/>
              <w:keepLines w:val="0"/>
              <w:pageBreakBefore w:val="0"/>
              <w:widowControl/>
              <w:numPr>
                <w:ilvl w:val="0"/>
                <w:numId w:val="6"/>
              </w:numPr>
              <w:kinsoku w:val="0"/>
              <w:wordWrap/>
              <w:overflowPunct/>
              <w:topLinePunct w:val="0"/>
              <w:autoSpaceDE w:val="0"/>
              <w:autoSpaceDN w:val="0"/>
              <w:bidi w:val="0"/>
              <w:adjustRightInd w:val="0"/>
              <w:snapToGrid w:val="0"/>
              <w:ind w:left="0" w:leftChars="0" w:firstLine="0" w:firstLineChars="0"/>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加大汽车维修业污染治理力度。鼓励建设</w:t>
            </w:r>
            <w:r>
              <w:rPr>
                <w:rFonts w:hint="eastAsia" w:ascii="Times New Roman" w:hAnsi="Times New Roman" w:eastAsia="宋体" w:cs="Times New Roman"/>
                <w:snapToGrid w:val="0"/>
                <w:color w:val="auto"/>
                <w:kern w:val="0"/>
                <w:sz w:val="21"/>
                <w:szCs w:val="21"/>
                <w:highlight w:val="none"/>
                <w:vertAlign w:val="baseline"/>
                <w:lang w:val="en-US" w:eastAsia="zh-CN" w:bidi="ar-SA"/>
              </w:rPr>
              <w:t>干</w:t>
            </w:r>
            <w:r>
              <w:rPr>
                <w:rFonts w:hint="default" w:ascii="Times New Roman" w:hAnsi="Times New Roman" w:eastAsia="宋体" w:cs="Times New Roman"/>
                <w:snapToGrid w:val="0"/>
                <w:color w:val="auto"/>
                <w:kern w:val="0"/>
                <w:sz w:val="21"/>
                <w:szCs w:val="21"/>
                <w:highlight w:val="none"/>
                <w:vertAlign w:val="baseline"/>
                <w:lang w:val="en-US" w:eastAsia="zh-CN" w:bidi="ar-SA"/>
              </w:rPr>
              <w:t>式喷漆房，使用全自动喷漆和循环风工艺。汽车维修企业宜采用静电喷涂、自动喷涂、高压无气喷</w:t>
            </w:r>
            <w:r>
              <w:rPr>
                <w:rFonts w:hint="default" w:ascii="Times New Roman" w:hAnsi="Times New Roman" w:eastAsia="宋体" w:cs="Times New Roman"/>
                <w:snapToGrid w:val="0"/>
                <w:color w:val="auto"/>
                <w:kern w:val="0"/>
                <w:sz w:val="21"/>
                <w:szCs w:val="21"/>
                <w:vertAlign w:val="baseline"/>
                <w:lang w:val="en-US" w:eastAsia="zh-CN" w:bidi="ar-SA"/>
              </w:rPr>
              <w:t>涂或高流量低压力</w:t>
            </w:r>
            <w:r>
              <w:rPr>
                <w:rFonts w:hint="eastAsia" w:ascii="Times New Roman" w:hAnsi="Times New Roman" w:eastAsia="宋体" w:cs="Times New Roman"/>
                <w:snapToGrid w:val="0"/>
                <w:color w:val="auto"/>
                <w:kern w:val="0"/>
                <w:sz w:val="21"/>
                <w:szCs w:val="21"/>
                <w:vertAlign w:val="baseline"/>
                <w:lang w:val="en-US" w:eastAsia="zh-CN" w:bidi="ar-SA"/>
              </w:rPr>
              <w:t>（</w:t>
            </w:r>
            <w:r>
              <w:rPr>
                <w:rFonts w:hint="default" w:ascii="Times New Roman" w:hAnsi="Times New Roman" w:eastAsia="宋体" w:cs="Times New Roman"/>
                <w:snapToGrid w:val="0"/>
                <w:color w:val="auto"/>
                <w:kern w:val="0"/>
                <w:sz w:val="21"/>
                <w:szCs w:val="21"/>
                <w:vertAlign w:val="baseline"/>
                <w:lang w:val="en-US" w:eastAsia="zh-CN" w:bidi="ar-SA"/>
              </w:rPr>
              <w:t>HVLP</w:t>
            </w:r>
            <w:r>
              <w:rPr>
                <w:rFonts w:hint="eastAsia" w:ascii="Times New Roman" w:hAnsi="Times New Roman" w:eastAsia="宋体" w:cs="Times New Roman"/>
                <w:snapToGrid w:val="0"/>
                <w:color w:val="auto"/>
                <w:kern w:val="0"/>
                <w:sz w:val="21"/>
                <w:szCs w:val="21"/>
                <w:vertAlign w:val="baseline"/>
                <w:lang w:val="en-US" w:eastAsia="zh-CN" w:bidi="ar-SA"/>
              </w:rPr>
              <w:t>）</w:t>
            </w:r>
            <w:r>
              <w:rPr>
                <w:rFonts w:hint="default" w:ascii="Times New Roman" w:hAnsi="Times New Roman" w:eastAsia="宋体" w:cs="Times New Roman"/>
                <w:snapToGrid w:val="0"/>
                <w:color w:val="auto"/>
                <w:kern w:val="0"/>
                <w:sz w:val="21"/>
                <w:szCs w:val="21"/>
                <w:vertAlign w:val="baseline"/>
                <w:lang w:val="en-US" w:eastAsia="zh-CN" w:bidi="ar-SA"/>
              </w:rPr>
              <w:t>喷枪等高效涂装技术，减少使用手动空气喷涂技术。喷涂过程应采用密闭设备或在密闭空间内操作，禁止通过加大送排风量或其他通风措施故意稀释排放。</w:t>
            </w:r>
          </w:p>
          <w:p w14:paraId="2063AA66">
            <w:pPr>
              <w:pStyle w:val="8"/>
              <w:keepNext w:val="0"/>
              <w:keepLines w:val="0"/>
              <w:pageBreakBefore w:val="0"/>
              <w:widowControl/>
              <w:numPr>
                <w:ilvl w:val="0"/>
                <w:numId w:val="6"/>
              </w:numPr>
              <w:kinsoku w:val="0"/>
              <w:wordWrap/>
              <w:overflowPunct/>
              <w:topLinePunct w:val="0"/>
              <w:autoSpaceDE w:val="0"/>
              <w:autoSpaceDN w:val="0"/>
              <w:bidi w:val="0"/>
              <w:adjustRightInd w:val="0"/>
              <w:snapToGrid w:val="0"/>
              <w:ind w:left="0" w:leftChars="0" w:firstLine="0" w:firstLineChars="0"/>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开发区污染物总量控制在本次规划环评核定总量内，不得突破</w:t>
            </w:r>
            <w:r>
              <w:rPr>
                <w:rFonts w:hint="eastAsia" w:ascii="Times New Roman" w:hAnsi="Times New Roman" w:eastAsia="宋体" w:cs="Times New Roman"/>
                <w:snapToGrid w:val="0"/>
                <w:color w:val="auto"/>
                <w:kern w:val="0"/>
                <w:sz w:val="21"/>
                <w:szCs w:val="21"/>
                <w:vertAlign w:val="baseline"/>
                <w:lang w:val="en-US" w:eastAsia="zh-CN" w:bidi="ar-SA"/>
              </w:rPr>
              <w:t>。</w:t>
            </w:r>
          </w:p>
        </w:tc>
      </w:tr>
      <w:tr w14:paraId="6E004F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7" w:type="dxa"/>
            <w:vMerge w:val="restart"/>
            <w:tcBorders>
              <w:tl2br w:val="nil"/>
              <w:tr2bl w:val="nil"/>
            </w:tcBorders>
            <w:vAlign w:val="center"/>
          </w:tcPr>
          <w:p w14:paraId="510EA7F5">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snapToGrid w:val="0"/>
                <w:color w:val="auto"/>
                <w:kern w:val="0"/>
                <w:sz w:val="21"/>
                <w:szCs w:val="21"/>
                <w:vertAlign w:val="baseline"/>
                <w:lang w:val="en-US" w:eastAsia="zh-CN" w:bidi="ar-SA"/>
              </w:rPr>
              <w:t>地表水</w:t>
            </w:r>
          </w:p>
        </w:tc>
        <w:tc>
          <w:tcPr>
            <w:tcW w:w="2150" w:type="dxa"/>
            <w:tcBorders>
              <w:tl2br w:val="nil"/>
              <w:tr2bl w:val="nil"/>
            </w:tcBorders>
            <w:vAlign w:val="center"/>
          </w:tcPr>
          <w:p w14:paraId="25846096">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秦淮河</w:t>
            </w:r>
            <w:r>
              <w:rPr>
                <w:rFonts w:hint="eastAsia" w:ascii="Times New Roman" w:hAnsi="Times New Roman" w:eastAsia="宋体" w:cs="Times New Roman"/>
                <w:snapToGrid w:val="0"/>
                <w:color w:val="auto"/>
                <w:kern w:val="0"/>
                <w:sz w:val="21"/>
                <w:szCs w:val="21"/>
                <w:vertAlign w:val="baseline"/>
                <w:lang w:val="en-US" w:eastAsia="zh-CN" w:bidi="ar-SA"/>
              </w:rPr>
              <w:t>（</w:t>
            </w:r>
            <w:r>
              <w:rPr>
                <w:rFonts w:hint="default" w:ascii="Times New Roman" w:hAnsi="Times New Roman" w:eastAsia="宋体" w:cs="Times New Roman"/>
                <w:snapToGrid w:val="0"/>
                <w:color w:val="auto"/>
                <w:kern w:val="0"/>
                <w:sz w:val="21"/>
                <w:szCs w:val="21"/>
                <w:vertAlign w:val="baseline"/>
                <w:lang w:val="en-US" w:eastAsia="zh-CN" w:bidi="ar-SA"/>
              </w:rPr>
              <w:t>云台山河口-牛首山河口河段</w:t>
            </w:r>
            <w:r>
              <w:rPr>
                <w:rFonts w:hint="eastAsia" w:ascii="Times New Roman" w:hAnsi="Times New Roman" w:eastAsia="宋体" w:cs="Times New Roman"/>
                <w:snapToGrid w:val="0"/>
                <w:color w:val="auto"/>
                <w:kern w:val="0"/>
                <w:sz w:val="21"/>
                <w:szCs w:val="21"/>
                <w:vertAlign w:val="baseline"/>
                <w:lang w:val="en-US" w:eastAsia="zh-CN" w:bidi="ar-SA"/>
              </w:rPr>
              <w:t>）</w:t>
            </w:r>
            <w:r>
              <w:rPr>
                <w:rFonts w:hint="default" w:ascii="Times New Roman" w:hAnsi="Times New Roman" w:eastAsia="宋体" w:cs="Times New Roman"/>
                <w:snapToGrid w:val="0"/>
                <w:color w:val="auto"/>
                <w:kern w:val="0"/>
                <w:sz w:val="21"/>
                <w:szCs w:val="21"/>
                <w:vertAlign w:val="baseline"/>
                <w:lang w:val="en-US" w:eastAsia="zh-CN" w:bidi="ar-SA"/>
              </w:rPr>
              <w:t>、</w:t>
            </w:r>
            <w:r>
              <w:rPr>
                <w:rFonts w:hint="eastAsia" w:ascii="Times New Roman" w:hAnsi="Times New Roman" w:cs="Times New Roman"/>
                <w:color w:val="auto"/>
                <w:lang w:val="en-US" w:eastAsia="zh-CN"/>
              </w:rPr>
              <w:t>牛首山河、秦淮新河、云台山河、</w:t>
            </w:r>
            <w:bookmarkStart w:id="1127" w:name="OLE_LINK619"/>
            <w:bookmarkStart w:id="1128" w:name="OLE_LINK366"/>
            <w:r>
              <w:rPr>
                <w:rFonts w:hint="eastAsia" w:ascii="Times New Roman" w:hAnsi="Times New Roman" w:cs="Times New Roman"/>
                <w:color w:val="auto"/>
                <w:lang w:val="en-US" w:eastAsia="zh-CN"/>
              </w:rPr>
              <w:t>风波坟水库</w:t>
            </w:r>
            <w:bookmarkEnd w:id="1127"/>
            <w:r>
              <w:rPr>
                <w:rFonts w:hint="eastAsia" w:ascii="Times New Roman" w:hAnsi="Times New Roman" w:cs="Times New Roman"/>
                <w:color w:val="auto"/>
                <w:lang w:val="en-US" w:eastAsia="zh-CN"/>
              </w:rPr>
              <w:t>、</w:t>
            </w:r>
            <w:bookmarkStart w:id="1129" w:name="OLE_LINK620"/>
            <w:r>
              <w:rPr>
                <w:rFonts w:hint="eastAsia" w:ascii="Times New Roman" w:hAnsi="Times New Roman" w:cs="Times New Roman"/>
                <w:color w:val="auto"/>
                <w:lang w:val="en-US" w:eastAsia="zh-CN"/>
              </w:rPr>
              <w:t>谷里水库</w:t>
            </w:r>
            <w:bookmarkEnd w:id="1128"/>
            <w:bookmarkEnd w:id="1129"/>
          </w:p>
        </w:tc>
        <w:tc>
          <w:tcPr>
            <w:tcW w:w="1900" w:type="dxa"/>
            <w:tcBorders>
              <w:tl2br w:val="nil"/>
              <w:tr2bl w:val="nil"/>
            </w:tcBorders>
            <w:vAlign w:val="center"/>
          </w:tcPr>
          <w:p w14:paraId="2FC8E0E0">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Ⅲ类</w:t>
            </w:r>
          </w:p>
        </w:tc>
        <w:tc>
          <w:tcPr>
            <w:tcW w:w="9645" w:type="dxa"/>
            <w:vMerge w:val="restart"/>
            <w:tcBorders>
              <w:tl2br w:val="nil"/>
              <w:tr2bl w:val="nil"/>
            </w:tcBorders>
          </w:tcPr>
          <w:p w14:paraId="273155F2">
            <w:pPr>
              <w:pStyle w:val="8"/>
              <w:keepNext w:val="0"/>
              <w:keepLines w:val="0"/>
              <w:pageBreakBefore w:val="0"/>
              <w:widowControl/>
              <w:numPr>
                <w:ilvl w:val="0"/>
                <w:numId w:val="7"/>
              </w:numPr>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已针对胜利河等不达标水体制定整治方案，加快雨污分流及管网建设、实施</w:t>
            </w:r>
            <w:r>
              <w:rPr>
                <w:rFonts w:hint="eastAsia" w:ascii="Times New Roman" w:hAnsi="Times New Roman" w:eastAsia="宋体" w:cs="Times New Roman"/>
                <w:snapToGrid w:val="0"/>
                <w:color w:val="auto"/>
                <w:kern w:val="0"/>
                <w:sz w:val="21"/>
                <w:szCs w:val="21"/>
                <w:vertAlign w:val="baseline"/>
                <w:lang w:val="en-US" w:eastAsia="zh-CN" w:bidi="ar-SA"/>
              </w:rPr>
              <w:t>截</w:t>
            </w:r>
            <w:r>
              <w:rPr>
                <w:rFonts w:hint="default" w:ascii="Times New Roman" w:hAnsi="Times New Roman" w:eastAsia="宋体" w:cs="Times New Roman"/>
                <w:snapToGrid w:val="0"/>
                <w:color w:val="auto"/>
                <w:kern w:val="0"/>
                <w:sz w:val="21"/>
                <w:szCs w:val="21"/>
                <w:vertAlign w:val="baseline"/>
                <w:lang w:val="en-US" w:eastAsia="zh-CN" w:bidi="ar-SA"/>
              </w:rPr>
              <w:t>污、清淤，河道边坡整治等，根据202</w:t>
            </w:r>
            <w:r>
              <w:rPr>
                <w:rFonts w:hint="eastAsia" w:ascii="Times New Roman" w:hAnsi="Times New Roman" w:eastAsia="宋体" w:cs="Times New Roman"/>
                <w:snapToGrid w:val="0"/>
                <w:color w:val="auto"/>
                <w:kern w:val="0"/>
                <w:sz w:val="21"/>
                <w:szCs w:val="21"/>
                <w:vertAlign w:val="baseline"/>
                <w:lang w:val="en-US" w:eastAsia="zh-CN" w:bidi="ar-SA"/>
              </w:rPr>
              <w:t>4</w:t>
            </w:r>
            <w:r>
              <w:rPr>
                <w:rFonts w:hint="default" w:ascii="Times New Roman" w:hAnsi="Times New Roman" w:eastAsia="宋体" w:cs="Times New Roman"/>
                <w:snapToGrid w:val="0"/>
                <w:color w:val="auto"/>
                <w:kern w:val="0"/>
                <w:sz w:val="21"/>
                <w:szCs w:val="21"/>
                <w:vertAlign w:val="baseline"/>
                <w:lang w:val="en-US" w:eastAsia="zh-CN" w:bidi="ar-SA"/>
              </w:rPr>
              <w:t>年水质监测断面监测情况，句容河、胜利河等水质得到改善。</w:t>
            </w:r>
          </w:p>
          <w:p w14:paraId="74BC465F">
            <w:pPr>
              <w:pStyle w:val="8"/>
              <w:keepNext w:val="0"/>
              <w:keepLines w:val="0"/>
              <w:pageBreakBefore w:val="0"/>
              <w:widowControl/>
              <w:numPr>
                <w:ilvl w:val="0"/>
                <w:numId w:val="7"/>
              </w:numPr>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加快污水管网排查及改造修复工程，开展开发区董村路、金鑫中路等管网建设及改造工程、新丰南路和九龙湖北路污水管网建设、杨桥泵站提升泵站出水压力管道改造工程、未来科技城云台山河以南区域基础设施工程项目</w:t>
            </w:r>
            <w:r>
              <w:rPr>
                <w:rFonts w:hint="eastAsia" w:ascii="Times New Roman" w:hAnsi="Times New Roman" w:eastAsia="宋体" w:cs="Times New Roman"/>
                <w:snapToGrid w:val="0"/>
                <w:color w:val="auto"/>
                <w:kern w:val="0"/>
                <w:sz w:val="21"/>
                <w:szCs w:val="21"/>
                <w:vertAlign w:val="baseline"/>
                <w:lang w:val="en-US" w:eastAsia="zh-CN" w:bidi="ar-SA"/>
              </w:rPr>
              <w:t>（</w:t>
            </w:r>
            <w:r>
              <w:rPr>
                <w:rFonts w:hint="default" w:ascii="Times New Roman" w:hAnsi="Times New Roman" w:eastAsia="宋体" w:cs="Times New Roman"/>
                <w:snapToGrid w:val="0"/>
                <w:color w:val="auto"/>
                <w:kern w:val="0"/>
                <w:sz w:val="21"/>
                <w:szCs w:val="21"/>
                <w:vertAlign w:val="baseline"/>
                <w:lang w:val="en-US" w:eastAsia="zh-CN" w:bidi="ar-SA"/>
              </w:rPr>
              <w:t>双龙大道以东</w:t>
            </w:r>
            <w:r>
              <w:rPr>
                <w:rFonts w:hint="eastAsia" w:ascii="Times New Roman" w:hAnsi="Times New Roman" w:eastAsia="宋体" w:cs="Times New Roman"/>
                <w:snapToGrid w:val="0"/>
                <w:color w:val="auto"/>
                <w:kern w:val="0"/>
                <w:sz w:val="21"/>
                <w:szCs w:val="21"/>
                <w:vertAlign w:val="baseline"/>
                <w:lang w:val="en-US" w:eastAsia="zh-CN" w:bidi="ar-SA"/>
              </w:rPr>
              <w:t>）</w:t>
            </w:r>
            <w:r>
              <w:rPr>
                <w:rFonts w:hint="default" w:ascii="Times New Roman" w:hAnsi="Times New Roman" w:eastAsia="宋体" w:cs="Times New Roman"/>
                <w:snapToGrid w:val="0"/>
                <w:color w:val="auto"/>
                <w:kern w:val="0"/>
                <w:sz w:val="21"/>
                <w:szCs w:val="21"/>
                <w:vertAlign w:val="baseline"/>
                <w:lang w:val="en-US" w:eastAsia="zh-CN" w:bidi="ar-SA"/>
              </w:rPr>
              <w:t>等，累计管网长度约44km，至2021年，基本消除建成区管网空白区，实现污水处理提质增效。</w:t>
            </w:r>
          </w:p>
          <w:p w14:paraId="5C059C53">
            <w:pPr>
              <w:pStyle w:val="8"/>
              <w:keepNext w:val="0"/>
              <w:keepLines w:val="0"/>
              <w:pageBreakBefore w:val="0"/>
              <w:widowControl/>
              <w:numPr>
                <w:ilvl w:val="0"/>
                <w:numId w:val="7"/>
              </w:numPr>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加快处理设施建设，为满足开发区内污水处理需求，开发区规划处理规模达77万m</w:t>
            </w:r>
            <w:r>
              <w:rPr>
                <w:rFonts w:hint="eastAsia" w:ascii="Times New Roman" w:hAnsi="Times New Roman" w:eastAsia="宋体" w:cs="Times New Roman"/>
                <w:snapToGrid w:val="0"/>
                <w:color w:val="auto"/>
                <w:kern w:val="0"/>
                <w:sz w:val="21"/>
                <w:szCs w:val="21"/>
                <w:vertAlign w:val="superscript"/>
                <w:lang w:val="en-US" w:eastAsia="zh-CN" w:bidi="ar-SA"/>
              </w:rPr>
              <w:t>3</w:t>
            </w:r>
            <w:r>
              <w:rPr>
                <w:rFonts w:hint="default" w:ascii="Times New Roman" w:hAnsi="Times New Roman" w:eastAsia="宋体" w:cs="Times New Roman"/>
                <w:snapToGrid w:val="0"/>
                <w:color w:val="auto"/>
                <w:kern w:val="0"/>
                <w:sz w:val="21"/>
                <w:szCs w:val="21"/>
                <w:vertAlign w:val="baseline"/>
                <w:lang w:val="en-US" w:eastAsia="zh-CN" w:bidi="ar-SA"/>
              </w:rPr>
              <w:t>/d。进一步加快污水处理设施的扩建，实施污水处理厂提标改造工作，至2025年新改扩污水处理厂主要指标实现准</w:t>
            </w:r>
            <w:r>
              <w:rPr>
                <w:rFonts w:hint="eastAsia" w:ascii="Times New Roman" w:hAnsi="Times New Roman" w:eastAsia="宋体" w:cs="Times New Roman"/>
                <w:snapToGrid w:val="0"/>
                <w:color w:val="auto"/>
                <w:kern w:val="0"/>
                <w:sz w:val="21"/>
                <w:szCs w:val="21"/>
                <w:vertAlign w:val="baseline"/>
                <w:lang w:val="en-US" w:eastAsia="zh-CN" w:bidi="ar-SA"/>
              </w:rPr>
              <w:t>Ⅳ类</w:t>
            </w:r>
            <w:r>
              <w:rPr>
                <w:rFonts w:hint="default" w:ascii="Times New Roman" w:hAnsi="Times New Roman" w:eastAsia="宋体" w:cs="Times New Roman"/>
                <w:snapToGrid w:val="0"/>
                <w:color w:val="auto"/>
                <w:kern w:val="0"/>
                <w:sz w:val="21"/>
                <w:szCs w:val="21"/>
                <w:vertAlign w:val="baseline"/>
                <w:lang w:val="en-US" w:eastAsia="zh-CN" w:bidi="ar-SA"/>
              </w:rPr>
              <w:t>排放，至2030年污水处理厂全面实现主要指标准</w:t>
            </w:r>
            <w:r>
              <w:rPr>
                <w:rFonts w:hint="eastAsia" w:ascii="Times New Roman" w:hAnsi="Times New Roman" w:eastAsia="宋体" w:cs="Times New Roman"/>
                <w:snapToGrid w:val="0"/>
                <w:color w:val="auto"/>
                <w:kern w:val="0"/>
                <w:sz w:val="21"/>
                <w:szCs w:val="21"/>
                <w:vertAlign w:val="baseline"/>
                <w:lang w:val="en-US" w:eastAsia="zh-CN" w:bidi="ar-SA"/>
              </w:rPr>
              <w:t>Ⅳ类</w:t>
            </w:r>
            <w:r>
              <w:rPr>
                <w:rFonts w:hint="default" w:ascii="Times New Roman" w:hAnsi="Times New Roman" w:eastAsia="宋体" w:cs="Times New Roman"/>
                <w:snapToGrid w:val="0"/>
                <w:color w:val="auto"/>
                <w:kern w:val="0"/>
                <w:sz w:val="21"/>
                <w:szCs w:val="21"/>
                <w:vertAlign w:val="baseline"/>
                <w:lang w:val="en-US" w:eastAsia="zh-CN" w:bidi="ar-SA"/>
              </w:rPr>
              <w:t>排放。</w:t>
            </w:r>
          </w:p>
          <w:p w14:paraId="0C95954A">
            <w:pPr>
              <w:pStyle w:val="8"/>
              <w:keepNext w:val="0"/>
              <w:keepLines w:val="0"/>
              <w:pageBreakBefore w:val="0"/>
              <w:widowControl/>
              <w:numPr>
                <w:ilvl w:val="0"/>
                <w:numId w:val="7"/>
              </w:numPr>
              <w:kinsoku w:val="0"/>
              <w:wordWrap/>
              <w:overflowPunct/>
              <w:topLinePunct w:val="0"/>
              <w:autoSpaceDE w:val="0"/>
              <w:autoSpaceDN w:val="0"/>
              <w:bidi w:val="0"/>
              <w:adjustRightInd w:val="0"/>
              <w:snapToGrid w:val="0"/>
              <w:ind w:left="0" w:leftChars="0" w:firstLine="0" w:firstLineChars="0"/>
              <w:textAlignment w:val="baseline"/>
              <w:rPr>
                <w:rFonts w:hint="eastAsia"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提升废水资源化利用率，加大开发区内企业污水回用率，减轻城市供水负荷，节省尾水排河容量。鼓励装备制造、电子等企业大力发展循环用水系统、串联用水系统和中水回用系统，提高水的重复利用率，加强中水回用</w:t>
            </w:r>
            <w:r>
              <w:rPr>
                <w:rFonts w:hint="eastAsia" w:ascii="Times New Roman" w:hAnsi="Times New Roman" w:eastAsia="宋体" w:cs="Times New Roman"/>
                <w:snapToGrid w:val="0"/>
                <w:color w:val="auto"/>
                <w:kern w:val="0"/>
                <w:sz w:val="21"/>
                <w:szCs w:val="21"/>
                <w:vertAlign w:val="baseline"/>
                <w:lang w:val="en-US" w:eastAsia="zh-CN" w:bidi="ar-SA"/>
              </w:rPr>
              <w:t>。</w:t>
            </w:r>
          </w:p>
          <w:p w14:paraId="5B176AB5">
            <w:pPr>
              <w:pStyle w:val="8"/>
              <w:keepNext w:val="0"/>
              <w:keepLines w:val="0"/>
              <w:pageBreakBefore w:val="0"/>
              <w:widowControl/>
              <w:numPr>
                <w:ilvl w:val="0"/>
                <w:numId w:val="7"/>
              </w:numPr>
              <w:kinsoku w:val="0"/>
              <w:wordWrap/>
              <w:overflowPunct/>
              <w:topLinePunct w:val="0"/>
              <w:autoSpaceDE w:val="0"/>
              <w:autoSpaceDN w:val="0"/>
              <w:bidi w:val="0"/>
              <w:adjustRightInd w:val="0"/>
              <w:snapToGrid w:val="0"/>
              <w:ind w:left="0" w:leftChars="0" w:firstLine="0" w:firstLineChars="0"/>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区内污染物总量控制在本次规划环评核定总量范围内不得突破。</w:t>
            </w:r>
          </w:p>
        </w:tc>
      </w:tr>
      <w:tr w14:paraId="286391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7" w:type="dxa"/>
            <w:vMerge w:val="continue"/>
            <w:tcBorders>
              <w:tl2br w:val="nil"/>
              <w:tr2bl w:val="nil"/>
            </w:tcBorders>
            <w:vAlign w:val="center"/>
          </w:tcPr>
          <w:p w14:paraId="5A54C5A5">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p>
        </w:tc>
        <w:tc>
          <w:tcPr>
            <w:tcW w:w="2150" w:type="dxa"/>
            <w:tcBorders>
              <w:tl2br w:val="nil"/>
              <w:tr2bl w:val="nil"/>
            </w:tcBorders>
            <w:vAlign w:val="center"/>
          </w:tcPr>
          <w:p w14:paraId="6F2532B1">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秦淮河</w:t>
            </w:r>
            <w:r>
              <w:rPr>
                <w:rFonts w:hint="eastAsia" w:ascii="Times New Roman" w:hAnsi="Times New Roman" w:eastAsia="宋体" w:cs="Times New Roman"/>
                <w:snapToGrid w:val="0"/>
                <w:color w:val="auto"/>
                <w:kern w:val="0"/>
                <w:sz w:val="21"/>
                <w:szCs w:val="21"/>
                <w:vertAlign w:val="baseline"/>
                <w:lang w:val="en-US" w:eastAsia="zh-CN" w:bidi="ar-SA"/>
              </w:rPr>
              <w:t>（</w:t>
            </w:r>
            <w:r>
              <w:rPr>
                <w:rFonts w:hint="default" w:ascii="Times New Roman" w:hAnsi="Times New Roman" w:eastAsia="宋体" w:cs="Times New Roman"/>
                <w:snapToGrid w:val="0"/>
                <w:color w:val="auto"/>
                <w:kern w:val="0"/>
                <w:sz w:val="21"/>
                <w:szCs w:val="21"/>
                <w:vertAlign w:val="baseline"/>
                <w:lang w:val="en-US" w:eastAsia="zh-CN" w:bidi="ar-SA"/>
              </w:rPr>
              <w:t>牛首山河口-江宁上坊门桥段</w:t>
            </w:r>
            <w:r>
              <w:rPr>
                <w:rFonts w:hint="eastAsia" w:ascii="Times New Roman" w:hAnsi="Times New Roman" w:eastAsia="宋体" w:cs="Times New Roman"/>
                <w:snapToGrid w:val="0"/>
                <w:color w:val="auto"/>
                <w:kern w:val="0"/>
                <w:sz w:val="21"/>
                <w:szCs w:val="21"/>
                <w:vertAlign w:val="baseline"/>
                <w:lang w:val="en-US" w:eastAsia="zh-CN" w:bidi="ar-SA"/>
              </w:rPr>
              <w:t>）</w:t>
            </w:r>
            <w:r>
              <w:rPr>
                <w:rFonts w:hint="default" w:ascii="Times New Roman" w:hAnsi="Times New Roman" w:eastAsia="宋体" w:cs="Times New Roman"/>
                <w:snapToGrid w:val="0"/>
                <w:color w:val="auto"/>
                <w:kern w:val="0"/>
                <w:sz w:val="21"/>
                <w:szCs w:val="21"/>
                <w:vertAlign w:val="baseline"/>
                <w:lang w:val="en-US" w:eastAsia="zh-CN" w:bidi="ar-SA"/>
              </w:rPr>
              <w:t>、</w:t>
            </w:r>
            <w:r>
              <w:rPr>
                <w:rFonts w:hint="eastAsia" w:ascii="Times New Roman" w:hAnsi="Times New Roman" w:cs="Times New Roman"/>
                <w:color w:val="auto"/>
                <w:lang w:val="en-US" w:eastAsia="zh-CN"/>
              </w:rPr>
              <w:t>胜利河、百家湖、九龙湖</w:t>
            </w:r>
          </w:p>
        </w:tc>
        <w:tc>
          <w:tcPr>
            <w:tcW w:w="1900" w:type="dxa"/>
            <w:tcBorders>
              <w:tl2br w:val="nil"/>
              <w:tr2bl w:val="nil"/>
            </w:tcBorders>
            <w:vAlign w:val="center"/>
          </w:tcPr>
          <w:p w14:paraId="20D933E6">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Ⅳ类</w:t>
            </w:r>
          </w:p>
        </w:tc>
        <w:tc>
          <w:tcPr>
            <w:tcW w:w="9645" w:type="dxa"/>
            <w:vMerge w:val="continue"/>
            <w:tcBorders>
              <w:tl2br w:val="nil"/>
              <w:tr2bl w:val="nil"/>
            </w:tcBorders>
          </w:tcPr>
          <w:p w14:paraId="5B951105">
            <w:pPr>
              <w:pStyle w:val="8"/>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snapToGrid w:val="0"/>
                <w:color w:val="auto"/>
                <w:kern w:val="0"/>
                <w:sz w:val="21"/>
                <w:szCs w:val="21"/>
                <w:vertAlign w:val="baseline"/>
                <w:lang w:val="en-US" w:eastAsia="zh-CN" w:bidi="ar-SA"/>
              </w:rPr>
            </w:pPr>
          </w:p>
        </w:tc>
      </w:tr>
      <w:tr w14:paraId="2C1370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7" w:type="dxa"/>
            <w:vMerge w:val="restart"/>
            <w:tcBorders>
              <w:tl2br w:val="nil"/>
              <w:tr2bl w:val="nil"/>
            </w:tcBorders>
            <w:vAlign w:val="center"/>
          </w:tcPr>
          <w:p w14:paraId="038DC012">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snapToGrid w:val="0"/>
                <w:color w:val="auto"/>
                <w:kern w:val="0"/>
                <w:sz w:val="21"/>
                <w:szCs w:val="21"/>
                <w:vertAlign w:val="baseline"/>
                <w:lang w:val="en-US" w:eastAsia="zh-CN" w:bidi="ar-SA"/>
              </w:rPr>
              <w:t>声</w:t>
            </w:r>
          </w:p>
        </w:tc>
        <w:tc>
          <w:tcPr>
            <w:tcW w:w="2150" w:type="dxa"/>
            <w:tcBorders>
              <w:tl2br w:val="nil"/>
              <w:tr2bl w:val="nil"/>
            </w:tcBorders>
            <w:vAlign w:val="center"/>
          </w:tcPr>
          <w:p w14:paraId="240DDA06">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snapToGrid w:val="0"/>
                <w:color w:val="auto"/>
                <w:kern w:val="0"/>
                <w:sz w:val="21"/>
                <w:szCs w:val="21"/>
                <w:vertAlign w:val="baseline"/>
                <w:lang w:val="en-US" w:eastAsia="zh-CN" w:bidi="ar-SA"/>
              </w:rPr>
              <w:t>全区除2、4a类以外的区域</w:t>
            </w:r>
          </w:p>
        </w:tc>
        <w:tc>
          <w:tcPr>
            <w:tcW w:w="1900" w:type="dxa"/>
            <w:tcBorders>
              <w:tl2br w:val="nil"/>
              <w:tr2bl w:val="nil"/>
            </w:tcBorders>
            <w:vAlign w:val="center"/>
          </w:tcPr>
          <w:p w14:paraId="2214FB79">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snapToGrid w:val="0"/>
                <w:color w:val="auto"/>
                <w:kern w:val="0"/>
                <w:sz w:val="21"/>
                <w:szCs w:val="21"/>
                <w:vertAlign w:val="baseline"/>
                <w:lang w:val="en-US" w:eastAsia="zh-CN" w:bidi="ar-SA"/>
              </w:rPr>
              <w:t>1类</w:t>
            </w:r>
          </w:p>
        </w:tc>
        <w:tc>
          <w:tcPr>
            <w:tcW w:w="9645" w:type="dxa"/>
            <w:vMerge w:val="restart"/>
            <w:tcBorders>
              <w:tl2br w:val="nil"/>
              <w:tr2bl w:val="nil"/>
            </w:tcBorders>
          </w:tcPr>
          <w:p w14:paraId="6E80A2F4">
            <w:pPr>
              <w:pStyle w:val="8"/>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snapToGrid w:val="0"/>
                <w:color w:val="auto"/>
                <w:kern w:val="0"/>
                <w:sz w:val="21"/>
                <w:szCs w:val="21"/>
                <w:vertAlign w:val="baseline"/>
                <w:lang w:val="en-US" w:eastAsia="zh-CN" w:bidi="ar-SA"/>
              </w:rPr>
              <w:t>（1）加强交通噪声控制；</w:t>
            </w:r>
          </w:p>
          <w:p w14:paraId="47B19AC0">
            <w:pPr>
              <w:pStyle w:val="8"/>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snapToGrid w:val="0"/>
                <w:color w:val="auto"/>
                <w:kern w:val="0"/>
                <w:sz w:val="21"/>
                <w:szCs w:val="21"/>
                <w:vertAlign w:val="baseline"/>
                <w:lang w:val="en-US" w:eastAsia="zh-CN" w:bidi="ar-SA"/>
              </w:rPr>
              <w:t>（2）加强建筑施工噪声的防治与管理。</w:t>
            </w:r>
          </w:p>
        </w:tc>
      </w:tr>
      <w:tr w14:paraId="49C413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7" w:type="dxa"/>
            <w:vMerge w:val="continue"/>
            <w:tcBorders>
              <w:tl2br w:val="nil"/>
              <w:tr2bl w:val="nil"/>
            </w:tcBorders>
            <w:vAlign w:val="center"/>
          </w:tcPr>
          <w:p w14:paraId="0BFC3F0C">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p>
        </w:tc>
        <w:tc>
          <w:tcPr>
            <w:tcW w:w="2150" w:type="dxa"/>
            <w:tcBorders>
              <w:tl2br w:val="nil"/>
              <w:tr2bl w:val="nil"/>
            </w:tcBorders>
            <w:vAlign w:val="center"/>
          </w:tcPr>
          <w:p w14:paraId="65BE0444">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bookmarkStart w:id="1130" w:name="OLE_LINK734"/>
            <w:r>
              <w:rPr>
                <w:rFonts w:hint="eastAsia" w:ascii="Times New Roman" w:hAnsi="Times New Roman" w:eastAsia="宋体" w:cs="Times New Roman"/>
                <w:snapToGrid w:val="0"/>
                <w:color w:val="auto"/>
                <w:kern w:val="0"/>
                <w:sz w:val="21"/>
                <w:szCs w:val="21"/>
                <w:vertAlign w:val="baseline"/>
                <w:lang w:val="en-US" w:eastAsia="zh-CN" w:bidi="ar-SA"/>
              </w:rPr>
              <w:t>各街道建成区</w:t>
            </w:r>
            <w:bookmarkEnd w:id="1130"/>
          </w:p>
        </w:tc>
        <w:tc>
          <w:tcPr>
            <w:tcW w:w="1900" w:type="dxa"/>
            <w:tcBorders>
              <w:tl2br w:val="nil"/>
              <w:tr2bl w:val="nil"/>
            </w:tcBorders>
            <w:vAlign w:val="center"/>
          </w:tcPr>
          <w:p w14:paraId="7DD075FE">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snapToGrid w:val="0"/>
                <w:color w:val="auto"/>
                <w:kern w:val="0"/>
                <w:sz w:val="21"/>
                <w:szCs w:val="21"/>
                <w:vertAlign w:val="baseline"/>
                <w:lang w:val="en-US" w:eastAsia="zh-CN" w:bidi="ar-SA"/>
              </w:rPr>
              <w:t>2类</w:t>
            </w:r>
          </w:p>
        </w:tc>
        <w:tc>
          <w:tcPr>
            <w:tcW w:w="9645" w:type="dxa"/>
            <w:vMerge w:val="continue"/>
            <w:tcBorders>
              <w:tl2br w:val="nil"/>
              <w:tr2bl w:val="nil"/>
            </w:tcBorders>
          </w:tcPr>
          <w:p w14:paraId="71A05CC1">
            <w:pPr>
              <w:pStyle w:val="8"/>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snapToGrid w:val="0"/>
                <w:color w:val="auto"/>
                <w:kern w:val="0"/>
                <w:sz w:val="21"/>
                <w:szCs w:val="21"/>
                <w:vertAlign w:val="baseline"/>
                <w:lang w:val="en-US" w:eastAsia="zh-CN" w:bidi="ar-SA"/>
              </w:rPr>
            </w:pPr>
          </w:p>
        </w:tc>
      </w:tr>
      <w:tr w14:paraId="6925E0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7" w:type="dxa"/>
            <w:vMerge w:val="continue"/>
            <w:tcBorders>
              <w:tl2br w:val="nil"/>
              <w:tr2bl w:val="nil"/>
            </w:tcBorders>
            <w:vAlign w:val="center"/>
          </w:tcPr>
          <w:p w14:paraId="22FDF5D9">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p>
        </w:tc>
        <w:tc>
          <w:tcPr>
            <w:tcW w:w="2150" w:type="dxa"/>
            <w:tcBorders>
              <w:tl2br w:val="nil"/>
              <w:tr2bl w:val="nil"/>
            </w:tcBorders>
            <w:vAlign w:val="center"/>
          </w:tcPr>
          <w:p w14:paraId="3B2806AA">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snapToGrid w:val="0"/>
                <w:color w:val="auto"/>
                <w:kern w:val="0"/>
                <w:sz w:val="21"/>
                <w:szCs w:val="21"/>
                <w:vertAlign w:val="baseline"/>
                <w:lang w:val="en-US" w:eastAsia="zh-CN" w:bidi="ar-SA"/>
              </w:rPr>
              <w:t>道路交通干线两侧</w:t>
            </w:r>
          </w:p>
        </w:tc>
        <w:tc>
          <w:tcPr>
            <w:tcW w:w="1900" w:type="dxa"/>
            <w:tcBorders>
              <w:tl2br w:val="nil"/>
              <w:tr2bl w:val="nil"/>
            </w:tcBorders>
            <w:vAlign w:val="center"/>
          </w:tcPr>
          <w:p w14:paraId="10363858">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4a类</w:t>
            </w:r>
          </w:p>
        </w:tc>
        <w:tc>
          <w:tcPr>
            <w:tcW w:w="9645" w:type="dxa"/>
            <w:vMerge w:val="continue"/>
            <w:tcBorders>
              <w:tl2br w:val="nil"/>
              <w:tr2bl w:val="nil"/>
            </w:tcBorders>
          </w:tcPr>
          <w:p w14:paraId="3C5319F6">
            <w:pPr>
              <w:pStyle w:val="8"/>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snapToGrid w:val="0"/>
                <w:color w:val="auto"/>
                <w:kern w:val="0"/>
                <w:sz w:val="21"/>
                <w:szCs w:val="21"/>
                <w:vertAlign w:val="baseline"/>
                <w:lang w:val="en-US" w:eastAsia="zh-CN" w:bidi="ar-SA"/>
              </w:rPr>
            </w:pPr>
          </w:p>
        </w:tc>
      </w:tr>
      <w:tr w14:paraId="1BB772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7" w:type="dxa"/>
            <w:vMerge w:val="continue"/>
            <w:tcBorders>
              <w:tl2br w:val="nil"/>
              <w:tr2bl w:val="nil"/>
            </w:tcBorders>
            <w:vAlign w:val="center"/>
          </w:tcPr>
          <w:p w14:paraId="4738D97E">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p>
        </w:tc>
        <w:tc>
          <w:tcPr>
            <w:tcW w:w="2150" w:type="dxa"/>
            <w:tcBorders>
              <w:tl2br w:val="nil"/>
              <w:tr2bl w:val="nil"/>
            </w:tcBorders>
            <w:vAlign w:val="center"/>
          </w:tcPr>
          <w:p w14:paraId="07E0BBAE">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snapToGrid w:val="0"/>
                <w:color w:val="auto"/>
                <w:kern w:val="0"/>
                <w:sz w:val="21"/>
                <w:szCs w:val="21"/>
                <w:vertAlign w:val="baseline"/>
                <w:lang w:val="en-US" w:eastAsia="zh-CN" w:bidi="ar-SA"/>
              </w:rPr>
              <w:t>铁路干线两侧区域</w:t>
            </w:r>
          </w:p>
        </w:tc>
        <w:tc>
          <w:tcPr>
            <w:tcW w:w="1900" w:type="dxa"/>
            <w:tcBorders>
              <w:tl2br w:val="nil"/>
              <w:tr2bl w:val="nil"/>
            </w:tcBorders>
            <w:vAlign w:val="center"/>
          </w:tcPr>
          <w:p w14:paraId="5D9F49B4">
            <w:pPr>
              <w:pStyle w:val="8"/>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snapToGrid w:val="0"/>
                <w:color w:val="auto"/>
                <w:kern w:val="0"/>
                <w:sz w:val="21"/>
                <w:szCs w:val="21"/>
                <w:vertAlign w:val="baseline"/>
                <w:lang w:val="en-US" w:eastAsia="zh-CN" w:bidi="ar-SA"/>
              </w:rPr>
              <w:t>4b类</w:t>
            </w:r>
          </w:p>
        </w:tc>
        <w:tc>
          <w:tcPr>
            <w:tcW w:w="9645" w:type="dxa"/>
            <w:vMerge w:val="continue"/>
            <w:tcBorders>
              <w:tl2br w:val="nil"/>
              <w:tr2bl w:val="nil"/>
            </w:tcBorders>
          </w:tcPr>
          <w:p w14:paraId="3CBC4FB2">
            <w:pPr>
              <w:pStyle w:val="8"/>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snapToGrid w:val="0"/>
                <w:color w:val="auto"/>
                <w:kern w:val="0"/>
                <w:sz w:val="21"/>
                <w:szCs w:val="21"/>
                <w:vertAlign w:val="baseline"/>
                <w:lang w:val="en-US" w:eastAsia="zh-CN" w:bidi="ar-SA"/>
              </w:rPr>
            </w:pPr>
          </w:p>
        </w:tc>
      </w:tr>
    </w:tbl>
    <w:p w14:paraId="6DF32B72">
      <w:pPr>
        <w:pStyle w:val="8"/>
        <w:rPr>
          <w:rFonts w:hint="default" w:ascii="Times New Roman" w:hAnsi="Times New Roman" w:eastAsia="宋体" w:cs="Times New Roman"/>
          <w:snapToGrid w:val="0"/>
          <w:color w:val="auto"/>
          <w:kern w:val="0"/>
          <w:sz w:val="24"/>
          <w:szCs w:val="24"/>
          <w:lang w:val="en-US" w:eastAsia="zh-CN" w:bidi="ar-SA"/>
        </w:rPr>
        <w:sectPr>
          <w:pgSz w:w="16839" w:h="11907" w:orient="landscape"/>
          <w:pgMar w:top="1774" w:right="1134" w:bottom="1774" w:left="1169" w:header="863" w:footer="991" w:gutter="0"/>
          <w:pgBorders>
            <w:top w:val="none" w:sz="0" w:space="0"/>
            <w:left w:val="none" w:sz="0" w:space="0"/>
            <w:bottom w:val="none" w:sz="0" w:space="0"/>
            <w:right w:val="none" w:sz="0" w:space="0"/>
          </w:pgBorders>
          <w:pgNumType w:fmt="decimal"/>
          <w:cols w:space="720" w:num="1"/>
        </w:sectPr>
      </w:pPr>
    </w:p>
    <w:p w14:paraId="1DDF5DC5">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hint="eastAsia" w:ascii="Times New Roman" w:hAnsi="Times New Roman" w:eastAsia="Times New Roman" w:cs="Times New Roman"/>
          <w:b/>
          <w:bCs/>
          <w:color w:val="auto"/>
          <w:spacing w:val="-3"/>
          <w:sz w:val="24"/>
          <w:szCs w:val="24"/>
          <w:lang w:val="en-US" w:eastAsia="zh-CN"/>
        </w:rPr>
      </w:pPr>
      <w:bookmarkStart w:id="1131" w:name="_Toc10287"/>
      <w:r>
        <w:rPr>
          <w:rFonts w:hint="eastAsia" w:ascii="Times New Roman" w:hAnsi="Times New Roman" w:eastAsia="Times New Roman" w:cs="Times New Roman"/>
          <w:b/>
          <w:bCs/>
          <w:color w:val="auto"/>
          <w:spacing w:val="-3"/>
          <w:sz w:val="24"/>
          <w:szCs w:val="24"/>
          <w:lang w:val="en-US" w:eastAsia="zh-CN"/>
        </w:rPr>
        <w:t>5.3最新规划环评审查意见落实情况</w:t>
      </w:r>
      <w:bookmarkEnd w:id="1131"/>
      <w:bookmarkStart w:id="1132" w:name="pindex4351"/>
      <w:bookmarkEnd w:id="1132"/>
    </w:p>
    <w:p w14:paraId="56E900C4">
      <w:pPr>
        <w:tabs>
          <w:tab w:val="left" w:pos="993"/>
          <w:tab w:val="left" w:pos="1050"/>
          <w:tab w:val="left" w:pos="8789"/>
        </w:tabs>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江宁开发区严格遵循科学规律，融南京主城区发展战略和江宁区城市发展规划于一体，按照建设现代化新市区、高科技花园新城、江苏知识创新基地的定位，坚持高起点、高标准、富规划、巧开发的原则，精心规划设计，体现特色，完善功能，层次清晰，有序开发。开发区总体规划的功能定位为：具有鲜明特色的国际化、现代化、生态型的南京新市区；一个以高新技术产业、高科技企业、高科技人才为支撑的经济园；一个与国际惯例接轨、与现代市场经济接轨的创业园；一个人与自然和谐共生的城郊休闲旅游生态园；一个人居环境清洁</w:t>
      </w:r>
      <w:r>
        <w:rPr>
          <w:rFonts w:hint="eastAsia" w:ascii="Times New Roman" w:hAnsi="Times New Roman" w:eastAsia="宋体" w:cs="Times New Roman"/>
          <w:color w:val="auto"/>
          <w:sz w:val="24"/>
          <w:szCs w:val="24"/>
          <w:lang w:eastAsia="zh-CN"/>
        </w:rPr>
        <w:t>幽</w:t>
      </w:r>
      <w:r>
        <w:rPr>
          <w:rFonts w:ascii="Times New Roman" w:hAnsi="Times New Roman" w:eastAsia="宋体" w:cs="Times New Roman"/>
          <w:color w:val="auto"/>
          <w:sz w:val="24"/>
          <w:szCs w:val="24"/>
        </w:rPr>
        <w:t>雅、文化气息浓郁、充满生机活力的文化园。从而描绘出了以高科技和现代先导产业为主体、融山、水、城、林于一体、功能齐全、设施配套的高科技花园新城、知识创新基地的宏伟蓝图。</w:t>
      </w:r>
    </w:p>
    <w:p w14:paraId="5BBC9821">
      <w:pPr>
        <w:tabs>
          <w:tab w:val="left" w:pos="993"/>
          <w:tab w:val="left" w:pos="1050"/>
          <w:tab w:val="left" w:pos="8789"/>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规划环评落实情况如下：</w:t>
      </w:r>
    </w:p>
    <w:p w14:paraId="19A5A2CC">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意见（一）坚持绿色发展和协调发展理念，加强《规划》引导。落实国家、区域发展战略，坚持生态优先、集约高效，以生态环境质量改善为核心，做好与各级国土空间规划和“三线一单”（生态保护红线、环境质量底线、资源利用上线、生态环境准入清单）生态环境分区管控体系的协调衔接，进一步优化《规划》布局、产业定位和发展规模。</w:t>
      </w:r>
    </w:p>
    <w:p w14:paraId="6CD27CFD">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落实情况：</w:t>
      </w:r>
    </w:p>
    <w:p w14:paraId="36CF6BB2">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实行以“产业准入、区域准入”为核心的环境准入制度，严格落实《长江经济带发展负面清单指南（试行，2022年版）》，严格对禁止建设类项目的管控。推进“三线一单”成果实施应用，严格执行《南京市“三线一单”生态环境分区管控实施方案》以及动态更新管控要求，规范和引导园区开发建设行动，切实细化落实“三线一单”生态环境分区管控要求。在产业布局、结构调整、开发建设、重大项目选址时，做好与国土空间规划相符性分析。严守生态保护红线、环境质量底线、资源利用上线，将“三线一单”确定的环境管控单元以及生态环境准入清单作为审批的重要依据，从严把好生态环境准入关。</w:t>
      </w:r>
    </w:p>
    <w:p w14:paraId="4417AE7A">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意见（二）根据国家及地方碳达峰行动方案和节能减排工作要求，推进经开区绿色低碳转型发展。优化产业结构、能源结构、交通运输结构等规划内容，促进实现减污降碳协同增效目标。</w:t>
      </w:r>
    </w:p>
    <w:p w14:paraId="3E6390B5">
      <w:pPr>
        <w:tabs>
          <w:tab w:val="left" w:pos="993"/>
          <w:tab w:val="left" w:pos="1050"/>
          <w:tab w:val="left" w:pos="8789"/>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落实情况：</w:t>
      </w:r>
    </w:p>
    <w:p w14:paraId="71832A91">
      <w:pPr>
        <w:keepNext w:val="0"/>
        <w:keepLines w:val="0"/>
        <w:pageBreakBefore w:val="0"/>
        <w:widowControl w:val="0"/>
        <w:kinsoku/>
        <w:wordWrap/>
        <w:overflowPunct/>
        <w:topLinePunct w:val="0"/>
        <w:autoSpaceDE/>
        <w:autoSpaceDN/>
        <w:bidi w:val="0"/>
        <w:adjustRightInd/>
        <w:snapToGrid/>
        <w:spacing w:line="360" w:lineRule="auto"/>
        <w:ind w:firstLine="520" w:firstLineChars="217"/>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lang w:val="en-US" w:eastAsia="zh-CN"/>
        </w:rPr>
        <w:t>2024年，修订并正式实施</w:t>
      </w:r>
      <w:r>
        <w:rPr>
          <w:rFonts w:hint="default" w:ascii="Times New Roman" w:hAnsi="Times New Roman" w:eastAsia="宋体" w:cs="Times New Roman"/>
          <w:color w:val="auto"/>
          <w:kern w:val="0"/>
          <w:sz w:val="24"/>
          <w:szCs w:val="24"/>
        </w:rPr>
        <w:t>了《江宁经济技术开发区促进绿色</w:t>
      </w:r>
      <w:r>
        <w:rPr>
          <w:rFonts w:hint="default" w:ascii="Times New Roman" w:hAnsi="Times New Roman" w:eastAsia="宋体" w:cs="Times New Roman"/>
          <w:color w:val="auto"/>
          <w:kern w:val="0"/>
          <w:sz w:val="24"/>
          <w:szCs w:val="24"/>
          <w:lang w:val="en-US" w:eastAsia="zh-CN"/>
        </w:rPr>
        <w:t>低碳</w:t>
      </w:r>
      <w:r>
        <w:rPr>
          <w:rFonts w:hint="default" w:ascii="Times New Roman" w:hAnsi="Times New Roman" w:eastAsia="宋体" w:cs="Times New Roman"/>
          <w:color w:val="auto"/>
          <w:kern w:val="0"/>
          <w:sz w:val="24"/>
          <w:szCs w:val="24"/>
        </w:rPr>
        <w:t>办法》，编制园区碳达峰碳中和行动方案，大力推动产业结构低碳化、能源结构清洁化、光伏发电普及化。通过设立绿色发展专项资金，鼓励园区企业、新型研发机构自主研发创新有利于推动低碳绿色发展创新产品、技术和设备；提升园区绿色发展水平，构建系统化园区绿色发展体系，形成了以绿色智能汽车、智能电网、新一代信息技术、软件信</w:t>
      </w:r>
      <w:r>
        <w:rPr>
          <w:rFonts w:hint="default" w:ascii="Times New Roman" w:hAnsi="Times New Roman" w:eastAsia="宋体" w:cs="Times New Roman"/>
          <w:color w:val="auto"/>
          <w:kern w:val="0"/>
          <w:sz w:val="24"/>
          <w:szCs w:val="24"/>
          <w:highlight w:val="none"/>
        </w:rPr>
        <w:t>息服务业等高端产业为主导的先进产业集群。</w:t>
      </w:r>
    </w:p>
    <w:p w14:paraId="3F75F068">
      <w:pPr>
        <w:keepNext w:val="0"/>
        <w:keepLines w:val="0"/>
        <w:pageBreakBefore w:val="0"/>
        <w:tabs>
          <w:tab w:val="left" w:pos="993"/>
          <w:tab w:val="left" w:pos="1050"/>
          <w:tab w:val="left" w:pos="8789"/>
        </w:tabs>
        <w:wordWrap/>
        <w:overflowPunct/>
        <w:topLinePunct w:val="0"/>
        <w:bidi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严格依法规范重点用能单位节能管理。新建宾馆、酒店、商住楼等有热水需要的公共建筑以及12层以下住宅，按照规定统一设计、安装太阳能热水系统。推进国家新能源示范园区建设，目前开发区已备案分布式光伏发电项目约100兆瓦，上汽大众、南瑞继保、金智科技、中电光伏、大全等企业已陆续开展光伏发电示范应用。</w:t>
      </w:r>
    </w:p>
    <w:p w14:paraId="34726E43">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意见（三）着力推动经开区产业结构调整和转型升级。</w:t>
      </w:r>
      <w:bookmarkStart w:id="1133" w:name="sys43612436"/>
      <w:r>
        <w:rPr>
          <w:rFonts w:hint="eastAsia" w:ascii="Times New Roman" w:hAnsi="Times New Roman" w:eastAsia="宋体" w:cs="Times New Roman"/>
          <w:color w:val="auto"/>
          <w:sz w:val="24"/>
          <w:szCs w:val="24"/>
          <w:highlight w:val="none"/>
          <w:lang w:val="en-US" w:eastAsia="zh-CN"/>
        </w:rPr>
        <w:t>从区域环境质量改善和环境风险防范角度，统筹优化各片区产业定位和发展规模；</w:t>
      </w:r>
      <w:bookmarkEnd w:id="1133"/>
      <w:r>
        <w:rPr>
          <w:rFonts w:hint="eastAsia" w:ascii="Times New Roman" w:hAnsi="Times New Roman" w:eastAsia="宋体" w:cs="Times New Roman"/>
          <w:color w:val="auto"/>
          <w:sz w:val="24"/>
          <w:szCs w:val="24"/>
          <w:highlight w:val="none"/>
          <w:lang w:val="en-US" w:eastAsia="zh-CN"/>
        </w:rPr>
        <w:t>优化东山片区产业布局及用地布局，限制上汽大众、卫岗乳业发展规模，推进产业升级和环保措施提标改造。加快推进实施“优二进三”试点片区企业，以及百家湖、九龙湖片区用地效率低企业搬迁或转型升级工作，促进经开区产业转型升级与生态环境保护、人居环境安全相协调。</w:t>
      </w:r>
    </w:p>
    <w:p w14:paraId="7F05B04F">
      <w:pPr>
        <w:tabs>
          <w:tab w:val="left" w:pos="993"/>
          <w:tab w:val="left" w:pos="1050"/>
          <w:tab w:val="left" w:pos="8789"/>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落实情况：</w:t>
      </w:r>
    </w:p>
    <w:p w14:paraId="12EA7641">
      <w:pPr>
        <w:keepNext w:val="0"/>
        <w:keepLines w:val="0"/>
        <w:pageBreakBefore w:val="0"/>
        <w:widowControl/>
        <w:tabs>
          <w:tab w:val="left" w:pos="993"/>
          <w:tab w:val="left" w:pos="1050"/>
          <w:tab w:val="left" w:pos="8789"/>
        </w:tabs>
        <w:kinsoku/>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strike w:val="0"/>
          <w:dstrike w:val="0"/>
          <w:color w:val="auto"/>
          <w:sz w:val="24"/>
          <w:szCs w:val="24"/>
          <w:highlight w:val="none"/>
          <w:lang w:eastAsia="zh-CN"/>
        </w:rPr>
      </w:pPr>
      <w:r>
        <w:rPr>
          <w:rFonts w:hint="eastAsia" w:ascii="Times New Roman" w:hAnsi="Times New Roman" w:eastAsia="宋体" w:cs="Times New Roman"/>
          <w:strike w:val="0"/>
          <w:dstrike w:val="0"/>
          <w:color w:val="auto"/>
          <w:sz w:val="24"/>
          <w:szCs w:val="24"/>
          <w:highlight w:val="none"/>
          <w:lang w:eastAsia="zh-CN"/>
        </w:rPr>
        <w:t>大力推进“优二进三”试点、新一轮低效用地企业搬迁和转型升级工作。</w:t>
      </w:r>
      <w:bookmarkStart w:id="1134" w:name="sys43633236"/>
      <w:r>
        <w:rPr>
          <w:rFonts w:hint="eastAsia" w:ascii="Times New Roman" w:hAnsi="Times New Roman" w:eastAsia="宋体" w:cs="Times New Roman"/>
          <w:strike w:val="0"/>
          <w:dstrike w:val="0"/>
          <w:color w:val="auto"/>
          <w:sz w:val="24"/>
          <w:szCs w:val="24"/>
          <w:highlight w:val="none"/>
          <w:lang w:eastAsia="zh-CN"/>
        </w:rPr>
        <w:t>从区域环境质量改善和环境风险防范角度，统筹优化北片区产业定位和发展规模。</w:t>
      </w:r>
      <w:bookmarkEnd w:id="1134"/>
      <w:r>
        <w:rPr>
          <w:rFonts w:hint="eastAsia" w:ascii="Times New Roman" w:hAnsi="Times New Roman" w:eastAsia="宋体" w:cs="Times New Roman"/>
          <w:strike w:val="0"/>
          <w:dstrike w:val="0"/>
          <w:color w:val="auto"/>
          <w:sz w:val="24"/>
          <w:szCs w:val="24"/>
          <w:highlight w:val="none"/>
          <w:lang w:eastAsia="zh-CN"/>
        </w:rPr>
        <w:t>以建成“创新型品质新城”为战略重点，全方位整合优化空间布局，遵循功能集中、产业集聚、土地集约的基本原则，科学规划功能布局。建设百家湖商务商贸、九龙湖总部研发等地标，全面提升各片区整体形象，推进解决百家湖、九龙湖等区域居住和工业布局混杂的问题，持续推进“优二进三”措施，计划28家企业中已完成15家，有效推进13家。通过淘汰落后产能、腾出发展空间、合理布局利用、培育新的动能，综合提高土地、房屋、空间利用效率，已累计出让东陶等多个地块，合计470多亩工业用地。</w:t>
      </w:r>
    </w:p>
    <w:p w14:paraId="01430284">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意见（四）严格空间管控，优化空间布局。做好《规划》控制和生态隔离带建设，加强对经开区内森林公园、地质公园等生态敏感区的保护，严禁不符合管控要求的各类开发建设活动。取消南京大塘金省级森林公园、牛首-祖堂风景名胜区、江宁</w:t>
      </w:r>
      <w:sdt>
        <w:sdtPr>
          <w:rPr>
            <w:color w:val="auto"/>
          </w:rPr>
          <w:alias w:val="地名检查"/>
          <w:tag w:val="auto"/>
          <w:id w:val="3153020"/>
        </w:sdtPr>
        <w:sdtEndPr>
          <w:rPr>
            <w:color w:val="auto"/>
          </w:rPr>
        </w:sdtEndPr>
        <w:sdtContent>
          <w:bookmarkStart w:id="1135" w:name="bkKnowledge3153020"/>
          <w:r>
            <w:rPr>
              <w:rFonts w:hint="eastAsia" w:ascii="Times New Roman" w:hAnsi="Times New Roman" w:eastAsia="宋体" w:cs="Times New Roman"/>
              <w:color w:val="auto"/>
              <w:sz w:val="24"/>
              <w:szCs w:val="24"/>
              <w:highlight w:val="none"/>
              <w:lang w:val="en-US" w:eastAsia="zh-CN"/>
            </w:rPr>
            <w:t>方山省</w:t>
          </w:r>
          <w:bookmarkEnd w:id="1135"/>
        </w:sdtContent>
      </w:sdt>
      <w:r>
        <w:rPr>
          <w:rFonts w:hint="eastAsia" w:ascii="Times New Roman" w:hAnsi="Times New Roman" w:eastAsia="宋体" w:cs="Times New Roman"/>
          <w:color w:val="auto"/>
          <w:sz w:val="24"/>
          <w:szCs w:val="24"/>
          <w:highlight w:val="none"/>
          <w:lang w:val="en-US" w:eastAsia="zh-CN"/>
        </w:rPr>
        <w:t>级森林公园和汤山-方山国家地质公园等生态保护红线和生态空间管控区域内不符合管控要求的规划建设安排。</w:t>
      </w:r>
    </w:p>
    <w:p w14:paraId="5985B873">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落实情况：</w:t>
      </w:r>
    </w:p>
    <w:p w14:paraId="30B4BED6">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现行《南京市江宁区2023年度生态空间管控区调整方案》《江苏省自然资源厅关于南京市江宁区2023年度生态空间管控区调整方案的复函》（苏自然资函〔2023〕1058号），严格落实现有自然保护地和生态空间管控区域管控要求，对占用生态空间管控区域，不符合生态空间主导生态功能的人为活动，严禁审批。生态保护红线内，自然保护地核心保护区原则上禁止人为活动，其他区域严格禁止开发性、生产性建设活动，在符合现行法律法规前提下，除国家重大战略项目外，仅允许对生态功能不造成破坏的有限人为活动。</w:t>
      </w:r>
    </w:p>
    <w:p w14:paraId="48384785">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意见（五）严守环境质量底线，强化污染物排放总量管控。根据国家和江苏省关于大气、水、土壤污染防治和江苏省、南京市“三线一单”生态环境分区管控相关要求，制定经开区污染减排和环境综合治理方案，采取有效措施减少主要污染物和特征污染物的排放量，推进挥发性有机物和氮氧化物协同减排，确保区域生态环境质量持续改善。</w:t>
      </w:r>
    </w:p>
    <w:p w14:paraId="2B32059B">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落实情况：</w:t>
      </w:r>
    </w:p>
    <w:p w14:paraId="1A88F7F2">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全面落实深入打好污染防治攻坚战决策部署，从早抓起、从实做起，强化攻坚克难，守正创新，扎实推进各项工作取得新成效。</w:t>
      </w:r>
    </w:p>
    <w:p w14:paraId="7A3B6D70">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一是推进大气污染防治升级。（1）重点开展九龙湖重点区域空气质量管控工作，全面落实“点位达标负责人”制度（2）全面加强工业企业大气监管。2023年逐家帮扶指导企业细化应急管控措施。臭氧管控阶段，指导47家重点企业制定臭氧管控应对措施，帮扶21家优质企业成功申报管控豁免，豁免数在全区位列第一；秋冬季管控阶段，督促指导116家涉气企业完成应急减排清单更新，协助49家企业申报豁免，落实重污染天气差异化管理；成功培育替代项目12个，创建安诺电梯1家源头替代示范企业（3）强化秸秆禁烧管控。开展夏秋季秸秆禁烧专项巡查，严防秸秆和垃圾露天焚烧。</w:t>
      </w:r>
    </w:p>
    <w:p w14:paraId="30ADF76A">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二是强化水环境整治提升。（1）推进河道水环境提升，常态化开展河湖巡查及治理工作。（2）开展幸福河湖建设。已按计划全部完成牛首山河、九龙湖、百家湖、高湖幸福河湖建设。（3）提升片区雨污分流质效。累计排查企事业单位排水户441家，完成园区范围内268公里污水管网</w:t>
      </w:r>
      <w:sdt>
        <w:sdtPr>
          <w:rPr>
            <w:color w:val="auto"/>
          </w:rPr>
          <w:alias w:val="易错词检查"/>
          <w:tag w:val="FF0000"/>
          <w:id w:val="2052426"/>
        </w:sdtPr>
        <w:sdtEndPr>
          <w:rPr>
            <w:color w:val="auto"/>
          </w:rPr>
        </w:sdtEndPr>
        <w:sdtContent>
          <w:bookmarkStart w:id="1136" w:name="bkReivew2052426"/>
          <w:r>
            <w:rPr>
              <w:rFonts w:hint="eastAsia" w:ascii="Times New Roman" w:hAnsi="Times New Roman" w:eastAsia="宋体" w:cs="Times New Roman"/>
              <w:color w:val="auto"/>
              <w:sz w:val="24"/>
              <w:szCs w:val="24"/>
              <w:highlight w:val="none"/>
              <w:lang w:val="en-US" w:eastAsia="zh-CN"/>
            </w:rPr>
            <w:t>清疏</w:t>
          </w:r>
          <w:bookmarkEnd w:id="1136"/>
        </w:sdtContent>
      </w:sdt>
      <w:r>
        <w:rPr>
          <w:rFonts w:hint="eastAsia" w:ascii="Times New Roman" w:hAnsi="Times New Roman" w:eastAsia="宋体" w:cs="Times New Roman"/>
          <w:color w:val="auto"/>
          <w:sz w:val="24"/>
          <w:szCs w:val="24"/>
          <w:highlight w:val="none"/>
          <w:lang w:val="en-US" w:eastAsia="zh-CN"/>
        </w:rPr>
        <w:t>检测工作，同步进入常态化管养。16个片区提质增效达标区已顺利通过区级、市级达标区验收。（4）强化入河排污口整治工作。完成秦淮新河18个规范类排口排查、溯源、监测工作与“一口一策”修编工作，并纳入常态化管理。</w:t>
      </w:r>
    </w:p>
    <w:p w14:paraId="76985B74">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三是强化土壤、固废污染治理。（1）强化危废固废环境监管。持续开展工业企业固废危废排查整治行动，2023年度，在2022年未发现典型问题和重大隐患的基础上，继续对157家企业开展持续性固危废精细化行动，进一步规范企业收集、转移、贮存、</w:t>
      </w:r>
      <w:sdt>
        <w:sdtPr>
          <w:rPr>
            <w:color w:val="auto"/>
          </w:rPr>
          <w:alias w:val="易错词检查"/>
          <w:tag w:val="FF0000"/>
          <w:id w:val="1151206"/>
        </w:sdtPr>
        <w:sdtEndPr>
          <w:rPr>
            <w:color w:val="auto"/>
          </w:rPr>
        </w:sdtEndPr>
        <w:sdtContent>
          <w:bookmarkStart w:id="1137" w:name="bkReivew1151206"/>
          <w:r>
            <w:rPr>
              <w:rFonts w:hint="eastAsia" w:ascii="Times New Roman" w:hAnsi="Times New Roman" w:eastAsia="宋体" w:cs="Times New Roman"/>
              <w:color w:val="auto"/>
              <w:sz w:val="24"/>
              <w:szCs w:val="24"/>
              <w:highlight w:val="none"/>
              <w:lang w:val="en-US" w:eastAsia="zh-CN"/>
            </w:rPr>
            <w:t>处置</w:t>
          </w:r>
          <w:bookmarkEnd w:id="1137"/>
        </w:sdtContent>
      </w:sdt>
      <w:r>
        <w:rPr>
          <w:rFonts w:hint="eastAsia" w:ascii="Times New Roman" w:hAnsi="Times New Roman" w:eastAsia="宋体" w:cs="Times New Roman"/>
          <w:color w:val="auto"/>
          <w:sz w:val="24"/>
          <w:szCs w:val="24"/>
          <w:highlight w:val="none"/>
          <w:lang w:val="en-US" w:eastAsia="zh-CN"/>
        </w:rPr>
        <w:t>危险废物的各个环节，未发现典型问题和重大隐患。（2）强化生态管控区域保护。落实绿盾“2019”回头看工作要求，每两周对11个点位进行一次巡查，截至目前暂未发生违法违规现象。</w:t>
      </w:r>
    </w:p>
    <w:p w14:paraId="1BE78633">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2023年，江宁开发区秦淮河干流及秦淮新河水质总体状况为优，达</w:t>
      </w:r>
      <w:r>
        <w:rPr>
          <w:rFonts w:hint="default" w:ascii="Times New Roman" w:hAnsi="Times New Roman" w:eastAsia="宋体" w:cs="Times New Roman"/>
          <w:color w:val="auto"/>
          <w:sz w:val="24"/>
          <w:szCs w:val="24"/>
          <w:highlight w:val="none"/>
          <w:lang w:val="en-US" w:eastAsia="zh-CN"/>
        </w:rPr>
        <w:t>Ⅲ</w:t>
      </w:r>
      <w:r>
        <w:rPr>
          <w:rFonts w:hint="eastAsia" w:ascii="Times New Roman" w:hAnsi="Times New Roman" w:eastAsia="宋体" w:cs="Times New Roman"/>
          <w:color w:val="auto"/>
          <w:sz w:val="24"/>
          <w:szCs w:val="24"/>
          <w:highlight w:val="none"/>
          <w:lang w:val="en-US" w:eastAsia="zh-CN"/>
        </w:rPr>
        <w:t>类及以上断面比例为100%。百家湖、九龙湖、牛首山河均可达到</w:t>
      </w:r>
      <w:r>
        <w:rPr>
          <w:rFonts w:hint="default" w:ascii="Times New Roman" w:hAnsi="Times New Roman" w:eastAsia="宋体" w:cs="Times New Roman"/>
          <w:color w:val="auto"/>
          <w:sz w:val="24"/>
          <w:szCs w:val="24"/>
          <w:highlight w:val="none"/>
          <w:lang w:val="en-US" w:eastAsia="zh-CN"/>
        </w:rPr>
        <w:t>Ⅳ</w:t>
      </w:r>
      <w:r>
        <w:rPr>
          <w:rFonts w:hint="eastAsia" w:ascii="Times New Roman" w:hAnsi="Times New Roman" w:eastAsia="宋体" w:cs="Times New Roman"/>
          <w:color w:val="auto"/>
          <w:sz w:val="24"/>
          <w:szCs w:val="24"/>
          <w:highlight w:val="none"/>
          <w:lang w:val="en-US" w:eastAsia="zh-CN"/>
        </w:rPr>
        <w:t>类水标准。空气质量优良天数，299天，优良率81.9%；PM</w:t>
      </w:r>
      <w:r>
        <w:rPr>
          <w:rFonts w:hint="eastAsia" w:ascii="Times New Roman" w:hAnsi="Times New Roman" w:eastAsia="宋体" w:cs="Times New Roman"/>
          <w:color w:val="auto"/>
          <w:sz w:val="24"/>
          <w:szCs w:val="24"/>
          <w:highlight w:val="none"/>
          <w:vertAlign w:val="subscript"/>
          <w:lang w:val="en-US" w:eastAsia="zh-CN"/>
        </w:rPr>
        <w:t>2.5</w:t>
      </w:r>
      <w:r>
        <w:rPr>
          <w:rFonts w:hint="eastAsia" w:ascii="Times New Roman" w:hAnsi="Times New Roman" w:eastAsia="宋体" w:cs="Times New Roman"/>
          <w:color w:val="auto"/>
          <w:sz w:val="24"/>
          <w:szCs w:val="24"/>
          <w:highlight w:val="none"/>
          <w:lang w:val="en-US" w:eastAsia="zh-CN"/>
        </w:rPr>
        <w:t>累计浓度降至26.6微克/立方米，SO</w:t>
      </w:r>
      <w:r>
        <w:rPr>
          <w:rFonts w:hint="eastAsia" w:ascii="Times New Roman" w:hAnsi="Times New Roman" w:eastAsia="宋体" w:cs="Times New Roman"/>
          <w:color w:val="auto"/>
          <w:sz w:val="24"/>
          <w:szCs w:val="24"/>
          <w:highlight w:val="none"/>
          <w:vertAlign w:val="subscript"/>
          <w:lang w:val="en-US" w:eastAsia="zh-CN"/>
        </w:rPr>
        <w:t>2</w:t>
      </w:r>
      <w:r>
        <w:rPr>
          <w:rFonts w:hint="eastAsia" w:ascii="Times New Roman" w:hAnsi="Times New Roman" w:eastAsia="宋体" w:cs="Times New Roman"/>
          <w:color w:val="auto"/>
          <w:sz w:val="24"/>
          <w:szCs w:val="24"/>
          <w:highlight w:val="none"/>
          <w:lang w:val="en-US" w:eastAsia="zh-CN"/>
        </w:rPr>
        <w:t>、NO</w:t>
      </w:r>
      <w:r>
        <w:rPr>
          <w:rFonts w:hint="eastAsia" w:ascii="Times New Roman" w:hAnsi="Times New Roman" w:eastAsia="宋体" w:cs="Times New Roman"/>
          <w:color w:val="auto"/>
          <w:sz w:val="24"/>
          <w:szCs w:val="24"/>
          <w:highlight w:val="none"/>
          <w:vertAlign w:val="subscript"/>
          <w:lang w:val="en-US" w:eastAsia="zh-CN"/>
        </w:rPr>
        <w:t>2</w:t>
      </w:r>
      <w:r>
        <w:rPr>
          <w:rFonts w:hint="eastAsia" w:ascii="Times New Roman" w:hAnsi="Times New Roman" w:eastAsia="宋体" w:cs="Times New Roman"/>
          <w:color w:val="auto"/>
          <w:sz w:val="24"/>
          <w:szCs w:val="24"/>
          <w:highlight w:val="none"/>
          <w:lang w:val="en-US" w:eastAsia="zh-CN"/>
        </w:rPr>
        <w:t>、CO年均浓度一直处于较低水平；臭氧月均值呈现波动下降的趋势。</w:t>
      </w:r>
    </w:p>
    <w:p w14:paraId="737F8D90">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意见（六）严格入区项目生态环境准入，推动高质量发展。在衔接区域“三线一单”生态环境分区管控要求的前提下，落实《报告书》提出的各片区生态环境准入要求，禁止与主导产业不相关且排污负荷大的项目入区。执行最严格的行业废水、废气排放控制要求，引进项目的生产工艺和设备、资源能源利用效率、污染治理等均须达到同行业国际先进水平，现有企业不断提高清洁生产和污染治理水平，持续降低污染物排放量。</w:t>
      </w:r>
    </w:p>
    <w:p w14:paraId="40DEB3B1">
      <w:pPr>
        <w:tabs>
          <w:tab w:val="left" w:pos="993"/>
          <w:tab w:val="left" w:pos="1050"/>
          <w:tab w:val="left" w:pos="8789"/>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落实情况：</w:t>
      </w:r>
    </w:p>
    <w:p w14:paraId="75DF598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bookmarkStart w:id="1138" w:name="bookmark49"/>
      <w:bookmarkEnd w:id="1138"/>
      <w:r>
        <w:rPr>
          <w:rFonts w:hint="eastAsia" w:ascii="Times New Roman" w:hAnsi="Times New Roman" w:eastAsia="宋体" w:cs="Times New Roman"/>
          <w:color w:val="auto"/>
          <w:sz w:val="24"/>
          <w:szCs w:val="24"/>
          <w:highlight w:val="none"/>
          <w:lang w:val="en-US" w:eastAsia="zh-CN"/>
        </w:rPr>
        <w:t>禁止引入化工、电镀、水泥、印染、酿造等重污染的企业，以及单晶硅和多晶硅前道工序的企业，废水排放量在1000t/d以上的工业项目，禁止建设生产和使用高VOCs含量的溶剂型涂料、油墨、胶黏剂等项目，禁止引入燃用高污染燃料的项目和设施，距离居住用地100m范围内不布置含喷涂、酸洗等排放异味气体的生产工序和危化品仓库等，强化污染物排放强度指标约束，同时鼓励发展专精特新产业结构，大力推进循环化改造，落实第三方环境监管，对企业节能减排、生态环保实行专项补贴，提升节能减排、清洁生产和资源循环利用水平。</w:t>
      </w:r>
    </w:p>
    <w:p w14:paraId="58839D6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意见（七）加强环境基础设施建设。加快推进经开区污水处理厂、南区污水处理厂扩建及经开区所依托的污水处理厂尾水提标改造，加快污水管网建设，提高经开区污水收集率；完善集中供热体系，加快推进淘汰企业自备锅炉。一般工业固废、危险废物应依法依规收集、妥善安全处理处置。</w:t>
      </w:r>
    </w:p>
    <w:p w14:paraId="25A28E7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落实情况：</w:t>
      </w:r>
    </w:p>
    <w:p w14:paraId="568D07B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大力推进污水处理设施建设和提标改造工作，江宁开发区南区污水处理厂二期工程为扩建4.0万m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/d的污水处理设施，处理工艺采用改良A</w:t>
      </w:r>
      <w:r>
        <w:rPr>
          <w:rFonts w:hint="eastAsia" w:ascii="Times New Roman" w:hAnsi="Times New Roman" w:eastAsia="宋体" w:cs="Times New Roman"/>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lang w:val="en-US" w:eastAsia="zh-CN"/>
        </w:rPr>
        <w:t>/O生化池+反硝化滤池+次氯酸钠+紫外线消毒；对一期工程增加深度处理进行提标改造。三期污水处理厂扩建5.0万m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/d，同时配套建设中水回用设施。建成后南区污水处理厂一、二、三期的尾水主要指标均可达到《地表水环境质量标准》（GB3838-2002）中</w:t>
      </w:r>
      <w:r>
        <w:rPr>
          <w:rFonts w:hint="default" w:ascii="Times New Roman" w:hAnsi="Times New Roman" w:eastAsia="宋体" w:cs="Times New Roman"/>
          <w:color w:val="auto"/>
          <w:sz w:val="24"/>
          <w:szCs w:val="24"/>
          <w:highlight w:val="none"/>
          <w:lang w:val="en-US" w:eastAsia="zh-CN"/>
        </w:rPr>
        <w:t>Ⅳ</w:t>
      </w:r>
      <w:r>
        <w:rPr>
          <w:rFonts w:hint="eastAsia" w:ascii="Times New Roman" w:hAnsi="Times New Roman" w:eastAsia="宋体" w:cs="Times New Roman"/>
          <w:color w:val="auto"/>
          <w:sz w:val="24"/>
          <w:szCs w:val="24"/>
          <w:highlight w:val="none"/>
          <w:lang w:val="en-US" w:eastAsia="zh-CN"/>
        </w:rPr>
        <w:t>类标准，极大削减了区域水污染物的排放量。强力推进了东陶等低端低效产能的关停整治和淘汰工作，完成全部19台天然气锅炉低氮燃烧改造以及2家企业12台工业窑炉超低排放改造工作。推进“无废园区”建设，以大宗工业固体废物、生活垃圾和建筑垃圾、危险废物为重点，实现源头大幅减量、充分资源化利用和安全处置。积极推动新能源汽车动力蓄电池梯级利用，加强对电池的流通追踪管理，逐步建设新能源汽车动力电池回收网点。</w:t>
      </w:r>
    </w:p>
    <w:p w14:paraId="0810EF6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意见（八）健全完善环境监测体系，强化环境风险防范。完善包括环境空气、地表水、地下水、土壤、底泥等环境要素的监测体系，根据监测结果适时优化《规划》；强化区域环境风险防范体系，建立应急响应联动机制。提升环境风险防控和应急响应能力，保障区域环境安全。</w:t>
      </w:r>
    </w:p>
    <w:p w14:paraId="462DD5A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落实情况：</w:t>
      </w:r>
    </w:p>
    <w:p w14:paraId="572D2E3B">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全面提升环境监测监控水平，高效开展限值限量管理与监测监控能力建设，依托园区上、中、下风向的秣周东路站、九龙湖站和牛首山站大气标准站，新增建设3套VOCs组分设备和配套设施，并集合园区内已建设的60个环境空气微站，搭建监测监控网络平台，构建园区大气监测监控体系。建设秦淮河省考断面（将军大道桥）1座水质自动监测站，</w:t>
      </w:r>
      <w:r>
        <w:rPr>
          <w:rFonts w:hint="eastAsia" w:ascii="Times New Roman" w:hAnsi="Times New Roman" w:eastAsia="宋体" w:cs="Times New Roman"/>
          <w:color w:val="auto"/>
          <w:sz w:val="24"/>
          <w:szCs w:val="24"/>
          <w:highlight w:val="none"/>
        </w:rPr>
        <w:t>对于牛首山河等重点河流湖泊共建设17座自动监测站</w:t>
      </w:r>
      <w:r>
        <w:rPr>
          <w:rFonts w:hint="eastAsia" w:ascii="Times New Roman" w:hAnsi="Times New Roman" w:eastAsia="宋体" w:cs="Times New Roman"/>
          <w:color w:val="auto"/>
          <w:sz w:val="24"/>
          <w:szCs w:val="24"/>
        </w:rPr>
        <w:t>，2022年6月，江苏省生态环境厅将江宁开发区确定为全省环境监测监控能力建设成果示范点。</w:t>
      </w:r>
      <w:r>
        <w:rPr>
          <w:rFonts w:hint="eastAsia" w:ascii="Times New Roman" w:hAnsi="Times New Roman" w:eastAsia="宋体" w:cs="Times New Roman"/>
          <w:color w:val="auto"/>
          <w:sz w:val="24"/>
          <w:szCs w:val="24"/>
          <w:lang w:val="en-US" w:eastAsia="zh-CN"/>
        </w:rPr>
        <w:t>本次评估范围内设有九龙湖站大气监测站、石马新寓站及水月秦淮站水质自动监测站。</w:t>
      </w:r>
      <w:r>
        <w:rPr>
          <w:rFonts w:hint="eastAsia" w:ascii="Times New Roman" w:hAnsi="Times New Roman" w:eastAsia="宋体" w:cs="Times New Roman"/>
          <w:color w:val="auto"/>
          <w:sz w:val="24"/>
          <w:szCs w:val="24"/>
        </w:rPr>
        <w:t>江宁开发区结合往年区域环境风险评估报告及突发环境事件应急演练的要求，完成开发区突发环境事件应急预案修订工作，切实加强了园区突发环境事件风险防范体系建设。为提升环境应急能力，江宁开发区梳理出园区内涉及挥发性有机物回收、RTO焚烧炉、污水处理、危废贮存处置等重点环保设施企业共计73家，开展环境污染治理设施安全专项整治工作。新一轮规划环评获批以来，江宁开发区内企事业单位未发生特别重大、重大突发环境事件。</w:t>
      </w:r>
    </w:p>
    <w:p w14:paraId="3EBA5508">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意见（九）在《规划》实施过程中，适时开展环境影响跟踪评价。《规划》修编时应重新编制环境影响报告书。</w:t>
      </w:r>
    </w:p>
    <w:p w14:paraId="2E5B04F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落实情况：</w:t>
      </w:r>
    </w:p>
    <w:p w14:paraId="73FE699D">
      <w:pPr>
        <w:tabs>
          <w:tab w:val="left" w:pos="993"/>
          <w:tab w:val="left" w:pos="1050"/>
          <w:tab w:val="left" w:pos="8789"/>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于2022年4月获生态环境部《关于江宁经济技术开发区总体发展规划（</w:t>
      </w:r>
      <w:sdt>
        <w:sdtPr>
          <w:rPr>
            <w:color w:val="auto"/>
          </w:rPr>
          <w:alias w:val="易错词检查"/>
          <w:tag w:val="FF0000"/>
          <w:id w:val="2101346"/>
        </w:sdtPr>
        <w:sdtEndPr>
          <w:rPr>
            <w:color w:val="auto"/>
          </w:rPr>
        </w:sdtEndPr>
        <w:sdtContent>
          <w:bookmarkStart w:id="1139" w:name="bkReivew2101346"/>
          <w:r>
            <w:rPr>
              <w:rFonts w:hint="eastAsia" w:ascii="Times New Roman" w:hAnsi="Times New Roman" w:eastAsia="宋体" w:cs="Times New Roman"/>
              <w:color w:val="auto"/>
              <w:sz w:val="24"/>
              <w:szCs w:val="24"/>
              <w:highlight w:val="none"/>
              <w:lang w:val="en-US" w:eastAsia="zh-CN"/>
            </w:rPr>
            <w:t>2020-2035</w:t>
          </w:r>
          <w:bookmarkEnd w:id="1139"/>
        </w:sdtContent>
      </w:sdt>
      <w:r>
        <w:rPr>
          <w:rFonts w:hint="eastAsia" w:ascii="Times New Roman" w:hAnsi="Times New Roman" w:eastAsia="宋体" w:cs="Times New Roman"/>
          <w:color w:val="auto"/>
          <w:sz w:val="24"/>
          <w:szCs w:val="24"/>
          <w:highlight w:val="none"/>
          <w:lang w:val="en-US" w:eastAsia="zh-CN"/>
        </w:rPr>
        <w:t>）环境影响报告书的审查意见》（环审〔2022〕46号），目前尚未达开展跟踪评价时限，后续江宁开发区将严格按照《规划环境影响评价条例》等相关要求，开展修编及跟踪评价工作。</w:t>
      </w:r>
    </w:p>
    <w:p w14:paraId="0636E370">
      <w:pPr>
        <w:keepNext w:val="0"/>
        <w:keepLines w:val="0"/>
        <w:pageBreakBefore w:val="0"/>
        <w:widowControl/>
        <w:kinsoku w:val="0"/>
        <w:wordWrap/>
        <w:overflowPunct/>
        <w:topLinePunct w:val="0"/>
        <w:autoSpaceDE w:val="0"/>
        <w:autoSpaceDN w:val="0"/>
        <w:bidi w:val="0"/>
        <w:adjustRightInd w:val="0"/>
        <w:snapToGrid w:val="0"/>
        <w:spacing w:before="36" w:line="360" w:lineRule="auto"/>
        <w:ind w:left="44"/>
        <w:textAlignment w:val="baseline"/>
        <w:outlineLvl w:val="1"/>
        <w:rPr>
          <w:rFonts w:hint="default" w:ascii="Times New Roman" w:hAnsi="Times New Roman" w:eastAsia="Times New Roman" w:cs="Times New Roman"/>
          <w:b/>
          <w:bCs/>
          <w:color w:val="auto"/>
          <w:spacing w:val="-3"/>
          <w:sz w:val="24"/>
          <w:szCs w:val="24"/>
          <w:lang w:val="en-US" w:eastAsia="zh-CN"/>
        </w:rPr>
      </w:pPr>
      <w:bookmarkStart w:id="1140" w:name="_Toc32183"/>
      <w:r>
        <w:rPr>
          <w:rFonts w:hint="eastAsia" w:ascii="Times New Roman" w:hAnsi="Times New Roman" w:eastAsia="Times New Roman" w:cs="Times New Roman"/>
          <w:b/>
          <w:bCs/>
          <w:color w:val="auto"/>
          <w:spacing w:val="-3"/>
          <w:sz w:val="24"/>
          <w:szCs w:val="24"/>
          <w:lang w:val="en-US" w:eastAsia="zh-CN"/>
        </w:rPr>
        <w:t>5.4清洁生产成果</w:t>
      </w:r>
      <w:bookmarkEnd w:id="1140"/>
      <w:bookmarkStart w:id="1141" w:name="pindex4386"/>
      <w:bookmarkEnd w:id="1141"/>
    </w:p>
    <w:p w14:paraId="06B4258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根据《关于公布2023年度重点企业强制性清洁生产审核验收名单的通知》（宁环办</w:t>
      </w:r>
      <w:r>
        <w:rPr>
          <w:rFonts w:hint="default" w:ascii="Times New Roman" w:hAnsi="Times New Roman" w:cs="Times New Roman"/>
          <w:b w:val="0"/>
          <w:bCs w:val="0"/>
          <w:color w:val="auto"/>
          <w:sz w:val="24"/>
          <w:szCs w:val="24"/>
        </w:rPr>
        <w:t>〔20</w:t>
      </w:r>
      <w:r>
        <w:rPr>
          <w:rFonts w:hint="eastAsia" w:ascii="Times New Roman" w:hAnsi="Times New Roman" w:eastAsia="宋体" w:cs="Times New Roman"/>
          <w:b w:val="0"/>
          <w:bCs w:val="0"/>
          <w:color w:val="auto"/>
          <w:sz w:val="24"/>
          <w:szCs w:val="24"/>
          <w:lang w:val="en-US" w:eastAsia="zh-CN"/>
        </w:rPr>
        <w:t>24</w:t>
      </w:r>
      <w:r>
        <w:rPr>
          <w:rFonts w:hint="default" w:ascii="Times New Roman" w:hAnsi="Times New Roman" w:cs="Times New Roman"/>
          <w:b w:val="0"/>
          <w:bCs w:val="0"/>
          <w:color w:val="auto"/>
          <w:sz w:val="24"/>
          <w:szCs w:val="24"/>
        </w:rPr>
        <w:t>〕</w:t>
      </w:r>
      <w:r>
        <w:rPr>
          <w:rFonts w:hint="eastAsia" w:ascii="Times New Roman" w:hAnsi="Times New Roman" w:eastAsia="宋体" w:cs="Times New Roman"/>
          <w:b w:val="0"/>
          <w:bCs w:val="0"/>
          <w:color w:val="auto"/>
          <w:sz w:val="24"/>
          <w:szCs w:val="24"/>
          <w:lang w:val="en-US" w:eastAsia="zh-CN"/>
        </w:rPr>
        <w:t>22</w:t>
      </w:r>
      <w:r>
        <w:rPr>
          <w:rFonts w:hint="default" w:ascii="Times New Roman" w:hAnsi="Times New Roman" w:cs="Times New Roman"/>
          <w:b w:val="0"/>
          <w:bCs w:val="0"/>
          <w:color w:val="auto"/>
          <w:sz w:val="24"/>
          <w:szCs w:val="24"/>
        </w:rPr>
        <w:t>号</w:t>
      </w:r>
      <w:r>
        <w:rPr>
          <w:rFonts w:hint="eastAsia" w:ascii="Times New Roman" w:hAnsi="Times New Roman" w:eastAsia="宋体" w:cs="Times New Roman"/>
          <w:b w:val="0"/>
          <w:bCs w:val="0"/>
          <w:color w:val="auto"/>
          <w:sz w:val="24"/>
          <w:szCs w:val="24"/>
          <w:highlight w:val="none"/>
          <w:lang w:val="en-US" w:eastAsia="zh-CN"/>
        </w:rPr>
        <w:t>），2023年度江宁经济技术开发区评估范围内清洁生产成果如下表所示：</w:t>
      </w:r>
    </w:p>
    <w:p w14:paraId="71C4BF3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表5.4-1  2023年度强制性清洁生产审核企业名单（江宁经济技术开发区）</w:t>
      </w:r>
      <w:bookmarkStart w:id="1142" w:name="pindex4388"/>
      <w:bookmarkEnd w:id="1142"/>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1"/>
        <w:gridCol w:w="4740"/>
        <w:gridCol w:w="1200"/>
        <w:gridCol w:w="1724"/>
      </w:tblGrid>
      <w:tr w14:paraId="7ADE83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911" w:type="dxa"/>
            <w:tcBorders>
              <w:tl2br w:val="nil"/>
              <w:tr2bl w:val="nil"/>
            </w:tcBorders>
            <w:vAlign w:val="center"/>
          </w:tcPr>
          <w:p w14:paraId="37EE8DA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序号</w:t>
            </w:r>
          </w:p>
        </w:tc>
        <w:tc>
          <w:tcPr>
            <w:tcW w:w="4740" w:type="dxa"/>
            <w:tcBorders>
              <w:tl2br w:val="nil"/>
              <w:tr2bl w:val="nil"/>
            </w:tcBorders>
            <w:vAlign w:val="center"/>
          </w:tcPr>
          <w:p w14:paraId="137E8D8B">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企业名称</w:t>
            </w:r>
          </w:p>
        </w:tc>
        <w:tc>
          <w:tcPr>
            <w:tcW w:w="1200" w:type="dxa"/>
            <w:tcBorders>
              <w:tl2br w:val="nil"/>
              <w:tr2bl w:val="nil"/>
            </w:tcBorders>
            <w:vAlign w:val="center"/>
          </w:tcPr>
          <w:p w14:paraId="25DFF01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区域</w:t>
            </w:r>
          </w:p>
        </w:tc>
        <w:tc>
          <w:tcPr>
            <w:tcW w:w="1724" w:type="dxa"/>
            <w:tcBorders>
              <w:tl2br w:val="nil"/>
              <w:tr2bl w:val="nil"/>
            </w:tcBorders>
            <w:vAlign w:val="center"/>
          </w:tcPr>
          <w:p w14:paraId="466F7C8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备注</w:t>
            </w:r>
          </w:p>
        </w:tc>
      </w:tr>
      <w:tr w14:paraId="577FAC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75" w:type="dxa"/>
            <w:gridSpan w:val="4"/>
            <w:tcBorders>
              <w:tl2br w:val="nil"/>
              <w:tr2bl w:val="nil"/>
            </w:tcBorders>
            <w:vAlign w:val="center"/>
          </w:tcPr>
          <w:p w14:paraId="523C62BB">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val="en-US" w:eastAsia="zh-CN"/>
              </w:rPr>
              <w:t>验收合格</w:t>
            </w:r>
          </w:p>
        </w:tc>
      </w:tr>
      <w:tr w14:paraId="117258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1" w:type="dxa"/>
            <w:tcBorders>
              <w:tl2br w:val="nil"/>
              <w:tr2bl w:val="nil"/>
            </w:tcBorders>
            <w:vAlign w:val="center"/>
          </w:tcPr>
          <w:p w14:paraId="5C1DBB2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w:t>
            </w:r>
          </w:p>
        </w:tc>
        <w:tc>
          <w:tcPr>
            <w:tcW w:w="4740" w:type="dxa"/>
            <w:tcBorders>
              <w:tl2br w:val="nil"/>
              <w:tr2bl w:val="nil"/>
            </w:tcBorders>
            <w:vAlign w:val="center"/>
          </w:tcPr>
          <w:p w14:paraId="6AE3F4E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大唐南京环保科技有限责任公司</w:t>
            </w:r>
          </w:p>
        </w:tc>
        <w:tc>
          <w:tcPr>
            <w:tcW w:w="1200" w:type="dxa"/>
            <w:tcBorders>
              <w:tl2br w:val="nil"/>
              <w:tr2bl w:val="nil"/>
            </w:tcBorders>
            <w:vAlign w:val="center"/>
          </w:tcPr>
          <w:p w14:paraId="2A53DBD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江宁区</w:t>
            </w:r>
          </w:p>
        </w:tc>
        <w:tc>
          <w:tcPr>
            <w:tcW w:w="1724" w:type="dxa"/>
            <w:tcBorders>
              <w:tl2br w:val="nil"/>
              <w:tr2bl w:val="nil"/>
            </w:tcBorders>
            <w:vAlign w:val="center"/>
          </w:tcPr>
          <w:p w14:paraId="018E72D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w:t>
            </w:r>
          </w:p>
        </w:tc>
      </w:tr>
      <w:tr w14:paraId="457587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1" w:type="dxa"/>
            <w:tcBorders>
              <w:tl2br w:val="nil"/>
              <w:tr2bl w:val="nil"/>
            </w:tcBorders>
            <w:vAlign w:val="center"/>
          </w:tcPr>
          <w:p w14:paraId="10F7F718">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w:t>
            </w:r>
          </w:p>
        </w:tc>
        <w:tc>
          <w:tcPr>
            <w:tcW w:w="4740" w:type="dxa"/>
            <w:tcBorders>
              <w:tl2br w:val="nil"/>
              <w:tr2bl w:val="nil"/>
            </w:tcBorders>
            <w:vAlign w:val="center"/>
          </w:tcPr>
          <w:p w14:paraId="3FE615D2">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中国电子科技集团公司第五十五研究所</w:t>
            </w:r>
          </w:p>
        </w:tc>
        <w:tc>
          <w:tcPr>
            <w:tcW w:w="1200" w:type="dxa"/>
            <w:tcBorders>
              <w:tl2br w:val="nil"/>
              <w:tr2bl w:val="nil"/>
            </w:tcBorders>
            <w:vAlign w:val="center"/>
          </w:tcPr>
          <w:p w14:paraId="398BE8A2">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江宁区</w:t>
            </w:r>
          </w:p>
        </w:tc>
        <w:tc>
          <w:tcPr>
            <w:tcW w:w="1724" w:type="dxa"/>
            <w:tcBorders>
              <w:tl2br w:val="nil"/>
              <w:tr2bl w:val="nil"/>
            </w:tcBorders>
            <w:vAlign w:val="center"/>
          </w:tcPr>
          <w:p w14:paraId="5D7670A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w:t>
            </w:r>
          </w:p>
        </w:tc>
      </w:tr>
      <w:tr w14:paraId="520D6C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1" w:type="dxa"/>
            <w:tcBorders>
              <w:tl2br w:val="nil"/>
              <w:tr2bl w:val="nil"/>
            </w:tcBorders>
            <w:vAlign w:val="center"/>
          </w:tcPr>
          <w:p w14:paraId="5E31447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3</w:t>
            </w:r>
          </w:p>
        </w:tc>
        <w:tc>
          <w:tcPr>
            <w:tcW w:w="4740" w:type="dxa"/>
            <w:tcBorders>
              <w:tl2br w:val="nil"/>
              <w:tr2bl w:val="nil"/>
            </w:tcBorders>
            <w:vAlign w:val="center"/>
          </w:tcPr>
          <w:p w14:paraId="7BB00B7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南京群志光电有限公司</w:t>
            </w:r>
          </w:p>
        </w:tc>
        <w:tc>
          <w:tcPr>
            <w:tcW w:w="1200" w:type="dxa"/>
            <w:tcBorders>
              <w:tl2br w:val="nil"/>
              <w:tr2bl w:val="nil"/>
            </w:tcBorders>
            <w:vAlign w:val="center"/>
          </w:tcPr>
          <w:p w14:paraId="01C9B258">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江宁区</w:t>
            </w:r>
          </w:p>
        </w:tc>
        <w:tc>
          <w:tcPr>
            <w:tcW w:w="1724" w:type="dxa"/>
            <w:tcBorders>
              <w:tl2br w:val="nil"/>
              <w:tr2bl w:val="nil"/>
            </w:tcBorders>
            <w:vAlign w:val="center"/>
          </w:tcPr>
          <w:p w14:paraId="2D82035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w:t>
            </w:r>
          </w:p>
        </w:tc>
      </w:tr>
      <w:tr w14:paraId="30E95B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1" w:type="dxa"/>
            <w:tcBorders>
              <w:tl2br w:val="nil"/>
              <w:tr2bl w:val="nil"/>
            </w:tcBorders>
            <w:vAlign w:val="center"/>
          </w:tcPr>
          <w:p w14:paraId="46621AA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4</w:t>
            </w:r>
          </w:p>
        </w:tc>
        <w:tc>
          <w:tcPr>
            <w:tcW w:w="4740" w:type="dxa"/>
            <w:tcBorders>
              <w:tl2br w:val="nil"/>
              <w:tr2bl w:val="nil"/>
            </w:tcBorders>
            <w:vAlign w:val="center"/>
          </w:tcPr>
          <w:p w14:paraId="1ED7A8E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上汽大众汽车有限公司南京分公司</w:t>
            </w:r>
          </w:p>
        </w:tc>
        <w:tc>
          <w:tcPr>
            <w:tcW w:w="1200" w:type="dxa"/>
            <w:tcBorders>
              <w:tl2br w:val="nil"/>
              <w:tr2bl w:val="nil"/>
            </w:tcBorders>
            <w:vAlign w:val="center"/>
          </w:tcPr>
          <w:p w14:paraId="11C983F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江宁区</w:t>
            </w:r>
          </w:p>
        </w:tc>
        <w:tc>
          <w:tcPr>
            <w:tcW w:w="1724" w:type="dxa"/>
            <w:tcBorders>
              <w:tl2br w:val="nil"/>
              <w:tr2bl w:val="nil"/>
            </w:tcBorders>
            <w:vAlign w:val="center"/>
          </w:tcPr>
          <w:p w14:paraId="6400EC13">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行业审核</w:t>
            </w:r>
          </w:p>
        </w:tc>
      </w:tr>
      <w:tr w14:paraId="03C41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1" w:type="dxa"/>
            <w:tcBorders>
              <w:tl2br w:val="nil"/>
              <w:tr2bl w:val="nil"/>
            </w:tcBorders>
            <w:vAlign w:val="center"/>
          </w:tcPr>
          <w:p w14:paraId="22B160B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5</w:t>
            </w:r>
          </w:p>
        </w:tc>
        <w:tc>
          <w:tcPr>
            <w:tcW w:w="4740" w:type="dxa"/>
            <w:tcBorders>
              <w:tl2br w:val="nil"/>
              <w:tr2bl w:val="nil"/>
            </w:tcBorders>
            <w:vAlign w:val="center"/>
          </w:tcPr>
          <w:p w14:paraId="2DAB4D6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长安马自达汽车有限公司</w:t>
            </w:r>
          </w:p>
        </w:tc>
        <w:tc>
          <w:tcPr>
            <w:tcW w:w="1200" w:type="dxa"/>
            <w:tcBorders>
              <w:tl2br w:val="nil"/>
              <w:tr2bl w:val="nil"/>
            </w:tcBorders>
            <w:vAlign w:val="center"/>
          </w:tcPr>
          <w:p w14:paraId="61AE3B2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江宁区</w:t>
            </w:r>
          </w:p>
        </w:tc>
        <w:tc>
          <w:tcPr>
            <w:tcW w:w="1724" w:type="dxa"/>
            <w:tcBorders>
              <w:tl2br w:val="nil"/>
              <w:tr2bl w:val="nil"/>
            </w:tcBorders>
            <w:vAlign w:val="center"/>
          </w:tcPr>
          <w:p w14:paraId="2E8DC89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行业审核</w:t>
            </w:r>
          </w:p>
        </w:tc>
      </w:tr>
      <w:tr w14:paraId="024B2D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1" w:type="dxa"/>
            <w:tcBorders>
              <w:tl2br w:val="nil"/>
              <w:tr2bl w:val="nil"/>
            </w:tcBorders>
            <w:vAlign w:val="center"/>
          </w:tcPr>
          <w:p w14:paraId="2834E6E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6</w:t>
            </w:r>
          </w:p>
        </w:tc>
        <w:tc>
          <w:tcPr>
            <w:tcW w:w="4740" w:type="dxa"/>
            <w:tcBorders>
              <w:tl2br w:val="nil"/>
              <w:tr2bl w:val="nil"/>
            </w:tcBorders>
            <w:vAlign w:val="center"/>
          </w:tcPr>
          <w:p w14:paraId="4FB2051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大协西川东阳汽车部件（南京）有限公司</w:t>
            </w:r>
          </w:p>
        </w:tc>
        <w:tc>
          <w:tcPr>
            <w:tcW w:w="1200" w:type="dxa"/>
            <w:tcBorders>
              <w:tl2br w:val="nil"/>
              <w:tr2bl w:val="nil"/>
            </w:tcBorders>
            <w:vAlign w:val="center"/>
          </w:tcPr>
          <w:p w14:paraId="35B99FB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江宁区</w:t>
            </w:r>
          </w:p>
        </w:tc>
        <w:tc>
          <w:tcPr>
            <w:tcW w:w="1724" w:type="dxa"/>
            <w:tcBorders>
              <w:tl2br w:val="nil"/>
              <w:tr2bl w:val="nil"/>
            </w:tcBorders>
            <w:vAlign w:val="center"/>
          </w:tcPr>
          <w:p w14:paraId="2EDCD57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行业审核</w:t>
            </w:r>
          </w:p>
        </w:tc>
      </w:tr>
      <w:tr w14:paraId="2538F7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1" w:type="dxa"/>
            <w:tcBorders>
              <w:tl2br w:val="nil"/>
              <w:tr2bl w:val="nil"/>
            </w:tcBorders>
            <w:vAlign w:val="center"/>
          </w:tcPr>
          <w:p w14:paraId="30531AF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7</w:t>
            </w:r>
          </w:p>
        </w:tc>
        <w:tc>
          <w:tcPr>
            <w:tcW w:w="4740" w:type="dxa"/>
            <w:tcBorders>
              <w:tl2br w:val="nil"/>
              <w:tr2bl w:val="nil"/>
            </w:tcBorders>
            <w:vAlign w:val="center"/>
          </w:tcPr>
          <w:p w14:paraId="1BE5918B">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上美塑胶（南京）有限公司</w:t>
            </w:r>
          </w:p>
        </w:tc>
        <w:tc>
          <w:tcPr>
            <w:tcW w:w="1200" w:type="dxa"/>
            <w:tcBorders>
              <w:tl2br w:val="nil"/>
              <w:tr2bl w:val="nil"/>
            </w:tcBorders>
            <w:vAlign w:val="center"/>
          </w:tcPr>
          <w:p w14:paraId="41CDC72D">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江宁区</w:t>
            </w:r>
          </w:p>
        </w:tc>
        <w:tc>
          <w:tcPr>
            <w:tcW w:w="1724" w:type="dxa"/>
            <w:tcBorders>
              <w:tl2br w:val="nil"/>
              <w:tr2bl w:val="nil"/>
            </w:tcBorders>
            <w:vAlign w:val="center"/>
          </w:tcPr>
          <w:p w14:paraId="11E28533">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行业审核</w:t>
            </w:r>
          </w:p>
        </w:tc>
      </w:tr>
      <w:tr w14:paraId="0B79E2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1" w:type="dxa"/>
            <w:tcBorders>
              <w:tl2br w:val="nil"/>
              <w:tr2bl w:val="nil"/>
            </w:tcBorders>
            <w:vAlign w:val="center"/>
          </w:tcPr>
          <w:p w14:paraId="65B98307">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8</w:t>
            </w:r>
          </w:p>
        </w:tc>
        <w:tc>
          <w:tcPr>
            <w:tcW w:w="4740" w:type="dxa"/>
            <w:tcBorders>
              <w:tl2br w:val="nil"/>
              <w:tr2bl w:val="nil"/>
            </w:tcBorders>
            <w:vAlign w:val="center"/>
          </w:tcPr>
          <w:p w14:paraId="2A60D3F8">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南京塔塔汽车零部件系统有限公司</w:t>
            </w:r>
          </w:p>
        </w:tc>
        <w:tc>
          <w:tcPr>
            <w:tcW w:w="1200" w:type="dxa"/>
            <w:tcBorders>
              <w:tl2br w:val="nil"/>
              <w:tr2bl w:val="nil"/>
            </w:tcBorders>
            <w:vAlign w:val="center"/>
          </w:tcPr>
          <w:p w14:paraId="112823D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江宁区</w:t>
            </w:r>
          </w:p>
        </w:tc>
        <w:tc>
          <w:tcPr>
            <w:tcW w:w="1724" w:type="dxa"/>
            <w:tcBorders>
              <w:tl2br w:val="nil"/>
              <w:tr2bl w:val="nil"/>
            </w:tcBorders>
            <w:vAlign w:val="center"/>
          </w:tcPr>
          <w:p w14:paraId="3E0CEB5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行业审核</w:t>
            </w:r>
          </w:p>
        </w:tc>
      </w:tr>
      <w:tr w14:paraId="10E0F5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1" w:type="dxa"/>
            <w:tcBorders>
              <w:tl2br w:val="nil"/>
              <w:tr2bl w:val="nil"/>
            </w:tcBorders>
            <w:vAlign w:val="center"/>
          </w:tcPr>
          <w:p w14:paraId="05006F23">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9</w:t>
            </w:r>
          </w:p>
        </w:tc>
        <w:tc>
          <w:tcPr>
            <w:tcW w:w="4740" w:type="dxa"/>
            <w:tcBorders>
              <w:tl2br w:val="nil"/>
              <w:tr2bl w:val="nil"/>
            </w:tcBorders>
            <w:vAlign w:val="center"/>
          </w:tcPr>
          <w:p w14:paraId="16604E0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延锋彼欧汽车外饰系统有限公司南京江宁分公司</w:t>
            </w:r>
          </w:p>
        </w:tc>
        <w:tc>
          <w:tcPr>
            <w:tcW w:w="1200" w:type="dxa"/>
            <w:tcBorders>
              <w:tl2br w:val="nil"/>
              <w:tr2bl w:val="nil"/>
            </w:tcBorders>
            <w:vAlign w:val="center"/>
          </w:tcPr>
          <w:p w14:paraId="5ABEC0D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江宁区</w:t>
            </w:r>
          </w:p>
        </w:tc>
        <w:tc>
          <w:tcPr>
            <w:tcW w:w="1724" w:type="dxa"/>
            <w:tcBorders>
              <w:tl2br w:val="nil"/>
              <w:tr2bl w:val="nil"/>
            </w:tcBorders>
            <w:vAlign w:val="center"/>
          </w:tcPr>
          <w:p w14:paraId="1A0A8C2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行业审核</w:t>
            </w:r>
          </w:p>
        </w:tc>
      </w:tr>
      <w:tr w14:paraId="6F6B5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1" w:type="dxa"/>
            <w:tcBorders>
              <w:tl2br w:val="nil"/>
              <w:tr2bl w:val="nil"/>
            </w:tcBorders>
            <w:vAlign w:val="center"/>
          </w:tcPr>
          <w:p w14:paraId="23561B1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10</w:t>
            </w:r>
          </w:p>
        </w:tc>
        <w:tc>
          <w:tcPr>
            <w:tcW w:w="4740" w:type="dxa"/>
            <w:tcBorders>
              <w:tl2br w:val="nil"/>
              <w:tr2bl w:val="nil"/>
            </w:tcBorders>
            <w:vAlign w:val="center"/>
          </w:tcPr>
          <w:p w14:paraId="6F0D5A1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翰昂杰希思汽车零部件（南京）有限公司</w:t>
            </w:r>
          </w:p>
        </w:tc>
        <w:tc>
          <w:tcPr>
            <w:tcW w:w="1200" w:type="dxa"/>
            <w:tcBorders>
              <w:tl2br w:val="nil"/>
              <w:tr2bl w:val="nil"/>
            </w:tcBorders>
            <w:vAlign w:val="center"/>
          </w:tcPr>
          <w:p w14:paraId="18448AC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江宁区</w:t>
            </w:r>
          </w:p>
        </w:tc>
        <w:tc>
          <w:tcPr>
            <w:tcW w:w="1724" w:type="dxa"/>
            <w:tcBorders>
              <w:tl2br w:val="nil"/>
              <w:tr2bl w:val="nil"/>
            </w:tcBorders>
            <w:vAlign w:val="center"/>
          </w:tcPr>
          <w:p w14:paraId="24D254B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行业审核</w:t>
            </w:r>
          </w:p>
        </w:tc>
      </w:tr>
      <w:tr w14:paraId="4CF183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1" w:type="dxa"/>
            <w:tcBorders>
              <w:tl2br w:val="nil"/>
              <w:tr2bl w:val="nil"/>
            </w:tcBorders>
            <w:vAlign w:val="center"/>
          </w:tcPr>
          <w:p w14:paraId="4CEFC03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11</w:t>
            </w:r>
          </w:p>
        </w:tc>
        <w:tc>
          <w:tcPr>
            <w:tcW w:w="4740" w:type="dxa"/>
            <w:tcBorders>
              <w:tl2br w:val="nil"/>
              <w:tr2bl w:val="nil"/>
            </w:tcBorders>
            <w:vAlign w:val="center"/>
          </w:tcPr>
          <w:p w14:paraId="2CF1104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长安马自达发动机有限公司</w:t>
            </w:r>
          </w:p>
        </w:tc>
        <w:tc>
          <w:tcPr>
            <w:tcW w:w="1200" w:type="dxa"/>
            <w:tcBorders>
              <w:tl2br w:val="nil"/>
              <w:tr2bl w:val="nil"/>
            </w:tcBorders>
            <w:vAlign w:val="center"/>
          </w:tcPr>
          <w:p w14:paraId="26BA346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江宁区</w:t>
            </w:r>
          </w:p>
        </w:tc>
        <w:tc>
          <w:tcPr>
            <w:tcW w:w="1724" w:type="dxa"/>
            <w:tcBorders>
              <w:tl2br w:val="nil"/>
              <w:tr2bl w:val="nil"/>
            </w:tcBorders>
            <w:vAlign w:val="center"/>
          </w:tcPr>
          <w:p w14:paraId="271E79B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行业审核</w:t>
            </w:r>
          </w:p>
        </w:tc>
      </w:tr>
      <w:tr w14:paraId="447B12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75" w:type="dxa"/>
            <w:gridSpan w:val="4"/>
            <w:tcBorders>
              <w:tl2br w:val="nil"/>
              <w:tr2bl w:val="nil"/>
            </w:tcBorders>
            <w:vAlign w:val="center"/>
          </w:tcPr>
          <w:p w14:paraId="259D686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延期审核</w:t>
            </w:r>
          </w:p>
        </w:tc>
      </w:tr>
      <w:tr w14:paraId="6183B8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1" w:type="dxa"/>
            <w:tcBorders>
              <w:tl2br w:val="nil"/>
              <w:tr2bl w:val="nil"/>
            </w:tcBorders>
            <w:vAlign w:val="center"/>
          </w:tcPr>
          <w:p w14:paraId="6643EC8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w:t>
            </w:r>
          </w:p>
        </w:tc>
        <w:tc>
          <w:tcPr>
            <w:tcW w:w="4740" w:type="dxa"/>
            <w:tcBorders>
              <w:tl2br w:val="nil"/>
              <w:tr2bl w:val="nil"/>
            </w:tcBorders>
            <w:vAlign w:val="center"/>
          </w:tcPr>
          <w:p w14:paraId="6FFA339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中国航空工业集团公司金城南京机电液压工程研究中心</w:t>
            </w:r>
          </w:p>
        </w:tc>
        <w:tc>
          <w:tcPr>
            <w:tcW w:w="1200" w:type="dxa"/>
            <w:tcBorders>
              <w:tl2br w:val="nil"/>
              <w:tr2bl w:val="nil"/>
            </w:tcBorders>
            <w:vAlign w:val="center"/>
          </w:tcPr>
          <w:p w14:paraId="461E6B8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江宁区</w:t>
            </w:r>
          </w:p>
        </w:tc>
        <w:tc>
          <w:tcPr>
            <w:tcW w:w="1724" w:type="dxa"/>
            <w:tcBorders>
              <w:tl2br w:val="nil"/>
              <w:tr2bl w:val="nil"/>
            </w:tcBorders>
            <w:vAlign w:val="center"/>
          </w:tcPr>
          <w:p w14:paraId="1A14FEF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w:t>
            </w:r>
          </w:p>
        </w:tc>
      </w:tr>
    </w:tbl>
    <w:p w14:paraId="510B00D5">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Times New Roman" w:hAnsi="Times New Roman" w:eastAsia="宋体" w:cs="Times New Roman"/>
          <w:b/>
          <w:bCs/>
          <w:color w:val="auto"/>
          <w:sz w:val="24"/>
          <w:szCs w:val="24"/>
          <w:highlight w:val="yellow"/>
          <w:lang w:val="en-US" w:eastAsia="zh-CN"/>
        </w:rPr>
      </w:pPr>
    </w:p>
    <w:p w14:paraId="1611A00A">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eastAsia="宋体" w:cs="Times New Roman"/>
          <w:b/>
          <w:bCs/>
          <w:color w:val="auto"/>
          <w:sz w:val="24"/>
          <w:szCs w:val="24"/>
          <w:highlight w:val="yellow"/>
          <w:lang w:val="en-US" w:eastAsia="zh-CN"/>
        </w:rPr>
        <w:sectPr>
          <w:pgSz w:w="11907" w:h="16839"/>
          <w:pgMar w:top="1134" w:right="1774" w:bottom="1169" w:left="1774" w:header="863" w:footer="991" w:gutter="0"/>
          <w:pgBorders>
            <w:top w:val="none" w:sz="0" w:space="0"/>
            <w:left w:val="none" w:sz="0" w:space="0"/>
            <w:bottom w:val="none" w:sz="0" w:space="0"/>
            <w:right w:val="none" w:sz="0" w:space="0"/>
          </w:pgBorders>
          <w:pgNumType w:fmt="decimal"/>
          <w:cols w:space="720" w:num="1"/>
        </w:sectPr>
      </w:pPr>
    </w:p>
    <w:p w14:paraId="1ACD3F87">
      <w:pPr>
        <w:spacing w:before="306" w:line="220" w:lineRule="auto"/>
        <w:ind w:left="39"/>
        <w:outlineLvl w:val="0"/>
        <w:rPr>
          <w:rFonts w:hint="eastAsia" w:ascii="宋体" w:hAnsi="宋体" w:eastAsia="宋体" w:cs="宋体"/>
          <w:b/>
          <w:bCs/>
          <w:color w:val="auto"/>
          <w:spacing w:val="-3"/>
          <w:sz w:val="28"/>
          <w:szCs w:val="28"/>
          <w:highlight w:val="none"/>
          <w:lang w:val="en-US" w:eastAsia="zh-CN"/>
        </w:rPr>
      </w:pPr>
      <w:bookmarkStart w:id="1143" w:name="bookmark51"/>
      <w:bookmarkEnd w:id="1143"/>
      <w:bookmarkStart w:id="1144" w:name="_Toc11116"/>
      <w:r>
        <w:rPr>
          <w:rFonts w:ascii="Times New Roman" w:hAnsi="Times New Roman" w:eastAsia="Times New Roman" w:cs="Times New Roman"/>
          <w:b/>
          <w:bCs/>
          <w:color w:val="auto"/>
          <w:spacing w:val="-3"/>
          <w:sz w:val="28"/>
          <w:szCs w:val="28"/>
          <w:highlight w:val="none"/>
        </w:rPr>
        <w:t>6</w:t>
      </w:r>
      <w:r>
        <w:rPr>
          <w:rFonts w:ascii="宋体" w:hAnsi="宋体" w:eastAsia="宋体" w:cs="宋体"/>
          <w:b/>
          <w:bCs/>
          <w:color w:val="auto"/>
          <w:spacing w:val="-3"/>
          <w:sz w:val="28"/>
          <w:szCs w:val="28"/>
          <w:highlight w:val="none"/>
        </w:rPr>
        <w:t>环境现状调查</w:t>
      </w:r>
      <w:r>
        <w:rPr>
          <w:rFonts w:hint="eastAsia" w:ascii="宋体" w:hAnsi="宋体" w:eastAsia="宋体" w:cs="宋体"/>
          <w:b/>
          <w:bCs/>
          <w:color w:val="auto"/>
          <w:spacing w:val="-3"/>
          <w:sz w:val="28"/>
          <w:szCs w:val="28"/>
          <w:highlight w:val="none"/>
          <w:lang w:val="en-US" w:eastAsia="zh-CN"/>
        </w:rPr>
        <w:t>与评价</w:t>
      </w:r>
      <w:bookmarkEnd w:id="1144"/>
      <w:bookmarkStart w:id="1145" w:name="pindex4445"/>
      <w:bookmarkEnd w:id="1145"/>
    </w:p>
    <w:p w14:paraId="1A333785">
      <w:pPr>
        <w:spacing w:line="500" w:lineRule="exact"/>
        <w:ind w:firstLine="480" w:firstLineChars="200"/>
        <w:rPr>
          <w:rFonts w:ascii="Times New Roman" w:hAnsi="Times New Roman" w:eastAsia="宋体" w:cs="Times New Roman"/>
          <w:bCs/>
          <w:color w:val="auto"/>
          <w:kern w:val="0"/>
          <w:sz w:val="24"/>
          <w:szCs w:val="28"/>
          <w:highlight w:val="none"/>
        </w:rPr>
      </w:pPr>
      <w:bookmarkStart w:id="1146" w:name="sys4446092"/>
      <w:r>
        <w:rPr>
          <w:rFonts w:ascii="Times New Roman" w:hAnsi="Times New Roman" w:eastAsia="宋体" w:cs="Times New Roman"/>
          <w:bCs/>
          <w:color w:val="auto"/>
          <w:kern w:val="0"/>
          <w:sz w:val="24"/>
          <w:szCs w:val="28"/>
          <w:highlight w:val="none"/>
        </w:rPr>
        <w:t>根据《环境影响评价技术导则大气环境》（HJ2.2-2018），项目所在区域达标情况判定，优先采用国家或地方生态环境主管部门公开发布的评价基准年环境质量公告或环境质量报告中的数据或结论。</w:t>
      </w:r>
      <w:bookmarkEnd w:id="1146"/>
    </w:p>
    <w:p w14:paraId="0B7530B1">
      <w:pPr>
        <w:spacing w:before="179" w:line="353" w:lineRule="auto"/>
        <w:ind w:left="37" w:right="27" w:firstLine="481"/>
        <w:rPr>
          <w:rFonts w:ascii="Times New Roman" w:hAnsi="Times New Roman" w:eastAsia="宋体" w:cs="Times New Roman"/>
          <w:color w:val="auto"/>
          <w:sz w:val="24"/>
          <w:szCs w:val="24"/>
          <w:highlight w:val="none"/>
        </w:rPr>
      </w:pPr>
      <w:bookmarkStart w:id="1147" w:name="sys4447067"/>
      <w:r>
        <w:rPr>
          <w:rFonts w:ascii="Times New Roman" w:hAnsi="Times New Roman" w:eastAsia="宋体" w:cs="Times New Roman"/>
          <w:color w:val="auto"/>
          <w:sz w:val="24"/>
          <w:szCs w:val="24"/>
          <w:highlight w:val="none"/>
        </w:rPr>
        <w:t>本次环境影响评价区域评估范围为南京江宁经济技术开发区本级（含江苏软件园</w:t>
      </w:r>
      <w:r>
        <w:rPr>
          <w:rFonts w:hint="eastAsia" w:ascii="Times New Roman" w:hAnsi="Times New Roman" w:eastAsia="宋体" w:cs="Times New Roman"/>
          <w:color w:val="auto"/>
          <w:sz w:val="24"/>
          <w:szCs w:val="24"/>
          <w:highlight w:val="none"/>
        </w:rPr>
        <w:t>，不含空港开发区及禄口街道</w:t>
      </w: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评估范围</w:t>
      </w:r>
      <w:r>
        <w:rPr>
          <w:rFonts w:ascii="Times New Roman" w:hAnsi="Times New Roman" w:eastAsia="宋体" w:cs="Times New Roman"/>
          <w:color w:val="auto"/>
          <w:sz w:val="24"/>
          <w:szCs w:val="24"/>
          <w:highlight w:val="none"/>
        </w:rPr>
        <w:t>面积合计</w:t>
      </w:r>
      <w:r>
        <w:rPr>
          <w:rFonts w:hint="eastAsia" w:ascii="Times New Roman" w:hAnsi="Times New Roman" w:eastAsia="宋体" w:cs="Times New Roman"/>
          <w:color w:val="auto"/>
          <w:sz w:val="24"/>
          <w:szCs w:val="24"/>
          <w:highlight w:val="none"/>
          <w:lang w:eastAsia="zh-CN"/>
        </w:rPr>
        <w:t>137.3</w:t>
      </w:r>
      <w:r>
        <w:rPr>
          <w:rFonts w:ascii="Times New Roman" w:hAnsi="Times New Roman" w:eastAsia="宋体" w:cs="Times New Roman"/>
          <w:color w:val="auto"/>
          <w:sz w:val="24"/>
          <w:szCs w:val="24"/>
          <w:highlight w:val="none"/>
        </w:rPr>
        <w:t>km</w:t>
      </w:r>
      <w:r>
        <w:rPr>
          <w:rFonts w:ascii="Times New Roman" w:hAnsi="Times New Roman" w:eastAsia="宋体" w:cs="Times New Roman"/>
          <w:color w:val="auto"/>
          <w:sz w:val="24"/>
          <w:szCs w:val="24"/>
          <w:highlight w:val="none"/>
          <w:vertAlign w:val="superscript"/>
        </w:rPr>
        <w:t>2</w:t>
      </w:r>
      <w:r>
        <w:rPr>
          <w:rFonts w:ascii="Times New Roman" w:hAnsi="Times New Roman" w:eastAsia="宋体" w:cs="Times New Roman"/>
          <w:color w:val="auto"/>
          <w:sz w:val="24"/>
          <w:szCs w:val="24"/>
          <w:highlight w:val="none"/>
        </w:rPr>
        <w:t>。</w:t>
      </w:r>
      <w:bookmarkEnd w:id="1147"/>
    </w:p>
    <w:p w14:paraId="207F01AF">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ascii="Times New Roman" w:hAnsi="Times New Roman" w:eastAsia="宋体" w:cs="Times New Roman"/>
          <w:color w:val="auto"/>
          <w:sz w:val="24"/>
          <w:szCs w:val="24"/>
          <w:highlight w:val="none"/>
        </w:rPr>
        <w:t>本次</w:t>
      </w:r>
      <w:bookmarkStart w:id="1148" w:name="OLE_LINK370"/>
      <w:r>
        <w:rPr>
          <w:rFonts w:ascii="Times New Roman" w:hAnsi="Times New Roman" w:eastAsia="宋体" w:cs="Times New Roman"/>
          <w:color w:val="auto"/>
          <w:sz w:val="24"/>
          <w:szCs w:val="24"/>
          <w:highlight w:val="none"/>
        </w:rPr>
        <w:t>环境影响评价区域评估将在</w:t>
      </w:r>
      <w:r>
        <w:rPr>
          <w:rFonts w:hint="eastAsia" w:ascii="Times New Roman" w:hAnsi="Times New Roman" w:eastAsia="宋体" w:cs="Times New Roman"/>
          <w:color w:val="auto"/>
          <w:sz w:val="24"/>
          <w:szCs w:val="24"/>
          <w:highlight w:val="none"/>
        </w:rPr>
        <w:t>开发区域</w:t>
      </w:r>
      <w:bookmarkEnd w:id="1148"/>
      <w:r>
        <w:rPr>
          <w:rFonts w:ascii="Times New Roman" w:hAnsi="Times New Roman" w:eastAsia="宋体" w:cs="Times New Roman"/>
          <w:color w:val="auto"/>
          <w:sz w:val="24"/>
          <w:szCs w:val="24"/>
          <w:highlight w:val="none"/>
        </w:rPr>
        <w:t>内布设空气、地表水、地下水、土壤等现状监测点位，了解该区域环境质量现状</w:t>
      </w:r>
      <w:r>
        <w:rPr>
          <w:rFonts w:hint="default" w:ascii="Times New Roman" w:hAnsi="Times New Roman" w:eastAsia="宋体" w:cs="Times New Roman"/>
          <w:color w:val="auto"/>
          <w:spacing w:val="-4"/>
          <w:sz w:val="24"/>
          <w:szCs w:val="24"/>
          <w:highlight w:val="none"/>
        </w:rPr>
        <w:t>。</w:t>
      </w:r>
    </w:p>
    <w:p w14:paraId="0E0E39A7">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1"/>
        <w:rPr>
          <w:rFonts w:ascii="Times New Roman" w:hAnsi="Times New Roman" w:eastAsia="Times New Roman" w:cs="Times New Roman"/>
          <w:b/>
          <w:bCs/>
          <w:color w:val="auto"/>
          <w:spacing w:val="-3"/>
          <w:sz w:val="24"/>
          <w:szCs w:val="24"/>
          <w:highlight w:val="none"/>
        </w:rPr>
      </w:pPr>
      <w:bookmarkStart w:id="1149" w:name="bookmark53"/>
      <w:bookmarkEnd w:id="1149"/>
      <w:bookmarkStart w:id="1150" w:name="_Toc8274"/>
      <w:r>
        <w:rPr>
          <w:rFonts w:ascii="Times New Roman" w:hAnsi="Times New Roman" w:eastAsia="Times New Roman" w:cs="Times New Roman"/>
          <w:b/>
          <w:bCs/>
          <w:color w:val="auto"/>
          <w:spacing w:val="-3"/>
          <w:sz w:val="24"/>
          <w:szCs w:val="24"/>
          <w:highlight w:val="none"/>
        </w:rPr>
        <w:t>6.1自然环境概况</w:t>
      </w:r>
      <w:bookmarkEnd w:id="1150"/>
      <w:bookmarkStart w:id="1151" w:name="pindex4449"/>
      <w:bookmarkEnd w:id="1151"/>
    </w:p>
    <w:p w14:paraId="65CC04F4">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2"/>
        <w:rPr>
          <w:rFonts w:ascii="Times New Roman" w:hAnsi="Times New Roman" w:eastAsia="Times New Roman" w:cs="Times New Roman"/>
          <w:b/>
          <w:bCs/>
          <w:color w:val="auto"/>
          <w:spacing w:val="-3"/>
          <w:sz w:val="24"/>
          <w:szCs w:val="24"/>
          <w:highlight w:val="none"/>
        </w:rPr>
      </w:pPr>
      <w:bookmarkStart w:id="1152" w:name="_Toc27834"/>
      <w:r>
        <w:rPr>
          <w:rFonts w:ascii="Times New Roman" w:hAnsi="Times New Roman" w:eastAsia="Times New Roman" w:cs="Times New Roman"/>
          <w:b/>
          <w:bCs/>
          <w:color w:val="auto"/>
          <w:spacing w:val="-3"/>
          <w:sz w:val="24"/>
          <w:szCs w:val="24"/>
          <w:highlight w:val="none"/>
        </w:rPr>
        <w:t>6.1.1地理位置</w:t>
      </w:r>
      <w:bookmarkEnd w:id="1152"/>
      <w:bookmarkStart w:id="1153" w:name="pindex4450"/>
      <w:bookmarkEnd w:id="1153"/>
    </w:p>
    <w:p w14:paraId="15787A80">
      <w:pPr>
        <w:keepNext w:val="0"/>
        <w:keepLines w:val="0"/>
        <w:pageBreakBefore w:val="0"/>
        <w:widowControl/>
        <w:kinsoku w:val="0"/>
        <w:wordWrap/>
        <w:overflowPunct/>
        <w:topLinePunct w:val="0"/>
        <w:autoSpaceDE w:val="0"/>
        <w:autoSpaceDN w:val="0"/>
        <w:bidi w:val="0"/>
        <w:adjustRightInd w:val="0"/>
        <w:snapToGrid w:val="0"/>
        <w:spacing w:before="36" w:line="360" w:lineRule="auto"/>
        <w:ind w:firstLine="480" w:firstLineChars="200"/>
        <w:textAlignment w:val="baseline"/>
        <w:outlineLvl w:val="9"/>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江宁区位于长江下游南岸，介于北纬30°38´～32°13´，东经118°31´～119°04´之间，东西宽33公里，南北长57公里，总面积1572.96平方公里。东与句容市接壤，东南与溧水</w:t>
      </w:r>
      <w:r>
        <w:rPr>
          <w:rFonts w:hint="eastAsia" w:ascii="Times New Roman" w:hAnsi="Times New Roman" w:eastAsia="宋体" w:cs="Times New Roman"/>
          <w:bCs/>
          <w:color w:val="auto"/>
          <w:kern w:val="0"/>
          <w:sz w:val="24"/>
          <w:szCs w:val="28"/>
          <w:highlight w:val="none"/>
          <w:lang w:eastAsia="zh-CN"/>
        </w:rPr>
        <w:t>区</w:t>
      </w:r>
      <w:r>
        <w:rPr>
          <w:rFonts w:ascii="Times New Roman" w:hAnsi="Times New Roman" w:eastAsia="宋体" w:cs="Times New Roman"/>
          <w:bCs/>
          <w:color w:val="auto"/>
          <w:kern w:val="0"/>
          <w:sz w:val="24"/>
          <w:szCs w:val="28"/>
          <w:highlight w:val="none"/>
        </w:rPr>
        <w:t>毗连，南与安徽省当涂县衔接，西南与安徽省马鞍山市相邻，西与安徽省和县以及南京市浦口区隔江相望。</w:t>
      </w:r>
    </w:p>
    <w:p w14:paraId="444DD6D7">
      <w:pPr>
        <w:keepNext w:val="0"/>
        <w:keepLines w:val="0"/>
        <w:pageBreakBefore w:val="0"/>
        <w:widowControl/>
        <w:kinsoku/>
        <w:wordWrap/>
        <w:overflowPunct/>
        <w:topLinePunct w:val="0"/>
        <w:autoSpaceDE w:val="0"/>
        <w:autoSpaceDN w:val="0"/>
        <w:bidi w:val="0"/>
        <w:adjustRightInd w:val="0"/>
        <w:snapToGrid w:val="0"/>
        <w:spacing w:before="36" w:line="360" w:lineRule="auto"/>
        <w:ind w:firstLine="480" w:firstLineChars="200"/>
        <w:textAlignment w:val="baseline"/>
        <w:outlineLvl w:val="9"/>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江宁开发区地处沿海和</w:t>
      </w:r>
      <w:r>
        <w:rPr>
          <w:rFonts w:hint="eastAsia" w:ascii="Times New Roman" w:hAnsi="Times New Roman" w:eastAsia="宋体" w:cs="Times New Roman"/>
          <w:bCs/>
          <w:color w:val="auto"/>
          <w:kern w:val="0"/>
          <w:sz w:val="24"/>
          <w:szCs w:val="28"/>
          <w:highlight w:val="none"/>
          <w:lang w:eastAsia="zh-CN"/>
        </w:rPr>
        <w:t>长江经济带发展</w:t>
      </w:r>
      <w:r>
        <w:rPr>
          <w:rFonts w:ascii="Times New Roman" w:hAnsi="Times New Roman" w:eastAsia="宋体" w:cs="Times New Roman"/>
          <w:bCs/>
          <w:color w:val="auto"/>
          <w:kern w:val="0"/>
          <w:sz w:val="24"/>
          <w:szCs w:val="28"/>
          <w:highlight w:val="none"/>
        </w:rPr>
        <w:t>带的</w:t>
      </w:r>
      <w:sdt>
        <w:sdtPr>
          <w:rPr>
            <w:color w:val="auto"/>
            <w:highlight w:val="none"/>
          </w:rPr>
          <w:alias w:val="易错词检查"/>
          <w:tag w:val="auto"/>
          <w:id w:val="30312"/>
        </w:sdtPr>
        <w:sdtEndPr>
          <w:rPr>
            <w:color w:val="auto"/>
            <w:highlight w:val="none"/>
          </w:rPr>
        </w:sdtEndPr>
        <w:sdtContent>
          <w:bookmarkStart w:id="1154" w:name="bkReivew30312"/>
          <w:r>
            <w:rPr>
              <w:rFonts w:ascii="Times New Roman" w:hAnsi="Times New Roman" w:eastAsia="宋体" w:cs="Times New Roman"/>
              <w:bCs/>
              <w:color w:val="auto"/>
              <w:kern w:val="0"/>
              <w:sz w:val="24"/>
              <w:szCs w:val="28"/>
              <w:highlight w:val="none"/>
            </w:rPr>
            <w:t>交汇</w:t>
          </w:r>
          <w:bookmarkEnd w:id="1154"/>
        </w:sdtContent>
      </w:sdt>
      <w:r>
        <w:rPr>
          <w:rFonts w:ascii="Times New Roman" w:hAnsi="Times New Roman" w:eastAsia="宋体" w:cs="Times New Roman"/>
          <w:bCs/>
          <w:color w:val="auto"/>
          <w:kern w:val="0"/>
          <w:sz w:val="24"/>
          <w:szCs w:val="28"/>
          <w:highlight w:val="none"/>
        </w:rPr>
        <w:t>处，位于华东中心城市南京市都市圈内，距市中心仅7公里，是南京主城发展的核心区域。开发区位于北纬31°6'15"，东经118°7'49"，属亚热带湿润气候，温暖宜人，四季分明，雨量充沛，历史上无风灾、震灾记录。</w:t>
      </w:r>
    </w:p>
    <w:p w14:paraId="7FE2D5D7">
      <w:pPr>
        <w:keepNext w:val="0"/>
        <w:keepLines w:val="0"/>
        <w:pageBreakBefore w:val="0"/>
        <w:widowControl/>
        <w:kinsoku/>
        <w:wordWrap/>
        <w:overflowPunct/>
        <w:topLinePunct w:val="0"/>
        <w:autoSpaceDE w:val="0"/>
        <w:autoSpaceDN w:val="0"/>
        <w:bidi w:val="0"/>
        <w:adjustRightInd w:val="0"/>
        <w:snapToGrid w:val="0"/>
        <w:spacing w:before="36" w:line="360" w:lineRule="auto"/>
        <w:ind w:firstLine="480" w:firstLineChars="200"/>
        <w:textAlignment w:val="baseline"/>
        <w:outlineLvl w:val="9"/>
        <w:rPr>
          <w:rFonts w:ascii="Times New Roman" w:hAnsi="Times New Roman" w:eastAsia="宋体" w:cs="Times New Roman"/>
          <w:bCs/>
          <w:color w:val="auto"/>
          <w:kern w:val="0"/>
          <w:sz w:val="24"/>
          <w:szCs w:val="28"/>
          <w:highlight w:val="none"/>
        </w:rPr>
      </w:pPr>
      <w:bookmarkStart w:id="1155" w:name="sys4453054"/>
      <w:r>
        <w:rPr>
          <w:rFonts w:ascii="Times New Roman" w:hAnsi="Times New Roman" w:eastAsia="宋体" w:cs="Times New Roman"/>
          <w:color w:val="auto"/>
          <w:sz w:val="24"/>
          <w:szCs w:val="24"/>
          <w:highlight w:val="none"/>
        </w:rPr>
        <w:t>本次环境影响评价区域评估范围为南京江宁经济技术开发区本级（含江苏软件园），</w:t>
      </w:r>
      <w:r>
        <w:rPr>
          <w:rFonts w:hint="eastAsia" w:ascii="Times New Roman" w:hAnsi="Times New Roman" w:eastAsia="宋体" w:cs="Times New Roman"/>
          <w:color w:val="auto"/>
          <w:sz w:val="24"/>
          <w:szCs w:val="24"/>
          <w:highlight w:val="none"/>
          <w:lang w:eastAsia="zh-CN"/>
        </w:rPr>
        <w:t>评估范围</w:t>
      </w:r>
      <w:r>
        <w:rPr>
          <w:rFonts w:ascii="Times New Roman" w:hAnsi="Times New Roman" w:eastAsia="宋体" w:cs="Times New Roman"/>
          <w:color w:val="auto"/>
          <w:sz w:val="24"/>
          <w:szCs w:val="24"/>
          <w:highlight w:val="none"/>
        </w:rPr>
        <w:t>面</w:t>
      </w:r>
      <w:r>
        <w:rPr>
          <w:rFonts w:ascii="Times New Roman" w:hAnsi="Times New Roman" w:eastAsia="宋体" w:cs="Times New Roman"/>
          <w:bCs/>
          <w:color w:val="auto"/>
          <w:kern w:val="0"/>
          <w:sz w:val="24"/>
          <w:szCs w:val="28"/>
          <w:highlight w:val="none"/>
        </w:rPr>
        <w:t>积合计</w:t>
      </w:r>
      <w:r>
        <w:rPr>
          <w:rFonts w:hint="eastAsia" w:ascii="Times New Roman" w:hAnsi="Times New Roman" w:eastAsia="宋体" w:cs="Times New Roman"/>
          <w:bCs/>
          <w:color w:val="auto"/>
          <w:kern w:val="0"/>
          <w:sz w:val="24"/>
          <w:szCs w:val="28"/>
          <w:highlight w:val="none"/>
          <w:lang w:eastAsia="zh-CN"/>
        </w:rPr>
        <w:t>137.3</w:t>
      </w:r>
      <w:r>
        <w:rPr>
          <w:rFonts w:ascii="Times New Roman" w:hAnsi="Times New Roman" w:eastAsia="宋体" w:cs="Times New Roman"/>
          <w:bCs/>
          <w:color w:val="auto"/>
          <w:kern w:val="0"/>
          <w:sz w:val="24"/>
          <w:szCs w:val="28"/>
          <w:highlight w:val="none"/>
        </w:rPr>
        <w:t>km</w:t>
      </w:r>
      <w:r>
        <w:rPr>
          <w:rFonts w:ascii="Times New Roman" w:hAnsi="Times New Roman" w:eastAsia="宋体" w:cs="Times New Roman"/>
          <w:bCs/>
          <w:color w:val="auto"/>
          <w:kern w:val="0"/>
          <w:sz w:val="24"/>
          <w:szCs w:val="28"/>
          <w:highlight w:val="none"/>
          <w:vertAlign w:val="superscript"/>
        </w:rPr>
        <w:t>2</w:t>
      </w:r>
      <w:r>
        <w:rPr>
          <w:rFonts w:ascii="Times New Roman" w:hAnsi="Times New Roman" w:eastAsia="宋体" w:cs="Times New Roman"/>
          <w:bCs/>
          <w:color w:val="auto"/>
          <w:kern w:val="0"/>
          <w:sz w:val="24"/>
          <w:szCs w:val="28"/>
          <w:highlight w:val="none"/>
        </w:rPr>
        <w:t>。</w:t>
      </w:r>
      <w:bookmarkEnd w:id="1155"/>
    </w:p>
    <w:p w14:paraId="0CDD4356">
      <w:pPr>
        <w:keepNext w:val="0"/>
        <w:keepLines w:val="0"/>
        <w:pageBreakBefore w:val="0"/>
        <w:widowControl/>
        <w:kinsoku/>
        <w:wordWrap/>
        <w:overflowPunct/>
        <w:topLinePunct w:val="0"/>
        <w:autoSpaceDE w:val="0"/>
        <w:autoSpaceDN w:val="0"/>
        <w:bidi w:val="0"/>
        <w:adjustRightInd w:val="0"/>
        <w:snapToGrid w:val="0"/>
        <w:spacing w:before="36" w:line="360" w:lineRule="auto"/>
        <w:ind w:firstLine="480" w:firstLineChars="200"/>
        <w:textAlignment w:val="baseline"/>
        <w:outlineLvl w:val="9"/>
        <w:rPr>
          <w:rFonts w:ascii="Times New Roman" w:hAnsi="Times New Roman" w:eastAsia="宋体" w:cs="Times New Roman"/>
          <w:bCs/>
          <w:color w:val="auto"/>
          <w:kern w:val="0"/>
          <w:sz w:val="24"/>
          <w:szCs w:val="28"/>
          <w:highlight w:val="none"/>
        </w:rPr>
      </w:pPr>
      <w:bookmarkStart w:id="1156" w:name="sys4454044"/>
      <w:r>
        <w:rPr>
          <w:rFonts w:ascii="Times New Roman" w:hAnsi="Times New Roman" w:eastAsia="宋体" w:cs="Times New Roman"/>
          <w:bCs/>
          <w:color w:val="auto"/>
          <w:kern w:val="0"/>
          <w:sz w:val="24"/>
          <w:szCs w:val="28"/>
          <w:highlight w:val="none"/>
        </w:rPr>
        <w:t>四至范围：东至秦淮河，南至银杏湖大道，北至秦淮新河，西至韩府山、翠屏山、将军山、牛首山。</w:t>
      </w:r>
      <w:bookmarkEnd w:id="1156"/>
      <w:bookmarkStart w:id="1157" w:name="_Toc22183"/>
    </w:p>
    <w:p w14:paraId="0C906678">
      <w:pPr>
        <w:keepNext w:val="0"/>
        <w:keepLines w:val="0"/>
        <w:pageBreakBefore w:val="0"/>
        <w:widowControl/>
        <w:kinsoku/>
        <w:wordWrap/>
        <w:overflowPunct/>
        <w:topLinePunct w:val="0"/>
        <w:autoSpaceDE w:val="0"/>
        <w:autoSpaceDN w:val="0"/>
        <w:bidi w:val="0"/>
        <w:adjustRightInd w:val="0"/>
        <w:snapToGrid w:val="0"/>
        <w:spacing w:before="36" w:line="360" w:lineRule="auto"/>
        <w:textAlignment w:val="baseline"/>
        <w:outlineLvl w:val="2"/>
        <w:rPr>
          <w:rFonts w:ascii="Times New Roman" w:hAnsi="Times New Roman" w:eastAsia="Times New Roman" w:cs="Times New Roman"/>
          <w:b/>
          <w:bCs/>
          <w:color w:val="auto"/>
          <w:spacing w:val="-2"/>
          <w:sz w:val="24"/>
          <w:szCs w:val="24"/>
          <w:highlight w:val="none"/>
        </w:rPr>
      </w:pPr>
      <w:r>
        <w:rPr>
          <w:rFonts w:ascii="Times New Roman" w:hAnsi="Times New Roman" w:eastAsia="Times New Roman" w:cs="Times New Roman"/>
          <w:b/>
          <w:bCs/>
          <w:color w:val="auto"/>
          <w:spacing w:val="-2"/>
          <w:sz w:val="24"/>
          <w:szCs w:val="24"/>
          <w:highlight w:val="none"/>
        </w:rPr>
        <w:t>6.1.2地形地貌</w:t>
      </w:r>
      <w:bookmarkEnd w:id="1157"/>
      <w:bookmarkStart w:id="1158" w:name="pindex4455"/>
      <w:bookmarkEnd w:id="1158"/>
    </w:p>
    <w:p w14:paraId="7E2ABDA0">
      <w:pPr>
        <w:keepNext w:val="0"/>
        <w:keepLines w:val="0"/>
        <w:pageBreakBefore w:val="0"/>
        <w:widowControl/>
        <w:kinsoku/>
        <w:wordWrap/>
        <w:overflowPunct/>
        <w:topLinePunct w:val="0"/>
        <w:autoSpaceDE w:val="0"/>
        <w:autoSpaceDN w:val="0"/>
        <w:bidi w:val="0"/>
        <w:adjustRightInd w:val="0"/>
        <w:snapToGrid w:val="0"/>
        <w:spacing w:before="36" w:line="360" w:lineRule="auto"/>
        <w:ind w:firstLine="480" w:firstLineChars="200"/>
        <w:textAlignment w:val="baseline"/>
        <w:outlineLvl w:val="9"/>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江宁区东北部是宁镇山脉西段；西南为</w:t>
      </w:r>
      <w:r>
        <w:rPr>
          <w:rFonts w:hint="eastAsia" w:ascii="Times New Roman" w:hAnsi="Times New Roman" w:eastAsia="宋体" w:cs="Times New Roman"/>
          <w:bCs/>
          <w:color w:val="auto"/>
          <w:kern w:val="0"/>
          <w:sz w:val="24"/>
          <w:szCs w:val="28"/>
          <w:highlight w:val="none"/>
          <w:lang w:eastAsia="zh-CN"/>
        </w:rPr>
        <w:t>“</w:t>
      </w:r>
      <w:r>
        <w:rPr>
          <w:rFonts w:ascii="Times New Roman" w:hAnsi="Times New Roman" w:eastAsia="宋体" w:cs="Times New Roman"/>
          <w:bCs/>
          <w:color w:val="auto"/>
          <w:kern w:val="0"/>
          <w:sz w:val="24"/>
          <w:szCs w:val="28"/>
          <w:highlight w:val="none"/>
        </w:rPr>
        <w:t>S</w:t>
      </w:r>
      <w:r>
        <w:rPr>
          <w:rFonts w:hint="eastAsia" w:ascii="Times New Roman" w:hAnsi="Times New Roman" w:eastAsia="宋体" w:cs="Times New Roman"/>
          <w:bCs/>
          <w:color w:val="auto"/>
          <w:kern w:val="0"/>
          <w:sz w:val="24"/>
          <w:szCs w:val="28"/>
          <w:highlight w:val="none"/>
          <w:lang w:eastAsia="zh-CN"/>
        </w:rPr>
        <w:t>”</w:t>
      </w:r>
      <w:r>
        <w:rPr>
          <w:rFonts w:ascii="Times New Roman" w:hAnsi="Times New Roman" w:eastAsia="宋体" w:cs="Times New Roman"/>
          <w:bCs/>
          <w:color w:val="auto"/>
          <w:kern w:val="0"/>
          <w:sz w:val="24"/>
          <w:szCs w:val="28"/>
          <w:highlight w:val="none"/>
        </w:rPr>
        <w:t>型茅山山脉西延部分的北缘，宁芜山地的北段；中部是一个对东北和西南低山丘陵有明显倾斜的黄土岗地和一个由秦淮河穿连冲积而成的秦淮河平原。江宁区地貌由南向北明显</w:t>
      </w:r>
      <w:sdt>
        <w:sdtPr>
          <w:rPr>
            <w:color w:val="auto"/>
            <w:highlight w:val="none"/>
          </w:rPr>
          <w:alias w:val="易错词检查"/>
          <w:tag w:val="auto"/>
          <w:id w:val="2140701"/>
        </w:sdtPr>
        <w:sdtEndPr>
          <w:rPr>
            <w:color w:val="auto"/>
            <w:highlight w:val="none"/>
          </w:rPr>
        </w:sdtEndPr>
        <w:sdtContent>
          <w:bookmarkStart w:id="1159" w:name="bkReivew2140701"/>
          <w:r>
            <w:rPr>
              <w:rFonts w:ascii="Times New Roman" w:hAnsi="Times New Roman" w:eastAsia="宋体" w:cs="Times New Roman"/>
              <w:bCs/>
              <w:color w:val="auto"/>
              <w:kern w:val="0"/>
              <w:sz w:val="24"/>
              <w:szCs w:val="28"/>
              <w:highlight w:val="none"/>
            </w:rPr>
            <w:t>的</w:t>
          </w:r>
          <w:bookmarkEnd w:id="1159"/>
        </w:sdtContent>
      </w:sdt>
      <w:r>
        <w:rPr>
          <w:rFonts w:ascii="Times New Roman" w:hAnsi="Times New Roman" w:eastAsia="宋体" w:cs="Times New Roman"/>
          <w:bCs/>
          <w:color w:val="auto"/>
          <w:kern w:val="0"/>
          <w:sz w:val="24"/>
          <w:szCs w:val="28"/>
          <w:highlight w:val="none"/>
        </w:rPr>
        <w:t>可分为三带：一是西南部低山丘陵；二是中部的黄土岗地和只有少数低山</w:t>
      </w:r>
      <w:r>
        <w:rPr>
          <w:rFonts w:hint="eastAsia" w:ascii="Times New Roman" w:hAnsi="Times New Roman" w:eastAsia="宋体" w:cs="Times New Roman"/>
          <w:bCs/>
          <w:color w:val="auto"/>
          <w:kern w:val="0"/>
          <w:sz w:val="24"/>
          <w:szCs w:val="28"/>
          <w:highlight w:val="none"/>
          <w:lang w:eastAsia="zh-CN"/>
        </w:rPr>
        <w:t>凸起</w:t>
      </w:r>
      <w:r>
        <w:rPr>
          <w:rFonts w:ascii="Times New Roman" w:hAnsi="Times New Roman" w:eastAsia="宋体" w:cs="Times New Roman"/>
          <w:bCs/>
          <w:color w:val="auto"/>
          <w:kern w:val="0"/>
          <w:sz w:val="24"/>
          <w:szCs w:val="28"/>
          <w:highlight w:val="none"/>
        </w:rPr>
        <w:t>的平原；三是东北部低山丘陵。南北两低山丘陵对中部有明显的倾斜，地势南北高而中间低，形同“马鞍”。</w:t>
      </w:r>
    </w:p>
    <w:p w14:paraId="54B60C37">
      <w:pPr>
        <w:keepNext w:val="0"/>
        <w:keepLines w:val="0"/>
        <w:pageBreakBefore w:val="0"/>
        <w:widowControl/>
        <w:kinsoku/>
        <w:wordWrap/>
        <w:overflowPunct/>
        <w:topLinePunct w:val="0"/>
        <w:autoSpaceDE w:val="0"/>
        <w:autoSpaceDN w:val="0"/>
        <w:bidi w:val="0"/>
        <w:adjustRightInd w:val="0"/>
        <w:snapToGrid w:val="0"/>
        <w:spacing w:before="36" w:line="360" w:lineRule="auto"/>
        <w:ind w:firstLine="480" w:firstLineChars="200"/>
        <w:textAlignment w:val="baseline"/>
        <w:outlineLvl w:val="9"/>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区内多山，但山势一般不高，高程在300m左右，境内有大小山丘400多个，其中海拔超过300m以上的5个，大部分在200m以下。在类型上，按照地势和切割的深度，区内山地在温和湿润的气候条件下风化壳较厚，受到强烈的流水剥蚀作用，地形支离破碎，坡度较低，相对高差大都小于200m。</w:t>
      </w:r>
    </w:p>
    <w:p w14:paraId="6A3C4737">
      <w:pPr>
        <w:keepNext w:val="0"/>
        <w:keepLines w:val="0"/>
        <w:pageBreakBefore w:val="0"/>
        <w:widowControl/>
        <w:kinsoku/>
        <w:wordWrap/>
        <w:overflowPunct/>
        <w:topLinePunct w:val="0"/>
        <w:autoSpaceDE w:val="0"/>
        <w:autoSpaceDN w:val="0"/>
        <w:bidi w:val="0"/>
        <w:adjustRightInd w:val="0"/>
        <w:snapToGrid w:val="0"/>
        <w:spacing w:before="36" w:line="360" w:lineRule="auto"/>
        <w:ind w:firstLine="480" w:firstLineChars="200"/>
        <w:textAlignment w:val="baseline"/>
        <w:outlineLvl w:val="9"/>
        <w:rPr>
          <w:rFonts w:ascii="Times New Roman" w:hAnsi="Times New Roman" w:eastAsia="宋体" w:cs="Times New Roman"/>
          <w:bCs/>
          <w:color w:val="auto"/>
          <w:kern w:val="0"/>
          <w:sz w:val="24"/>
          <w:szCs w:val="24"/>
          <w:highlight w:val="none"/>
        </w:rPr>
      </w:pPr>
      <w:r>
        <w:rPr>
          <w:rFonts w:ascii="Times New Roman" w:hAnsi="Times New Roman" w:eastAsia="宋体" w:cs="Times New Roman"/>
          <w:bCs/>
          <w:color w:val="auto"/>
          <w:kern w:val="0"/>
          <w:sz w:val="24"/>
          <w:szCs w:val="24"/>
          <w:highlight w:val="none"/>
        </w:rPr>
        <w:t>江宁区</w:t>
      </w:r>
      <w:r>
        <w:rPr>
          <w:rFonts w:hint="eastAsia" w:eastAsia="宋体"/>
          <w:color w:val="auto"/>
          <w:sz w:val="24"/>
          <w:szCs w:val="24"/>
          <w:highlight w:val="none"/>
          <w:lang w:eastAsia="zh-CN"/>
        </w:rPr>
        <w:t>以</w:t>
      </w:r>
      <w:r>
        <w:rPr>
          <w:rFonts w:ascii="Times New Roman" w:hAnsi="Times New Roman" w:eastAsia="宋体" w:cs="Times New Roman"/>
          <w:bCs/>
          <w:color w:val="auto"/>
          <w:kern w:val="0"/>
          <w:sz w:val="24"/>
          <w:szCs w:val="24"/>
          <w:highlight w:val="none"/>
        </w:rPr>
        <w:t>南京至湖熟断裂带为界，划分成东北区和西南区。东北区为宁镇山脉的西段，岩浆岩均属钙碱系列为主的酸性、中酸性侵入杂岩，露头较多，为晚侏罗世-早白世早期的产物，岩体复杂，岩石类型较多。西南区地质构造十分复杂，</w:t>
      </w:r>
      <w:r>
        <w:rPr>
          <w:rFonts w:hint="eastAsia" w:ascii="Times New Roman" w:hAnsi="Times New Roman" w:eastAsia="宋体" w:cs="Times New Roman"/>
          <w:bCs/>
          <w:color w:val="auto"/>
          <w:kern w:val="0"/>
          <w:sz w:val="24"/>
          <w:szCs w:val="24"/>
          <w:highlight w:val="none"/>
          <w:lang w:eastAsia="zh-CN"/>
        </w:rPr>
        <w:t>皱褶</w:t>
      </w:r>
      <w:r>
        <w:rPr>
          <w:rFonts w:ascii="Times New Roman" w:hAnsi="Times New Roman" w:eastAsia="宋体" w:cs="Times New Roman"/>
          <w:bCs/>
          <w:color w:val="auto"/>
          <w:kern w:val="0"/>
          <w:sz w:val="24"/>
          <w:szCs w:val="24"/>
          <w:highlight w:val="none"/>
        </w:rPr>
        <w:t>断裂构造形成于燕山期，</w:t>
      </w:r>
      <w:sdt>
        <w:sdtPr>
          <w:rPr>
            <w:color w:val="auto"/>
            <w:highlight w:val="none"/>
          </w:rPr>
          <w:alias w:val="易错词检查"/>
          <w:tag w:val="auto"/>
          <w:id w:val="3171453"/>
        </w:sdtPr>
        <w:sdtEndPr>
          <w:rPr>
            <w:color w:val="auto"/>
            <w:highlight w:val="none"/>
          </w:rPr>
        </w:sdtEndPr>
        <w:sdtContent>
          <w:bookmarkStart w:id="1160" w:name="bkReivew3171453"/>
          <w:r>
            <w:rPr>
              <w:rFonts w:ascii="Times New Roman" w:hAnsi="Times New Roman" w:eastAsia="宋体" w:cs="Times New Roman"/>
              <w:bCs/>
              <w:color w:val="auto"/>
              <w:kern w:val="0"/>
              <w:sz w:val="24"/>
              <w:szCs w:val="24"/>
              <w:highlight w:val="none"/>
            </w:rPr>
            <w:t>总的</w:t>
          </w:r>
          <w:bookmarkEnd w:id="1160"/>
        </w:sdtContent>
      </w:sdt>
      <w:r>
        <w:rPr>
          <w:rFonts w:ascii="Times New Roman" w:hAnsi="Times New Roman" w:eastAsia="宋体" w:cs="Times New Roman"/>
          <w:bCs/>
          <w:color w:val="auto"/>
          <w:kern w:val="0"/>
          <w:sz w:val="24"/>
          <w:szCs w:val="24"/>
          <w:highlight w:val="none"/>
        </w:rPr>
        <w:t>具有近似等距的网状格局。</w:t>
      </w:r>
    </w:p>
    <w:p w14:paraId="3C7F863E">
      <w:pPr>
        <w:keepNext w:val="0"/>
        <w:keepLines w:val="0"/>
        <w:pageBreakBefore w:val="0"/>
        <w:widowControl/>
        <w:kinsoku/>
        <w:wordWrap/>
        <w:overflowPunct/>
        <w:topLinePunct w:val="0"/>
        <w:autoSpaceDE w:val="0"/>
        <w:autoSpaceDN w:val="0"/>
        <w:bidi w:val="0"/>
        <w:adjustRightInd w:val="0"/>
        <w:snapToGrid w:val="0"/>
        <w:spacing w:before="36" w:line="360" w:lineRule="auto"/>
        <w:ind w:firstLine="480" w:firstLineChars="200"/>
        <w:textAlignment w:val="baseline"/>
        <w:outlineLvl w:val="9"/>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根据《中国地震烈度区划分》（1990年），南京市江宁区以南京－湖熟断裂带为界，南部为抗震设防烈度六度区，北部为七度区。</w:t>
      </w:r>
    </w:p>
    <w:p w14:paraId="64A1A32A">
      <w:pPr>
        <w:keepNext w:val="0"/>
        <w:keepLines w:val="0"/>
        <w:pageBreakBefore w:val="0"/>
        <w:widowControl/>
        <w:kinsoku/>
        <w:wordWrap/>
        <w:overflowPunct/>
        <w:topLinePunct w:val="0"/>
        <w:autoSpaceDE w:val="0"/>
        <w:autoSpaceDN w:val="0"/>
        <w:bidi w:val="0"/>
        <w:adjustRightInd w:val="0"/>
        <w:snapToGrid w:val="0"/>
        <w:spacing w:before="36" w:line="360" w:lineRule="auto"/>
        <w:ind w:firstLine="480" w:firstLineChars="200"/>
        <w:textAlignment w:val="baseline"/>
        <w:outlineLvl w:val="9"/>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江宁开发区地貌为丘陵岗地；地质构造属稳定场地；浅部第四系部分以下蜀土为主；基岩埋藏深度一般在1-20米，岩性为侏罗系象山砂岩，地基土承载力[R]12-30吨/平方米。</w:t>
      </w:r>
    </w:p>
    <w:p w14:paraId="4233E089">
      <w:pPr>
        <w:spacing w:before="182" w:line="220" w:lineRule="auto"/>
        <w:ind w:left="27"/>
        <w:outlineLvl w:val="2"/>
        <w:rPr>
          <w:rFonts w:hint="eastAsia" w:ascii="Times New Roman" w:hAnsi="Times New Roman" w:eastAsia="Times New Roman" w:cs="Times New Roman"/>
          <w:b/>
          <w:bCs/>
          <w:color w:val="auto"/>
          <w:spacing w:val="-2"/>
          <w:sz w:val="24"/>
          <w:szCs w:val="24"/>
          <w:highlight w:val="none"/>
          <w:lang w:val="en-US" w:eastAsia="zh-CN"/>
        </w:rPr>
      </w:pPr>
      <w:bookmarkStart w:id="1161" w:name="_Toc31269"/>
      <w:r>
        <w:rPr>
          <w:rFonts w:ascii="Times New Roman" w:hAnsi="Times New Roman" w:eastAsia="Times New Roman" w:cs="Times New Roman"/>
          <w:b/>
          <w:bCs/>
          <w:color w:val="auto"/>
          <w:spacing w:val="-2"/>
          <w:sz w:val="24"/>
          <w:szCs w:val="24"/>
          <w:highlight w:val="none"/>
        </w:rPr>
        <w:t>6.1.3水文</w:t>
      </w:r>
      <w:r>
        <w:rPr>
          <w:rFonts w:hint="eastAsia" w:ascii="Times New Roman" w:hAnsi="Times New Roman" w:eastAsia="Times New Roman" w:cs="Times New Roman"/>
          <w:b/>
          <w:bCs/>
          <w:color w:val="auto"/>
          <w:spacing w:val="-2"/>
          <w:sz w:val="24"/>
          <w:szCs w:val="24"/>
          <w:highlight w:val="none"/>
          <w:lang w:val="en-US" w:eastAsia="zh-CN"/>
        </w:rPr>
        <w:t>概况</w:t>
      </w:r>
      <w:bookmarkEnd w:id="1161"/>
      <w:bookmarkStart w:id="1162" w:name="pindex4461"/>
      <w:bookmarkEnd w:id="1162"/>
    </w:p>
    <w:p w14:paraId="4823EEE4">
      <w:pPr>
        <w:keepNext w:val="0"/>
        <w:keepLines w:val="0"/>
        <w:pageBreakBefore w:val="0"/>
        <w:widowControl/>
        <w:kinsoku/>
        <w:wordWrap/>
        <w:overflowPunct/>
        <w:topLinePunct w:val="0"/>
        <w:autoSpaceDE w:val="0"/>
        <w:autoSpaceDN w:val="0"/>
        <w:bidi w:val="0"/>
        <w:adjustRightInd w:val="0"/>
        <w:snapToGrid w:val="0"/>
        <w:spacing w:line="500" w:lineRule="exact"/>
        <w:ind w:firstLine="480" w:firstLineChars="200"/>
        <w:textAlignment w:val="baseline"/>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江宁经济开发区属于秦淮河漫滩孔隙水分布区，呈南北条带状分布，南北长约27km，东西平均宽约6.8km，分布面积约184km</w:t>
      </w:r>
      <w:r>
        <w:rPr>
          <w:rFonts w:ascii="Times New Roman" w:hAnsi="Times New Roman" w:eastAsia="宋体" w:cs="Times New Roman"/>
          <w:bCs/>
          <w:color w:val="auto"/>
          <w:kern w:val="0"/>
          <w:sz w:val="24"/>
          <w:szCs w:val="28"/>
          <w:highlight w:val="none"/>
          <w:vertAlign w:val="superscript"/>
        </w:rPr>
        <w:t>2</w:t>
      </w:r>
      <w:r>
        <w:rPr>
          <w:rFonts w:ascii="Times New Roman" w:hAnsi="Times New Roman" w:eastAsia="宋体" w:cs="Times New Roman"/>
          <w:bCs/>
          <w:color w:val="auto"/>
          <w:kern w:val="0"/>
          <w:sz w:val="24"/>
          <w:szCs w:val="28"/>
          <w:highlight w:val="none"/>
        </w:rPr>
        <w:t>，区内第四系冲积层厚度一般为15－25m，在中心部位可达20－30m，含水砂层呈薄透镜体状，多小于10m，以粉砂、粉细砂为主，根据勘探资料，沉积物厚度27m，砂层厚度9.03m，水位埋深2.24m。</w:t>
      </w:r>
    </w:p>
    <w:p w14:paraId="5501658A">
      <w:pPr>
        <w:spacing w:line="500" w:lineRule="exact"/>
        <w:ind w:firstLine="480" w:firstLineChars="200"/>
        <w:rPr>
          <w:rFonts w:ascii="Times New Roman" w:hAnsi="Times New Roman" w:eastAsia="宋体" w:cs="Times New Roman"/>
          <w:bCs/>
          <w:color w:val="auto"/>
          <w:kern w:val="0"/>
          <w:sz w:val="24"/>
          <w:szCs w:val="28"/>
          <w:highlight w:val="none"/>
        </w:rPr>
      </w:pPr>
      <w:bookmarkStart w:id="1163" w:name="OLE_LINK371"/>
      <w:r>
        <w:rPr>
          <w:rFonts w:ascii="Times New Roman" w:hAnsi="Times New Roman" w:eastAsia="宋体" w:cs="Times New Roman"/>
          <w:bCs/>
          <w:color w:val="auto"/>
          <w:kern w:val="0"/>
          <w:sz w:val="24"/>
          <w:szCs w:val="28"/>
          <w:highlight w:val="none"/>
        </w:rPr>
        <w:t>江宁开发区内相关的主要河流为秦淮河江宁段、秦淮新河江宁段、牛首山河和云台山河、句容河、胜利河等，主要湖泊和水库为百家湖、九龙湖</w:t>
      </w:r>
      <w:r>
        <w:rPr>
          <w:rFonts w:hint="eastAsia" w:ascii="Times New Roman" w:hAnsi="Times New Roman" w:eastAsia="宋体" w:cs="Times New Roman"/>
          <w:bCs/>
          <w:color w:val="auto"/>
          <w:kern w:val="0"/>
          <w:sz w:val="24"/>
          <w:szCs w:val="28"/>
          <w:highlight w:val="none"/>
          <w:lang w:eastAsia="zh-CN"/>
        </w:rPr>
        <w:t>、</w:t>
      </w:r>
      <w:r>
        <w:rPr>
          <w:rFonts w:hint="eastAsia" w:ascii="Times New Roman" w:hAnsi="Times New Roman" w:eastAsia="宋体" w:cs="Times New Roman"/>
          <w:bCs/>
          <w:color w:val="auto"/>
          <w:kern w:val="0"/>
          <w:sz w:val="24"/>
          <w:szCs w:val="28"/>
          <w:highlight w:val="none"/>
          <w:lang w:val="en-US" w:eastAsia="zh-CN"/>
        </w:rPr>
        <w:t>风波坟水库、谷里水库</w:t>
      </w:r>
      <w:r>
        <w:rPr>
          <w:rFonts w:ascii="Times New Roman" w:hAnsi="Times New Roman" w:eastAsia="宋体" w:cs="Times New Roman"/>
          <w:bCs/>
          <w:color w:val="auto"/>
          <w:kern w:val="0"/>
          <w:sz w:val="24"/>
          <w:szCs w:val="28"/>
          <w:highlight w:val="none"/>
        </w:rPr>
        <w:t>等</w:t>
      </w:r>
      <w:bookmarkEnd w:id="1163"/>
      <w:r>
        <w:rPr>
          <w:rFonts w:ascii="Times New Roman" w:hAnsi="Times New Roman" w:eastAsia="宋体" w:cs="Times New Roman"/>
          <w:bCs/>
          <w:color w:val="auto"/>
          <w:kern w:val="0"/>
          <w:sz w:val="24"/>
          <w:szCs w:val="28"/>
          <w:highlight w:val="none"/>
        </w:rPr>
        <w:t>。</w:t>
      </w:r>
    </w:p>
    <w:p w14:paraId="4EA40B08">
      <w:pPr>
        <w:spacing w:line="500" w:lineRule="exact"/>
        <w:ind w:firstLine="480" w:firstLineChars="200"/>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主要河流情况：</w:t>
      </w:r>
    </w:p>
    <w:p w14:paraId="4BA4B710">
      <w:pPr>
        <w:spacing w:line="500" w:lineRule="exact"/>
        <w:ind w:firstLine="480" w:firstLineChars="200"/>
        <w:rPr>
          <w:rFonts w:ascii="Times New Roman" w:hAnsi="Times New Roman" w:eastAsia="宋体" w:cs="Times New Roman"/>
          <w:bCs/>
          <w:color w:val="auto"/>
          <w:kern w:val="0"/>
          <w:sz w:val="24"/>
          <w:szCs w:val="28"/>
          <w:highlight w:val="none"/>
        </w:rPr>
      </w:pPr>
      <w:bookmarkStart w:id="1164" w:name="sys44650171"/>
      <w:r>
        <w:rPr>
          <w:rFonts w:ascii="Times New Roman" w:hAnsi="Times New Roman" w:eastAsia="宋体" w:cs="Times New Roman"/>
          <w:bCs/>
          <w:color w:val="auto"/>
          <w:kern w:val="0"/>
          <w:sz w:val="24"/>
          <w:szCs w:val="28"/>
          <w:highlight w:val="none"/>
        </w:rPr>
        <w:t>秦淮河，古名龙藏浦，是一条历史悠久的天然河流，分内秦淮和外秦淮两部分，全长110km，流经溧水、句容、江宁和南京市，流域面积达2631km</w:t>
      </w:r>
      <w:r>
        <w:rPr>
          <w:rFonts w:ascii="Times New Roman" w:hAnsi="Times New Roman" w:eastAsia="宋体" w:cs="Times New Roman"/>
          <w:bCs/>
          <w:color w:val="auto"/>
          <w:kern w:val="0"/>
          <w:sz w:val="24"/>
          <w:szCs w:val="28"/>
          <w:highlight w:val="none"/>
          <w:vertAlign w:val="superscript"/>
        </w:rPr>
        <w:t>2</w:t>
      </w:r>
      <w:r>
        <w:rPr>
          <w:rFonts w:ascii="Times New Roman" w:hAnsi="Times New Roman" w:eastAsia="宋体" w:cs="Times New Roman"/>
          <w:bCs/>
          <w:color w:val="auto"/>
          <w:kern w:val="0"/>
          <w:sz w:val="24"/>
          <w:szCs w:val="28"/>
          <w:highlight w:val="none"/>
        </w:rPr>
        <w:t>。</w:t>
      </w:r>
      <w:r>
        <w:rPr>
          <w:rFonts w:hint="eastAsia" w:ascii="Times New Roman" w:hAnsi="Times New Roman" w:eastAsia="宋体" w:cs="Times New Roman"/>
          <w:bCs/>
          <w:color w:val="auto"/>
          <w:kern w:val="0"/>
          <w:sz w:val="24"/>
          <w:szCs w:val="28"/>
          <w:highlight w:val="none"/>
          <w:lang w:eastAsia="zh-CN"/>
        </w:rPr>
        <w:t>70年代</w:t>
      </w:r>
      <w:r>
        <w:rPr>
          <w:rFonts w:ascii="Times New Roman" w:hAnsi="Times New Roman" w:eastAsia="宋体" w:cs="Times New Roman"/>
          <w:bCs/>
          <w:color w:val="auto"/>
          <w:kern w:val="0"/>
          <w:sz w:val="24"/>
          <w:szCs w:val="28"/>
          <w:highlight w:val="none"/>
        </w:rPr>
        <w:t>为了排洪的需要，在其主流上人工挖掘一条支流秦淮新河。秦淮河有两流：一源于溧水东芦山麓的溧水河，一源于句容宝华山侧的句容河。两股水流汇合于江宁境内方山脚下的西北村，然后折向西北，一直流入南京市。</w:t>
      </w:r>
      <w:bookmarkEnd w:id="1164"/>
      <w:r>
        <w:rPr>
          <w:rFonts w:ascii="Times New Roman" w:hAnsi="Times New Roman" w:eastAsia="宋体" w:cs="Times New Roman"/>
          <w:bCs/>
          <w:color w:val="auto"/>
          <w:kern w:val="0"/>
          <w:sz w:val="24"/>
          <w:szCs w:val="28"/>
          <w:highlight w:val="none"/>
        </w:rPr>
        <w:t>秦淮河江宁段长约80.5公里。</w:t>
      </w:r>
      <w:bookmarkStart w:id="1165" w:name="sys446518633"/>
      <w:r>
        <w:rPr>
          <w:rFonts w:ascii="Times New Roman" w:hAnsi="Times New Roman" w:eastAsia="宋体" w:cs="Times New Roman"/>
          <w:bCs/>
          <w:color w:val="auto"/>
          <w:kern w:val="0"/>
          <w:sz w:val="24"/>
          <w:szCs w:val="28"/>
          <w:highlight w:val="none"/>
        </w:rPr>
        <w:t>秦淮河的主要使用功能为饮用水、工业用水、航运、农田灌溉和景观用水。</w:t>
      </w:r>
      <w:bookmarkEnd w:id="1165"/>
    </w:p>
    <w:p w14:paraId="34FFC1C9">
      <w:pPr>
        <w:spacing w:line="500" w:lineRule="exact"/>
        <w:ind w:firstLine="480" w:firstLineChars="200"/>
        <w:rPr>
          <w:rFonts w:ascii="Times New Roman" w:hAnsi="Times New Roman" w:eastAsia="宋体" w:cs="Times New Roman"/>
          <w:bCs/>
          <w:color w:val="auto"/>
          <w:kern w:val="0"/>
          <w:sz w:val="24"/>
          <w:szCs w:val="28"/>
          <w:highlight w:val="none"/>
        </w:rPr>
      </w:pPr>
      <w:bookmarkStart w:id="1166" w:name="sys44660117"/>
      <w:r>
        <w:rPr>
          <w:rFonts w:ascii="Times New Roman" w:hAnsi="Times New Roman" w:eastAsia="宋体" w:cs="Times New Roman"/>
          <w:bCs/>
          <w:color w:val="auto"/>
          <w:kern w:val="0"/>
          <w:sz w:val="24"/>
          <w:szCs w:val="28"/>
          <w:highlight w:val="none"/>
        </w:rPr>
        <w:t>秦淮新河是1975年开挖的一条河流，东起河定桥，西至双闸入长江，全</w:t>
      </w:r>
      <w:r>
        <w:rPr>
          <w:rFonts w:hint="eastAsia" w:ascii="Times New Roman" w:hAnsi="Times New Roman" w:eastAsia="宋体" w:cs="Times New Roman"/>
          <w:bCs/>
          <w:color w:val="auto"/>
          <w:kern w:val="0"/>
          <w:sz w:val="24"/>
          <w:szCs w:val="28"/>
          <w:highlight w:val="none"/>
          <w:lang w:eastAsia="zh-CN"/>
        </w:rPr>
        <w:t>长</w:t>
      </w:r>
      <w:r>
        <w:rPr>
          <w:rFonts w:ascii="Times New Roman" w:hAnsi="Times New Roman" w:eastAsia="宋体" w:cs="Times New Roman"/>
          <w:bCs/>
          <w:color w:val="auto"/>
          <w:kern w:val="0"/>
          <w:sz w:val="24"/>
          <w:szCs w:val="28"/>
          <w:highlight w:val="none"/>
        </w:rPr>
        <w:t>18公里，是一条人工挖掘的闸控河流，关闸100天以上</w:t>
      </w:r>
      <w:sdt>
        <w:sdtPr>
          <w:rPr>
            <w:color w:val="auto"/>
            <w:highlight w:val="none"/>
          </w:rPr>
          <w:alias w:val="易错词检查"/>
          <w:tag w:val="auto"/>
          <w:id w:val="2180406"/>
        </w:sdtPr>
        <w:sdtEndPr>
          <w:rPr>
            <w:color w:val="auto"/>
            <w:highlight w:val="none"/>
          </w:rPr>
        </w:sdtEndPr>
        <w:sdtContent>
          <w:bookmarkStart w:id="1167" w:name="bkReivew2180406"/>
          <w:r>
            <w:rPr>
              <w:rFonts w:ascii="Times New Roman" w:hAnsi="Times New Roman" w:eastAsia="宋体" w:cs="Times New Roman"/>
              <w:bCs/>
              <w:color w:val="auto"/>
              <w:kern w:val="0"/>
              <w:sz w:val="24"/>
              <w:szCs w:val="28"/>
              <w:highlight w:val="none"/>
            </w:rPr>
            <w:t>记录</w:t>
          </w:r>
          <w:bookmarkEnd w:id="1167"/>
        </w:sdtContent>
      </w:sdt>
      <w:r>
        <w:rPr>
          <w:rFonts w:ascii="Times New Roman" w:hAnsi="Times New Roman" w:eastAsia="宋体" w:cs="Times New Roman"/>
          <w:bCs/>
          <w:color w:val="auto"/>
          <w:kern w:val="0"/>
          <w:sz w:val="24"/>
          <w:szCs w:val="28"/>
          <w:highlight w:val="none"/>
        </w:rPr>
        <w:t>为两年一遇，最枯水位5.12m，平均水位7.65m，年最大流量500m</w:t>
      </w:r>
      <w:r>
        <w:rPr>
          <w:rFonts w:ascii="Times New Roman" w:hAnsi="Times New Roman" w:eastAsia="宋体" w:cs="Times New Roman"/>
          <w:bCs/>
          <w:color w:val="auto"/>
          <w:kern w:val="0"/>
          <w:sz w:val="24"/>
          <w:szCs w:val="28"/>
          <w:highlight w:val="none"/>
          <w:vertAlign w:val="superscript"/>
        </w:rPr>
        <w:t>3</w:t>
      </w:r>
      <w:r>
        <w:rPr>
          <w:rFonts w:ascii="Times New Roman" w:hAnsi="Times New Roman" w:eastAsia="宋体" w:cs="Times New Roman"/>
          <w:bCs/>
          <w:color w:val="auto"/>
          <w:kern w:val="0"/>
          <w:sz w:val="24"/>
          <w:szCs w:val="28"/>
          <w:highlight w:val="none"/>
        </w:rPr>
        <w:t>/s，平均流量为309930m</w:t>
      </w:r>
      <w:r>
        <w:rPr>
          <w:rFonts w:ascii="Times New Roman" w:hAnsi="Times New Roman" w:eastAsia="宋体" w:cs="Times New Roman"/>
          <w:bCs/>
          <w:color w:val="auto"/>
          <w:kern w:val="0"/>
          <w:sz w:val="24"/>
          <w:szCs w:val="28"/>
          <w:highlight w:val="none"/>
          <w:vertAlign w:val="superscript"/>
        </w:rPr>
        <w:t>3</w:t>
      </w:r>
      <w:r>
        <w:rPr>
          <w:rFonts w:ascii="Times New Roman" w:hAnsi="Times New Roman" w:eastAsia="宋体" w:cs="Times New Roman"/>
          <w:bCs/>
          <w:color w:val="auto"/>
          <w:kern w:val="0"/>
          <w:sz w:val="24"/>
          <w:szCs w:val="28"/>
          <w:highlight w:val="none"/>
        </w:rPr>
        <w:t>/d。</w:t>
      </w:r>
      <w:bookmarkEnd w:id="1166"/>
    </w:p>
    <w:p w14:paraId="240CE75E">
      <w:pPr>
        <w:spacing w:line="500" w:lineRule="exact"/>
        <w:ind w:firstLine="480" w:firstLineChars="200"/>
        <w:rPr>
          <w:rFonts w:ascii="Times New Roman" w:hAnsi="Times New Roman" w:eastAsia="宋体" w:cs="Times New Roman"/>
          <w:bCs/>
          <w:color w:val="auto"/>
          <w:kern w:val="0"/>
          <w:sz w:val="24"/>
          <w:szCs w:val="28"/>
          <w:highlight w:val="none"/>
        </w:rPr>
      </w:pPr>
      <w:bookmarkStart w:id="1168" w:name="sys4467064"/>
      <w:r>
        <w:rPr>
          <w:rFonts w:ascii="Times New Roman" w:hAnsi="Times New Roman" w:eastAsia="宋体" w:cs="Times New Roman"/>
          <w:bCs/>
          <w:color w:val="auto"/>
          <w:kern w:val="0"/>
          <w:sz w:val="24"/>
          <w:szCs w:val="28"/>
          <w:highlight w:val="none"/>
        </w:rPr>
        <w:t>牛首山河位于东山桥上游两公里，是外秦淮河的支流，牛首山河全长7.16公里，宽20～70m，高程4～5.5m，汇水面积46km</w:t>
      </w:r>
      <w:r>
        <w:rPr>
          <w:rFonts w:ascii="Times New Roman" w:hAnsi="Times New Roman" w:eastAsia="宋体" w:cs="Times New Roman"/>
          <w:bCs/>
          <w:color w:val="auto"/>
          <w:kern w:val="0"/>
          <w:sz w:val="24"/>
          <w:szCs w:val="28"/>
          <w:highlight w:val="none"/>
          <w:vertAlign w:val="superscript"/>
        </w:rPr>
        <w:t>2</w:t>
      </w:r>
      <w:r>
        <w:rPr>
          <w:rFonts w:ascii="Times New Roman" w:hAnsi="Times New Roman" w:eastAsia="宋体" w:cs="Times New Roman"/>
          <w:bCs/>
          <w:color w:val="auto"/>
          <w:kern w:val="0"/>
          <w:sz w:val="24"/>
          <w:szCs w:val="28"/>
          <w:highlight w:val="none"/>
        </w:rPr>
        <w:t>。</w:t>
      </w:r>
      <w:bookmarkEnd w:id="1168"/>
    </w:p>
    <w:p w14:paraId="6545FDA5">
      <w:pPr>
        <w:spacing w:line="500" w:lineRule="exact"/>
        <w:ind w:firstLine="480" w:firstLineChars="200"/>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云台山河位于江宁区境内。</w:t>
      </w:r>
      <w:bookmarkStart w:id="1169" w:name="sys44681256"/>
      <w:r>
        <w:rPr>
          <w:rFonts w:ascii="Times New Roman" w:hAnsi="Times New Roman" w:eastAsia="宋体" w:cs="Times New Roman"/>
          <w:bCs/>
          <w:color w:val="auto"/>
          <w:kern w:val="0"/>
          <w:sz w:val="24"/>
          <w:szCs w:val="28"/>
          <w:highlight w:val="none"/>
        </w:rPr>
        <w:t>自石坝至河口，长14.9km，流域面积134.846km</w:t>
      </w:r>
      <w:r>
        <w:rPr>
          <w:rFonts w:ascii="Times New Roman" w:hAnsi="Times New Roman" w:eastAsia="宋体" w:cs="Times New Roman"/>
          <w:bCs/>
          <w:color w:val="auto"/>
          <w:kern w:val="0"/>
          <w:sz w:val="24"/>
          <w:szCs w:val="28"/>
          <w:highlight w:val="none"/>
          <w:vertAlign w:val="superscript"/>
        </w:rPr>
        <w:t>2</w:t>
      </w:r>
      <w:r>
        <w:rPr>
          <w:rFonts w:hint="eastAsia" w:ascii="Times New Roman" w:hAnsi="Times New Roman" w:eastAsia="宋体" w:cs="Times New Roman"/>
          <w:bCs/>
          <w:color w:val="auto"/>
          <w:kern w:val="0"/>
          <w:sz w:val="24"/>
          <w:szCs w:val="28"/>
          <w:highlight w:val="none"/>
          <w:lang w:eastAsia="zh-CN"/>
        </w:rPr>
        <w:t>，</w:t>
      </w:r>
      <w:r>
        <w:rPr>
          <w:rFonts w:ascii="Times New Roman" w:hAnsi="Times New Roman" w:eastAsia="宋体" w:cs="Times New Roman"/>
          <w:bCs/>
          <w:color w:val="auto"/>
          <w:kern w:val="0"/>
          <w:sz w:val="24"/>
          <w:szCs w:val="28"/>
          <w:highlight w:val="none"/>
        </w:rPr>
        <w:t>为长江下游干流，功能主要是农业用水，水质目标为Ⅳ类。</w:t>
      </w:r>
      <w:bookmarkEnd w:id="1169"/>
    </w:p>
    <w:p w14:paraId="6A40C558">
      <w:pPr>
        <w:spacing w:line="500" w:lineRule="exact"/>
        <w:ind w:firstLine="480" w:firstLineChars="200"/>
        <w:rPr>
          <w:rFonts w:ascii="Times New Roman" w:hAnsi="Times New Roman" w:eastAsia="宋体" w:cs="Times New Roman"/>
          <w:bCs/>
          <w:color w:val="auto"/>
          <w:kern w:val="0"/>
          <w:sz w:val="24"/>
          <w:szCs w:val="28"/>
          <w:highlight w:val="none"/>
        </w:rPr>
      </w:pPr>
      <w:bookmarkStart w:id="1170" w:name="sys4469038"/>
      <w:r>
        <w:rPr>
          <w:rFonts w:ascii="Times New Roman" w:hAnsi="Times New Roman" w:eastAsia="宋体" w:cs="Times New Roman"/>
          <w:bCs/>
          <w:color w:val="auto"/>
          <w:kern w:val="0"/>
          <w:sz w:val="24"/>
          <w:szCs w:val="28"/>
          <w:highlight w:val="none"/>
        </w:rPr>
        <w:t>句容河：汇水面积1303km</w:t>
      </w:r>
      <w:r>
        <w:rPr>
          <w:rFonts w:ascii="Times New Roman" w:hAnsi="Times New Roman" w:eastAsia="宋体" w:cs="Times New Roman"/>
          <w:bCs/>
          <w:color w:val="auto"/>
          <w:kern w:val="0"/>
          <w:sz w:val="24"/>
          <w:szCs w:val="28"/>
          <w:highlight w:val="none"/>
          <w:vertAlign w:val="superscript"/>
        </w:rPr>
        <w:t>2</w:t>
      </w:r>
      <w:r>
        <w:rPr>
          <w:rFonts w:ascii="Times New Roman" w:hAnsi="Times New Roman" w:eastAsia="宋体" w:cs="Times New Roman"/>
          <w:bCs/>
          <w:color w:val="auto"/>
          <w:kern w:val="0"/>
          <w:sz w:val="24"/>
          <w:szCs w:val="28"/>
          <w:highlight w:val="none"/>
        </w:rPr>
        <w:t>，起点为西北村，终点为周岱，总长32.2km。</w:t>
      </w:r>
      <w:bookmarkEnd w:id="1170"/>
    </w:p>
    <w:p w14:paraId="06C66695">
      <w:pPr>
        <w:spacing w:line="500" w:lineRule="exact"/>
        <w:ind w:firstLine="480" w:firstLineChars="200"/>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主要湖泊与水库情况：</w:t>
      </w:r>
    </w:p>
    <w:p w14:paraId="0FD63ECE">
      <w:pPr>
        <w:keepNext w:val="0"/>
        <w:keepLines w:val="0"/>
        <w:pageBreakBefore w:val="0"/>
        <w:widowControl/>
        <w:kinsoku/>
        <w:wordWrap/>
        <w:overflowPunct/>
        <w:topLinePunct w:val="0"/>
        <w:autoSpaceDE w:val="0"/>
        <w:autoSpaceDN w:val="0"/>
        <w:bidi w:val="0"/>
        <w:adjustRightInd w:val="0"/>
        <w:snapToGrid w:val="0"/>
        <w:spacing w:line="500" w:lineRule="exact"/>
        <w:ind w:firstLine="480" w:firstLineChars="200"/>
        <w:textAlignment w:val="baseline"/>
        <w:rPr>
          <w:rFonts w:ascii="Times New Roman" w:hAnsi="Times New Roman" w:eastAsia="宋体" w:cs="Times New Roman"/>
          <w:bCs/>
          <w:color w:val="auto"/>
          <w:kern w:val="0"/>
          <w:sz w:val="24"/>
          <w:szCs w:val="28"/>
          <w:highlight w:val="none"/>
        </w:rPr>
      </w:pPr>
      <w:bookmarkStart w:id="1171" w:name="sys4471035"/>
      <w:r>
        <w:rPr>
          <w:rFonts w:ascii="Times New Roman" w:hAnsi="Times New Roman" w:eastAsia="宋体" w:cs="Times New Roman"/>
          <w:bCs/>
          <w:color w:val="auto"/>
          <w:kern w:val="0"/>
          <w:sz w:val="24"/>
          <w:szCs w:val="28"/>
          <w:highlight w:val="none"/>
        </w:rPr>
        <w:t>百家湖：是南京市江宁区第一大湖，也是南京市区内仅次于玄武湖的第二大湖。</w:t>
      </w:r>
      <w:bookmarkEnd w:id="1171"/>
      <w:bookmarkStart w:id="1172" w:name="sys44713574"/>
      <w:r>
        <w:rPr>
          <w:rFonts w:ascii="Times New Roman" w:hAnsi="Times New Roman" w:eastAsia="宋体" w:cs="Times New Roman"/>
          <w:bCs/>
          <w:color w:val="auto"/>
          <w:kern w:val="0"/>
          <w:sz w:val="24"/>
          <w:szCs w:val="28"/>
          <w:highlight w:val="none"/>
        </w:rPr>
        <w:t>百家湖位于南京市江宁开发区核心区域：双龙大道以西、天元中路以北、利源路以东，水面面积约为2500亩，相传为明洪武年间所挖，至今已有600多年的历史。</w:t>
      </w:r>
      <w:bookmarkEnd w:id="1172"/>
      <w:r>
        <w:rPr>
          <w:rFonts w:ascii="Times New Roman" w:hAnsi="Times New Roman" w:eastAsia="宋体" w:cs="Times New Roman"/>
          <w:bCs/>
          <w:color w:val="auto"/>
          <w:kern w:val="0"/>
          <w:sz w:val="24"/>
          <w:szCs w:val="28"/>
          <w:highlight w:val="none"/>
        </w:rPr>
        <w:t>因当时有百多人家，故名：百家湖。百家湖上有四座桥，其中白龙桥横跨湖心，长度约1000米。</w:t>
      </w:r>
    </w:p>
    <w:p w14:paraId="2A708F32">
      <w:pPr>
        <w:spacing w:line="500" w:lineRule="exact"/>
        <w:ind w:firstLine="480" w:firstLineChars="200"/>
        <w:rPr>
          <w:rFonts w:ascii="Times New Roman" w:hAnsi="Times New Roman" w:eastAsia="宋体" w:cs="Times New Roman"/>
          <w:color w:val="auto"/>
          <w:sz w:val="24"/>
          <w:szCs w:val="24"/>
          <w:highlight w:val="none"/>
        </w:rPr>
      </w:pPr>
      <w:bookmarkStart w:id="1173" w:name="sys4472055"/>
      <w:r>
        <w:rPr>
          <w:rFonts w:ascii="Times New Roman" w:hAnsi="Times New Roman" w:eastAsia="宋体" w:cs="Times New Roman"/>
          <w:bCs/>
          <w:color w:val="auto"/>
          <w:kern w:val="0"/>
          <w:sz w:val="24"/>
          <w:szCs w:val="28"/>
          <w:highlight w:val="none"/>
        </w:rPr>
        <w:t>九龙湖：它位于南京江宁开发区南部，机场高速路以东，宁溧路以西，南京市二环路以北，地势开阔、交通便利、环境优美。</w:t>
      </w:r>
      <w:bookmarkEnd w:id="1173"/>
    </w:p>
    <w:p w14:paraId="6D16BF28">
      <w:pPr>
        <w:spacing w:before="182" w:line="220" w:lineRule="auto"/>
        <w:ind w:left="27"/>
        <w:outlineLvl w:val="2"/>
        <w:rPr>
          <w:rFonts w:ascii="Times New Roman" w:hAnsi="Times New Roman" w:eastAsia="Times New Roman" w:cs="Times New Roman"/>
          <w:b/>
          <w:bCs/>
          <w:color w:val="auto"/>
          <w:spacing w:val="-2"/>
          <w:sz w:val="24"/>
          <w:szCs w:val="24"/>
          <w:highlight w:val="none"/>
        </w:rPr>
      </w:pPr>
      <w:bookmarkStart w:id="1174" w:name="_Toc16334"/>
      <w:r>
        <w:rPr>
          <w:rFonts w:ascii="Times New Roman" w:hAnsi="Times New Roman" w:eastAsia="Times New Roman" w:cs="Times New Roman"/>
          <w:b/>
          <w:bCs/>
          <w:color w:val="auto"/>
          <w:spacing w:val="-2"/>
          <w:sz w:val="24"/>
          <w:szCs w:val="24"/>
          <w:highlight w:val="none"/>
        </w:rPr>
        <w:t>6.1.4气候气象</w:t>
      </w:r>
      <w:bookmarkEnd w:id="1174"/>
      <w:bookmarkStart w:id="1175" w:name="pindex4473"/>
      <w:bookmarkEnd w:id="1175"/>
    </w:p>
    <w:p w14:paraId="02F30DA1">
      <w:pPr>
        <w:keepNext w:val="0"/>
        <w:keepLines w:val="0"/>
        <w:pageBreakBefore w:val="0"/>
        <w:widowControl/>
        <w:kinsoku/>
        <w:wordWrap/>
        <w:overflowPunct/>
        <w:topLinePunct w:val="0"/>
        <w:autoSpaceDE w:val="0"/>
        <w:autoSpaceDN w:val="0"/>
        <w:bidi w:val="0"/>
        <w:adjustRightInd w:val="0"/>
        <w:snapToGrid w:val="0"/>
        <w:spacing w:line="500" w:lineRule="exact"/>
        <w:ind w:firstLine="480" w:firstLineChars="200"/>
        <w:textAlignment w:val="baseline"/>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江宁区地处北亚热带湿润性季风气候区。气候温和，冬夏较长，春秋较短，日照充足，四季分明，雨水充沛，冬无严寒，夏无酷暑，气候十分宜人。常年主导风向为东北偏东风。该区全年平均日照时数为2148.3h，日照百分率为49%，一年中7-8月日照时数最多，分别为226.4h和241.3h，2月最少为137.5h，从季节看，夏季最多，冬季最少，春、秋两季相近。平均全年太阳辐射量为112.1千卡/平方厘米，一年中7、8两月辐射量最大，12月最小。年平均气温为15.5℃，有85％的年份在15℃以上，年际最大差值为1.6℃。平均无霜期224天。</w:t>
      </w:r>
    </w:p>
    <w:p w14:paraId="1B9707A7">
      <w:pPr>
        <w:keepNext w:val="0"/>
        <w:keepLines w:val="0"/>
        <w:pageBreakBefore w:val="0"/>
        <w:widowControl/>
        <w:kinsoku/>
        <w:wordWrap/>
        <w:overflowPunct/>
        <w:topLinePunct w:val="0"/>
        <w:autoSpaceDE w:val="0"/>
        <w:autoSpaceDN w:val="0"/>
        <w:bidi w:val="0"/>
        <w:adjustRightInd w:val="0"/>
        <w:snapToGrid w:val="0"/>
        <w:spacing w:line="500" w:lineRule="exact"/>
        <w:ind w:firstLine="480" w:firstLineChars="200"/>
        <w:textAlignment w:val="baseline"/>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江宁开发区年平均温度15.5C°；年平均风速3.5米/秒；年平均相对湿度76%；年日照时间4117小时；</w:t>
      </w:r>
      <w:r>
        <w:rPr>
          <w:rFonts w:hint="eastAsia" w:ascii="Times New Roman" w:hAnsi="Times New Roman" w:eastAsia="宋体" w:cs="Times New Roman"/>
          <w:bCs/>
          <w:color w:val="auto"/>
          <w:kern w:val="0"/>
          <w:sz w:val="24"/>
          <w:szCs w:val="28"/>
          <w:highlight w:val="none"/>
          <w:lang w:eastAsia="zh-CN"/>
        </w:rPr>
        <w:t>平均年降水量</w:t>
      </w:r>
      <w:r>
        <w:rPr>
          <w:rFonts w:ascii="Times New Roman" w:hAnsi="Times New Roman" w:eastAsia="宋体" w:cs="Times New Roman"/>
          <w:bCs/>
          <w:color w:val="auto"/>
          <w:kern w:val="0"/>
          <w:sz w:val="24"/>
          <w:szCs w:val="28"/>
          <w:highlight w:val="none"/>
        </w:rPr>
        <w:t>1025毫米；无霜期214日。</w:t>
      </w:r>
    </w:p>
    <w:p w14:paraId="307CFAB9">
      <w:pPr>
        <w:spacing w:before="182" w:line="220" w:lineRule="auto"/>
        <w:ind w:left="27"/>
        <w:outlineLvl w:val="2"/>
        <w:rPr>
          <w:rFonts w:ascii="Times New Roman" w:hAnsi="Times New Roman" w:eastAsia="Times New Roman" w:cs="Times New Roman"/>
          <w:b/>
          <w:bCs/>
          <w:color w:val="auto"/>
          <w:spacing w:val="-2"/>
          <w:sz w:val="24"/>
          <w:szCs w:val="24"/>
          <w:highlight w:val="none"/>
        </w:rPr>
      </w:pPr>
      <w:bookmarkStart w:id="1176" w:name="_Toc8858"/>
      <w:r>
        <w:rPr>
          <w:rFonts w:ascii="Times New Roman" w:hAnsi="Times New Roman" w:eastAsia="Times New Roman" w:cs="Times New Roman"/>
          <w:b/>
          <w:bCs/>
          <w:color w:val="auto"/>
          <w:spacing w:val="-2"/>
          <w:sz w:val="24"/>
          <w:szCs w:val="24"/>
          <w:highlight w:val="none"/>
        </w:rPr>
        <w:t>6.1.5</w:t>
      </w:r>
      <w:r>
        <w:rPr>
          <w:rFonts w:hint="eastAsia" w:ascii="Times New Roman" w:hAnsi="Times New Roman" w:eastAsia="Times New Roman" w:cs="Times New Roman"/>
          <w:b/>
          <w:bCs/>
          <w:color w:val="auto"/>
          <w:spacing w:val="-2"/>
          <w:sz w:val="24"/>
          <w:szCs w:val="24"/>
          <w:highlight w:val="none"/>
          <w:lang w:val="en-US" w:eastAsia="zh-CN"/>
        </w:rPr>
        <w:t>生态环境</w:t>
      </w:r>
      <w:bookmarkEnd w:id="1176"/>
      <w:bookmarkStart w:id="1177" w:name="pindex4476"/>
      <w:bookmarkEnd w:id="1177"/>
    </w:p>
    <w:p w14:paraId="22DD6699">
      <w:pPr>
        <w:keepNext w:val="0"/>
        <w:keepLines w:val="0"/>
        <w:pageBreakBefore w:val="0"/>
        <w:widowControl/>
        <w:kinsoku/>
        <w:wordWrap/>
        <w:overflowPunct/>
        <w:topLinePunct w:val="0"/>
        <w:autoSpaceDE w:val="0"/>
        <w:autoSpaceDN w:val="0"/>
        <w:bidi w:val="0"/>
        <w:adjustRightInd w:val="0"/>
        <w:snapToGrid w:val="0"/>
        <w:spacing w:line="500" w:lineRule="exact"/>
        <w:ind w:firstLine="480" w:firstLineChars="200"/>
        <w:textAlignment w:val="baseline"/>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江宁地区气候温暖湿润，土壤肥沃，植物生长迅速，种类繁多，但人类开发较早，因此，该区域的自然陆生生态已基本为人工农业生态所取代，由于土地利用率较高，自然植被已基本消失，绿化种植的树木主要有槐、杉、松、桑，柳、杨等树种，竹类有燕竹、蔑竹、象竹和毛竹等品种，观赏类有龙柏、雪松、五针松、玉兰、海棠、凤尾竹、</w:t>
      </w:r>
      <w:r>
        <w:rPr>
          <w:rFonts w:hint="eastAsia" w:ascii="Times New Roman" w:hAnsi="Times New Roman" w:eastAsia="宋体" w:cs="Times New Roman"/>
          <w:bCs/>
          <w:color w:val="auto"/>
          <w:kern w:val="0"/>
          <w:sz w:val="24"/>
          <w:szCs w:val="28"/>
          <w:highlight w:val="none"/>
          <w:lang w:eastAsia="zh-CN"/>
        </w:rPr>
        <w:t>棕榈</w:t>
      </w:r>
      <w:r>
        <w:rPr>
          <w:rFonts w:ascii="Times New Roman" w:hAnsi="Times New Roman" w:eastAsia="宋体" w:cs="Times New Roman"/>
          <w:bCs/>
          <w:color w:val="auto"/>
          <w:kern w:val="0"/>
          <w:sz w:val="24"/>
          <w:szCs w:val="28"/>
          <w:highlight w:val="none"/>
        </w:rPr>
        <w:t>、夹竹桃和各种花卉。据统计，全区有高等植物143科，1400余种，属国家重点保护的珍、稀、危植物有3种。江宁区的动植群为亚热带林灌、草地、农田动物群，受人类活动影响，野生动物已日趋减少。据不完全统计，全区脊椎动物有290余种。</w:t>
      </w:r>
    </w:p>
    <w:p w14:paraId="3D883997">
      <w:pPr>
        <w:keepNext w:val="0"/>
        <w:keepLines w:val="0"/>
        <w:pageBreakBefore w:val="0"/>
        <w:widowControl/>
        <w:kinsoku/>
        <w:wordWrap/>
        <w:overflowPunct/>
        <w:topLinePunct w:val="0"/>
        <w:autoSpaceDE w:val="0"/>
        <w:autoSpaceDN w:val="0"/>
        <w:bidi w:val="0"/>
        <w:adjustRightInd w:val="0"/>
        <w:snapToGrid w:val="0"/>
        <w:spacing w:line="500" w:lineRule="exact"/>
        <w:ind w:firstLine="480" w:firstLineChars="200"/>
        <w:textAlignment w:val="baseline"/>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该地区主要的水生植物有浮游植物（蓝藻、硅藻和绿藻等）、挺水植物（芦苇、茭草、蒲草等），浮叶植物（荇菜、金银莲花和野菱）和漂浮植物（浮萍、槐叶萍、水花生等），主要分布在池塘、河沟及河道两侧。主要的浮游动物有原生动物、轮虫、枝角类和</w:t>
      </w:r>
      <w:r>
        <w:rPr>
          <w:rFonts w:hint="eastAsia" w:ascii="Times New Roman" w:hAnsi="Times New Roman" w:eastAsia="宋体" w:cs="Times New Roman"/>
          <w:bCs/>
          <w:color w:val="auto"/>
          <w:kern w:val="0"/>
          <w:sz w:val="24"/>
          <w:szCs w:val="28"/>
          <w:highlight w:val="none"/>
          <w:lang w:eastAsia="zh-CN"/>
        </w:rPr>
        <w:t>桡足类</w:t>
      </w:r>
      <w:r>
        <w:rPr>
          <w:rFonts w:ascii="Times New Roman" w:hAnsi="Times New Roman" w:eastAsia="宋体" w:cs="Times New Roman"/>
          <w:bCs/>
          <w:color w:val="auto"/>
          <w:kern w:val="0"/>
          <w:sz w:val="24"/>
          <w:szCs w:val="28"/>
          <w:highlight w:val="none"/>
        </w:rPr>
        <w:t>四大类约二十多种。该地区主要的底栖动物有环节动物（水栖寡毛类和蛭类），节肢动物（蟹、虾等），软体动物（田螺、河蚬和棱螺等）。野生和家养的鱼类有草鱼、青鱼、</w:t>
      </w:r>
      <w:r>
        <w:rPr>
          <w:rFonts w:hint="eastAsia" w:ascii="Times New Roman" w:hAnsi="Times New Roman" w:eastAsia="宋体" w:cs="Times New Roman"/>
          <w:bCs/>
          <w:color w:val="auto"/>
          <w:kern w:val="0"/>
          <w:sz w:val="24"/>
          <w:szCs w:val="28"/>
          <w:highlight w:val="none"/>
          <w:lang w:eastAsia="zh-CN"/>
        </w:rPr>
        <w:t>鲢鱼</w:t>
      </w:r>
      <w:r>
        <w:rPr>
          <w:rFonts w:ascii="Times New Roman" w:hAnsi="Times New Roman" w:eastAsia="宋体" w:cs="Times New Roman"/>
          <w:bCs/>
          <w:color w:val="auto"/>
          <w:kern w:val="0"/>
          <w:sz w:val="24"/>
          <w:szCs w:val="28"/>
          <w:highlight w:val="none"/>
        </w:rPr>
        <w:t>、鲤鱼、鲫鱼、鳊鱼、黑鱼、鳗鱼、白鱼、鳝鱼等几十种。甲壳类有虾、蟹等，贝类有田螺、蚌等，爬行类有龟、甲鱼等。</w:t>
      </w:r>
    </w:p>
    <w:p w14:paraId="750C29AB">
      <w:pPr>
        <w:spacing w:before="182" w:line="220" w:lineRule="auto"/>
        <w:ind w:left="27"/>
        <w:outlineLvl w:val="2"/>
        <w:rPr>
          <w:rFonts w:hint="default" w:ascii="Times New Roman" w:hAnsi="Times New Roman" w:eastAsia="Times New Roman" w:cs="Times New Roman"/>
          <w:b/>
          <w:bCs/>
          <w:color w:val="auto"/>
          <w:spacing w:val="-2"/>
          <w:sz w:val="24"/>
          <w:szCs w:val="24"/>
          <w:highlight w:val="none"/>
          <w:lang w:val="en-US"/>
        </w:rPr>
      </w:pPr>
      <w:bookmarkStart w:id="1178" w:name="_Toc21075"/>
      <w:r>
        <w:rPr>
          <w:rFonts w:ascii="Times New Roman" w:hAnsi="Times New Roman" w:eastAsia="Times New Roman" w:cs="Times New Roman"/>
          <w:b/>
          <w:bCs/>
          <w:color w:val="auto"/>
          <w:spacing w:val="-2"/>
          <w:sz w:val="24"/>
          <w:szCs w:val="24"/>
          <w:highlight w:val="none"/>
        </w:rPr>
        <w:t>6.1.</w:t>
      </w:r>
      <w:r>
        <w:rPr>
          <w:rFonts w:hint="eastAsia" w:ascii="Times New Roman" w:hAnsi="Times New Roman" w:eastAsia="Times New Roman" w:cs="Times New Roman"/>
          <w:b/>
          <w:bCs/>
          <w:color w:val="auto"/>
          <w:spacing w:val="-2"/>
          <w:sz w:val="24"/>
          <w:szCs w:val="24"/>
          <w:highlight w:val="none"/>
          <w:lang w:val="en-US" w:eastAsia="zh-CN"/>
        </w:rPr>
        <w:t>6区域产业发展情况</w:t>
      </w:r>
      <w:bookmarkEnd w:id="1178"/>
      <w:bookmarkStart w:id="1179" w:name="pindex4479"/>
      <w:bookmarkEnd w:id="1179"/>
    </w:p>
    <w:p w14:paraId="0D62D13D">
      <w:pPr>
        <w:keepNext w:val="0"/>
        <w:keepLines w:val="0"/>
        <w:pageBreakBefore w:val="0"/>
        <w:widowControl/>
        <w:kinsoku/>
        <w:wordWrap/>
        <w:overflowPunct/>
        <w:topLinePunct w:val="0"/>
        <w:autoSpaceDE w:val="0"/>
        <w:autoSpaceDN w:val="0"/>
        <w:bidi w:val="0"/>
        <w:adjustRightInd w:val="0"/>
        <w:snapToGrid w:val="0"/>
        <w:spacing w:line="500" w:lineRule="exact"/>
        <w:ind w:firstLine="480" w:firstLineChars="200"/>
        <w:textAlignment w:val="baseline"/>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江宁开发区此次现状评价范围内目前主导产业为汽车产业、信息通讯产业、新能源产业、电力自动化与智能电网产业。</w:t>
      </w:r>
    </w:p>
    <w:p w14:paraId="0252E4C9">
      <w:pPr>
        <w:keepNext w:val="0"/>
        <w:keepLines w:val="0"/>
        <w:pageBreakBefore w:val="0"/>
        <w:widowControl/>
        <w:kinsoku/>
        <w:wordWrap/>
        <w:overflowPunct/>
        <w:topLinePunct w:val="0"/>
        <w:autoSpaceDE w:val="0"/>
        <w:autoSpaceDN w:val="0"/>
        <w:bidi w:val="0"/>
        <w:adjustRightInd w:val="0"/>
        <w:snapToGrid w:val="0"/>
        <w:spacing w:line="500" w:lineRule="exact"/>
        <w:ind w:firstLine="480" w:firstLineChars="200"/>
        <w:textAlignment w:val="baseline"/>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汽车产业：开发区目前有</w:t>
      </w:r>
      <w:r>
        <w:rPr>
          <w:rFonts w:hint="eastAsia" w:ascii="Times New Roman" w:hAnsi="Times New Roman" w:eastAsia="宋体" w:cs="Times New Roman"/>
          <w:color w:val="auto"/>
          <w:sz w:val="24"/>
          <w:szCs w:val="24"/>
          <w:highlight w:val="none"/>
          <w:lang w:val="en-US" w:eastAsia="zh-CN"/>
        </w:rPr>
        <w:t>上汽</w:t>
      </w:r>
      <w:r>
        <w:rPr>
          <w:rFonts w:ascii="Times New Roman" w:hAnsi="Times New Roman" w:eastAsia="宋体" w:cs="Times New Roman"/>
          <w:bCs/>
          <w:color w:val="auto"/>
          <w:kern w:val="0"/>
          <w:sz w:val="24"/>
          <w:szCs w:val="28"/>
          <w:highlight w:val="none"/>
        </w:rPr>
        <w:t>大众、长安马自达等整车生产企业以及长安马自达发动机、塔塔、法雷奥等一批汽车零部件生产企业，世界500强企业有15家投资汽车产业。产品涵盖汽车组装、改装、汽车发动机设计制造、汽车底盘、车身、汽车电子电气设备、汽车材料等。目前开发区汽车产业已经具备一定的规模，产业集群已经初步形成。</w:t>
      </w:r>
    </w:p>
    <w:p w14:paraId="07EF679E">
      <w:pPr>
        <w:keepNext w:val="0"/>
        <w:keepLines w:val="0"/>
        <w:pageBreakBefore w:val="0"/>
        <w:widowControl/>
        <w:kinsoku/>
        <w:wordWrap/>
        <w:overflowPunct/>
        <w:topLinePunct w:val="0"/>
        <w:autoSpaceDE w:val="0"/>
        <w:autoSpaceDN w:val="0"/>
        <w:bidi w:val="0"/>
        <w:adjustRightInd w:val="0"/>
        <w:snapToGrid w:val="0"/>
        <w:spacing w:line="500" w:lineRule="exact"/>
        <w:ind w:firstLine="480" w:firstLineChars="200"/>
        <w:textAlignment w:val="baseline"/>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信息通讯产业：开发区信息通信产业目前主要包括以下细分门类：一、无线与移动通信产品、通信基站及零部件；二、计算机及其外围设备；三、电子元器件、光电子设备及其元器件；四、嵌入式软件；五、电力电子。其中手机、小尺寸液晶面板等在全国具有一定规模。整体来看，开发区信息通信产业体系较为完善。</w:t>
      </w:r>
    </w:p>
    <w:p w14:paraId="612C9ECC">
      <w:pPr>
        <w:keepNext w:val="0"/>
        <w:keepLines w:val="0"/>
        <w:pageBreakBefore w:val="0"/>
        <w:widowControl/>
        <w:kinsoku/>
        <w:wordWrap/>
        <w:overflowPunct/>
        <w:topLinePunct w:val="0"/>
        <w:autoSpaceDE w:val="0"/>
        <w:autoSpaceDN w:val="0"/>
        <w:bidi w:val="0"/>
        <w:adjustRightInd w:val="0"/>
        <w:snapToGrid w:val="0"/>
        <w:spacing w:line="500" w:lineRule="exact"/>
        <w:ind w:firstLine="480" w:firstLineChars="200"/>
        <w:textAlignment w:val="baseline"/>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新能源产业：开发区是</w:t>
      </w:r>
      <w:r>
        <w:rPr>
          <w:rFonts w:hint="eastAsia" w:ascii="Times New Roman" w:hAnsi="Times New Roman" w:eastAsia="宋体" w:cs="Times New Roman"/>
          <w:bCs/>
          <w:color w:val="auto"/>
          <w:kern w:val="0"/>
          <w:sz w:val="24"/>
          <w:szCs w:val="28"/>
          <w:highlight w:val="none"/>
          <w:lang w:eastAsia="zh-CN"/>
        </w:rPr>
        <w:t>“</w:t>
      </w:r>
      <w:r>
        <w:rPr>
          <w:rFonts w:ascii="Times New Roman" w:hAnsi="Times New Roman" w:eastAsia="宋体" w:cs="Times New Roman"/>
          <w:bCs/>
          <w:color w:val="auto"/>
          <w:kern w:val="0"/>
          <w:sz w:val="24"/>
          <w:szCs w:val="28"/>
          <w:highlight w:val="none"/>
        </w:rPr>
        <w:t>江苏省可再生能源特色产业基地</w:t>
      </w:r>
      <w:r>
        <w:rPr>
          <w:rFonts w:hint="eastAsia" w:ascii="Times New Roman" w:hAnsi="Times New Roman" w:eastAsia="宋体" w:cs="Times New Roman"/>
          <w:bCs/>
          <w:color w:val="auto"/>
          <w:kern w:val="0"/>
          <w:sz w:val="24"/>
          <w:szCs w:val="28"/>
          <w:highlight w:val="none"/>
          <w:lang w:eastAsia="zh-CN"/>
        </w:rPr>
        <w:t>”</w:t>
      </w:r>
      <w:r>
        <w:rPr>
          <w:rFonts w:ascii="Times New Roman" w:hAnsi="Times New Roman" w:eastAsia="宋体" w:cs="Times New Roman"/>
          <w:bCs/>
          <w:color w:val="auto"/>
          <w:kern w:val="0"/>
          <w:sz w:val="24"/>
          <w:szCs w:val="28"/>
          <w:highlight w:val="none"/>
        </w:rPr>
        <w:t>和</w:t>
      </w:r>
      <w:r>
        <w:rPr>
          <w:rFonts w:hint="eastAsia" w:ascii="Times New Roman" w:hAnsi="Times New Roman" w:eastAsia="宋体" w:cs="Times New Roman"/>
          <w:bCs/>
          <w:color w:val="auto"/>
          <w:kern w:val="0"/>
          <w:sz w:val="24"/>
          <w:szCs w:val="28"/>
          <w:highlight w:val="none"/>
          <w:lang w:eastAsia="zh-CN"/>
        </w:rPr>
        <w:t>“</w:t>
      </w:r>
      <w:r>
        <w:rPr>
          <w:rFonts w:ascii="Times New Roman" w:hAnsi="Times New Roman" w:eastAsia="宋体" w:cs="Times New Roman"/>
          <w:bCs/>
          <w:color w:val="auto"/>
          <w:kern w:val="0"/>
          <w:sz w:val="24"/>
          <w:szCs w:val="28"/>
          <w:highlight w:val="none"/>
        </w:rPr>
        <w:t>国家级新能源特色产业基地</w:t>
      </w:r>
      <w:r>
        <w:rPr>
          <w:rFonts w:hint="eastAsia" w:ascii="Times New Roman" w:hAnsi="Times New Roman" w:eastAsia="宋体" w:cs="Times New Roman"/>
          <w:bCs/>
          <w:color w:val="auto"/>
          <w:kern w:val="0"/>
          <w:sz w:val="24"/>
          <w:szCs w:val="28"/>
          <w:highlight w:val="none"/>
          <w:lang w:eastAsia="zh-CN"/>
        </w:rPr>
        <w:t>”</w:t>
      </w:r>
      <w:r>
        <w:rPr>
          <w:rFonts w:ascii="Times New Roman" w:hAnsi="Times New Roman" w:eastAsia="宋体" w:cs="Times New Roman"/>
          <w:bCs/>
          <w:color w:val="auto"/>
          <w:kern w:val="0"/>
          <w:sz w:val="24"/>
          <w:szCs w:val="28"/>
          <w:highlight w:val="none"/>
        </w:rPr>
        <w:t>。新能源产业主要是光伏、风电装备两大产业。（1）风电装备。拥有风电装备生产及研发企业20余家，实现了风机总装、风电传动系统、发电机、控制系统及风电叶片材料等关键部位的集聚。（2）光伏产业。目前新能源（风电、光伏）产业集群已经初步形成。</w:t>
      </w:r>
    </w:p>
    <w:p w14:paraId="656F98FE">
      <w:pPr>
        <w:spacing w:line="500" w:lineRule="exact"/>
        <w:ind w:firstLine="480" w:firstLineChars="200"/>
        <w:rPr>
          <w:rFonts w:ascii="Times New Roman" w:hAnsi="Times New Roman" w:eastAsia="宋体" w:cs="Times New Roman"/>
          <w:bCs/>
          <w:color w:val="auto"/>
          <w:kern w:val="0"/>
          <w:sz w:val="24"/>
          <w:szCs w:val="28"/>
          <w:highlight w:val="none"/>
        </w:rPr>
      </w:pPr>
      <w:bookmarkStart w:id="1180" w:name="sys44840153"/>
      <w:r>
        <w:rPr>
          <w:rFonts w:ascii="Times New Roman" w:hAnsi="Times New Roman" w:eastAsia="宋体" w:cs="Times New Roman"/>
          <w:bCs/>
          <w:color w:val="auto"/>
          <w:kern w:val="0"/>
          <w:sz w:val="24"/>
          <w:szCs w:val="28"/>
          <w:highlight w:val="none"/>
        </w:rPr>
        <w:t>电力自动化与智能电网产业：开发区2004年被科技部确定为国家火炬计划电力自动化特色产业基地，聚集了南瑞继保电气等多家企业，产品包括电力一次设备、二次设备研发制造，以二次设备为主，涉及电力设备、输变电设备、电器设备、电厂电网监控设备、电力终端设备等几乎所有与电力生产、传输、监控、使用、维护有关的设备和服务。</w:t>
      </w:r>
      <w:bookmarkEnd w:id="1180"/>
      <w:r>
        <w:rPr>
          <w:rFonts w:ascii="Times New Roman" w:hAnsi="Times New Roman" w:eastAsia="宋体" w:cs="Times New Roman"/>
          <w:bCs/>
          <w:color w:val="auto"/>
          <w:kern w:val="0"/>
          <w:sz w:val="24"/>
          <w:szCs w:val="28"/>
          <w:highlight w:val="none"/>
        </w:rPr>
        <w:t>继电保护、变电站自动化、电力系统MIS等系列产品在国内市场占有率达80%以上。电力自动化企业拥有国内领先的技术，成套提供500千伏和750千伏变电站、变压器、母线和电抗器等静态保护装置，数字式线路保护装置，分布分散式变电站综合自动化系统均为全国首台（套）。</w:t>
      </w:r>
    </w:p>
    <w:p w14:paraId="018C66F6">
      <w:pPr>
        <w:spacing w:line="500" w:lineRule="exact"/>
        <w:ind w:firstLine="480" w:firstLineChars="200"/>
        <w:rPr>
          <w:rFonts w:ascii="Times New Roman" w:hAnsi="Times New Roman" w:eastAsia="宋体" w:cs="Times New Roman"/>
          <w:bCs/>
          <w:color w:val="auto"/>
          <w:kern w:val="0"/>
          <w:sz w:val="24"/>
          <w:szCs w:val="28"/>
          <w:highlight w:val="none"/>
        </w:rPr>
      </w:pPr>
      <w:r>
        <w:rPr>
          <w:rFonts w:ascii="Times New Roman" w:hAnsi="Times New Roman" w:eastAsia="宋体" w:cs="Times New Roman"/>
          <w:bCs/>
          <w:color w:val="auto"/>
          <w:kern w:val="0"/>
          <w:sz w:val="24"/>
          <w:szCs w:val="28"/>
          <w:highlight w:val="none"/>
        </w:rPr>
        <w:t>电力自动化及智能电网产业属于开发区的战略性新兴产业和优势产业，该产业的骨干企业以内资企业为主，自主创新能力强，研发投入占销售收入比重达到近5%，产业整体自主创新能力在全区所有产业中最强，一批高新技术开发项目达到国际、国内领先水平。</w:t>
      </w:r>
    </w:p>
    <w:p w14:paraId="2E56BB28">
      <w:pPr>
        <w:keepNext w:val="0"/>
        <w:keepLines w:val="0"/>
        <w:pageBreakBefore w:val="0"/>
        <w:widowControl/>
        <w:kinsoku w:val="0"/>
        <w:wordWrap/>
        <w:overflowPunct/>
        <w:topLinePunct w:val="0"/>
        <w:autoSpaceDE w:val="0"/>
        <w:autoSpaceDN w:val="0"/>
        <w:bidi w:val="0"/>
        <w:adjustRightInd w:val="0"/>
        <w:snapToGrid w:val="0"/>
        <w:spacing w:before="181" w:line="360" w:lineRule="auto"/>
        <w:textAlignment w:val="baseline"/>
        <w:outlineLvl w:val="1"/>
        <w:rPr>
          <w:rFonts w:ascii="Times New Roman" w:hAnsi="Times New Roman" w:eastAsia="Times New Roman" w:cs="Times New Roman"/>
          <w:b/>
          <w:bCs/>
          <w:color w:val="auto"/>
          <w:spacing w:val="-2"/>
          <w:sz w:val="24"/>
          <w:szCs w:val="24"/>
          <w:highlight w:val="none"/>
        </w:rPr>
      </w:pPr>
      <w:bookmarkStart w:id="1181" w:name="bookmark55"/>
      <w:bookmarkEnd w:id="1181"/>
      <w:bookmarkStart w:id="1182" w:name="_Toc8319"/>
      <w:r>
        <w:rPr>
          <w:rFonts w:ascii="Times New Roman" w:hAnsi="Times New Roman" w:eastAsia="Times New Roman" w:cs="Times New Roman"/>
          <w:b/>
          <w:bCs/>
          <w:color w:val="auto"/>
          <w:spacing w:val="-2"/>
          <w:sz w:val="24"/>
          <w:szCs w:val="24"/>
          <w:highlight w:val="none"/>
        </w:rPr>
        <w:t>6.2社会经济概况</w:t>
      </w:r>
      <w:bookmarkEnd w:id="1182"/>
      <w:bookmarkStart w:id="1183" w:name="pindex4486"/>
      <w:bookmarkEnd w:id="1183"/>
    </w:p>
    <w:p w14:paraId="6930515A">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2"/>
        <w:rPr>
          <w:rFonts w:hint="eastAsia" w:ascii="宋体" w:hAnsi="宋体" w:eastAsia="宋体" w:cs="宋体"/>
          <w:b/>
          <w:bCs/>
          <w:color w:val="auto"/>
          <w:spacing w:val="-2"/>
          <w:sz w:val="24"/>
          <w:szCs w:val="24"/>
          <w:highlight w:val="none"/>
          <w:lang w:val="en-US" w:eastAsia="zh-CN"/>
        </w:rPr>
      </w:pPr>
      <w:bookmarkStart w:id="1184" w:name="_Toc11494"/>
      <w:r>
        <w:rPr>
          <w:rFonts w:ascii="Times New Roman" w:hAnsi="Times New Roman" w:eastAsia="Times New Roman" w:cs="Times New Roman"/>
          <w:b/>
          <w:bCs/>
          <w:color w:val="auto"/>
          <w:spacing w:val="-2"/>
          <w:sz w:val="24"/>
          <w:szCs w:val="24"/>
          <w:highlight w:val="none"/>
        </w:rPr>
        <w:t>6.2.1</w:t>
      </w:r>
      <w:r>
        <w:rPr>
          <w:rFonts w:ascii="宋体" w:hAnsi="宋体" w:eastAsia="宋体" w:cs="宋体"/>
          <w:b/>
          <w:bCs/>
          <w:color w:val="auto"/>
          <w:spacing w:val="-2"/>
          <w:sz w:val="24"/>
          <w:szCs w:val="24"/>
          <w:highlight w:val="none"/>
        </w:rPr>
        <w:t>人口</w:t>
      </w:r>
      <w:r>
        <w:rPr>
          <w:rFonts w:hint="eastAsia" w:ascii="宋体" w:hAnsi="宋体" w:eastAsia="宋体" w:cs="宋体"/>
          <w:b/>
          <w:bCs/>
          <w:color w:val="auto"/>
          <w:spacing w:val="-2"/>
          <w:sz w:val="24"/>
          <w:szCs w:val="24"/>
          <w:highlight w:val="none"/>
          <w:lang w:val="en-US" w:eastAsia="zh-CN"/>
        </w:rPr>
        <w:t>规模</w:t>
      </w:r>
      <w:bookmarkEnd w:id="1184"/>
      <w:bookmarkStart w:id="1185" w:name="pindex4487"/>
      <w:bookmarkEnd w:id="1185"/>
    </w:p>
    <w:p w14:paraId="706E45EE">
      <w:pPr>
        <w:keepNext w:val="0"/>
        <w:keepLines w:val="0"/>
        <w:pageBreakBefore w:val="0"/>
        <w:widowControl/>
        <w:kinsoku w:val="0"/>
        <w:wordWrap/>
        <w:overflowPunct/>
        <w:topLinePunct w:val="0"/>
        <w:autoSpaceDE w:val="0"/>
        <w:autoSpaceDN w:val="0"/>
        <w:bidi w:val="0"/>
        <w:adjustRightInd w:val="0"/>
        <w:snapToGrid w:val="0"/>
        <w:spacing w:before="36" w:line="360" w:lineRule="auto"/>
        <w:ind w:firstLine="468" w:firstLineChars="200"/>
        <w:textAlignment w:val="baseline"/>
        <w:outlineLvl w:val="9"/>
        <w:rPr>
          <w:rFonts w:hint="default" w:ascii="Times New Roman" w:hAnsi="Times New Roman" w:eastAsia="宋体" w:cs="Times New Roman"/>
          <w:color w:val="auto"/>
          <w:spacing w:val="-3"/>
          <w:sz w:val="24"/>
          <w:szCs w:val="24"/>
          <w:highlight w:val="none"/>
          <w:lang w:eastAsia="zh-CN"/>
        </w:rPr>
      </w:pPr>
      <w:r>
        <w:rPr>
          <w:rFonts w:hint="default" w:ascii="Times New Roman" w:hAnsi="Times New Roman" w:eastAsia="宋体" w:cs="Times New Roman"/>
          <w:color w:val="auto"/>
          <w:spacing w:val="-3"/>
          <w:sz w:val="24"/>
          <w:szCs w:val="24"/>
          <w:highlight w:val="none"/>
          <w:lang w:eastAsia="zh-CN"/>
        </w:rPr>
        <w:t>江宁区行政区划面积1558平方公里（其中长江水域39平方公里、新济洲71平方公里），区行政中心位于东山街道。辖区内另有江宁经济技术开发区、江宁科学园、空港工业园、滨江开发区等多个开发区型的管理主体。现状下辖东山、秣陵、汤山、淳化、湖熟、禄口、横溪、江宁、谷里以及规划在编期间新设的麒麟共10个街道。</w:t>
      </w:r>
    </w:p>
    <w:p w14:paraId="647944EF">
      <w:pPr>
        <w:keepNext w:val="0"/>
        <w:keepLines w:val="0"/>
        <w:pageBreakBefore w:val="0"/>
        <w:widowControl/>
        <w:kinsoku w:val="0"/>
        <w:wordWrap/>
        <w:overflowPunct/>
        <w:topLinePunct w:val="0"/>
        <w:autoSpaceDE w:val="0"/>
        <w:autoSpaceDN w:val="0"/>
        <w:bidi w:val="0"/>
        <w:adjustRightInd w:val="0"/>
        <w:snapToGrid w:val="0"/>
        <w:spacing w:before="36" w:line="360" w:lineRule="auto"/>
        <w:ind w:firstLine="468" w:firstLineChars="200"/>
        <w:textAlignment w:val="baseline"/>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3"/>
          <w:sz w:val="24"/>
          <w:szCs w:val="24"/>
          <w:highlight w:val="none"/>
          <w:lang w:eastAsia="zh-CN"/>
        </w:rPr>
        <w:t>2021年末全区常住人口19</w:t>
      </w:r>
      <w:r>
        <w:rPr>
          <w:rFonts w:hint="eastAsia" w:ascii="Times New Roman" w:hAnsi="Times New Roman" w:eastAsia="宋体" w:cs="Times New Roman"/>
          <w:color w:val="auto"/>
          <w:spacing w:val="-3"/>
          <w:sz w:val="24"/>
          <w:szCs w:val="24"/>
          <w:highlight w:val="none"/>
          <w:lang w:val="en-US" w:eastAsia="zh-CN"/>
        </w:rPr>
        <w:t>8.52</w:t>
      </w:r>
      <w:r>
        <w:rPr>
          <w:rFonts w:hint="default" w:ascii="Times New Roman" w:hAnsi="Times New Roman" w:eastAsia="宋体" w:cs="Times New Roman"/>
          <w:color w:val="auto"/>
          <w:spacing w:val="-3"/>
          <w:sz w:val="24"/>
          <w:szCs w:val="24"/>
          <w:highlight w:val="none"/>
          <w:lang w:eastAsia="zh-CN"/>
        </w:rPr>
        <w:t>万人，比上年增加</w:t>
      </w:r>
      <w:r>
        <w:rPr>
          <w:rFonts w:hint="eastAsia" w:ascii="Times New Roman" w:hAnsi="Times New Roman" w:eastAsia="宋体" w:cs="Times New Roman"/>
          <w:color w:val="auto"/>
          <w:spacing w:val="-3"/>
          <w:sz w:val="24"/>
          <w:szCs w:val="24"/>
          <w:highlight w:val="none"/>
          <w:lang w:val="en-US" w:eastAsia="zh-CN"/>
        </w:rPr>
        <w:t>1.53</w:t>
      </w:r>
      <w:r>
        <w:rPr>
          <w:rFonts w:hint="default" w:ascii="Times New Roman" w:hAnsi="Times New Roman" w:eastAsia="宋体" w:cs="Times New Roman"/>
          <w:color w:val="auto"/>
          <w:spacing w:val="-3"/>
          <w:sz w:val="24"/>
          <w:szCs w:val="24"/>
          <w:highlight w:val="none"/>
          <w:lang w:eastAsia="zh-CN"/>
        </w:rPr>
        <w:t>万人，增长</w:t>
      </w:r>
      <w:r>
        <w:rPr>
          <w:rFonts w:hint="eastAsia" w:ascii="Times New Roman" w:hAnsi="Times New Roman" w:eastAsia="宋体" w:cs="Times New Roman"/>
          <w:color w:val="auto"/>
          <w:spacing w:val="-3"/>
          <w:sz w:val="24"/>
          <w:szCs w:val="24"/>
          <w:highlight w:val="none"/>
          <w:lang w:val="en-US" w:eastAsia="zh-CN"/>
        </w:rPr>
        <w:t>0.8</w:t>
      </w:r>
      <w:r>
        <w:rPr>
          <w:rFonts w:hint="default" w:ascii="Times New Roman" w:hAnsi="Times New Roman" w:eastAsia="宋体" w:cs="Times New Roman"/>
          <w:color w:val="auto"/>
          <w:spacing w:val="-3"/>
          <w:sz w:val="24"/>
          <w:szCs w:val="24"/>
          <w:highlight w:val="none"/>
          <w:lang w:eastAsia="zh-CN"/>
        </w:rPr>
        <w:t>%</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lang w:eastAsia="zh-CN"/>
        </w:rPr>
        <w:t>常住人口出生率6.</w:t>
      </w:r>
      <w:r>
        <w:rPr>
          <w:rFonts w:hint="eastAsia" w:ascii="Times New Roman" w:hAnsi="Times New Roman" w:eastAsia="宋体" w:cs="Times New Roman"/>
          <w:color w:val="auto"/>
          <w:spacing w:val="-3"/>
          <w:sz w:val="24"/>
          <w:szCs w:val="24"/>
          <w:highlight w:val="none"/>
          <w:lang w:val="en-US" w:eastAsia="zh-CN"/>
        </w:rPr>
        <w:t>15</w:t>
      </w:r>
      <w:r>
        <w:rPr>
          <w:rFonts w:hint="default" w:ascii="Times New Roman" w:hAnsi="Times New Roman" w:eastAsia="宋体" w:cs="Times New Roman"/>
          <w:color w:val="auto"/>
          <w:spacing w:val="-3"/>
          <w:sz w:val="24"/>
          <w:szCs w:val="24"/>
          <w:highlight w:val="none"/>
          <w:lang w:eastAsia="zh-CN"/>
        </w:rPr>
        <w:t>‰，</w:t>
      </w:r>
      <w:r>
        <w:rPr>
          <w:rFonts w:hint="eastAsia" w:ascii="Times New Roman" w:hAnsi="Times New Roman" w:eastAsia="宋体" w:cs="Times New Roman"/>
          <w:color w:val="auto"/>
          <w:spacing w:val="-3"/>
          <w:sz w:val="24"/>
          <w:szCs w:val="24"/>
          <w:highlight w:val="none"/>
          <w:lang w:val="en-US" w:eastAsia="zh-CN"/>
        </w:rPr>
        <w:t>城镇化率为78.58%，同比增长0.24%。</w:t>
      </w:r>
    </w:p>
    <w:p w14:paraId="3A68ED6B">
      <w:pPr>
        <w:keepNext w:val="0"/>
        <w:keepLines w:val="0"/>
        <w:pageBreakBefore w:val="0"/>
        <w:widowControl/>
        <w:kinsoku w:val="0"/>
        <w:wordWrap/>
        <w:overflowPunct/>
        <w:topLinePunct w:val="0"/>
        <w:autoSpaceDE w:val="0"/>
        <w:autoSpaceDN w:val="0"/>
        <w:bidi w:val="0"/>
        <w:adjustRightInd w:val="0"/>
        <w:snapToGrid w:val="0"/>
        <w:spacing w:before="36" w:line="360" w:lineRule="auto"/>
        <w:ind w:left="37"/>
        <w:textAlignment w:val="baseline"/>
        <w:outlineLvl w:val="2"/>
        <w:rPr>
          <w:rFonts w:ascii="宋体" w:hAnsi="宋体" w:eastAsia="宋体" w:cs="宋体"/>
          <w:color w:val="auto"/>
          <w:sz w:val="24"/>
          <w:szCs w:val="24"/>
          <w:highlight w:val="none"/>
        </w:rPr>
      </w:pPr>
      <w:bookmarkStart w:id="1186" w:name="_Toc13854"/>
      <w:r>
        <w:rPr>
          <w:rFonts w:ascii="Times New Roman" w:hAnsi="Times New Roman" w:eastAsia="Times New Roman" w:cs="Times New Roman"/>
          <w:b/>
          <w:bCs/>
          <w:color w:val="auto"/>
          <w:spacing w:val="-2"/>
          <w:sz w:val="24"/>
          <w:szCs w:val="24"/>
          <w:highlight w:val="none"/>
        </w:rPr>
        <w:t>6.2.2</w:t>
      </w:r>
      <w:r>
        <w:rPr>
          <w:rFonts w:ascii="宋体" w:hAnsi="宋体" w:eastAsia="宋体" w:cs="宋体"/>
          <w:b/>
          <w:bCs/>
          <w:color w:val="auto"/>
          <w:spacing w:val="-2"/>
          <w:sz w:val="24"/>
          <w:szCs w:val="24"/>
          <w:highlight w:val="none"/>
        </w:rPr>
        <w:t>经济概况</w:t>
      </w:r>
      <w:bookmarkEnd w:id="1186"/>
      <w:bookmarkStart w:id="1187" w:name="pindex4490"/>
      <w:bookmarkEnd w:id="1187"/>
    </w:p>
    <w:p w14:paraId="6CF478C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江宁区2</w:t>
      </w:r>
      <w:r>
        <w:rPr>
          <w:rFonts w:hint="eastAsia" w:ascii="Times New Roman" w:hAnsi="Times New Roman" w:eastAsia="宋体" w:cs="Times New Roman"/>
          <w:color w:val="auto"/>
          <w:sz w:val="24"/>
          <w:szCs w:val="24"/>
          <w:highlight w:val="none"/>
          <w:lang w:val="en-US" w:eastAsia="zh-CN"/>
        </w:rPr>
        <w:t>023</w:t>
      </w:r>
      <w:r>
        <w:rPr>
          <w:rFonts w:hint="default" w:ascii="Times New Roman" w:hAnsi="Times New Roman" w:eastAsia="宋体" w:cs="Times New Roman"/>
          <w:color w:val="auto"/>
          <w:sz w:val="24"/>
          <w:szCs w:val="24"/>
          <w:highlight w:val="none"/>
        </w:rPr>
        <w:t>年全年实现地区生产总值</w:t>
      </w:r>
      <w:r>
        <w:rPr>
          <w:rFonts w:hint="eastAsia" w:ascii="Times New Roman" w:hAnsi="Times New Roman" w:eastAsia="宋体" w:cs="Times New Roman"/>
          <w:color w:val="auto"/>
          <w:sz w:val="24"/>
          <w:szCs w:val="24"/>
          <w:highlight w:val="none"/>
          <w:lang w:val="en-US" w:eastAsia="zh-CN"/>
        </w:rPr>
        <w:t>3056.19</w:t>
      </w:r>
      <w:r>
        <w:rPr>
          <w:rFonts w:hint="default" w:ascii="Times New Roman" w:hAnsi="Times New Roman" w:eastAsia="宋体" w:cs="Times New Roman"/>
          <w:color w:val="auto"/>
          <w:sz w:val="24"/>
          <w:szCs w:val="24"/>
          <w:highlight w:val="none"/>
        </w:rPr>
        <w:t>亿元，比上年</w:t>
      </w:r>
      <w:r>
        <w:rPr>
          <w:rFonts w:hint="eastAsia" w:ascii="Times New Roman" w:hAnsi="Times New Roman" w:eastAsia="宋体" w:cs="Times New Roman"/>
          <w:color w:val="auto"/>
          <w:sz w:val="24"/>
          <w:szCs w:val="24"/>
          <w:highlight w:val="none"/>
          <w:lang w:val="en-US" w:eastAsia="zh-CN"/>
        </w:rPr>
        <w:t>同期</w:t>
      </w:r>
      <w:r>
        <w:rPr>
          <w:rFonts w:hint="default" w:ascii="Times New Roman" w:hAnsi="Times New Roman" w:eastAsia="宋体" w:cs="Times New Roman"/>
          <w:color w:val="auto"/>
          <w:sz w:val="24"/>
          <w:szCs w:val="24"/>
          <w:highlight w:val="none"/>
        </w:rPr>
        <w:t>增长</w:t>
      </w:r>
      <w:r>
        <w:rPr>
          <w:rFonts w:hint="eastAsia" w:ascii="Times New Roman" w:hAnsi="Times New Roman" w:eastAsia="宋体" w:cs="Times New Roman"/>
          <w:color w:val="auto"/>
          <w:sz w:val="24"/>
          <w:szCs w:val="24"/>
          <w:highlight w:val="none"/>
          <w:lang w:val="en-US" w:eastAsia="zh-CN"/>
        </w:rPr>
        <w:t>4.5</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分产业看</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第一产业增加值</w:t>
      </w:r>
      <w:r>
        <w:rPr>
          <w:rFonts w:hint="eastAsia" w:ascii="Times New Roman" w:hAnsi="Times New Roman" w:eastAsia="宋体" w:cs="Times New Roman"/>
          <w:color w:val="auto"/>
          <w:sz w:val="24"/>
          <w:szCs w:val="24"/>
          <w:highlight w:val="none"/>
          <w:lang w:val="en-US" w:eastAsia="zh-CN"/>
        </w:rPr>
        <w:t>74.90</w:t>
      </w:r>
      <w:r>
        <w:rPr>
          <w:rFonts w:hint="default" w:ascii="Times New Roman" w:hAnsi="Times New Roman" w:eastAsia="宋体" w:cs="Times New Roman"/>
          <w:color w:val="auto"/>
          <w:sz w:val="24"/>
          <w:szCs w:val="24"/>
          <w:highlight w:val="none"/>
        </w:rPr>
        <w:t>亿元，</w:t>
      </w:r>
      <w:r>
        <w:rPr>
          <w:rFonts w:hint="eastAsia" w:ascii="Times New Roman" w:hAnsi="Times New Roman" w:eastAsia="宋体" w:cs="Times New Roman"/>
          <w:color w:val="auto"/>
          <w:sz w:val="24"/>
          <w:szCs w:val="24"/>
          <w:highlight w:val="none"/>
          <w:lang w:val="en-US" w:eastAsia="zh-CN"/>
        </w:rPr>
        <w:t>同比</w:t>
      </w:r>
      <w:r>
        <w:rPr>
          <w:rFonts w:hint="default" w:ascii="Times New Roman" w:hAnsi="Times New Roman" w:eastAsia="宋体" w:cs="Times New Roman"/>
          <w:color w:val="auto"/>
          <w:sz w:val="24"/>
          <w:szCs w:val="24"/>
          <w:highlight w:val="none"/>
        </w:rPr>
        <w:t>增长1</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第二产业增加值</w:t>
      </w:r>
      <w:r>
        <w:rPr>
          <w:rFonts w:hint="eastAsia" w:ascii="Times New Roman" w:hAnsi="Times New Roman" w:eastAsia="宋体" w:cs="Times New Roman"/>
          <w:color w:val="auto"/>
          <w:sz w:val="24"/>
          <w:szCs w:val="24"/>
          <w:highlight w:val="none"/>
          <w:lang w:val="en-US" w:eastAsia="zh-CN"/>
        </w:rPr>
        <w:t>1657.93</w:t>
      </w:r>
      <w:r>
        <w:rPr>
          <w:rFonts w:hint="default" w:ascii="Times New Roman" w:hAnsi="Times New Roman" w:eastAsia="宋体" w:cs="Times New Roman"/>
          <w:color w:val="auto"/>
          <w:sz w:val="24"/>
          <w:szCs w:val="24"/>
          <w:highlight w:val="none"/>
        </w:rPr>
        <w:t>亿元，</w:t>
      </w:r>
      <w:r>
        <w:rPr>
          <w:rFonts w:hint="eastAsia" w:ascii="Times New Roman" w:hAnsi="Times New Roman" w:eastAsia="宋体" w:cs="Times New Roman"/>
          <w:color w:val="auto"/>
          <w:sz w:val="24"/>
          <w:szCs w:val="24"/>
          <w:highlight w:val="none"/>
          <w:lang w:val="en-US" w:eastAsia="zh-CN"/>
        </w:rPr>
        <w:t>同比</w:t>
      </w:r>
      <w:r>
        <w:rPr>
          <w:rFonts w:hint="default" w:ascii="Times New Roman" w:hAnsi="Times New Roman" w:eastAsia="宋体" w:cs="Times New Roman"/>
          <w:color w:val="auto"/>
          <w:sz w:val="24"/>
          <w:szCs w:val="24"/>
          <w:highlight w:val="none"/>
        </w:rPr>
        <w:t>增长</w:t>
      </w:r>
      <w:r>
        <w:rPr>
          <w:rFonts w:hint="eastAsia" w:ascii="Times New Roman" w:hAnsi="Times New Roman" w:eastAsia="宋体" w:cs="Times New Roman"/>
          <w:color w:val="auto"/>
          <w:sz w:val="24"/>
          <w:szCs w:val="24"/>
          <w:highlight w:val="none"/>
          <w:lang w:val="en-US" w:eastAsia="zh-CN"/>
        </w:rPr>
        <w:t>4.3</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第三产业增加值</w:t>
      </w:r>
      <w:r>
        <w:rPr>
          <w:rFonts w:hint="eastAsia" w:ascii="Times New Roman" w:hAnsi="Times New Roman" w:eastAsia="宋体" w:cs="Times New Roman"/>
          <w:color w:val="auto"/>
          <w:sz w:val="24"/>
          <w:szCs w:val="24"/>
          <w:highlight w:val="none"/>
          <w:lang w:val="en-US" w:eastAsia="zh-CN"/>
        </w:rPr>
        <w:t>1323.36</w:t>
      </w:r>
      <w:r>
        <w:rPr>
          <w:rFonts w:hint="default" w:ascii="Times New Roman" w:hAnsi="Times New Roman" w:eastAsia="宋体" w:cs="Times New Roman"/>
          <w:color w:val="auto"/>
          <w:sz w:val="24"/>
          <w:szCs w:val="24"/>
          <w:highlight w:val="none"/>
        </w:rPr>
        <w:t>亿元，</w:t>
      </w:r>
      <w:r>
        <w:rPr>
          <w:rFonts w:hint="eastAsia" w:ascii="Times New Roman" w:hAnsi="Times New Roman" w:eastAsia="宋体" w:cs="Times New Roman"/>
          <w:color w:val="auto"/>
          <w:sz w:val="24"/>
          <w:szCs w:val="24"/>
          <w:highlight w:val="none"/>
          <w:lang w:val="en-US" w:eastAsia="zh-CN"/>
        </w:rPr>
        <w:t>同比</w:t>
      </w:r>
      <w:r>
        <w:rPr>
          <w:rFonts w:hint="default" w:ascii="Times New Roman" w:hAnsi="Times New Roman" w:eastAsia="宋体" w:cs="Times New Roman"/>
          <w:color w:val="auto"/>
          <w:sz w:val="24"/>
          <w:szCs w:val="24"/>
          <w:highlight w:val="none"/>
        </w:rPr>
        <w:t>增长</w:t>
      </w:r>
      <w:r>
        <w:rPr>
          <w:rFonts w:hint="eastAsia" w:ascii="Times New Roman" w:hAnsi="Times New Roman" w:eastAsia="宋体" w:cs="Times New Roman"/>
          <w:color w:val="auto"/>
          <w:sz w:val="24"/>
          <w:szCs w:val="24"/>
          <w:highlight w:val="none"/>
          <w:lang w:val="en-US" w:eastAsia="zh-CN"/>
        </w:rPr>
        <w:t>4.8</w:t>
      </w:r>
      <w:r>
        <w:rPr>
          <w:rFonts w:hint="default" w:ascii="Times New Roman" w:hAnsi="Times New Roman" w:eastAsia="宋体" w:cs="Times New Roman"/>
          <w:color w:val="auto"/>
          <w:sz w:val="24"/>
          <w:szCs w:val="24"/>
          <w:highlight w:val="none"/>
        </w:rPr>
        <w:t>%。三次产业增加值比例调整为</w:t>
      </w:r>
      <w:r>
        <w:rPr>
          <w:rFonts w:hint="eastAsia" w:ascii="Times New Roman" w:hAnsi="Times New Roman" w:eastAsia="宋体" w:cs="Times New Roman"/>
          <w:color w:val="auto"/>
          <w:sz w:val="24"/>
          <w:szCs w:val="24"/>
          <w:highlight w:val="none"/>
          <w:lang w:val="en-US" w:eastAsia="zh-CN"/>
        </w:rPr>
        <w:t>2.5:54.2:</w:t>
      </w:r>
      <w:r>
        <w:rPr>
          <w:rFonts w:hint="default" w:ascii="Times New Roman" w:hAnsi="Times New Roman" w:eastAsia="宋体" w:cs="Times New Roman"/>
          <w:color w:val="auto"/>
          <w:sz w:val="24"/>
          <w:szCs w:val="24"/>
          <w:highlight w:val="none"/>
        </w:rPr>
        <w:t>4</w:t>
      </w:r>
      <w:r>
        <w:rPr>
          <w:rFonts w:hint="eastAsia" w:ascii="Times New Roman" w:hAnsi="Times New Roman" w:eastAsia="宋体" w:cs="Times New Roman"/>
          <w:color w:val="auto"/>
          <w:sz w:val="24"/>
          <w:szCs w:val="24"/>
          <w:highlight w:val="none"/>
          <w:lang w:val="en-US" w:eastAsia="zh-CN"/>
        </w:rPr>
        <w:t>3.3</w:t>
      </w:r>
      <w:r>
        <w:rPr>
          <w:rFonts w:hint="default" w:ascii="Times New Roman" w:hAnsi="Times New Roman" w:eastAsia="宋体" w:cs="Times New Roman"/>
          <w:color w:val="auto"/>
          <w:sz w:val="24"/>
          <w:szCs w:val="24"/>
          <w:highlight w:val="none"/>
        </w:rPr>
        <w:t>。</w:t>
      </w:r>
    </w:p>
    <w:p w14:paraId="4339D68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2023</w:t>
      </w:r>
      <w:r>
        <w:rPr>
          <w:rFonts w:hint="default" w:ascii="Times New Roman" w:hAnsi="Times New Roman" w:eastAsia="宋体" w:cs="Times New Roman"/>
          <w:color w:val="auto"/>
          <w:sz w:val="24"/>
          <w:szCs w:val="24"/>
          <w:highlight w:val="none"/>
        </w:rPr>
        <w:t>年全年一般公共预算收入</w:t>
      </w:r>
      <w:r>
        <w:rPr>
          <w:rFonts w:hint="eastAsia" w:ascii="Times New Roman" w:hAnsi="Times New Roman" w:eastAsia="宋体" w:cs="Times New Roman"/>
          <w:color w:val="auto"/>
          <w:sz w:val="24"/>
          <w:szCs w:val="24"/>
          <w:highlight w:val="none"/>
          <w:lang w:val="en-US" w:eastAsia="zh-CN"/>
        </w:rPr>
        <w:t>238.3</w:t>
      </w:r>
      <w:r>
        <w:rPr>
          <w:rFonts w:hint="default" w:ascii="Times New Roman" w:hAnsi="Times New Roman" w:eastAsia="宋体" w:cs="Times New Roman"/>
          <w:color w:val="auto"/>
          <w:sz w:val="24"/>
          <w:szCs w:val="24"/>
          <w:highlight w:val="none"/>
        </w:rPr>
        <w:t>亿元，</w:t>
      </w:r>
      <w:r>
        <w:rPr>
          <w:rFonts w:hint="eastAsia" w:ascii="Times New Roman" w:hAnsi="Times New Roman" w:eastAsia="宋体" w:cs="Times New Roman"/>
          <w:color w:val="auto"/>
          <w:sz w:val="24"/>
          <w:szCs w:val="24"/>
          <w:highlight w:val="none"/>
          <w:lang w:val="en-US" w:eastAsia="zh-CN"/>
        </w:rPr>
        <w:t>同比</w:t>
      </w:r>
      <w:r>
        <w:rPr>
          <w:rFonts w:hint="default" w:ascii="Times New Roman" w:hAnsi="Times New Roman" w:eastAsia="宋体" w:cs="Times New Roman"/>
          <w:color w:val="auto"/>
          <w:sz w:val="24"/>
          <w:szCs w:val="24"/>
          <w:highlight w:val="none"/>
        </w:rPr>
        <w:t>增长</w:t>
      </w:r>
      <w:r>
        <w:rPr>
          <w:rFonts w:hint="eastAsia" w:ascii="Times New Roman" w:hAnsi="Times New Roman" w:eastAsia="宋体" w:cs="Times New Roman"/>
          <w:color w:val="auto"/>
          <w:sz w:val="24"/>
          <w:szCs w:val="24"/>
          <w:highlight w:val="none"/>
          <w:lang w:val="en-US" w:eastAsia="zh-CN"/>
        </w:rPr>
        <w:t>17.4</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规上工业总产值</w:t>
      </w:r>
      <w:r>
        <w:rPr>
          <w:rFonts w:hint="eastAsia" w:ascii="Times New Roman" w:hAnsi="Times New Roman" w:eastAsia="宋体" w:cs="Times New Roman"/>
          <w:color w:val="auto"/>
          <w:sz w:val="24"/>
          <w:szCs w:val="24"/>
          <w:highlight w:val="none"/>
          <w:lang w:val="en-US" w:eastAsia="zh-CN"/>
        </w:rPr>
        <w:t>同比</w:t>
      </w:r>
      <w:r>
        <w:rPr>
          <w:rFonts w:hint="default" w:ascii="Times New Roman" w:hAnsi="Times New Roman" w:eastAsia="宋体" w:cs="Times New Roman"/>
          <w:color w:val="auto"/>
          <w:sz w:val="24"/>
          <w:szCs w:val="24"/>
          <w:highlight w:val="none"/>
        </w:rPr>
        <w:t>增长</w:t>
      </w:r>
      <w:r>
        <w:rPr>
          <w:rFonts w:hint="eastAsia" w:ascii="Times New Roman" w:hAnsi="Times New Roman" w:eastAsia="宋体" w:cs="Times New Roman"/>
          <w:color w:val="auto"/>
          <w:sz w:val="24"/>
          <w:szCs w:val="24"/>
          <w:highlight w:val="none"/>
          <w:lang w:val="en-US" w:eastAsia="zh-CN"/>
        </w:rPr>
        <w:t>2.2</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全社会固定资产投资</w:t>
      </w:r>
      <w:r>
        <w:rPr>
          <w:rFonts w:hint="eastAsia" w:ascii="Times New Roman" w:hAnsi="Times New Roman" w:eastAsia="宋体" w:cs="Times New Roman"/>
          <w:color w:val="auto"/>
          <w:sz w:val="24"/>
          <w:szCs w:val="24"/>
          <w:highlight w:val="none"/>
          <w:lang w:val="en-US" w:eastAsia="zh-CN"/>
        </w:rPr>
        <w:t>下降5.9%，</w:t>
      </w:r>
      <w:r>
        <w:rPr>
          <w:rFonts w:hint="default" w:ascii="Times New Roman" w:hAnsi="Times New Roman" w:eastAsia="宋体" w:cs="Times New Roman"/>
          <w:color w:val="auto"/>
          <w:sz w:val="24"/>
          <w:szCs w:val="24"/>
          <w:highlight w:val="none"/>
        </w:rPr>
        <w:t>工业投资增长</w:t>
      </w:r>
      <w:r>
        <w:rPr>
          <w:rFonts w:hint="eastAsia" w:ascii="Times New Roman" w:hAnsi="Times New Roman" w:eastAsia="宋体" w:cs="Times New Roman"/>
          <w:color w:val="auto"/>
          <w:sz w:val="24"/>
          <w:szCs w:val="24"/>
          <w:highlight w:val="none"/>
          <w:lang w:val="en-US" w:eastAsia="zh-CN"/>
        </w:rPr>
        <w:t>23.7</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社会消费品零售总额增长6.</w:t>
      </w:r>
      <w:r>
        <w:rPr>
          <w:rFonts w:hint="eastAsia"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实际利用外资9.</w:t>
      </w:r>
      <w:r>
        <w:rPr>
          <w:rFonts w:hint="eastAsia" w:ascii="Times New Roman" w:hAnsi="Times New Roman" w:eastAsia="宋体" w:cs="Times New Roman"/>
          <w:color w:val="auto"/>
          <w:sz w:val="24"/>
          <w:szCs w:val="24"/>
          <w:highlight w:val="none"/>
          <w:lang w:val="en-US" w:eastAsia="zh-CN"/>
        </w:rPr>
        <w:t>34</w:t>
      </w:r>
      <w:r>
        <w:rPr>
          <w:rFonts w:hint="default" w:ascii="Times New Roman" w:hAnsi="Times New Roman" w:eastAsia="宋体" w:cs="Times New Roman"/>
          <w:color w:val="auto"/>
          <w:sz w:val="24"/>
          <w:szCs w:val="24"/>
          <w:highlight w:val="none"/>
        </w:rPr>
        <w:t>亿美元，外贸进出口</w:t>
      </w:r>
      <w:r>
        <w:rPr>
          <w:rFonts w:hint="eastAsia" w:ascii="Times New Roman" w:hAnsi="Times New Roman" w:eastAsia="宋体" w:cs="Times New Roman"/>
          <w:color w:val="auto"/>
          <w:sz w:val="24"/>
          <w:szCs w:val="24"/>
          <w:highlight w:val="none"/>
          <w:lang w:val="en-US" w:eastAsia="zh-CN"/>
        </w:rPr>
        <w:t>1335.6</w:t>
      </w:r>
      <w:r>
        <w:rPr>
          <w:rFonts w:hint="default" w:ascii="Times New Roman" w:hAnsi="Times New Roman" w:eastAsia="宋体" w:cs="Times New Roman"/>
          <w:color w:val="auto"/>
          <w:sz w:val="24"/>
          <w:szCs w:val="24"/>
          <w:highlight w:val="none"/>
        </w:rPr>
        <w:t>亿元</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城乡居民人均可支配收入分别增长</w:t>
      </w:r>
      <w:r>
        <w:rPr>
          <w:rFonts w:hint="eastAsia" w:ascii="Times New Roman" w:hAnsi="Times New Roman" w:eastAsia="宋体" w:cs="Times New Roman"/>
          <w:color w:val="auto"/>
          <w:sz w:val="24"/>
          <w:szCs w:val="24"/>
          <w:highlight w:val="none"/>
          <w:lang w:val="en-US" w:eastAsia="zh-CN"/>
        </w:rPr>
        <w:t>3.9</w:t>
      </w:r>
      <w:r>
        <w:rPr>
          <w:rFonts w:hint="default" w:ascii="Times New Roman" w:hAnsi="Times New Roman" w:eastAsia="宋体" w:cs="Times New Roman"/>
          <w:color w:val="auto"/>
          <w:sz w:val="24"/>
          <w:szCs w:val="24"/>
          <w:highlight w:val="none"/>
        </w:rPr>
        <w:t>%和</w:t>
      </w:r>
      <w:r>
        <w:rPr>
          <w:rFonts w:hint="eastAsia" w:ascii="Times New Roman" w:hAnsi="Times New Roman" w:eastAsia="宋体" w:cs="Times New Roman"/>
          <w:color w:val="auto"/>
          <w:sz w:val="24"/>
          <w:szCs w:val="24"/>
          <w:highlight w:val="none"/>
          <w:lang w:val="en-US" w:eastAsia="zh-CN"/>
        </w:rPr>
        <w:t>6.1</w:t>
      </w:r>
      <w:r>
        <w:rPr>
          <w:rFonts w:hint="default" w:ascii="Times New Roman" w:hAnsi="Times New Roman" w:eastAsia="宋体" w:cs="Times New Roman"/>
          <w:color w:val="auto"/>
          <w:sz w:val="24"/>
          <w:szCs w:val="24"/>
          <w:highlight w:val="none"/>
        </w:rPr>
        <w:t>%。</w:t>
      </w:r>
    </w:p>
    <w:p w14:paraId="66BEFE3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2023年江宁经济技术开发区全区地区生产总值1913.88亿元，比上年增长4.7%，占江宁区生产总值的62.6%。其中，第一产业增加值25.66亿元，增长1.5%；第二产业增加值1189.50亿元，增长4.8%；第三产业增加值698.73亿元，增长4.6%。开发区以第二产业为主体，第二产业产值逐年提升，占比逐年下降，第三产业占比稳步提高。2023年开发区三次产业占比调整为1.3:62.2:36.5。2023年江宁经济技术开发区全区财政总收入约308亿元，固定资产投资472亿元。</w:t>
      </w:r>
    </w:p>
    <w:p w14:paraId="2C093E2E">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1"/>
        <w:rPr>
          <w:rFonts w:ascii="Times New Roman" w:hAnsi="Times New Roman" w:eastAsia="Times New Roman" w:cs="Times New Roman"/>
          <w:b/>
          <w:bCs/>
          <w:color w:val="auto"/>
          <w:spacing w:val="-3"/>
          <w:sz w:val="24"/>
          <w:szCs w:val="24"/>
          <w:highlight w:val="none"/>
        </w:rPr>
      </w:pPr>
      <w:bookmarkStart w:id="1188" w:name="bookmark57"/>
      <w:bookmarkEnd w:id="1188"/>
      <w:bookmarkStart w:id="1189" w:name="_Toc5530"/>
      <w:r>
        <w:rPr>
          <w:rFonts w:ascii="Times New Roman" w:hAnsi="Times New Roman" w:eastAsia="Times New Roman" w:cs="Times New Roman"/>
          <w:b/>
          <w:bCs/>
          <w:color w:val="auto"/>
          <w:spacing w:val="-3"/>
          <w:sz w:val="24"/>
          <w:szCs w:val="24"/>
          <w:highlight w:val="none"/>
        </w:rPr>
        <w:t>6.3环境质量现状</w:t>
      </w:r>
      <w:bookmarkEnd w:id="1189"/>
      <w:bookmarkStart w:id="1190" w:name="pindex4494"/>
      <w:bookmarkEnd w:id="1190"/>
    </w:p>
    <w:p w14:paraId="5249568A">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2"/>
        <w:rPr>
          <w:rFonts w:ascii="Times New Roman" w:hAnsi="Times New Roman" w:eastAsia="Times New Roman" w:cs="Times New Roman"/>
          <w:b/>
          <w:bCs/>
          <w:color w:val="auto"/>
          <w:spacing w:val="-3"/>
          <w:sz w:val="24"/>
          <w:szCs w:val="24"/>
          <w:highlight w:val="none"/>
        </w:rPr>
      </w:pPr>
      <w:bookmarkStart w:id="1191" w:name="_Toc12907"/>
      <w:r>
        <w:rPr>
          <w:rFonts w:ascii="Times New Roman" w:hAnsi="Times New Roman" w:eastAsia="Times New Roman" w:cs="Times New Roman"/>
          <w:b/>
          <w:bCs/>
          <w:color w:val="auto"/>
          <w:spacing w:val="-3"/>
          <w:sz w:val="24"/>
          <w:szCs w:val="24"/>
          <w:highlight w:val="none"/>
        </w:rPr>
        <w:t>6.3.1环境空气质量现状监测与评价</w:t>
      </w:r>
      <w:bookmarkEnd w:id="1191"/>
      <w:bookmarkStart w:id="1192" w:name="pindex4495"/>
      <w:bookmarkEnd w:id="1192"/>
    </w:p>
    <w:p w14:paraId="059E88F2">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9"/>
        <w:rPr>
          <w:rFonts w:ascii="Times New Roman" w:hAnsi="Times New Roman" w:eastAsia="Times New Roman" w:cs="Times New Roman"/>
          <w:b/>
          <w:bCs/>
          <w:color w:val="auto"/>
          <w:spacing w:val="-3"/>
          <w:sz w:val="24"/>
          <w:szCs w:val="24"/>
          <w:highlight w:val="none"/>
        </w:rPr>
      </w:pPr>
      <w:r>
        <w:rPr>
          <w:rFonts w:ascii="Times New Roman" w:hAnsi="Times New Roman" w:eastAsia="Times New Roman" w:cs="Times New Roman"/>
          <w:b/>
          <w:bCs/>
          <w:color w:val="auto"/>
          <w:spacing w:val="-3"/>
          <w:sz w:val="24"/>
          <w:szCs w:val="24"/>
          <w:highlight w:val="none"/>
        </w:rPr>
        <w:fldChar w:fldCharType="begin"/>
      </w:r>
      <w:r>
        <w:rPr>
          <w:rFonts w:ascii="Times New Roman" w:hAnsi="Times New Roman" w:eastAsia="Times New Roman" w:cs="Times New Roman"/>
          <w:b/>
          <w:bCs/>
          <w:color w:val="auto"/>
          <w:spacing w:val="-3"/>
          <w:sz w:val="24"/>
          <w:szCs w:val="24"/>
          <w:highlight w:val="none"/>
        </w:rPr>
        <w:instrText xml:space="preserve"> HYPERLINK "6.3.1.1" </w:instrText>
      </w:r>
      <w:r>
        <w:rPr>
          <w:rFonts w:ascii="Times New Roman" w:hAnsi="Times New Roman" w:eastAsia="Times New Roman" w:cs="Times New Roman"/>
          <w:b/>
          <w:bCs/>
          <w:color w:val="auto"/>
          <w:spacing w:val="-3"/>
          <w:sz w:val="24"/>
          <w:szCs w:val="24"/>
          <w:highlight w:val="none"/>
        </w:rPr>
        <w:fldChar w:fldCharType="separate"/>
      </w:r>
      <w:r>
        <w:rPr>
          <w:rFonts w:ascii="Times New Roman" w:hAnsi="Times New Roman" w:eastAsia="Times New Roman" w:cs="Times New Roman"/>
          <w:b/>
          <w:bCs/>
          <w:color w:val="auto"/>
          <w:spacing w:val="-3"/>
          <w:sz w:val="24"/>
          <w:szCs w:val="24"/>
          <w:highlight w:val="none"/>
        </w:rPr>
        <w:t>6.3.1.1</w:t>
      </w:r>
      <w:r>
        <w:rPr>
          <w:rFonts w:ascii="Times New Roman" w:hAnsi="Times New Roman" w:eastAsia="Times New Roman" w:cs="Times New Roman"/>
          <w:b/>
          <w:bCs/>
          <w:color w:val="auto"/>
          <w:spacing w:val="-3"/>
          <w:sz w:val="24"/>
          <w:szCs w:val="24"/>
          <w:highlight w:val="none"/>
        </w:rPr>
        <w:fldChar w:fldCharType="end"/>
      </w:r>
      <w:r>
        <w:rPr>
          <w:rFonts w:ascii="Times New Roman" w:hAnsi="Times New Roman" w:eastAsia="Times New Roman" w:cs="Times New Roman"/>
          <w:b/>
          <w:bCs/>
          <w:color w:val="auto"/>
          <w:spacing w:val="-3"/>
          <w:sz w:val="24"/>
          <w:szCs w:val="24"/>
          <w:highlight w:val="none"/>
        </w:rPr>
        <w:t>空气质量达标区判定</w:t>
      </w:r>
      <w:bookmarkStart w:id="1193" w:name="pindex4496"/>
      <w:bookmarkEnd w:id="1193"/>
    </w:p>
    <w:p w14:paraId="1DC63369">
      <w:pPr>
        <w:keepNext w:val="0"/>
        <w:keepLines w:val="0"/>
        <w:pageBreakBefore w:val="0"/>
        <w:widowControl/>
        <w:kinsoku w:val="0"/>
        <w:wordWrap/>
        <w:overflowPunct/>
        <w:topLinePunct w:val="0"/>
        <w:autoSpaceDE w:val="0"/>
        <w:autoSpaceDN w:val="0"/>
        <w:bidi w:val="0"/>
        <w:adjustRightInd w:val="0"/>
        <w:snapToGrid w:val="0"/>
        <w:spacing w:before="36" w:line="360" w:lineRule="auto"/>
        <w:ind w:firstLine="464" w:firstLineChars="200"/>
        <w:textAlignment w:val="baseline"/>
        <w:outlineLvl w:val="9"/>
        <w:rPr>
          <w:rFonts w:ascii="宋体" w:hAnsi="宋体" w:eastAsia="宋体" w:cs="宋体"/>
          <w:color w:val="auto"/>
          <w:sz w:val="24"/>
          <w:szCs w:val="24"/>
          <w:highlight w:val="none"/>
        </w:rPr>
      </w:pPr>
      <w:bookmarkStart w:id="1194" w:name="sys4497086"/>
      <w:r>
        <w:rPr>
          <w:rFonts w:ascii="宋体" w:hAnsi="宋体" w:eastAsia="宋体" w:cs="宋体"/>
          <w:color w:val="auto"/>
          <w:spacing w:val="-4"/>
          <w:sz w:val="24"/>
          <w:szCs w:val="24"/>
          <w:highlight w:val="none"/>
        </w:rPr>
        <w:t>根据《环境影响评价技术导则大气环境》（</w:t>
      </w:r>
      <w:r>
        <w:rPr>
          <w:rFonts w:ascii="Times New Roman" w:hAnsi="Times New Roman" w:eastAsia="Times New Roman" w:cs="Times New Roman"/>
          <w:color w:val="auto"/>
          <w:spacing w:val="-4"/>
          <w:sz w:val="24"/>
          <w:szCs w:val="24"/>
          <w:highlight w:val="none"/>
        </w:rPr>
        <w:t>HJ2.2-2018</w:t>
      </w:r>
      <w:r>
        <w:rPr>
          <w:rFonts w:ascii="宋体" w:hAnsi="宋体" w:eastAsia="宋体" w:cs="宋体"/>
          <w:color w:val="auto"/>
          <w:spacing w:val="-23"/>
          <w:sz w:val="24"/>
          <w:szCs w:val="24"/>
          <w:highlight w:val="none"/>
        </w:rPr>
        <w:t>），</w:t>
      </w:r>
      <w:r>
        <w:rPr>
          <w:rFonts w:ascii="宋体" w:hAnsi="宋体" w:eastAsia="宋体" w:cs="宋体"/>
          <w:color w:val="auto"/>
          <w:spacing w:val="-5"/>
          <w:sz w:val="24"/>
          <w:szCs w:val="24"/>
          <w:highlight w:val="none"/>
        </w:rPr>
        <w:t>项目所在区域达</w:t>
      </w:r>
      <w:r>
        <w:rPr>
          <w:rFonts w:ascii="宋体" w:hAnsi="宋体" w:eastAsia="宋体" w:cs="宋体"/>
          <w:color w:val="auto"/>
          <w:spacing w:val="4"/>
          <w:sz w:val="24"/>
          <w:szCs w:val="24"/>
          <w:highlight w:val="none"/>
        </w:rPr>
        <w:t>标情况判定优先采用国家或地方生态环境主管部门公</w:t>
      </w:r>
      <w:r>
        <w:rPr>
          <w:rFonts w:ascii="宋体" w:hAnsi="宋体" w:eastAsia="宋体" w:cs="宋体"/>
          <w:color w:val="auto"/>
          <w:spacing w:val="3"/>
          <w:sz w:val="24"/>
          <w:szCs w:val="24"/>
          <w:highlight w:val="none"/>
        </w:rPr>
        <w:t>开发布的环境质量公告或</w:t>
      </w:r>
      <w:r>
        <w:rPr>
          <w:rFonts w:ascii="宋体" w:hAnsi="宋体" w:eastAsia="宋体" w:cs="宋体"/>
          <w:color w:val="auto"/>
          <w:spacing w:val="-3"/>
          <w:sz w:val="24"/>
          <w:szCs w:val="24"/>
          <w:highlight w:val="none"/>
        </w:rPr>
        <w:t>环境质量报告中的数据或结论。</w:t>
      </w:r>
      <w:bookmarkEnd w:id="1194"/>
    </w:p>
    <w:p w14:paraId="7403F430">
      <w:pPr>
        <w:spacing w:before="35" w:line="353" w:lineRule="auto"/>
        <w:ind w:left="33" w:right="17" w:firstLine="484"/>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3"/>
          <w:sz w:val="24"/>
          <w:szCs w:val="24"/>
          <w:highlight w:val="none"/>
        </w:rPr>
        <w:t>根据</w:t>
      </w:r>
      <w:r>
        <w:rPr>
          <w:rFonts w:hint="default" w:ascii="Times New Roman" w:hAnsi="Times New Roman" w:eastAsia="Times New Roman" w:cs="Times New Roman"/>
          <w:color w:val="auto"/>
          <w:spacing w:val="-3"/>
          <w:sz w:val="24"/>
          <w:szCs w:val="24"/>
          <w:highlight w:val="none"/>
        </w:rPr>
        <w:t>202</w:t>
      </w:r>
      <w:r>
        <w:rPr>
          <w:rFonts w:hint="eastAsia" w:ascii="Times New Roman" w:hAnsi="Times New Roman" w:eastAsia="宋体" w:cs="Times New Roman"/>
          <w:color w:val="auto"/>
          <w:spacing w:val="-3"/>
          <w:sz w:val="24"/>
          <w:szCs w:val="24"/>
          <w:highlight w:val="none"/>
          <w:lang w:val="en-US" w:eastAsia="zh-CN"/>
        </w:rPr>
        <w:t>4</w:t>
      </w:r>
      <w:r>
        <w:rPr>
          <w:rFonts w:hint="default" w:ascii="Times New Roman" w:hAnsi="Times New Roman" w:eastAsia="宋体" w:cs="Times New Roman"/>
          <w:color w:val="auto"/>
          <w:spacing w:val="-3"/>
          <w:sz w:val="24"/>
          <w:szCs w:val="24"/>
          <w:highlight w:val="none"/>
        </w:rPr>
        <w:t>年</w:t>
      </w:r>
      <w:r>
        <w:rPr>
          <w:rFonts w:hint="eastAsia" w:ascii="Times New Roman" w:hAnsi="Times New Roman" w:eastAsia="宋体" w:cs="Times New Roman"/>
          <w:color w:val="auto"/>
          <w:spacing w:val="-3"/>
          <w:sz w:val="24"/>
          <w:szCs w:val="24"/>
          <w:highlight w:val="none"/>
          <w:lang w:val="en-US" w:eastAsia="zh-CN"/>
        </w:rPr>
        <w:t>上半年</w:t>
      </w:r>
      <w:r>
        <w:rPr>
          <w:rFonts w:hint="default" w:ascii="Times New Roman" w:hAnsi="Times New Roman" w:eastAsia="宋体" w:cs="Times New Roman"/>
          <w:color w:val="auto"/>
          <w:spacing w:val="-3"/>
          <w:sz w:val="24"/>
          <w:szCs w:val="24"/>
          <w:highlight w:val="none"/>
        </w:rPr>
        <w:t>南京市环境状况公报：</w:t>
      </w:r>
      <w:r>
        <w:rPr>
          <w:rFonts w:hint="default" w:ascii="Times New Roman" w:hAnsi="Times New Roman" w:eastAsia="宋体" w:cs="Times New Roman"/>
          <w:color w:val="auto"/>
          <w:sz w:val="24"/>
          <w:szCs w:val="24"/>
          <w:highlight w:val="none"/>
          <w:lang w:val="en-US" w:eastAsia="zh-CN"/>
        </w:rPr>
        <w:t>全市环境空气质量优良天数为146天，同比增加3天，优良率为80.2%，同比上升1.2个百分点。其中，优秀天数为47天，同比增加11天。污染天数为36天（其中，轻度污染31天，中度污染5天），主要污染物为O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和PM</w:t>
      </w:r>
      <w:r>
        <w:rPr>
          <w:rFonts w:hint="default" w:ascii="Times New Roman" w:hAnsi="Times New Roman" w:eastAsia="宋体" w:cs="Times New Roman"/>
          <w:color w:val="auto"/>
          <w:sz w:val="24"/>
          <w:szCs w:val="24"/>
          <w:highlight w:val="none"/>
          <w:vertAlign w:val="subscript"/>
          <w:lang w:val="en-US" w:eastAsia="zh-CN"/>
        </w:rPr>
        <w:t>2.5</w:t>
      </w:r>
      <w:r>
        <w:rPr>
          <w:rFonts w:hint="default" w:ascii="Times New Roman" w:hAnsi="Times New Roman" w:eastAsia="宋体" w:cs="Times New Roman"/>
          <w:color w:val="auto"/>
          <w:sz w:val="24"/>
          <w:szCs w:val="24"/>
          <w:highlight w:val="none"/>
          <w:lang w:val="en-US" w:eastAsia="zh-CN"/>
        </w:rPr>
        <w:t>。</w:t>
      </w:r>
      <w:bookmarkStart w:id="1195" w:name="sys449813043"/>
      <w:r>
        <w:rPr>
          <w:rFonts w:hint="default" w:ascii="Times New Roman" w:hAnsi="Times New Roman" w:eastAsia="宋体" w:cs="Times New Roman"/>
          <w:color w:val="auto"/>
          <w:sz w:val="24"/>
          <w:szCs w:val="24"/>
          <w:highlight w:val="none"/>
          <w:lang w:val="en-US" w:eastAsia="zh-CN"/>
        </w:rPr>
        <w:t>各项污染物指标监测结果：PM</w:t>
      </w:r>
      <w:r>
        <w:rPr>
          <w:rFonts w:hint="default" w:ascii="Times New Roman" w:hAnsi="Times New Roman" w:eastAsia="宋体" w:cs="Times New Roman"/>
          <w:color w:val="auto"/>
          <w:sz w:val="24"/>
          <w:szCs w:val="24"/>
          <w:highlight w:val="none"/>
          <w:vertAlign w:val="subscript"/>
          <w:lang w:val="en-US" w:eastAsia="zh-CN"/>
        </w:rPr>
        <w:t>2.5</w:t>
      </w:r>
      <w:r>
        <w:rPr>
          <w:rFonts w:hint="default" w:ascii="Times New Roman" w:hAnsi="Times New Roman" w:eastAsia="宋体" w:cs="Times New Roman"/>
          <w:color w:val="auto"/>
          <w:sz w:val="24"/>
          <w:szCs w:val="24"/>
          <w:highlight w:val="none"/>
          <w:lang w:val="en-US" w:eastAsia="zh-CN"/>
        </w:rPr>
        <w:t>平均值为34.0μg/m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，同比上升9.7%，达标；</w:t>
      </w:r>
      <w:bookmarkEnd w:id="1195"/>
      <w:r>
        <w:rPr>
          <w:rFonts w:hint="default" w:ascii="Times New Roman" w:hAnsi="Times New Roman" w:eastAsia="宋体" w:cs="Times New Roman"/>
          <w:color w:val="auto"/>
          <w:sz w:val="24"/>
          <w:szCs w:val="24"/>
          <w:highlight w:val="none"/>
          <w:lang w:val="en-US" w:eastAsia="zh-CN"/>
        </w:rPr>
        <w:t>PM</w:t>
      </w:r>
      <w:r>
        <w:rPr>
          <w:rFonts w:hint="default" w:ascii="Times New Roman" w:hAnsi="Times New Roman" w:eastAsia="宋体" w:cs="Times New Roman"/>
          <w:color w:val="auto"/>
          <w:sz w:val="24"/>
          <w:szCs w:val="24"/>
          <w:highlight w:val="none"/>
          <w:vertAlign w:val="subscript"/>
          <w:lang w:val="en-US" w:eastAsia="zh-CN"/>
        </w:rPr>
        <w:t>10</w:t>
      </w:r>
      <w:r>
        <w:rPr>
          <w:rFonts w:hint="default" w:ascii="Times New Roman" w:hAnsi="Times New Roman" w:eastAsia="宋体" w:cs="Times New Roman"/>
          <w:color w:val="auto"/>
          <w:sz w:val="24"/>
          <w:szCs w:val="24"/>
          <w:highlight w:val="none"/>
          <w:lang w:val="en-US" w:eastAsia="zh-CN"/>
        </w:rPr>
        <w:t>平均值为53μg/m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，同比下降10.2%，达标；NO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平均值为26μg/m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，同比下降3.7%，达标；SO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平均值为6μg/m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，同比持平，达标；</w:t>
      </w:r>
      <w:bookmarkStart w:id="1196" w:name="sys449825136"/>
      <w:r>
        <w:rPr>
          <w:rFonts w:hint="default" w:ascii="Times New Roman" w:hAnsi="Times New Roman" w:eastAsia="宋体" w:cs="Times New Roman"/>
          <w:color w:val="auto"/>
          <w:sz w:val="24"/>
          <w:szCs w:val="24"/>
          <w:highlight w:val="none"/>
          <w:lang w:val="en-US" w:eastAsia="zh-CN"/>
        </w:rPr>
        <w:t>CO日均浓度第95百分位数为1.0mg/m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，同比上升11.1%，达标；</w:t>
      </w:r>
      <w:bookmarkEnd w:id="1196"/>
      <w:r>
        <w:rPr>
          <w:rFonts w:hint="default" w:ascii="Times New Roman" w:hAnsi="Times New Roman" w:eastAsia="宋体" w:cs="Times New Roman"/>
          <w:color w:val="auto"/>
          <w:sz w:val="24"/>
          <w:szCs w:val="24"/>
          <w:highlight w:val="none"/>
          <w:lang w:val="en-US" w:eastAsia="zh-CN"/>
        </w:rPr>
        <w:t>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日最大8小时值第90百分位浓度为177μg/m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，同比上升1.1%，超标天数25天，同比减少3天。</w:t>
      </w:r>
    </w:p>
    <w:p w14:paraId="69B0647A">
      <w:pPr>
        <w:keepNext w:val="0"/>
        <w:keepLines w:val="0"/>
        <w:pageBreakBefore w:val="0"/>
        <w:widowControl/>
        <w:kinsoku w:val="0"/>
        <w:wordWrap/>
        <w:overflowPunct/>
        <w:topLinePunct w:val="0"/>
        <w:autoSpaceDE w:val="0"/>
        <w:autoSpaceDN w:val="0"/>
        <w:bidi w:val="0"/>
        <w:adjustRightInd w:val="0"/>
        <w:snapToGrid w:val="0"/>
        <w:spacing w:before="66" w:line="240" w:lineRule="auto"/>
        <w:ind w:left="2699"/>
        <w:textAlignment w:val="baseline"/>
        <w:rPr>
          <w:color w:val="auto"/>
          <w:highlight w:val="none"/>
        </w:rPr>
      </w:pPr>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6.3-1</w:t>
      </w:r>
      <w:r>
        <w:rPr>
          <w:rFonts w:hint="eastAsia" w:ascii="Times New Roman" w:hAnsi="Times New Roman" w:eastAsia="宋体" w:cs="Times New Roman"/>
          <w:b/>
          <w:bCs/>
          <w:color w:val="auto"/>
          <w:spacing w:val="-2"/>
          <w:sz w:val="24"/>
          <w:szCs w:val="24"/>
          <w:highlight w:val="none"/>
          <w:lang w:val="en-US" w:eastAsia="zh-CN"/>
        </w:rPr>
        <w:t xml:space="preserve">  </w:t>
      </w:r>
      <w:r>
        <w:rPr>
          <w:rFonts w:ascii="宋体" w:hAnsi="宋体" w:eastAsia="宋体" w:cs="宋体"/>
          <w:b/>
          <w:bCs/>
          <w:color w:val="auto"/>
          <w:spacing w:val="-2"/>
          <w:sz w:val="24"/>
          <w:szCs w:val="24"/>
          <w:highlight w:val="none"/>
        </w:rPr>
        <w:t>达标区判定一览表</w:t>
      </w:r>
      <w:bookmarkStart w:id="1197" w:name="pindex4499"/>
      <w:bookmarkEnd w:id="1197"/>
    </w:p>
    <w:tbl>
      <w:tblPr>
        <w:tblStyle w:val="26"/>
        <w:tblW w:w="8300" w:type="dxa"/>
        <w:tblInd w:w="2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8"/>
        <w:gridCol w:w="1239"/>
        <w:gridCol w:w="1903"/>
        <w:gridCol w:w="1253"/>
        <w:gridCol w:w="1277"/>
        <w:gridCol w:w="994"/>
        <w:gridCol w:w="926"/>
      </w:tblGrid>
      <w:tr w14:paraId="3950AA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5" w:hRule="atLeast"/>
        </w:trPr>
        <w:tc>
          <w:tcPr>
            <w:tcW w:w="1947" w:type="dxa"/>
            <w:gridSpan w:val="2"/>
            <w:tcBorders>
              <w:top w:val="single" w:color="000000" w:sz="16" w:space="0"/>
              <w:left w:val="nil"/>
            </w:tcBorders>
            <w:vAlign w:val="center"/>
          </w:tcPr>
          <w:p w14:paraId="487CEF68">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1903" w:type="dxa"/>
            <w:tcBorders>
              <w:top w:val="single" w:color="000000" w:sz="16" w:space="0"/>
            </w:tcBorders>
            <w:vAlign w:val="center"/>
          </w:tcPr>
          <w:p w14:paraId="04534AF3">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年评价指标</w:t>
            </w:r>
          </w:p>
        </w:tc>
        <w:tc>
          <w:tcPr>
            <w:tcW w:w="1253" w:type="dxa"/>
            <w:tcBorders>
              <w:top w:val="single" w:color="000000" w:sz="16" w:space="0"/>
            </w:tcBorders>
            <w:vAlign w:val="center"/>
          </w:tcPr>
          <w:p w14:paraId="5D7D707D">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现状浓度</w:t>
            </w:r>
            <w:r>
              <w:rPr>
                <w:rFonts w:hint="eastAsia"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μg/m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1277" w:type="dxa"/>
            <w:tcBorders>
              <w:top w:val="single" w:color="000000" w:sz="16" w:space="0"/>
            </w:tcBorders>
            <w:vAlign w:val="center"/>
          </w:tcPr>
          <w:p w14:paraId="56DD30EB">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w:t>
            </w:r>
          </w:p>
          <w:p w14:paraId="78181242">
            <w:pPr>
              <w:bidi w:val="0"/>
              <w:jc w:val="center"/>
              <w:rPr>
                <w:rFonts w:hint="default"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μg/m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994" w:type="dxa"/>
            <w:tcBorders>
              <w:top w:val="single" w:color="000000" w:sz="16" w:space="0"/>
            </w:tcBorders>
            <w:vAlign w:val="center"/>
          </w:tcPr>
          <w:p w14:paraId="7BF1A6BB">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占标率</w:t>
            </w:r>
          </w:p>
          <w:p w14:paraId="19B0EF2F">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w:t>
            </w:r>
          </w:p>
        </w:tc>
        <w:tc>
          <w:tcPr>
            <w:tcW w:w="926" w:type="dxa"/>
            <w:tcBorders>
              <w:top w:val="single" w:color="000000" w:sz="16" w:space="0"/>
              <w:right w:val="nil"/>
            </w:tcBorders>
            <w:vAlign w:val="center"/>
          </w:tcPr>
          <w:p w14:paraId="5825B4C4">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达标情况</w:t>
            </w:r>
          </w:p>
        </w:tc>
      </w:tr>
      <w:tr w14:paraId="2C7789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 w:hRule="atLeast"/>
        </w:trPr>
        <w:tc>
          <w:tcPr>
            <w:tcW w:w="708" w:type="dxa"/>
            <w:vMerge w:val="restart"/>
            <w:tcBorders>
              <w:left w:val="nil"/>
              <w:bottom w:val="nil"/>
            </w:tcBorders>
            <w:vAlign w:val="center"/>
          </w:tcPr>
          <w:p w14:paraId="5C8023C1">
            <w:pPr>
              <w:bidi w:val="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202</w:t>
            </w: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w:t>
            </w:r>
            <w:r>
              <w:rPr>
                <w:rFonts w:hint="eastAsia" w:ascii="Times New Roman" w:hAnsi="Times New Roman" w:eastAsia="宋体" w:cs="Times New Roman"/>
                <w:color w:val="auto"/>
                <w:sz w:val="21"/>
                <w:szCs w:val="21"/>
                <w:highlight w:val="none"/>
                <w:lang w:val="en-US" w:eastAsia="zh-CN"/>
              </w:rPr>
              <w:t>上半年</w:t>
            </w:r>
          </w:p>
        </w:tc>
        <w:tc>
          <w:tcPr>
            <w:tcW w:w="1239" w:type="dxa"/>
            <w:vAlign w:val="center"/>
          </w:tcPr>
          <w:p w14:paraId="0B584A9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903" w:type="dxa"/>
            <w:vAlign w:val="center"/>
          </w:tcPr>
          <w:p w14:paraId="13BCCF0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253" w:type="dxa"/>
            <w:vAlign w:val="center"/>
          </w:tcPr>
          <w:p w14:paraId="6AF9A7E0">
            <w:pPr>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6</w:t>
            </w:r>
          </w:p>
        </w:tc>
        <w:tc>
          <w:tcPr>
            <w:tcW w:w="1277" w:type="dxa"/>
            <w:vAlign w:val="center"/>
          </w:tcPr>
          <w:p w14:paraId="63EDB9C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994" w:type="dxa"/>
            <w:vAlign w:val="center"/>
          </w:tcPr>
          <w:p w14:paraId="12CDACA2">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w:t>
            </w:r>
          </w:p>
        </w:tc>
        <w:tc>
          <w:tcPr>
            <w:tcW w:w="926" w:type="dxa"/>
            <w:tcBorders>
              <w:right w:val="nil"/>
            </w:tcBorders>
            <w:vAlign w:val="center"/>
          </w:tcPr>
          <w:p w14:paraId="5D7C15D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2EF257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4" w:hRule="atLeast"/>
        </w:trPr>
        <w:tc>
          <w:tcPr>
            <w:tcW w:w="708" w:type="dxa"/>
            <w:vMerge w:val="continue"/>
            <w:tcBorders>
              <w:top w:val="nil"/>
              <w:left w:val="nil"/>
              <w:bottom w:val="nil"/>
            </w:tcBorders>
            <w:vAlign w:val="center"/>
          </w:tcPr>
          <w:p w14:paraId="6F4C54FA">
            <w:pPr>
              <w:bidi w:val="0"/>
              <w:jc w:val="center"/>
              <w:rPr>
                <w:rFonts w:hint="default" w:ascii="Times New Roman" w:hAnsi="Times New Roman" w:eastAsia="宋体" w:cs="Times New Roman"/>
                <w:color w:val="auto"/>
                <w:sz w:val="21"/>
                <w:szCs w:val="21"/>
                <w:highlight w:val="none"/>
              </w:rPr>
            </w:pPr>
          </w:p>
        </w:tc>
        <w:tc>
          <w:tcPr>
            <w:tcW w:w="1239" w:type="dxa"/>
            <w:vAlign w:val="center"/>
          </w:tcPr>
          <w:p w14:paraId="5D66E704">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903" w:type="dxa"/>
            <w:vAlign w:val="center"/>
          </w:tcPr>
          <w:p w14:paraId="50EB604E">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253" w:type="dxa"/>
            <w:vAlign w:val="center"/>
          </w:tcPr>
          <w:p w14:paraId="7797CA43">
            <w:pPr>
              <w:bidi w:val="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w:t>
            </w:r>
            <w:r>
              <w:rPr>
                <w:rFonts w:hint="eastAsia" w:ascii="Times New Roman" w:hAnsi="Times New Roman" w:eastAsia="宋体" w:cs="Times New Roman"/>
                <w:color w:val="auto"/>
                <w:sz w:val="21"/>
                <w:szCs w:val="21"/>
                <w:highlight w:val="none"/>
                <w:lang w:val="en-US" w:eastAsia="zh-CN"/>
              </w:rPr>
              <w:t>6</w:t>
            </w:r>
          </w:p>
        </w:tc>
        <w:tc>
          <w:tcPr>
            <w:tcW w:w="1277" w:type="dxa"/>
            <w:vAlign w:val="center"/>
          </w:tcPr>
          <w:p w14:paraId="1DAD5E1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994" w:type="dxa"/>
            <w:vAlign w:val="center"/>
          </w:tcPr>
          <w:p w14:paraId="329BA0B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w:t>
            </w:r>
          </w:p>
        </w:tc>
        <w:tc>
          <w:tcPr>
            <w:tcW w:w="926" w:type="dxa"/>
            <w:tcBorders>
              <w:right w:val="nil"/>
            </w:tcBorders>
            <w:vAlign w:val="center"/>
          </w:tcPr>
          <w:p w14:paraId="02D847C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0691FB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08" w:type="dxa"/>
            <w:vMerge w:val="continue"/>
            <w:tcBorders>
              <w:top w:val="nil"/>
              <w:left w:val="nil"/>
              <w:bottom w:val="nil"/>
            </w:tcBorders>
            <w:vAlign w:val="center"/>
          </w:tcPr>
          <w:p w14:paraId="642D78B3">
            <w:pPr>
              <w:bidi w:val="0"/>
              <w:jc w:val="center"/>
              <w:rPr>
                <w:rFonts w:hint="default" w:ascii="Times New Roman" w:hAnsi="Times New Roman" w:eastAsia="宋体" w:cs="Times New Roman"/>
                <w:color w:val="auto"/>
                <w:sz w:val="21"/>
                <w:szCs w:val="21"/>
                <w:highlight w:val="none"/>
              </w:rPr>
            </w:pPr>
          </w:p>
        </w:tc>
        <w:tc>
          <w:tcPr>
            <w:tcW w:w="1239" w:type="dxa"/>
            <w:vAlign w:val="center"/>
          </w:tcPr>
          <w:p w14:paraId="02B841E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1903" w:type="dxa"/>
            <w:vAlign w:val="center"/>
          </w:tcPr>
          <w:p w14:paraId="0F07442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253" w:type="dxa"/>
            <w:vAlign w:val="center"/>
          </w:tcPr>
          <w:p w14:paraId="61E5417A">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53</w:t>
            </w:r>
          </w:p>
        </w:tc>
        <w:tc>
          <w:tcPr>
            <w:tcW w:w="1277" w:type="dxa"/>
            <w:vAlign w:val="center"/>
          </w:tcPr>
          <w:p w14:paraId="7014EF4D">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994" w:type="dxa"/>
            <w:vAlign w:val="center"/>
          </w:tcPr>
          <w:p w14:paraId="4CB7BCD4">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r>
              <w:rPr>
                <w:rFonts w:hint="eastAsia" w:ascii="Times New Roman" w:hAnsi="Times New Roman" w:eastAsia="宋体" w:cs="Times New Roman"/>
                <w:color w:val="auto"/>
                <w:sz w:val="21"/>
                <w:szCs w:val="21"/>
                <w:highlight w:val="none"/>
                <w:lang w:val="en-US" w:eastAsia="zh-CN"/>
              </w:rPr>
              <w:t>5.7</w:t>
            </w:r>
            <w:r>
              <w:rPr>
                <w:rFonts w:hint="default" w:ascii="Times New Roman" w:hAnsi="Times New Roman" w:eastAsia="宋体" w:cs="Times New Roman"/>
                <w:color w:val="auto"/>
                <w:sz w:val="21"/>
                <w:szCs w:val="21"/>
                <w:highlight w:val="none"/>
              </w:rPr>
              <w:t>%</w:t>
            </w:r>
          </w:p>
        </w:tc>
        <w:tc>
          <w:tcPr>
            <w:tcW w:w="926" w:type="dxa"/>
            <w:tcBorders>
              <w:right w:val="nil"/>
            </w:tcBorders>
            <w:vAlign w:val="center"/>
          </w:tcPr>
          <w:p w14:paraId="77BEAD0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679E76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08" w:type="dxa"/>
            <w:vMerge w:val="continue"/>
            <w:tcBorders>
              <w:top w:val="nil"/>
              <w:left w:val="nil"/>
              <w:bottom w:val="nil"/>
            </w:tcBorders>
            <w:vAlign w:val="center"/>
          </w:tcPr>
          <w:p w14:paraId="093D3708">
            <w:pPr>
              <w:bidi w:val="0"/>
              <w:jc w:val="center"/>
              <w:rPr>
                <w:rFonts w:hint="default" w:ascii="Times New Roman" w:hAnsi="Times New Roman" w:eastAsia="宋体" w:cs="Times New Roman"/>
                <w:color w:val="auto"/>
                <w:sz w:val="21"/>
                <w:szCs w:val="21"/>
                <w:highlight w:val="none"/>
              </w:rPr>
            </w:pPr>
          </w:p>
        </w:tc>
        <w:tc>
          <w:tcPr>
            <w:tcW w:w="1239" w:type="dxa"/>
            <w:vAlign w:val="center"/>
          </w:tcPr>
          <w:p w14:paraId="6B5E2E1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1903" w:type="dxa"/>
            <w:vAlign w:val="center"/>
          </w:tcPr>
          <w:p w14:paraId="7D445480">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253" w:type="dxa"/>
            <w:vAlign w:val="center"/>
          </w:tcPr>
          <w:p w14:paraId="0C3F7AB2">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34</w:t>
            </w:r>
          </w:p>
        </w:tc>
        <w:tc>
          <w:tcPr>
            <w:tcW w:w="1277" w:type="dxa"/>
            <w:vAlign w:val="center"/>
          </w:tcPr>
          <w:p w14:paraId="0F8A7A5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994" w:type="dxa"/>
            <w:vAlign w:val="center"/>
          </w:tcPr>
          <w:p w14:paraId="347A8E79">
            <w:pPr>
              <w:bidi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97.1</w:t>
            </w:r>
            <w:r>
              <w:rPr>
                <w:rFonts w:hint="default" w:ascii="Times New Roman" w:hAnsi="Times New Roman" w:eastAsia="宋体" w:cs="Times New Roman"/>
                <w:color w:val="auto"/>
                <w:sz w:val="21"/>
                <w:szCs w:val="21"/>
                <w:highlight w:val="none"/>
              </w:rPr>
              <w:t>%</w:t>
            </w:r>
          </w:p>
        </w:tc>
        <w:tc>
          <w:tcPr>
            <w:tcW w:w="926" w:type="dxa"/>
            <w:tcBorders>
              <w:right w:val="nil"/>
            </w:tcBorders>
            <w:vAlign w:val="center"/>
          </w:tcPr>
          <w:p w14:paraId="157C3B70">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02FAF1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9" w:hRule="atLeast"/>
        </w:trPr>
        <w:tc>
          <w:tcPr>
            <w:tcW w:w="708" w:type="dxa"/>
            <w:vMerge w:val="continue"/>
            <w:tcBorders>
              <w:top w:val="nil"/>
              <w:left w:val="nil"/>
              <w:bottom w:val="nil"/>
            </w:tcBorders>
            <w:vAlign w:val="center"/>
          </w:tcPr>
          <w:p w14:paraId="5B660074">
            <w:pPr>
              <w:bidi w:val="0"/>
              <w:jc w:val="center"/>
              <w:rPr>
                <w:rFonts w:hint="default" w:ascii="Times New Roman" w:hAnsi="Times New Roman" w:eastAsia="宋体" w:cs="Times New Roman"/>
                <w:color w:val="auto"/>
                <w:sz w:val="21"/>
                <w:szCs w:val="21"/>
                <w:highlight w:val="none"/>
              </w:rPr>
            </w:pPr>
          </w:p>
        </w:tc>
        <w:tc>
          <w:tcPr>
            <w:tcW w:w="1239" w:type="dxa"/>
            <w:vAlign w:val="center"/>
          </w:tcPr>
          <w:p w14:paraId="15877E9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c>
          <w:tcPr>
            <w:tcW w:w="1903" w:type="dxa"/>
            <w:vAlign w:val="center"/>
          </w:tcPr>
          <w:p w14:paraId="22081012">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90百分位8h均值</w:t>
            </w:r>
          </w:p>
        </w:tc>
        <w:tc>
          <w:tcPr>
            <w:tcW w:w="1253" w:type="dxa"/>
            <w:vAlign w:val="center"/>
          </w:tcPr>
          <w:p w14:paraId="41530232">
            <w:pPr>
              <w:bidi w:val="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17</w:t>
            </w:r>
            <w:r>
              <w:rPr>
                <w:rFonts w:hint="eastAsia" w:ascii="Times New Roman" w:hAnsi="Times New Roman" w:eastAsia="宋体" w:cs="Times New Roman"/>
                <w:color w:val="auto"/>
                <w:sz w:val="21"/>
                <w:szCs w:val="21"/>
                <w:highlight w:val="none"/>
                <w:lang w:val="en-US" w:eastAsia="zh-CN"/>
              </w:rPr>
              <w:t>7</w:t>
            </w:r>
          </w:p>
        </w:tc>
        <w:tc>
          <w:tcPr>
            <w:tcW w:w="1277" w:type="dxa"/>
            <w:vAlign w:val="center"/>
          </w:tcPr>
          <w:p w14:paraId="5D839104">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160</w:t>
            </w:r>
          </w:p>
        </w:tc>
        <w:tc>
          <w:tcPr>
            <w:tcW w:w="994" w:type="dxa"/>
            <w:vAlign w:val="center"/>
          </w:tcPr>
          <w:p w14:paraId="0BEE415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eastAsia" w:ascii="Times New Roman" w:hAnsi="Times New Roman" w:eastAsia="宋体" w:cs="Times New Roman"/>
                <w:color w:val="auto"/>
                <w:sz w:val="21"/>
                <w:szCs w:val="21"/>
                <w:highlight w:val="none"/>
                <w:lang w:val="en-US" w:eastAsia="zh-CN"/>
              </w:rPr>
              <w:t>11</w:t>
            </w:r>
            <w:r>
              <w:rPr>
                <w:rFonts w:hint="default" w:ascii="Times New Roman" w:hAnsi="Times New Roman" w:eastAsia="宋体" w:cs="Times New Roman"/>
                <w:color w:val="auto"/>
                <w:sz w:val="21"/>
                <w:szCs w:val="21"/>
                <w:highlight w:val="none"/>
              </w:rPr>
              <w:t>%</w:t>
            </w:r>
          </w:p>
        </w:tc>
        <w:tc>
          <w:tcPr>
            <w:tcW w:w="926" w:type="dxa"/>
            <w:tcBorders>
              <w:right w:val="nil"/>
            </w:tcBorders>
            <w:vAlign w:val="center"/>
          </w:tcPr>
          <w:p w14:paraId="34302A4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不达标</w:t>
            </w:r>
          </w:p>
        </w:tc>
      </w:tr>
      <w:tr w14:paraId="4C7D98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trPr>
        <w:tc>
          <w:tcPr>
            <w:tcW w:w="708" w:type="dxa"/>
            <w:vMerge w:val="continue"/>
            <w:tcBorders>
              <w:top w:val="nil"/>
              <w:left w:val="nil"/>
              <w:bottom w:val="single" w:color="000000" w:sz="16" w:space="0"/>
            </w:tcBorders>
            <w:vAlign w:val="center"/>
          </w:tcPr>
          <w:p w14:paraId="00536627">
            <w:pPr>
              <w:bidi w:val="0"/>
              <w:jc w:val="center"/>
              <w:rPr>
                <w:rFonts w:hint="default" w:ascii="Times New Roman" w:hAnsi="Times New Roman" w:eastAsia="宋体" w:cs="Times New Roman"/>
                <w:color w:val="auto"/>
                <w:sz w:val="21"/>
                <w:szCs w:val="21"/>
                <w:highlight w:val="none"/>
              </w:rPr>
            </w:pPr>
          </w:p>
        </w:tc>
        <w:tc>
          <w:tcPr>
            <w:tcW w:w="1239" w:type="dxa"/>
            <w:tcBorders>
              <w:bottom w:val="single" w:color="000000" w:sz="16" w:space="0"/>
            </w:tcBorders>
            <w:vAlign w:val="center"/>
          </w:tcPr>
          <w:p w14:paraId="3E5688E2">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p w14:paraId="61FCC14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1903" w:type="dxa"/>
            <w:tcBorders>
              <w:bottom w:val="single" w:color="000000" w:sz="16" w:space="0"/>
            </w:tcBorders>
            <w:vAlign w:val="center"/>
          </w:tcPr>
          <w:p w14:paraId="5533D83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95百分位日均值</w:t>
            </w:r>
          </w:p>
        </w:tc>
        <w:tc>
          <w:tcPr>
            <w:tcW w:w="1253" w:type="dxa"/>
            <w:tcBorders>
              <w:bottom w:val="single" w:color="000000" w:sz="16" w:space="0"/>
            </w:tcBorders>
            <w:vAlign w:val="center"/>
          </w:tcPr>
          <w:p w14:paraId="0DB01AF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1277" w:type="dxa"/>
            <w:tcBorders>
              <w:bottom w:val="single" w:color="000000" w:sz="16" w:space="0"/>
            </w:tcBorders>
            <w:vAlign w:val="center"/>
          </w:tcPr>
          <w:p w14:paraId="40344B6D">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994" w:type="dxa"/>
            <w:tcBorders>
              <w:bottom w:val="single" w:color="000000" w:sz="16" w:space="0"/>
            </w:tcBorders>
            <w:vAlign w:val="center"/>
          </w:tcPr>
          <w:p w14:paraId="7200380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w:t>
            </w:r>
          </w:p>
        </w:tc>
        <w:tc>
          <w:tcPr>
            <w:tcW w:w="926" w:type="dxa"/>
            <w:tcBorders>
              <w:bottom w:val="single" w:color="000000" w:sz="16" w:space="0"/>
              <w:right w:val="nil"/>
            </w:tcBorders>
            <w:vAlign w:val="center"/>
          </w:tcPr>
          <w:p w14:paraId="7518C7B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bl>
    <w:p w14:paraId="16A12BFE">
      <w:pPr>
        <w:keepNext w:val="0"/>
        <w:keepLines w:val="0"/>
        <w:pageBreakBefore w:val="0"/>
        <w:widowControl/>
        <w:kinsoku w:val="0"/>
        <w:wordWrap/>
        <w:overflowPunct/>
        <w:topLinePunct w:val="0"/>
        <w:autoSpaceDE w:val="0"/>
        <w:autoSpaceDN w:val="0"/>
        <w:bidi w:val="0"/>
        <w:adjustRightInd w:val="0"/>
        <w:snapToGrid w:val="0"/>
        <w:spacing w:before="36" w:line="360" w:lineRule="auto"/>
        <w:ind w:firstLine="496" w:firstLineChars="200"/>
        <w:textAlignment w:val="baseline"/>
        <w:outlineLvl w:val="9"/>
        <w:rPr>
          <w:rFonts w:hint="default" w:ascii="Times New Roman" w:hAnsi="Times New Roman" w:eastAsia="宋体" w:cs="Times New Roman"/>
          <w:color w:val="auto"/>
          <w:spacing w:val="4"/>
          <w:sz w:val="24"/>
          <w:szCs w:val="24"/>
          <w:highlight w:val="none"/>
        </w:rPr>
      </w:pPr>
      <w:r>
        <w:rPr>
          <w:rFonts w:hint="default" w:ascii="Times New Roman" w:hAnsi="Times New Roman" w:eastAsia="宋体" w:cs="Times New Roman"/>
          <w:color w:val="auto"/>
          <w:spacing w:val="4"/>
          <w:sz w:val="24"/>
          <w:szCs w:val="24"/>
          <w:highlight w:val="none"/>
        </w:rPr>
        <w:t>根据《202</w:t>
      </w:r>
      <w:r>
        <w:rPr>
          <w:rFonts w:hint="eastAsia" w:ascii="Times New Roman" w:hAnsi="Times New Roman" w:eastAsia="宋体" w:cs="Times New Roman"/>
          <w:color w:val="auto"/>
          <w:spacing w:val="4"/>
          <w:sz w:val="24"/>
          <w:szCs w:val="24"/>
          <w:highlight w:val="none"/>
          <w:lang w:val="en-US" w:eastAsia="zh-CN"/>
        </w:rPr>
        <w:t>4</w:t>
      </w:r>
      <w:r>
        <w:rPr>
          <w:rFonts w:hint="default" w:ascii="Times New Roman" w:hAnsi="Times New Roman" w:eastAsia="宋体" w:cs="Times New Roman"/>
          <w:color w:val="auto"/>
          <w:spacing w:val="4"/>
          <w:sz w:val="24"/>
          <w:szCs w:val="24"/>
          <w:highlight w:val="none"/>
        </w:rPr>
        <w:t>年</w:t>
      </w:r>
      <w:r>
        <w:rPr>
          <w:rFonts w:hint="eastAsia" w:ascii="Times New Roman" w:hAnsi="Times New Roman" w:eastAsia="宋体" w:cs="Times New Roman"/>
          <w:color w:val="auto"/>
          <w:spacing w:val="4"/>
          <w:sz w:val="24"/>
          <w:szCs w:val="24"/>
          <w:highlight w:val="none"/>
          <w:lang w:val="en-US" w:eastAsia="zh-CN"/>
        </w:rPr>
        <w:t>上半年</w:t>
      </w:r>
      <w:r>
        <w:rPr>
          <w:rFonts w:hint="default" w:ascii="Times New Roman" w:hAnsi="Times New Roman" w:eastAsia="宋体" w:cs="Times New Roman"/>
          <w:color w:val="auto"/>
          <w:spacing w:val="4"/>
          <w:sz w:val="24"/>
          <w:szCs w:val="24"/>
          <w:highlight w:val="none"/>
        </w:rPr>
        <w:t>南京市生态环境状况公报》，评价区域为不达标区。</w:t>
      </w:r>
    </w:p>
    <w:p w14:paraId="745414DF">
      <w:pPr>
        <w:keepNext w:val="0"/>
        <w:keepLines w:val="0"/>
        <w:pageBreakBefore w:val="0"/>
        <w:widowControl/>
        <w:kinsoku w:val="0"/>
        <w:wordWrap/>
        <w:overflowPunct/>
        <w:topLinePunct w:val="0"/>
        <w:autoSpaceDE w:val="0"/>
        <w:autoSpaceDN w:val="0"/>
        <w:bidi w:val="0"/>
        <w:adjustRightInd w:val="0"/>
        <w:snapToGrid w:val="0"/>
        <w:spacing w:before="36" w:line="360" w:lineRule="auto"/>
        <w:ind w:firstLine="496" w:firstLineChars="200"/>
        <w:textAlignment w:val="baseline"/>
        <w:outlineLvl w:val="9"/>
        <w:rPr>
          <w:rFonts w:hint="eastAsia" w:ascii="Times New Roman" w:hAnsi="Times New Roman" w:eastAsia="宋体" w:cs="Times New Roman"/>
          <w:color w:val="auto"/>
          <w:spacing w:val="4"/>
          <w:sz w:val="24"/>
          <w:szCs w:val="24"/>
          <w:highlight w:val="none"/>
          <w:lang w:val="en-US" w:eastAsia="zh-CN"/>
        </w:rPr>
      </w:pPr>
      <w:r>
        <w:rPr>
          <w:rFonts w:hint="default" w:ascii="Times New Roman" w:hAnsi="Times New Roman" w:eastAsia="宋体" w:cs="Times New Roman"/>
          <w:color w:val="auto"/>
          <w:spacing w:val="4"/>
          <w:sz w:val="24"/>
          <w:szCs w:val="24"/>
          <w:highlight w:val="none"/>
          <w:lang w:val="en-US" w:eastAsia="zh-CN"/>
        </w:rPr>
        <w:t>评估范围内设置1座大气自动监测站（九龙湖大气自动监测站）</w:t>
      </w:r>
      <w:r>
        <w:rPr>
          <w:rFonts w:hint="eastAsia" w:ascii="Times New Roman" w:hAnsi="Times New Roman" w:eastAsia="宋体" w:cs="Times New Roman"/>
          <w:color w:val="auto"/>
          <w:spacing w:val="4"/>
          <w:sz w:val="24"/>
          <w:szCs w:val="24"/>
          <w:highlight w:val="none"/>
          <w:lang w:val="en-US" w:eastAsia="zh-CN"/>
        </w:rPr>
        <w:t>，近期大气自动监测站数据情况如下：</w:t>
      </w:r>
    </w:p>
    <w:p w14:paraId="7A817E31">
      <w:pPr>
        <w:keepNext w:val="0"/>
        <w:keepLines w:val="0"/>
        <w:pageBreakBefore w:val="0"/>
        <w:widowControl/>
        <w:kinsoku w:val="0"/>
        <w:wordWrap/>
        <w:overflowPunct/>
        <w:topLinePunct w:val="0"/>
        <w:autoSpaceDE w:val="0"/>
        <w:autoSpaceDN w:val="0"/>
        <w:bidi w:val="0"/>
        <w:adjustRightInd w:val="0"/>
        <w:snapToGrid w:val="0"/>
        <w:spacing w:before="36" w:line="240" w:lineRule="auto"/>
        <w:jc w:val="center"/>
        <w:textAlignment w:val="baseline"/>
        <w:outlineLvl w:val="9"/>
        <w:rPr>
          <w:rFonts w:hint="eastAsia" w:ascii="Times New Roman" w:hAnsi="Times New Roman" w:eastAsia="宋体" w:cs="Times New Roman"/>
          <w:b/>
          <w:bCs/>
          <w:color w:val="auto"/>
          <w:spacing w:val="4"/>
          <w:sz w:val="24"/>
          <w:szCs w:val="24"/>
          <w:highlight w:val="none"/>
          <w:lang w:val="en-US" w:eastAsia="zh-CN"/>
        </w:rPr>
      </w:pPr>
      <w:r>
        <w:rPr>
          <w:rFonts w:hint="eastAsia" w:ascii="Times New Roman" w:hAnsi="Times New Roman" w:eastAsia="宋体" w:cs="Times New Roman"/>
          <w:b/>
          <w:bCs/>
          <w:color w:val="auto"/>
          <w:spacing w:val="4"/>
          <w:sz w:val="24"/>
          <w:szCs w:val="24"/>
          <w:highlight w:val="none"/>
          <w:lang w:val="en-US" w:eastAsia="zh-CN"/>
        </w:rPr>
        <w:t>表6.3-2  九龙湖大气自动监测站近期数据情况</w:t>
      </w:r>
      <w:bookmarkStart w:id="1198" w:name="pindex4553"/>
      <w:bookmarkEnd w:id="1198"/>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5"/>
        <w:gridCol w:w="1225"/>
        <w:gridCol w:w="1225"/>
        <w:gridCol w:w="1225"/>
        <w:gridCol w:w="1225"/>
        <w:gridCol w:w="1225"/>
        <w:gridCol w:w="1225"/>
      </w:tblGrid>
      <w:tr w14:paraId="49C520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5" w:type="dxa"/>
            <w:vMerge w:val="restart"/>
            <w:tcBorders>
              <w:tl2br w:val="nil"/>
              <w:tr2bl w:val="nil"/>
            </w:tcBorders>
            <w:vAlign w:val="center"/>
          </w:tcPr>
          <w:p w14:paraId="620EDD79">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时间</w:t>
            </w:r>
          </w:p>
        </w:tc>
        <w:tc>
          <w:tcPr>
            <w:tcW w:w="7350" w:type="dxa"/>
            <w:gridSpan w:val="6"/>
            <w:tcBorders>
              <w:tl2br w:val="nil"/>
              <w:tr2bl w:val="nil"/>
            </w:tcBorders>
            <w:vAlign w:val="center"/>
          </w:tcPr>
          <w:p w14:paraId="12B819CF">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bCs/>
                <w:color w:val="auto"/>
                <w:spacing w:val="4"/>
                <w:sz w:val="21"/>
                <w:szCs w:val="21"/>
                <w:highlight w:val="none"/>
                <w:vertAlign w:val="baseline"/>
                <w:lang w:val="en-US" w:eastAsia="zh-CN"/>
              </w:rPr>
            </w:pPr>
            <w:r>
              <w:rPr>
                <w:rFonts w:hint="eastAsia" w:ascii="Times New Roman" w:hAnsi="Times New Roman" w:eastAsia="宋体" w:cs="Times New Roman"/>
                <w:b/>
                <w:bCs/>
                <w:color w:val="auto"/>
                <w:spacing w:val="4"/>
                <w:sz w:val="21"/>
                <w:szCs w:val="21"/>
                <w:highlight w:val="none"/>
                <w:vertAlign w:val="baseline"/>
                <w:lang w:val="en-US" w:eastAsia="zh-CN"/>
              </w:rPr>
              <w:t>监测因子浓度范围</w:t>
            </w:r>
          </w:p>
        </w:tc>
      </w:tr>
      <w:tr w14:paraId="09F00F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1225" w:type="dxa"/>
            <w:vMerge w:val="continue"/>
            <w:tcBorders>
              <w:tl2br w:val="nil"/>
              <w:tr2bl w:val="nil"/>
            </w:tcBorders>
            <w:vAlign w:val="center"/>
          </w:tcPr>
          <w:p w14:paraId="0D960813">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bCs/>
                <w:color w:val="auto"/>
                <w:spacing w:val="4"/>
                <w:sz w:val="21"/>
                <w:szCs w:val="21"/>
                <w:highlight w:val="none"/>
                <w:vertAlign w:val="baseline"/>
                <w:lang w:val="en-US" w:eastAsia="zh-CN"/>
              </w:rPr>
            </w:pPr>
          </w:p>
        </w:tc>
        <w:tc>
          <w:tcPr>
            <w:tcW w:w="1225" w:type="dxa"/>
            <w:tcBorders>
              <w:tl2br w:val="nil"/>
              <w:tr2bl w:val="nil"/>
            </w:tcBorders>
            <w:vAlign w:val="center"/>
          </w:tcPr>
          <w:p w14:paraId="537ECD19">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z w:val="21"/>
                <w:szCs w:val="21"/>
                <w:highlight w:val="none"/>
                <w:vertAlign w:val="subscript"/>
              </w:rPr>
            </w:pPr>
            <w:r>
              <w:rPr>
                <w:rFonts w:hint="default" w:ascii="Times New Roman" w:hAnsi="Times New Roman" w:eastAsia="宋体" w:cs="Times New Roman"/>
                <w:b w:val="0"/>
                <w:bCs w:val="0"/>
                <w:color w:val="auto"/>
                <w:sz w:val="21"/>
                <w:szCs w:val="21"/>
                <w:highlight w:val="none"/>
              </w:rPr>
              <w:t>SO</w:t>
            </w:r>
            <w:r>
              <w:rPr>
                <w:rFonts w:hint="default" w:ascii="Times New Roman" w:hAnsi="Times New Roman" w:eastAsia="宋体" w:cs="Times New Roman"/>
                <w:b w:val="0"/>
                <w:bCs w:val="0"/>
                <w:color w:val="auto"/>
                <w:sz w:val="21"/>
                <w:szCs w:val="21"/>
                <w:highlight w:val="none"/>
                <w:vertAlign w:val="subscript"/>
              </w:rPr>
              <w:t>2</w:t>
            </w:r>
          </w:p>
          <w:p w14:paraId="4313F767">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μg/m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w:t>
            </w:r>
          </w:p>
        </w:tc>
        <w:tc>
          <w:tcPr>
            <w:tcW w:w="1225" w:type="dxa"/>
            <w:tcBorders>
              <w:tl2br w:val="nil"/>
              <w:tr2bl w:val="nil"/>
            </w:tcBorders>
            <w:vAlign w:val="center"/>
          </w:tcPr>
          <w:p w14:paraId="42CD9204">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z w:val="21"/>
                <w:szCs w:val="21"/>
                <w:highlight w:val="none"/>
                <w:vertAlign w:val="subscript"/>
              </w:rPr>
            </w:pPr>
            <w:r>
              <w:rPr>
                <w:rFonts w:hint="default" w:ascii="Times New Roman" w:hAnsi="Times New Roman" w:eastAsia="宋体" w:cs="Times New Roman"/>
                <w:b w:val="0"/>
                <w:bCs w:val="0"/>
                <w:color w:val="auto"/>
                <w:sz w:val="21"/>
                <w:szCs w:val="21"/>
                <w:highlight w:val="none"/>
              </w:rPr>
              <w:t>NO</w:t>
            </w:r>
            <w:r>
              <w:rPr>
                <w:rFonts w:hint="default" w:ascii="Times New Roman" w:hAnsi="Times New Roman" w:eastAsia="宋体" w:cs="Times New Roman"/>
                <w:b w:val="0"/>
                <w:bCs w:val="0"/>
                <w:color w:val="auto"/>
                <w:sz w:val="21"/>
                <w:szCs w:val="21"/>
                <w:highlight w:val="none"/>
                <w:vertAlign w:val="subscript"/>
              </w:rPr>
              <w:t>2</w:t>
            </w:r>
          </w:p>
          <w:p w14:paraId="6503F4BC">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μg/m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w:t>
            </w:r>
          </w:p>
        </w:tc>
        <w:tc>
          <w:tcPr>
            <w:tcW w:w="1225" w:type="dxa"/>
            <w:tcBorders>
              <w:tl2br w:val="nil"/>
              <w:tr2bl w:val="nil"/>
            </w:tcBorders>
            <w:vAlign w:val="center"/>
          </w:tcPr>
          <w:p w14:paraId="46D45380">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z w:val="21"/>
                <w:szCs w:val="21"/>
                <w:highlight w:val="none"/>
                <w:vertAlign w:val="subscript"/>
              </w:rPr>
            </w:pPr>
            <w:r>
              <w:rPr>
                <w:rFonts w:hint="default" w:ascii="Times New Roman" w:hAnsi="Times New Roman" w:eastAsia="宋体" w:cs="Times New Roman"/>
                <w:b w:val="0"/>
                <w:bCs w:val="0"/>
                <w:color w:val="auto"/>
                <w:sz w:val="21"/>
                <w:szCs w:val="21"/>
                <w:highlight w:val="none"/>
              </w:rPr>
              <w:t>PM</w:t>
            </w:r>
            <w:r>
              <w:rPr>
                <w:rFonts w:hint="default" w:ascii="Times New Roman" w:hAnsi="Times New Roman" w:eastAsia="宋体" w:cs="Times New Roman"/>
                <w:b w:val="0"/>
                <w:bCs w:val="0"/>
                <w:color w:val="auto"/>
                <w:sz w:val="21"/>
                <w:szCs w:val="21"/>
                <w:highlight w:val="none"/>
                <w:vertAlign w:val="subscript"/>
              </w:rPr>
              <w:t>10</w:t>
            </w:r>
          </w:p>
          <w:p w14:paraId="4C95E791">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μg/m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w:t>
            </w:r>
          </w:p>
        </w:tc>
        <w:tc>
          <w:tcPr>
            <w:tcW w:w="1225" w:type="dxa"/>
            <w:tcBorders>
              <w:tl2br w:val="nil"/>
              <w:tr2bl w:val="nil"/>
            </w:tcBorders>
            <w:vAlign w:val="center"/>
          </w:tcPr>
          <w:p w14:paraId="54025267">
            <w:pPr>
              <w:widowControl w:val="0"/>
              <w:bidi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CO</w:t>
            </w:r>
          </w:p>
          <w:p w14:paraId="0C8AA4DA">
            <w:pPr>
              <w:widowControl w:val="0"/>
              <w:bidi w:val="0"/>
              <w:jc w:val="center"/>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（mg/m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w:t>
            </w:r>
          </w:p>
        </w:tc>
        <w:tc>
          <w:tcPr>
            <w:tcW w:w="1225" w:type="dxa"/>
            <w:tcBorders>
              <w:tl2br w:val="nil"/>
              <w:tr2bl w:val="nil"/>
            </w:tcBorders>
            <w:vAlign w:val="center"/>
          </w:tcPr>
          <w:p w14:paraId="248C570C">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z w:val="21"/>
                <w:szCs w:val="21"/>
                <w:highlight w:val="none"/>
                <w:vertAlign w:val="subscript"/>
              </w:rPr>
            </w:pPr>
            <w:r>
              <w:rPr>
                <w:rFonts w:hint="default" w:ascii="Times New Roman" w:hAnsi="Times New Roman" w:eastAsia="宋体" w:cs="Times New Roman"/>
                <w:b w:val="0"/>
                <w:bCs w:val="0"/>
                <w:color w:val="auto"/>
                <w:sz w:val="21"/>
                <w:szCs w:val="21"/>
                <w:highlight w:val="none"/>
              </w:rPr>
              <w:t>O</w:t>
            </w:r>
            <w:r>
              <w:rPr>
                <w:rFonts w:hint="default" w:ascii="Times New Roman" w:hAnsi="Times New Roman" w:eastAsia="宋体" w:cs="Times New Roman"/>
                <w:b w:val="0"/>
                <w:bCs w:val="0"/>
                <w:color w:val="auto"/>
                <w:sz w:val="21"/>
                <w:szCs w:val="21"/>
                <w:highlight w:val="none"/>
                <w:vertAlign w:val="subscript"/>
              </w:rPr>
              <w:t>3</w:t>
            </w:r>
          </w:p>
          <w:p w14:paraId="6ECB0721">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μg/m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w:t>
            </w:r>
          </w:p>
        </w:tc>
        <w:tc>
          <w:tcPr>
            <w:tcW w:w="1225" w:type="dxa"/>
            <w:tcBorders>
              <w:tl2br w:val="nil"/>
              <w:tr2bl w:val="nil"/>
            </w:tcBorders>
            <w:vAlign w:val="center"/>
          </w:tcPr>
          <w:p w14:paraId="409797A1">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z w:val="21"/>
                <w:szCs w:val="21"/>
                <w:highlight w:val="none"/>
                <w:vertAlign w:val="subscript"/>
              </w:rPr>
            </w:pPr>
            <w:r>
              <w:rPr>
                <w:rFonts w:hint="default" w:ascii="Times New Roman" w:hAnsi="Times New Roman" w:eastAsia="宋体" w:cs="Times New Roman"/>
                <w:b w:val="0"/>
                <w:bCs w:val="0"/>
                <w:color w:val="auto"/>
                <w:sz w:val="21"/>
                <w:szCs w:val="21"/>
                <w:highlight w:val="none"/>
              </w:rPr>
              <w:t>PM</w:t>
            </w:r>
            <w:r>
              <w:rPr>
                <w:rFonts w:hint="default" w:ascii="Times New Roman" w:hAnsi="Times New Roman" w:eastAsia="宋体" w:cs="Times New Roman"/>
                <w:b w:val="0"/>
                <w:bCs w:val="0"/>
                <w:color w:val="auto"/>
                <w:sz w:val="21"/>
                <w:szCs w:val="21"/>
                <w:highlight w:val="none"/>
                <w:vertAlign w:val="subscript"/>
              </w:rPr>
              <w:t>2.5</w:t>
            </w:r>
          </w:p>
          <w:p w14:paraId="11292713">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μg/m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w:t>
            </w:r>
          </w:p>
        </w:tc>
      </w:tr>
      <w:tr w14:paraId="0784B1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5" w:type="dxa"/>
            <w:vMerge w:val="continue"/>
            <w:tcBorders>
              <w:tl2br w:val="nil"/>
              <w:tr2bl w:val="nil"/>
            </w:tcBorders>
            <w:vAlign w:val="center"/>
          </w:tcPr>
          <w:p w14:paraId="3BCD0A9C">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p>
        </w:tc>
        <w:tc>
          <w:tcPr>
            <w:tcW w:w="1225" w:type="dxa"/>
            <w:tcBorders>
              <w:tl2br w:val="nil"/>
              <w:tr2bl w:val="nil"/>
            </w:tcBorders>
            <w:vAlign w:val="center"/>
          </w:tcPr>
          <w:p w14:paraId="3FBD771A">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24小时平均</w:t>
            </w:r>
          </w:p>
        </w:tc>
        <w:tc>
          <w:tcPr>
            <w:tcW w:w="1225" w:type="dxa"/>
            <w:tcBorders>
              <w:tl2br w:val="nil"/>
              <w:tr2bl w:val="nil"/>
            </w:tcBorders>
            <w:vAlign w:val="center"/>
          </w:tcPr>
          <w:p w14:paraId="555F44FB">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24小时平均</w:t>
            </w:r>
          </w:p>
        </w:tc>
        <w:tc>
          <w:tcPr>
            <w:tcW w:w="1225" w:type="dxa"/>
            <w:tcBorders>
              <w:tl2br w:val="nil"/>
              <w:tr2bl w:val="nil"/>
            </w:tcBorders>
            <w:vAlign w:val="center"/>
          </w:tcPr>
          <w:p w14:paraId="0AA4F75E">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24小时平均</w:t>
            </w:r>
          </w:p>
        </w:tc>
        <w:tc>
          <w:tcPr>
            <w:tcW w:w="1225" w:type="dxa"/>
            <w:tcBorders>
              <w:tl2br w:val="nil"/>
              <w:tr2bl w:val="nil"/>
            </w:tcBorders>
            <w:vAlign w:val="center"/>
          </w:tcPr>
          <w:p w14:paraId="01EF1CE9">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24小时平均</w:t>
            </w:r>
          </w:p>
        </w:tc>
        <w:tc>
          <w:tcPr>
            <w:tcW w:w="1225" w:type="dxa"/>
            <w:tcBorders>
              <w:tl2br w:val="nil"/>
              <w:tr2bl w:val="nil"/>
            </w:tcBorders>
            <w:vAlign w:val="center"/>
          </w:tcPr>
          <w:p w14:paraId="45F55EF0">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日最大8小时平均</w:t>
            </w:r>
          </w:p>
        </w:tc>
        <w:tc>
          <w:tcPr>
            <w:tcW w:w="1225" w:type="dxa"/>
            <w:tcBorders>
              <w:tl2br w:val="nil"/>
              <w:tr2bl w:val="nil"/>
            </w:tcBorders>
            <w:vAlign w:val="center"/>
          </w:tcPr>
          <w:p w14:paraId="14C79AE9">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24小时平均</w:t>
            </w:r>
          </w:p>
        </w:tc>
      </w:tr>
      <w:tr w14:paraId="5D9CA5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5" w:type="dxa"/>
            <w:tcBorders>
              <w:tl2br w:val="nil"/>
              <w:tr2bl w:val="nil"/>
            </w:tcBorders>
            <w:vAlign w:val="center"/>
          </w:tcPr>
          <w:p w14:paraId="00C084E8">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标准限值</w:t>
            </w:r>
          </w:p>
        </w:tc>
        <w:tc>
          <w:tcPr>
            <w:tcW w:w="1225" w:type="dxa"/>
            <w:tcBorders>
              <w:tl2br w:val="nil"/>
              <w:tr2bl w:val="nil"/>
            </w:tcBorders>
            <w:vAlign w:val="center"/>
          </w:tcPr>
          <w:p w14:paraId="01EDC1F2">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150</w:t>
            </w:r>
          </w:p>
        </w:tc>
        <w:tc>
          <w:tcPr>
            <w:tcW w:w="1225" w:type="dxa"/>
            <w:tcBorders>
              <w:tl2br w:val="nil"/>
              <w:tr2bl w:val="nil"/>
            </w:tcBorders>
            <w:vAlign w:val="center"/>
          </w:tcPr>
          <w:p w14:paraId="3D4D3112">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80</w:t>
            </w:r>
          </w:p>
        </w:tc>
        <w:tc>
          <w:tcPr>
            <w:tcW w:w="1225" w:type="dxa"/>
            <w:tcBorders>
              <w:tl2br w:val="nil"/>
              <w:tr2bl w:val="nil"/>
            </w:tcBorders>
            <w:vAlign w:val="center"/>
          </w:tcPr>
          <w:p w14:paraId="5235D1D4">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150</w:t>
            </w:r>
          </w:p>
        </w:tc>
        <w:tc>
          <w:tcPr>
            <w:tcW w:w="1225" w:type="dxa"/>
            <w:tcBorders>
              <w:tl2br w:val="nil"/>
              <w:tr2bl w:val="nil"/>
            </w:tcBorders>
            <w:vAlign w:val="center"/>
          </w:tcPr>
          <w:p w14:paraId="0E4E33D8">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w:t>
            </w:r>
          </w:p>
        </w:tc>
        <w:tc>
          <w:tcPr>
            <w:tcW w:w="1225" w:type="dxa"/>
            <w:tcBorders>
              <w:tl2br w:val="nil"/>
              <w:tr2bl w:val="nil"/>
            </w:tcBorders>
            <w:vAlign w:val="center"/>
          </w:tcPr>
          <w:p w14:paraId="6920FFB4">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160</w:t>
            </w:r>
          </w:p>
        </w:tc>
        <w:tc>
          <w:tcPr>
            <w:tcW w:w="1225" w:type="dxa"/>
            <w:tcBorders>
              <w:tl2br w:val="nil"/>
              <w:tr2bl w:val="nil"/>
            </w:tcBorders>
            <w:vAlign w:val="center"/>
          </w:tcPr>
          <w:p w14:paraId="7ABB26C8">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75</w:t>
            </w:r>
          </w:p>
        </w:tc>
      </w:tr>
      <w:tr w14:paraId="554919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5" w:type="dxa"/>
            <w:tcBorders>
              <w:tl2br w:val="nil"/>
              <w:tr2bl w:val="nil"/>
            </w:tcBorders>
            <w:vAlign w:val="center"/>
          </w:tcPr>
          <w:p w14:paraId="28FE753E">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2024.1</w:t>
            </w:r>
          </w:p>
        </w:tc>
        <w:tc>
          <w:tcPr>
            <w:tcW w:w="1225" w:type="dxa"/>
            <w:tcBorders>
              <w:tl2br w:val="nil"/>
              <w:tr2bl w:val="nil"/>
            </w:tcBorders>
            <w:vAlign w:val="center"/>
          </w:tcPr>
          <w:p w14:paraId="671DD414">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3-7</w:t>
            </w:r>
          </w:p>
        </w:tc>
        <w:tc>
          <w:tcPr>
            <w:tcW w:w="1225" w:type="dxa"/>
            <w:tcBorders>
              <w:tl2br w:val="nil"/>
              <w:tr2bl w:val="nil"/>
            </w:tcBorders>
            <w:vAlign w:val="center"/>
          </w:tcPr>
          <w:p w14:paraId="4AE27B64">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12-76</w:t>
            </w:r>
          </w:p>
        </w:tc>
        <w:tc>
          <w:tcPr>
            <w:tcW w:w="1225" w:type="dxa"/>
            <w:tcBorders>
              <w:tl2br w:val="nil"/>
              <w:tr2bl w:val="nil"/>
            </w:tcBorders>
            <w:vAlign w:val="center"/>
          </w:tcPr>
          <w:p w14:paraId="4B566754">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22-156</w:t>
            </w:r>
          </w:p>
        </w:tc>
        <w:tc>
          <w:tcPr>
            <w:tcW w:w="1225" w:type="dxa"/>
            <w:tcBorders>
              <w:tl2br w:val="nil"/>
              <w:tr2bl w:val="nil"/>
            </w:tcBorders>
            <w:vAlign w:val="center"/>
          </w:tcPr>
          <w:p w14:paraId="7B2902E5">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0.4-1.2</w:t>
            </w:r>
          </w:p>
        </w:tc>
        <w:tc>
          <w:tcPr>
            <w:tcW w:w="1225" w:type="dxa"/>
            <w:tcBorders>
              <w:tl2br w:val="nil"/>
              <w:tr2bl w:val="nil"/>
            </w:tcBorders>
            <w:vAlign w:val="center"/>
          </w:tcPr>
          <w:p w14:paraId="6AF2E2B2">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13-108</w:t>
            </w:r>
          </w:p>
        </w:tc>
        <w:tc>
          <w:tcPr>
            <w:tcW w:w="1225" w:type="dxa"/>
            <w:tcBorders>
              <w:tl2br w:val="nil"/>
              <w:tr2bl w:val="nil"/>
            </w:tcBorders>
            <w:vAlign w:val="center"/>
          </w:tcPr>
          <w:p w14:paraId="3310697A">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13-102</w:t>
            </w:r>
          </w:p>
        </w:tc>
      </w:tr>
      <w:tr w14:paraId="00FE62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5" w:type="dxa"/>
            <w:tcBorders>
              <w:tl2br w:val="nil"/>
              <w:tr2bl w:val="nil"/>
            </w:tcBorders>
            <w:vAlign w:val="center"/>
          </w:tcPr>
          <w:p w14:paraId="54E5C5AB">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2024.2</w:t>
            </w:r>
          </w:p>
        </w:tc>
        <w:tc>
          <w:tcPr>
            <w:tcW w:w="1225" w:type="dxa"/>
            <w:tcBorders>
              <w:tl2br w:val="nil"/>
              <w:tr2bl w:val="nil"/>
            </w:tcBorders>
            <w:vAlign w:val="center"/>
          </w:tcPr>
          <w:p w14:paraId="13DE16E2">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3-10</w:t>
            </w:r>
          </w:p>
        </w:tc>
        <w:tc>
          <w:tcPr>
            <w:tcW w:w="1225" w:type="dxa"/>
            <w:tcBorders>
              <w:tl2br w:val="nil"/>
              <w:tr2bl w:val="nil"/>
            </w:tcBorders>
            <w:vAlign w:val="center"/>
          </w:tcPr>
          <w:p w14:paraId="1AC88938">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4-30</w:t>
            </w:r>
          </w:p>
        </w:tc>
        <w:tc>
          <w:tcPr>
            <w:tcW w:w="1225" w:type="dxa"/>
            <w:tcBorders>
              <w:tl2br w:val="nil"/>
              <w:tr2bl w:val="nil"/>
            </w:tcBorders>
            <w:vAlign w:val="center"/>
          </w:tcPr>
          <w:p w14:paraId="3CBC4070">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16-128</w:t>
            </w:r>
          </w:p>
        </w:tc>
        <w:tc>
          <w:tcPr>
            <w:tcW w:w="1225" w:type="dxa"/>
            <w:tcBorders>
              <w:tl2br w:val="nil"/>
              <w:tr2bl w:val="nil"/>
            </w:tcBorders>
            <w:vAlign w:val="center"/>
          </w:tcPr>
          <w:p w14:paraId="3B77BC98">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0.4-0.9</w:t>
            </w:r>
          </w:p>
        </w:tc>
        <w:tc>
          <w:tcPr>
            <w:tcW w:w="1225" w:type="dxa"/>
            <w:tcBorders>
              <w:tl2br w:val="nil"/>
              <w:tr2bl w:val="nil"/>
            </w:tcBorders>
            <w:vAlign w:val="center"/>
          </w:tcPr>
          <w:p w14:paraId="07040875">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45-137</w:t>
            </w:r>
          </w:p>
        </w:tc>
        <w:tc>
          <w:tcPr>
            <w:tcW w:w="1225" w:type="dxa"/>
            <w:tcBorders>
              <w:tl2br w:val="nil"/>
              <w:tr2bl w:val="nil"/>
            </w:tcBorders>
            <w:vAlign w:val="center"/>
          </w:tcPr>
          <w:p w14:paraId="1272A94B">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9-98</w:t>
            </w:r>
          </w:p>
        </w:tc>
      </w:tr>
      <w:tr w14:paraId="3DA822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5" w:type="dxa"/>
            <w:tcBorders>
              <w:tl2br w:val="nil"/>
              <w:tr2bl w:val="nil"/>
            </w:tcBorders>
            <w:vAlign w:val="center"/>
          </w:tcPr>
          <w:p w14:paraId="66A43D3C">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2024.3</w:t>
            </w:r>
          </w:p>
        </w:tc>
        <w:tc>
          <w:tcPr>
            <w:tcW w:w="1225" w:type="dxa"/>
            <w:tcBorders>
              <w:tl2br w:val="nil"/>
              <w:tr2bl w:val="nil"/>
            </w:tcBorders>
            <w:vAlign w:val="center"/>
          </w:tcPr>
          <w:p w14:paraId="55488143">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3-7</w:t>
            </w:r>
          </w:p>
        </w:tc>
        <w:tc>
          <w:tcPr>
            <w:tcW w:w="1225" w:type="dxa"/>
            <w:tcBorders>
              <w:tl2br w:val="nil"/>
              <w:tr2bl w:val="nil"/>
            </w:tcBorders>
            <w:vAlign w:val="center"/>
          </w:tcPr>
          <w:p w14:paraId="1FB3F498">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23-75</w:t>
            </w:r>
          </w:p>
        </w:tc>
        <w:tc>
          <w:tcPr>
            <w:tcW w:w="1225" w:type="dxa"/>
            <w:tcBorders>
              <w:tl2br w:val="nil"/>
              <w:tr2bl w:val="nil"/>
            </w:tcBorders>
            <w:vAlign w:val="center"/>
          </w:tcPr>
          <w:p w14:paraId="739C9FAB">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33-98</w:t>
            </w:r>
          </w:p>
        </w:tc>
        <w:tc>
          <w:tcPr>
            <w:tcW w:w="1225" w:type="dxa"/>
            <w:tcBorders>
              <w:tl2br w:val="nil"/>
              <w:tr2bl w:val="nil"/>
            </w:tcBorders>
            <w:vAlign w:val="center"/>
          </w:tcPr>
          <w:p w14:paraId="156B1F74">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0.5-1</w:t>
            </w:r>
          </w:p>
        </w:tc>
        <w:tc>
          <w:tcPr>
            <w:tcW w:w="1225" w:type="dxa"/>
            <w:tcBorders>
              <w:tl2br w:val="nil"/>
              <w:tr2bl w:val="nil"/>
            </w:tcBorders>
            <w:vAlign w:val="center"/>
          </w:tcPr>
          <w:p w14:paraId="6C750386">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56-158</w:t>
            </w:r>
          </w:p>
        </w:tc>
        <w:tc>
          <w:tcPr>
            <w:tcW w:w="1225" w:type="dxa"/>
            <w:tcBorders>
              <w:tl2br w:val="nil"/>
              <w:tr2bl w:val="nil"/>
            </w:tcBorders>
            <w:vAlign w:val="center"/>
          </w:tcPr>
          <w:p w14:paraId="2BCDEE4A">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19-49</w:t>
            </w:r>
          </w:p>
        </w:tc>
      </w:tr>
      <w:tr w14:paraId="51DE72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5" w:type="dxa"/>
            <w:tcBorders>
              <w:tl2br w:val="nil"/>
              <w:tr2bl w:val="nil"/>
            </w:tcBorders>
            <w:vAlign w:val="center"/>
          </w:tcPr>
          <w:p w14:paraId="7BE778B0">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2024.4</w:t>
            </w:r>
          </w:p>
        </w:tc>
        <w:tc>
          <w:tcPr>
            <w:tcW w:w="1225" w:type="dxa"/>
            <w:tcBorders>
              <w:tl2br w:val="nil"/>
              <w:tr2bl w:val="nil"/>
            </w:tcBorders>
            <w:vAlign w:val="center"/>
          </w:tcPr>
          <w:p w14:paraId="646FE135">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4-5</w:t>
            </w:r>
          </w:p>
        </w:tc>
        <w:tc>
          <w:tcPr>
            <w:tcW w:w="1225" w:type="dxa"/>
            <w:tcBorders>
              <w:tl2br w:val="nil"/>
              <w:tr2bl w:val="nil"/>
            </w:tcBorders>
            <w:vAlign w:val="center"/>
          </w:tcPr>
          <w:p w14:paraId="5FDF4221">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12-40</w:t>
            </w:r>
          </w:p>
        </w:tc>
        <w:tc>
          <w:tcPr>
            <w:tcW w:w="1225" w:type="dxa"/>
            <w:tcBorders>
              <w:tl2br w:val="nil"/>
              <w:tr2bl w:val="nil"/>
            </w:tcBorders>
            <w:vAlign w:val="center"/>
          </w:tcPr>
          <w:p w14:paraId="225D6182">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25-72</w:t>
            </w:r>
          </w:p>
        </w:tc>
        <w:tc>
          <w:tcPr>
            <w:tcW w:w="1225" w:type="dxa"/>
            <w:tcBorders>
              <w:tl2br w:val="nil"/>
              <w:tr2bl w:val="nil"/>
            </w:tcBorders>
            <w:vAlign w:val="center"/>
          </w:tcPr>
          <w:p w14:paraId="2B000410">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0.3-1.3</w:t>
            </w:r>
          </w:p>
        </w:tc>
        <w:tc>
          <w:tcPr>
            <w:tcW w:w="1225" w:type="dxa"/>
            <w:tcBorders>
              <w:tl2br w:val="nil"/>
              <w:tr2bl w:val="nil"/>
            </w:tcBorders>
            <w:vAlign w:val="center"/>
          </w:tcPr>
          <w:p w14:paraId="0CA8B9D8">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60-199</w:t>
            </w:r>
          </w:p>
        </w:tc>
        <w:tc>
          <w:tcPr>
            <w:tcW w:w="1225" w:type="dxa"/>
            <w:tcBorders>
              <w:tl2br w:val="nil"/>
              <w:tr2bl w:val="nil"/>
            </w:tcBorders>
            <w:vAlign w:val="center"/>
          </w:tcPr>
          <w:p w14:paraId="5473E847">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14-40</w:t>
            </w:r>
          </w:p>
        </w:tc>
      </w:tr>
      <w:tr w14:paraId="185B69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5" w:type="dxa"/>
            <w:tcBorders>
              <w:tl2br w:val="nil"/>
              <w:tr2bl w:val="nil"/>
            </w:tcBorders>
            <w:vAlign w:val="center"/>
          </w:tcPr>
          <w:p w14:paraId="189CD925">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2024.5</w:t>
            </w:r>
          </w:p>
        </w:tc>
        <w:tc>
          <w:tcPr>
            <w:tcW w:w="1225" w:type="dxa"/>
            <w:tcBorders>
              <w:tl2br w:val="nil"/>
              <w:tr2bl w:val="nil"/>
            </w:tcBorders>
            <w:vAlign w:val="center"/>
          </w:tcPr>
          <w:p w14:paraId="3ACD08C7">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4-7</w:t>
            </w:r>
          </w:p>
        </w:tc>
        <w:tc>
          <w:tcPr>
            <w:tcW w:w="1225" w:type="dxa"/>
            <w:tcBorders>
              <w:tl2br w:val="nil"/>
              <w:tr2bl w:val="nil"/>
            </w:tcBorders>
            <w:vAlign w:val="center"/>
          </w:tcPr>
          <w:p w14:paraId="67B6E12B">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10-36</w:t>
            </w:r>
          </w:p>
        </w:tc>
        <w:tc>
          <w:tcPr>
            <w:tcW w:w="1225" w:type="dxa"/>
            <w:tcBorders>
              <w:tl2br w:val="nil"/>
              <w:tr2bl w:val="nil"/>
            </w:tcBorders>
            <w:vAlign w:val="center"/>
          </w:tcPr>
          <w:p w14:paraId="53AF6B32">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29-73</w:t>
            </w:r>
          </w:p>
        </w:tc>
        <w:tc>
          <w:tcPr>
            <w:tcW w:w="1225" w:type="dxa"/>
            <w:tcBorders>
              <w:tl2br w:val="nil"/>
              <w:tr2bl w:val="nil"/>
            </w:tcBorders>
            <w:vAlign w:val="center"/>
          </w:tcPr>
          <w:p w14:paraId="4508F6A1">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0.4-1</w:t>
            </w:r>
          </w:p>
        </w:tc>
        <w:tc>
          <w:tcPr>
            <w:tcW w:w="1225" w:type="dxa"/>
            <w:tcBorders>
              <w:tl2br w:val="nil"/>
              <w:tr2bl w:val="nil"/>
            </w:tcBorders>
            <w:vAlign w:val="center"/>
          </w:tcPr>
          <w:p w14:paraId="062EF59E">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56-226</w:t>
            </w:r>
          </w:p>
        </w:tc>
        <w:tc>
          <w:tcPr>
            <w:tcW w:w="1225" w:type="dxa"/>
            <w:tcBorders>
              <w:tl2br w:val="nil"/>
              <w:tr2bl w:val="nil"/>
            </w:tcBorders>
            <w:vAlign w:val="center"/>
          </w:tcPr>
          <w:p w14:paraId="24BDBC96">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12-34</w:t>
            </w:r>
          </w:p>
        </w:tc>
      </w:tr>
      <w:tr w14:paraId="37D0CC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225" w:type="dxa"/>
            <w:tcBorders>
              <w:tl2br w:val="nil"/>
              <w:tr2bl w:val="nil"/>
            </w:tcBorders>
            <w:vAlign w:val="center"/>
          </w:tcPr>
          <w:p w14:paraId="6DFB38F0">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2024.6</w:t>
            </w:r>
          </w:p>
        </w:tc>
        <w:tc>
          <w:tcPr>
            <w:tcW w:w="1225" w:type="dxa"/>
            <w:tcBorders>
              <w:tl2br w:val="nil"/>
              <w:tr2bl w:val="nil"/>
            </w:tcBorders>
            <w:vAlign w:val="center"/>
          </w:tcPr>
          <w:p w14:paraId="57F52697">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4-9</w:t>
            </w:r>
          </w:p>
        </w:tc>
        <w:tc>
          <w:tcPr>
            <w:tcW w:w="1225" w:type="dxa"/>
            <w:tcBorders>
              <w:tl2br w:val="nil"/>
              <w:tr2bl w:val="nil"/>
            </w:tcBorders>
            <w:vAlign w:val="center"/>
          </w:tcPr>
          <w:p w14:paraId="3082AD3B">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8-35</w:t>
            </w:r>
          </w:p>
        </w:tc>
        <w:tc>
          <w:tcPr>
            <w:tcW w:w="1225" w:type="dxa"/>
            <w:tcBorders>
              <w:tl2br w:val="nil"/>
              <w:tr2bl w:val="nil"/>
            </w:tcBorders>
            <w:vAlign w:val="center"/>
          </w:tcPr>
          <w:p w14:paraId="3AE37587">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19-57</w:t>
            </w:r>
          </w:p>
        </w:tc>
        <w:tc>
          <w:tcPr>
            <w:tcW w:w="1225" w:type="dxa"/>
            <w:tcBorders>
              <w:tl2br w:val="nil"/>
              <w:tr2bl w:val="nil"/>
            </w:tcBorders>
            <w:vAlign w:val="center"/>
          </w:tcPr>
          <w:p w14:paraId="08236371">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0.3-0.8</w:t>
            </w:r>
          </w:p>
        </w:tc>
        <w:tc>
          <w:tcPr>
            <w:tcW w:w="1225" w:type="dxa"/>
            <w:tcBorders>
              <w:tl2br w:val="nil"/>
              <w:tr2bl w:val="nil"/>
            </w:tcBorders>
            <w:vAlign w:val="center"/>
          </w:tcPr>
          <w:p w14:paraId="57F39FDE">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46-235</w:t>
            </w:r>
          </w:p>
        </w:tc>
        <w:tc>
          <w:tcPr>
            <w:tcW w:w="1225" w:type="dxa"/>
            <w:tcBorders>
              <w:tl2br w:val="nil"/>
              <w:tr2bl w:val="nil"/>
            </w:tcBorders>
            <w:vAlign w:val="center"/>
          </w:tcPr>
          <w:p w14:paraId="617E84AA">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6-41</w:t>
            </w:r>
          </w:p>
        </w:tc>
      </w:tr>
      <w:tr w14:paraId="7ADDE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5" w:type="dxa"/>
            <w:tcBorders>
              <w:tl2br w:val="nil"/>
              <w:tr2bl w:val="nil"/>
            </w:tcBorders>
            <w:vAlign w:val="center"/>
          </w:tcPr>
          <w:p w14:paraId="6C5AF600">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2024.7</w:t>
            </w:r>
          </w:p>
        </w:tc>
        <w:tc>
          <w:tcPr>
            <w:tcW w:w="1225" w:type="dxa"/>
            <w:tcBorders>
              <w:tl2br w:val="nil"/>
              <w:tr2bl w:val="nil"/>
            </w:tcBorders>
            <w:vAlign w:val="center"/>
          </w:tcPr>
          <w:p w14:paraId="525B5DC7">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4-5</w:t>
            </w:r>
          </w:p>
        </w:tc>
        <w:tc>
          <w:tcPr>
            <w:tcW w:w="1225" w:type="dxa"/>
            <w:tcBorders>
              <w:tl2br w:val="nil"/>
              <w:tr2bl w:val="nil"/>
            </w:tcBorders>
            <w:vAlign w:val="center"/>
          </w:tcPr>
          <w:p w14:paraId="61CB5BDE">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5-18</w:t>
            </w:r>
          </w:p>
        </w:tc>
        <w:tc>
          <w:tcPr>
            <w:tcW w:w="1225" w:type="dxa"/>
            <w:tcBorders>
              <w:tl2br w:val="nil"/>
              <w:tr2bl w:val="nil"/>
            </w:tcBorders>
            <w:vAlign w:val="center"/>
          </w:tcPr>
          <w:p w14:paraId="6ECA0B15">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17-50</w:t>
            </w:r>
          </w:p>
        </w:tc>
        <w:tc>
          <w:tcPr>
            <w:tcW w:w="1225" w:type="dxa"/>
            <w:tcBorders>
              <w:tl2br w:val="nil"/>
              <w:tr2bl w:val="nil"/>
            </w:tcBorders>
            <w:vAlign w:val="center"/>
          </w:tcPr>
          <w:p w14:paraId="68452ABE">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0.3-1</w:t>
            </w:r>
          </w:p>
        </w:tc>
        <w:tc>
          <w:tcPr>
            <w:tcW w:w="1225" w:type="dxa"/>
            <w:tcBorders>
              <w:tl2br w:val="nil"/>
              <w:tr2bl w:val="nil"/>
            </w:tcBorders>
            <w:vAlign w:val="center"/>
          </w:tcPr>
          <w:p w14:paraId="1B902510">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57-153</w:t>
            </w:r>
          </w:p>
        </w:tc>
        <w:tc>
          <w:tcPr>
            <w:tcW w:w="1225" w:type="dxa"/>
            <w:tcBorders>
              <w:tl2br w:val="nil"/>
              <w:tr2bl w:val="nil"/>
            </w:tcBorders>
            <w:vAlign w:val="center"/>
          </w:tcPr>
          <w:p w14:paraId="2508DA8B">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6-34</w:t>
            </w:r>
          </w:p>
        </w:tc>
      </w:tr>
      <w:tr w14:paraId="6F1917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5" w:type="dxa"/>
            <w:tcBorders>
              <w:tl2br w:val="nil"/>
              <w:tr2bl w:val="nil"/>
            </w:tcBorders>
            <w:vAlign w:val="center"/>
          </w:tcPr>
          <w:p w14:paraId="5323B6DC">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2024.8</w:t>
            </w:r>
          </w:p>
        </w:tc>
        <w:tc>
          <w:tcPr>
            <w:tcW w:w="1225" w:type="dxa"/>
            <w:tcBorders>
              <w:tl2br w:val="nil"/>
              <w:tr2bl w:val="nil"/>
            </w:tcBorders>
            <w:vAlign w:val="center"/>
          </w:tcPr>
          <w:p w14:paraId="0F8AA11E">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4-8</w:t>
            </w:r>
          </w:p>
        </w:tc>
        <w:tc>
          <w:tcPr>
            <w:tcW w:w="1225" w:type="dxa"/>
            <w:tcBorders>
              <w:tl2br w:val="nil"/>
              <w:tr2bl w:val="nil"/>
            </w:tcBorders>
            <w:vAlign w:val="center"/>
          </w:tcPr>
          <w:p w14:paraId="0D689885">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5-17</w:t>
            </w:r>
          </w:p>
        </w:tc>
        <w:tc>
          <w:tcPr>
            <w:tcW w:w="1225" w:type="dxa"/>
            <w:tcBorders>
              <w:tl2br w:val="nil"/>
              <w:tr2bl w:val="nil"/>
            </w:tcBorders>
            <w:vAlign w:val="center"/>
          </w:tcPr>
          <w:p w14:paraId="05F9803F">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17-46</w:t>
            </w:r>
          </w:p>
        </w:tc>
        <w:tc>
          <w:tcPr>
            <w:tcW w:w="1225" w:type="dxa"/>
            <w:tcBorders>
              <w:tl2br w:val="nil"/>
              <w:tr2bl w:val="nil"/>
            </w:tcBorders>
            <w:vAlign w:val="center"/>
          </w:tcPr>
          <w:p w14:paraId="35E6E93A">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0.3-0.9</w:t>
            </w:r>
          </w:p>
        </w:tc>
        <w:tc>
          <w:tcPr>
            <w:tcW w:w="1225" w:type="dxa"/>
            <w:tcBorders>
              <w:tl2br w:val="nil"/>
              <w:tr2bl w:val="nil"/>
            </w:tcBorders>
            <w:vAlign w:val="center"/>
          </w:tcPr>
          <w:p w14:paraId="1ABA2D97">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74-204</w:t>
            </w:r>
          </w:p>
        </w:tc>
        <w:tc>
          <w:tcPr>
            <w:tcW w:w="1225" w:type="dxa"/>
            <w:tcBorders>
              <w:tl2br w:val="nil"/>
              <w:tr2bl w:val="nil"/>
            </w:tcBorders>
            <w:vAlign w:val="center"/>
          </w:tcPr>
          <w:p w14:paraId="63126BD4">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8-28</w:t>
            </w:r>
          </w:p>
        </w:tc>
      </w:tr>
      <w:tr w14:paraId="324ACC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5" w:type="dxa"/>
            <w:tcBorders>
              <w:tl2br w:val="nil"/>
              <w:tr2bl w:val="nil"/>
            </w:tcBorders>
            <w:vAlign w:val="center"/>
          </w:tcPr>
          <w:p w14:paraId="2A295A4E">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2024.9</w:t>
            </w:r>
          </w:p>
        </w:tc>
        <w:tc>
          <w:tcPr>
            <w:tcW w:w="1225" w:type="dxa"/>
            <w:tcBorders>
              <w:tl2br w:val="nil"/>
              <w:tr2bl w:val="nil"/>
            </w:tcBorders>
            <w:vAlign w:val="center"/>
          </w:tcPr>
          <w:p w14:paraId="3B54A310">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4-6</w:t>
            </w:r>
          </w:p>
        </w:tc>
        <w:tc>
          <w:tcPr>
            <w:tcW w:w="1225" w:type="dxa"/>
            <w:tcBorders>
              <w:tl2br w:val="nil"/>
              <w:tr2bl w:val="nil"/>
            </w:tcBorders>
            <w:vAlign w:val="center"/>
          </w:tcPr>
          <w:p w14:paraId="32F8E506">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5-24</w:t>
            </w:r>
          </w:p>
        </w:tc>
        <w:tc>
          <w:tcPr>
            <w:tcW w:w="1225" w:type="dxa"/>
            <w:tcBorders>
              <w:tl2br w:val="nil"/>
              <w:tr2bl w:val="nil"/>
            </w:tcBorders>
            <w:vAlign w:val="center"/>
          </w:tcPr>
          <w:p w14:paraId="6CF7F617">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16-52</w:t>
            </w:r>
          </w:p>
        </w:tc>
        <w:tc>
          <w:tcPr>
            <w:tcW w:w="1225" w:type="dxa"/>
            <w:tcBorders>
              <w:tl2br w:val="nil"/>
              <w:tr2bl w:val="nil"/>
            </w:tcBorders>
            <w:vAlign w:val="center"/>
          </w:tcPr>
          <w:p w14:paraId="40853AB1">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0.467-0.9</w:t>
            </w:r>
          </w:p>
        </w:tc>
        <w:tc>
          <w:tcPr>
            <w:tcW w:w="1225" w:type="dxa"/>
            <w:tcBorders>
              <w:tl2br w:val="nil"/>
              <w:tr2bl w:val="nil"/>
            </w:tcBorders>
            <w:vAlign w:val="center"/>
          </w:tcPr>
          <w:p w14:paraId="5E37B574">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42-203</w:t>
            </w:r>
          </w:p>
        </w:tc>
        <w:tc>
          <w:tcPr>
            <w:tcW w:w="1225" w:type="dxa"/>
            <w:tcBorders>
              <w:tl2br w:val="nil"/>
              <w:tr2bl w:val="nil"/>
            </w:tcBorders>
            <w:vAlign w:val="center"/>
          </w:tcPr>
          <w:p w14:paraId="0EC3C57E">
            <w:pPr>
              <w:keepNext w:val="0"/>
              <w:keepLines w:val="0"/>
              <w:pageBreakBefore w:val="0"/>
              <w:widowControl/>
              <w:kinsoku w:val="0"/>
              <w:wordWrap/>
              <w:overflowPunct/>
              <w:topLinePunct w:val="0"/>
              <w:autoSpaceDE w:val="0"/>
              <w:autoSpaceDN w:val="0"/>
              <w:bidi w:val="0"/>
              <w:adjustRightInd w:val="0"/>
              <w:snapToGrid w:val="0"/>
              <w:spacing w:before="36" w:line="240" w:lineRule="exact"/>
              <w:jc w:val="center"/>
              <w:textAlignment w:val="baseline"/>
              <w:outlineLvl w:val="9"/>
              <w:rPr>
                <w:rFonts w:hint="default" w:ascii="Times New Roman" w:hAnsi="Times New Roman" w:eastAsia="宋体" w:cs="Times New Roman"/>
                <w:b w:val="0"/>
                <w:bCs w:val="0"/>
                <w:color w:val="auto"/>
                <w:spacing w:val="4"/>
                <w:sz w:val="21"/>
                <w:szCs w:val="21"/>
                <w:highlight w:val="none"/>
                <w:vertAlign w:val="baseline"/>
                <w:lang w:val="en-US" w:eastAsia="zh-CN"/>
              </w:rPr>
            </w:pPr>
            <w:r>
              <w:rPr>
                <w:rFonts w:hint="eastAsia" w:ascii="Times New Roman" w:hAnsi="Times New Roman" w:eastAsia="宋体" w:cs="Times New Roman"/>
                <w:b w:val="0"/>
                <w:bCs w:val="0"/>
                <w:color w:val="auto"/>
                <w:spacing w:val="4"/>
                <w:sz w:val="21"/>
                <w:szCs w:val="21"/>
                <w:highlight w:val="none"/>
                <w:vertAlign w:val="baseline"/>
                <w:lang w:val="en-US" w:eastAsia="zh-CN"/>
              </w:rPr>
              <w:t>6-35</w:t>
            </w:r>
          </w:p>
        </w:tc>
      </w:tr>
    </w:tbl>
    <w:p w14:paraId="5DFCE434">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6" w:line="360" w:lineRule="auto"/>
        <w:ind w:firstLine="488" w:firstLineChars="200"/>
        <w:textAlignment w:val="baseline"/>
        <w:rPr>
          <w:rFonts w:hint="eastAsia" w:ascii="Times New Roman" w:hAnsi="Times New Roman" w:eastAsia="宋体" w:cs="Times New Roman"/>
          <w:color w:val="auto"/>
          <w:spacing w:val="2"/>
          <w:sz w:val="24"/>
          <w:szCs w:val="24"/>
          <w:highlight w:val="none"/>
          <w:lang w:val="en-US" w:eastAsia="zh-CN"/>
        </w:rPr>
      </w:pPr>
      <w:r>
        <w:rPr>
          <w:rFonts w:hint="eastAsia" w:ascii="Times New Roman" w:hAnsi="Times New Roman" w:eastAsia="宋体" w:cs="Times New Roman"/>
          <w:color w:val="auto"/>
          <w:spacing w:val="2"/>
          <w:sz w:val="24"/>
          <w:szCs w:val="24"/>
          <w:highlight w:val="none"/>
          <w:lang w:val="en-US" w:eastAsia="zh-CN"/>
        </w:rPr>
        <w:t>超标原因说明：</w:t>
      </w:r>
      <w:r>
        <w:rPr>
          <w:rFonts w:hint="default" w:ascii="Times New Roman" w:hAnsi="Times New Roman" w:eastAsia="宋体" w:cs="Times New Roman"/>
          <w:color w:val="auto"/>
          <w:spacing w:val="2"/>
          <w:sz w:val="24"/>
          <w:szCs w:val="24"/>
          <w:highlight w:val="none"/>
          <w:lang w:val="en-US" w:eastAsia="zh-CN"/>
        </w:rPr>
        <w:t>1月</w:t>
      </w:r>
      <w:r>
        <w:rPr>
          <w:rFonts w:hint="default" w:ascii="Times New Roman" w:hAnsi="Times New Roman" w:eastAsia="宋体" w:cs="Times New Roman"/>
          <w:color w:val="auto"/>
          <w:spacing w:val="2"/>
          <w:sz w:val="24"/>
          <w:szCs w:val="24"/>
          <w:highlight w:val="none"/>
          <w:lang w:val="el-GR"/>
        </w:rPr>
        <w:t>气温有所下降，光照减弱，有效抑制了O</w:t>
      </w:r>
      <w:r>
        <w:rPr>
          <w:rFonts w:hint="default" w:ascii="Times New Roman" w:hAnsi="Times New Roman" w:eastAsia="宋体" w:cs="Times New Roman"/>
          <w:color w:val="auto"/>
          <w:spacing w:val="2"/>
          <w:sz w:val="24"/>
          <w:szCs w:val="24"/>
          <w:highlight w:val="none"/>
          <w:vertAlign w:val="subscript"/>
          <w:lang w:val="el-GR"/>
        </w:rPr>
        <w:t>3</w:t>
      </w:r>
      <w:r>
        <w:rPr>
          <w:rFonts w:hint="default" w:ascii="Times New Roman" w:hAnsi="Times New Roman" w:eastAsia="宋体" w:cs="Times New Roman"/>
          <w:color w:val="auto"/>
          <w:spacing w:val="2"/>
          <w:sz w:val="24"/>
          <w:szCs w:val="24"/>
          <w:highlight w:val="none"/>
          <w:lang w:val="el-GR"/>
        </w:rPr>
        <w:t>的生成，</w:t>
      </w:r>
      <w:r>
        <w:rPr>
          <w:rFonts w:hint="default" w:ascii="Times New Roman" w:hAnsi="Times New Roman" w:eastAsia="宋体" w:cs="Times New Roman"/>
          <w:color w:val="auto"/>
          <w:spacing w:val="2"/>
          <w:sz w:val="24"/>
          <w:szCs w:val="24"/>
          <w:highlight w:val="none"/>
          <w:lang w:val="en-US" w:eastAsia="zh-CN"/>
        </w:rPr>
        <w:t>上半月因为雨水较少空气相对干燥</w:t>
      </w:r>
      <w:r>
        <w:rPr>
          <w:rFonts w:hint="default" w:ascii="Times New Roman" w:hAnsi="Times New Roman" w:eastAsia="宋体" w:cs="Times New Roman"/>
          <w:color w:val="auto"/>
          <w:spacing w:val="2"/>
          <w:sz w:val="24"/>
          <w:szCs w:val="24"/>
          <w:highlight w:val="none"/>
          <w:lang w:val="el-GR" w:eastAsia="zh-CN"/>
        </w:rPr>
        <w:t>，</w:t>
      </w:r>
      <w:r>
        <w:rPr>
          <w:rFonts w:hint="default" w:ascii="Times New Roman" w:hAnsi="Times New Roman" w:eastAsia="宋体" w:cs="Times New Roman"/>
          <w:color w:val="auto"/>
          <w:spacing w:val="2"/>
          <w:sz w:val="24"/>
          <w:szCs w:val="24"/>
          <w:highlight w:val="none"/>
          <w:lang w:val="en-US" w:eastAsia="zh-CN"/>
        </w:rPr>
        <w:t>导致</w:t>
      </w:r>
      <w:r>
        <w:rPr>
          <w:rFonts w:hint="default" w:ascii="Times New Roman" w:hAnsi="Times New Roman" w:eastAsia="宋体" w:cs="Times New Roman"/>
          <w:color w:val="auto"/>
          <w:spacing w:val="2"/>
          <w:sz w:val="24"/>
          <w:szCs w:val="24"/>
          <w:highlight w:val="none"/>
          <w:lang w:val="el-GR"/>
        </w:rPr>
        <w:t>细颗粒物浓度有所上升</w:t>
      </w:r>
      <w:r>
        <w:rPr>
          <w:rFonts w:hint="default" w:ascii="Times New Roman" w:hAnsi="Times New Roman" w:eastAsia="宋体" w:cs="Times New Roman"/>
          <w:color w:val="auto"/>
          <w:spacing w:val="2"/>
          <w:sz w:val="24"/>
          <w:szCs w:val="24"/>
          <w:highlight w:val="none"/>
          <w:lang w:val="el-GR" w:eastAsia="zh-CN"/>
        </w:rPr>
        <w:t>；</w:t>
      </w:r>
      <w:r>
        <w:rPr>
          <w:rFonts w:hint="default" w:ascii="Times New Roman" w:hAnsi="Times New Roman" w:eastAsia="宋体" w:cs="Times New Roman"/>
          <w:color w:val="auto"/>
          <w:spacing w:val="2"/>
          <w:sz w:val="24"/>
          <w:szCs w:val="24"/>
          <w:highlight w:val="none"/>
          <w:lang w:val="en-US" w:eastAsia="zh-CN"/>
        </w:rPr>
        <w:t>4</w:t>
      </w:r>
      <w:r>
        <w:rPr>
          <w:rFonts w:hint="eastAsia" w:ascii="Times New Roman" w:hAnsi="Times New Roman" w:eastAsia="宋体" w:cs="Times New Roman"/>
          <w:color w:val="auto"/>
          <w:spacing w:val="2"/>
          <w:sz w:val="24"/>
          <w:szCs w:val="24"/>
          <w:highlight w:val="none"/>
          <w:lang w:val="en-US" w:eastAsia="zh-CN"/>
        </w:rPr>
        <w:t>、5、6</w:t>
      </w:r>
      <w:r>
        <w:rPr>
          <w:rFonts w:hint="default" w:ascii="Times New Roman" w:hAnsi="Times New Roman" w:eastAsia="宋体" w:cs="Times New Roman"/>
          <w:color w:val="auto"/>
          <w:spacing w:val="2"/>
          <w:sz w:val="24"/>
          <w:szCs w:val="24"/>
          <w:highlight w:val="none"/>
          <w:lang w:val="el-GR"/>
        </w:rPr>
        <w:t>月受光照</w:t>
      </w:r>
      <w:r>
        <w:rPr>
          <w:rFonts w:hint="default" w:ascii="Times New Roman" w:hAnsi="Times New Roman" w:eastAsia="宋体" w:cs="Times New Roman"/>
          <w:color w:val="auto"/>
          <w:spacing w:val="2"/>
          <w:sz w:val="24"/>
          <w:szCs w:val="24"/>
          <w:highlight w:val="none"/>
          <w:lang w:val="en-US" w:eastAsia="zh-CN"/>
        </w:rPr>
        <w:t>增多、气温上升</w:t>
      </w:r>
      <w:r>
        <w:rPr>
          <w:rFonts w:hint="default" w:ascii="Times New Roman" w:hAnsi="Times New Roman" w:eastAsia="宋体" w:cs="Times New Roman"/>
          <w:color w:val="auto"/>
          <w:spacing w:val="2"/>
          <w:sz w:val="24"/>
          <w:szCs w:val="24"/>
          <w:highlight w:val="none"/>
          <w:lang w:val="el-GR"/>
        </w:rPr>
        <w:t>、</w:t>
      </w:r>
      <w:r>
        <w:rPr>
          <w:rFonts w:hint="default" w:ascii="Times New Roman" w:hAnsi="Times New Roman" w:eastAsia="宋体" w:cs="Times New Roman"/>
          <w:color w:val="auto"/>
          <w:spacing w:val="2"/>
          <w:sz w:val="24"/>
          <w:szCs w:val="24"/>
          <w:highlight w:val="none"/>
          <w:lang w:val="en-US" w:eastAsia="zh-CN"/>
        </w:rPr>
        <w:t>整月降水减少，</w:t>
      </w:r>
      <w:r>
        <w:rPr>
          <w:rFonts w:hint="default" w:ascii="Times New Roman" w:hAnsi="Times New Roman" w:eastAsia="宋体" w:cs="Times New Roman"/>
          <w:color w:val="auto"/>
          <w:spacing w:val="2"/>
          <w:sz w:val="24"/>
          <w:szCs w:val="24"/>
          <w:highlight w:val="none"/>
          <w:lang w:val="el-GR"/>
        </w:rPr>
        <w:t>O</w:t>
      </w:r>
      <w:r>
        <w:rPr>
          <w:rFonts w:hint="default" w:ascii="Times New Roman" w:hAnsi="Times New Roman" w:eastAsia="宋体" w:cs="Times New Roman"/>
          <w:color w:val="auto"/>
          <w:spacing w:val="2"/>
          <w:sz w:val="24"/>
          <w:szCs w:val="24"/>
          <w:highlight w:val="none"/>
          <w:vertAlign w:val="subscript"/>
          <w:lang w:val="el-GR"/>
        </w:rPr>
        <w:t>3</w:t>
      </w:r>
      <w:r>
        <w:rPr>
          <w:rFonts w:hint="default" w:ascii="Times New Roman" w:hAnsi="Times New Roman" w:eastAsia="宋体" w:cs="Times New Roman"/>
          <w:color w:val="auto"/>
          <w:spacing w:val="2"/>
          <w:sz w:val="24"/>
          <w:szCs w:val="24"/>
          <w:highlight w:val="none"/>
          <w:lang w:val="el-GR"/>
        </w:rPr>
        <w:t>平均浓度</w:t>
      </w:r>
      <w:r>
        <w:rPr>
          <w:rFonts w:hint="default" w:ascii="Times New Roman" w:hAnsi="Times New Roman" w:eastAsia="宋体" w:cs="Times New Roman"/>
          <w:color w:val="auto"/>
          <w:spacing w:val="2"/>
          <w:sz w:val="24"/>
          <w:szCs w:val="24"/>
          <w:highlight w:val="none"/>
          <w:lang w:val="en-US" w:eastAsia="zh-CN"/>
        </w:rPr>
        <w:t>上升加快；8月气温高，太阳辐射强，光化学反应强导致臭氧超标天增加；</w:t>
      </w:r>
      <w:r>
        <w:rPr>
          <w:rFonts w:hint="default" w:ascii="Times New Roman" w:hAnsi="Times New Roman" w:eastAsia="宋体" w:cs="Times New Roman"/>
          <w:color w:val="auto"/>
          <w:spacing w:val="2"/>
          <w:sz w:val="24"/>
          <w:szCs w:val="24"/>
          <w:highlight w:val="none"/>
        </w:rPr>
        <w:t>9月气温逐步降低，太阳辐射减弱，光化学反应有所下降导致臭氧超标天减少</w:t>
      </w:r>
      <w:r>
        <w:rPr>
          <w:rFonts w:hint="eastAsia" w:ascii="Times New Roman" w:hAnsi="Times New Roman" w:eastAsia="宋体" w:cs="Times New Roman"/>
          <w:color w:val="auto"/>
          <w:spacing w:val="2"/>
          <w:sz w:val="24"/>
          <w:szCs w:val="24"/>
          <w:highlight w:val="none"/>
          <w:lang w:eastAsia="zh-CN"/>
        </w:rPr>
        <w:t>。</w:t>
      </w:r>
    </w:p>
    <w:p w14:paraId="26A1FA4C">
      <w:pPr>
        <w:keepNext w:val="0"/>
        <w:keepLines w:val="0"/>
        <w:pageBreakBefore w:val="0"/>
        <w:widowControl/>
        <w:kinsoku w:val="0"/>
        <w:wordWrap/>
        <w:overflowPunct/>
        <w:topLinePunct w:val="0"/>
        <w:autoSpaceDE w:val="0"/>
        <w:autoSpaceDN w:val="0"/>
        <w:bidi w:val="0"/>
        <w:adjustRightInd w:val="0"/>
        <w:snapToGrid w:val="0"/>
        <w:spacing w:before="36" w:line="360" w:lineRule="auto"/>
        <w:ind w:left="40"/>
        <w:textAlignment w:val="baseline"/>
        <w:rPr>
          <w:rFonts w:hint="eastAsia" w:ascii="宋体" w:hAnsi="宋体" w:eastAsia="宋体" w:cs="宋体"/>
          <w:b/>
          <w:bCs/>
          <w:color w:val="auto"/>
          <w:spacing w:val="-2"/>
          <w:sz w:val="24"/>
          <w:szCs w:val="24"/>
          <w:highlight w:val="none"/>
          <w:lang w:eastAsia="zh-CN"/>
        </w:rPr>
      </w:pPr>
      <w:r>
        <w:rPr>
          <w:color w:val="auto"/>
          <w:highlight w:val="none"/>
        </w:rPr>
        <w:fldChar w:fldCharType="begin"/>
      </w:r>
      <w:r>
        <w:rPr>
          <w:color w:val="auto"/>
          <w:highlight w:val="none"/>
        </w:rPr>
        <w:instrText xml:space="preserve"> HYPERLINK "6.3.1.3" </w:instrText>
      </w:r>
      <w:r>
        <w:rPr>
          <w:color w:val="auto"/>
          <w:highlight w:val="none"/>
        </w:rPr>
        <w:fldChar w:fldCharType="separate"/>
      </w:r>
      <w:r>
        <w:rPr>
          <w:rFonts w:ascii="Times New Roman" w:hAnsi="Times New Roman" w:eastAsia="Times New Roman" w:cs="Times New Roman"/>
          <w:b/>
          <w:bCs/>
          <w:color w:val="auto"/>
          <w:spacing w:val="-2"/>
          <w:sz w:val="24"/>
          <w:szCs w:val="24"/>
          <w:highlight w:val="none"/>
        </w:rPr>
        <w:t>6.3.1.</w:t>
      </w:r>
      <w:r>
        <w:rPr>
          <w:rFonts w:hint="eastAsia" w:ascii="Times New Roman" w:hAnsi="Times New Roman" w:eastAsia="宋体" w:cs="Times New Roman"/>
          <w:b/>
          <w:bCs/>
          <w:color w:val="auto"/>
          <w:spacing w:val="-2"/>
          <w:sz w:val="24"/>
          <w:szCs w:val="24"/>
          <w:highlight w:val="none"/>
          <w:lang w:val="en-US" w:eastAsia="zh-CN"/>
        </w:rPr>
        <w:t>2</w:t>
      </w:r>
      <w:r>
        <w:rPr>
          <w:rFonts w:ascii="Times New Roman" w:hAnsi="Times New Roman" w:eastAsia="Times New Roman" w:cs="Times New Roman"/>
          <w:b/>
          <w:bCs/>
          <w:color w:val="auto"/>
          <w:spacing w:val="-2"/>
          <w:sz w:val="24"/>
          <w:szCs w:val="24"/>
          <w:highlight w:val="none"/>
        </w:rPr>
        <w:fldChar w:fldCharType="end"/>
      </w:r>
      <w:r>
        <w:rPr>
          <w:rFonts w:ascii="宋体" w:hAnsi="宋体" w:eastAsia="宋体" w:cs="宋体"/>
          <w:b/>
          <w:bCs/>
          <w:color w:val="auto"/>
          <w:spacing w:val="-2"/>
          <w:sz w:val="24"/>
          <w:szCs w:val="24"/>
          <w:highlight w:val="none"/>
        </w:rPr>
        <w:t>其他污染物环境质量现状评价</w:t>
      </w:r>
      <w:bookmarkStart w:id="1199" w:name="pindex4647"/>
      <w:bookmarkEnd w:id="1199"/>
    </w:p>
    <w:p w14:paraId="65BB1E3A">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6" w:line="360" w:lineRule="auto"/>
        <w:ind w:left="40" w:leftChars="0"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kern w:val="0"/>
          <w:sz w:val="24"/>
          <w:szCs w:val="24"/>
          <w:highlight w:val="none"/>
          <w:lang w:val="en-US" w:eastAsia="en-US" w:bidi="ar-SA"/>
        </w:rPr>
        <w:t>（1）</w:t>
      </w:r>
      <w:sdt>
        <w:sdtPr>
          <w:rPr>
            <w:color w:val="auto"/>
            <w:highlight w:val="none"/>
          </w:rPr>
          <w:alias w:val="易错词检查"/>
          <w:tag w:val="auto"/>
          <w:id w:val="2052355"/>
        </w:sdtPr>
        <w:sdtEndPr>
          <w:rPr>
            <w:color w:val="auto"/>
            <w:highlight w:val="none"/>
          </w:rPr>
        </w:sdtEndPr>
        <w:sdtContent>
          <w:bookmarkStart w:id="1200" w:name="bkReivew2052355"/>
          <w:r>
            <w:rPr>
              <w:rFonts w:hint="default" w:ascii="Times New Roman" w:hAnsi="Times New Roman" w:eastAsia="宋体" w:cs="Times New Roman"/>
              <w:color w:val="auto"/>
              <w:spacing w:val="-4"/>
              <w:sz w:val="24"/>
              <w:szCs w:val="24"/>
              <w:highlight w:val="none"/>
            </w:rPr>
            <w:t>监</w:t>
          </w:r>
          <w:bookmarkEnd w:id="1200"/>
        </w:sdtContent>
      </w:sdt>
      <w:r>
        <w:rPr>
          <w:rFonts w:hint="default" w:ascii="Times New Roman" w:hAnsi="Times New Roman" w:eastAsia="宋体" w:cs="Times New Roman"/>
          <w:color w:val="auto"/>
          <w:spacing w:val="-4"/>
          <w:sz w:val="24"/>
          <w:szCs w:val="24"/>
          <w:highlight w:val="none"/>
        </w:rPr>
        <w:t>测点布设</w:t>
      </w:r>
      <w:bookmarkStart w:id="1201" w:name="pindex4648"/>
      <w:bookmarkEnd w:id="1201"/>
    </w:p>
    <w:p w14:paraId="4F885C4C">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6" w:line="360" w:lineRule="auto"/>
        <w:ind w:firstLine="488" w:firstLineChars="200"/>
        <w:textAlignment w:val="baseline"/>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考虑开发区的主导风向和评价范围内主要保护目标位置等因素，</w:t>
      </w:r>
      <w:r>
        <w:rPr>
          <w:rFonts w:ascii="宋体" w:hAnsi="宋体" w:eastAsia="宋体" w:cs="宋体"/>
          <w:color w:val="auto"/>
          <w:spacing w:val="-2"/>
          <w:sz w:val="24"/>
          <w:szCs w:val="24"/>
          <w:highlight w:val="none"/>
        </w:rPr>
        <w:t>在评价范围内主要布置</w:t>
      </w:r>
      <w:r>
        <w:rPr>
          <w:rFonts w:hint="eastAsia" w:ascii="Times New Roman" w:hAnsi="Times New Roman" w:eastAsia="宋体" w:cs="Times New Roman"/>
          <w:color w:val="auto"/>
          <w:spacing w:val="-2"/>
          <w:sz w:val="24"/>
          <w:szCs w:val="24"/>
          <w:highlight w:val="none"/>
          <w:lang w:val="en-US" w:eastAsia="zh-CN"/>
        </w:rPr>
        <w:t>6</w:t>
      </w:r>
      <w:r>
        <w:rPr>
          <w:rFonts w:ascii="宋体" w:hAnsi="宋体" w:eastAsia="宋体" w:cs="宋体"/>
          <w:color w:val="auto"/>
          <w:spacing w:val="-2"/>
          <w:sz w:val="24"/>
          <w:szCs w:val="24"/>
          <w:highlight w:val="none"/>
        </w:rPr>
        <w:t>个监测点，各监测点的位置和监测项目</w:t>
      </w:r>
      <w:r>
        <w:rPr>
          <w:rFonts w:ascii="宋体" w:hAnsi="宋体" w:eastAsia="宋体" w:cs="宋体"/>
          <w:color w:val="auto"/>
          <w:spacing w:val="-3"/>
          <w:sz w:val="24"/>
          <w:szCs w:val="24"/>
          <w:highlight w:val="none"/>
        </w:rPr>
        <w:t>见表</w:t>
      </w:r>
      <w:r>
        <w:rPr>
          <w:rFonts w:ascii="Times New Roman" w:hAnsi="Times New Roman" w:eastAsia="Times New Roman" w:cs="Times New Roman"/>
          <w:color w:val="auto"/>
          <w:spacing w:val="-3"/>
          <w:sz w:val="24"/>
          <w:szCs w:val="24"/>
          <w:highlight w:val="none"/>
        </w:rPr>
        <w:t>6.3-</w:t>
      </w:r>
      <w:r>
        <w:rPr>
          <w:rFonts w:hint="eastAsia" w:ascii="Times New Roman" w:hAnsi="Times New Roman" w:eastAsia="宋体" w:cs="Times New Roman"/>
          <w:color w:val="auto"/>
          <w:spacing w:val="-3"/>
          <w:sz w:val="24"/>
          <w:szCs w:val="24"/>
          <w:highlight w:val="none"/>
          <w:lang w:val="en-US" w:eastAsia="zh-CN"/>
        </w:rPr>
        <w:t>3</w:t>
      </w:r>
      <w:r>
        <w:rPr>
          <w:rFonts w:ascii="宋体" w:hAnsi="宋体" w:eastAsia="宋体" w:cs="宋体"/>
          <w:color w:val="auto"/>
          <w:spacing w:val="-3"/>
          <w:sz w:val="24"/>
          <w:szCs w:val="24"/>
          <w:highlight w:val="none"/>
        </w:rPr>
        <w:t>及</w:t>
      </w:r>
      <w:r>
        <w:rPr>
          <w:rFonts w:ascii="宋体" w:hAnsi="宋体" w:eastAsia="宋体" w:cs="宋体"/>
          <w:color w:val="auto"/>
          <w:spacing w:val="-8"/>
          <w:sz w:val="24"/>
          <w:szCs w:val="24"/>
          <w:highlight w:val="none"/>
        </w:rPr>
        <w:t>附图</w:t>
      </w:r>
      <w:r>
        <w:rPr>
          <w:rFonts w:hint="eastAsia" w:ascii="Times New Roman" w:hAnsi="Times New Roman" w:eastAsia="宋体" w:cs="Times New Roman"/>
          <w:color w:val="auto"/>
          <w:spacing w:val="-8"/>
          <w:sz w:val="24"/>
          <w:szCs w:val="24"/>
          <w:highlight w:val="none"/>
          <w:lang w:val="en-US" w:eastAsia="zh-CN"/>
        </w:rPr>
        <w:t>5</w:t>
      </w:r>
      <w:r>
        <w:rPr>
          <w:rFonts w:ascii="宋体" w:hAnsi="宋体" w:eastAsia="宋体" w:cs="宋体"/>
          <w:color w:val="auto"/>
          <w:spacing w:val="-8"/>
          <w:sz w:val="24"/>
          <w:szCs w:val="24"/>
          <w:highlight w:val="none"/>
        </w:rPr>
        <w:t>。</w:t>
      </w:r>
    </w:p>
    <w:p w14:paraId="27AE04E4">
      <w:pPr>
        <w:keepNext w:val="0"/>
        <w:keepLines w:val="0"/>
        <w:pageBreakBefore w:val="0"/>
        <w:widowControl/>
        <w:kinsoku w:val="0"/>
        <w:wordWrap/>
        <w:overflowPunct/>
        <w:topLinePunct w:val="0"/>
        <w:autoSpaceDE w:val="0"/>
        <w:autoSpaceDN w:val="0"/>
        <w:bidi w:val="0"/>
        <w:adjustRightInd w:val="0"/>
        <w:snapToGrid w:val="0"/>
        <w:spacing w:before="33" w:line="240" w:lineRule="auto"/>
        <w:ind w:left="2279"/>
        <w:textAlignment w:val="baseline"/>
        <w:rPr>
          <w:color w:val="auto"/>
          <w:highlight w:val="none"/>
        </w:rPr>
      </w:pPr>
      <w:r>
        <w:rPr>
          <w:rFonts w:ascii="宋体" w:hAnsi="宋体" w:eastAsia="宋体" w:cs="宋体"/>
          <w:b/>
          <w:bCs/>
          <w:color w:val="auto"/>
          <w:spacing w:val="-3"/>
          <w:sz w:val="24"/>
          <w:szCs w:val="24"/>
          <w:highlight w:val="none"/>
        </w:rPr>
        <w:t>表</w:t>
      </w:r>
      <w:r>
        <w:rPr>
          <w:rFonts w:ascii="Times New Roman" w:hAnsi="Times New Roman" w:eastAsia="Times New Roman" w:cs="Times New Roman"/>
          <w:b/>
          <w:bCs/>
          <w:color w:val="auto"/>
          <w:spacing w:val="-3"/>
          <w:sz w:val="24"/>
          <w:szCs w:val="24"/>
          <w:highlight w:val="none"/>
        </w:rPr>
        <w:t>6.3-</w:t>
      </w:r>
      <w:r>
        <w:rPr>
          <w:rFonts w:hint="eastAsia" w:ascii="Times New Roman" w:hAnsi="Times New Roman" w:eastAsia="宋体" w:cs="Times New Roman"/>
          <w:b/>
          <w:bCs/>
          <w:color w:val="auto"/>
          <w:spacing w:val="-3"/>
          <w:sz w:val="24"/>
          <w:szCs w:val="24"/>
          <w:highlight w:val="none"/>
          <w:lang w:val="en-US" w:eastAsia="zh-CN"/>
        </w:rPr>
        <w:t xml:space="preserve">3  </w:t>
      </w:r>
      <w:r>
        <w:rPr>
          <w:rFonts w:ascii="宋体" w:hAnsi="宋体" w:eastAsia="宋体" w:cs="宋体"/>
          <w:b/>
          <w:bCs/>
          <w:color w:val="auto"/>
          <w:spacing w:val="-3"/>
          <w:sz w:val="24"/>
          <w:szCs w:val="24"/>
          <w:highlight w:val="none"/>
        </w:rPr>
        <w:t>大气环境质量现状监测点位</w:t>
      </w:r>
      <w:bookmarkStart w:id="1202" w:name="pindex4650"/>
      <w:bookmarkEnd w:id="1202"/>
    </w:p>
    <w:tbl>
      <w:tblPr>
        <w:tblStyle w:val="26"/>
        <w:tblW w:w="4997"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412"/>
        <w:gridCol w:w="1275"/>
        <w:gridCol w:w="2104"/>
        <w:gridCol w:w="2556"/>
        <w:gridCol w:w="2007"/>
      </w:tblGrid>
      <w:tr w14:paraId="1FCFB6E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5" w:hRule="atLeast"/>
          <w:jc w:val="center"/>
        </w:trPr>
        <w:tc>
          <w:tcPr>
            <w:tcW w:w="246" w:type="pct"/>
            <w:tcBorders>
              <w:tl2br w:val="nil"/>
              <w:tr2bl w:val="nil"/>
            </w:tcBorders>
            <w:vAlign w:val="center"/>
          </w:tcPr>
          <w:p w14:paraId="4842F4C6">
            <w:pPr>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监测编号</w:t>
            </w:r>
          </w:p>
        </w:tc>
        <w:tc>
          <w:tcPr>
            <w:tcW w:w="763" w:type="pct"/>
            <w:tcBorders>
              <w:tl2br w:val="nil"/>
              <w:tr2bl w:val="nil"/>
            </w:tcBorders>
            <w:vAlign w:val="center"/>
          </w:tcPr>
          <w:p w14:paraId="57BD0305">
            <w:pPr>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点位</w:t>
            </w:r>
          </w:p>
        </w:tc>
        <w:tc>
          <w:tcPr>
            <w:tcW w:w="1259" w:type="pct"/>
            <w:tcBorders>
              <w:tl2br w:val="nil"/>
              <w:tr2bl w:val="nil"/>
            </w:tcBorders>
            <w:vAlign w:val="center"/>
          </w:tcPr>
          <w:p w14:paraId="270FFC26">
            <w:pPr>
              <w:bidi w:val="0"/>
              <w:jc w:val="center"/>
              <w:rPr>
                <w:rFonts w:hint="eastAsia" w:ascii="Times New Roman" w:hAnsi="Times New Roman" w:eastAsia="宋体" w:cs="Times New Roman"/>
                <w:b/>
                <w:bCs/>
                <w:color w:val="auto"/>
                <w:sz w:val="21"/>
                <w:szCs w:val="21"/>
                <w:highlight w:val="none"/>
                <w:lang w:val="en-US" w:eastAsia="zh-CN"/>
              </w:rPr>
            </w:pPr>
            <w:bookmarkStart w:id="1203" w:name="OLE_LINK379"/>
            <w:r>
              <w:rPr>
                <w:rFonts w:hint="eastAsia" w:ascii="Times New Roman" w:hAnsi="Times New Roman" w:eastAsia="宋体" w:cs="Times New Roman"/>
                <w:b/>
                <w:bCs/>
                <w:color w:val="auto"/>
                <w:sz w:val="21"/>
                <w:szCs w:val="21"/>
                <w:highlight w:val="none"/>
                <w:lang w:val="en-US" w:eastAsia="zh-CN"/>
              </w:rPr>
              <w:t>经纬度</w:t>
            </w:r>
            <w:bookmarkEnd w:id="1203"/>
          </w:p>
        </w:tc>
        <w:tc>
          <w:tcPr>
            <w:tcW w:w="1529" w:type="pct"/>
            <w:tcBorders>
              <w:tl2br w:val="nil"/>
              <w:tr2bl w:val="nil"/>
            </w:tcBorders>
            <w:vAlign w:val="center"/>
          </w:tcPr>
          <w:p w14:paraId="254FF6EF">
            <w:pPr>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监测项目</w:t>
            </w:r>
          </w:p>
        </w:tc>
        <w:tc>
          <w:tcPr>
            <w:tcW w:w="1201" w:type="pct"/>
            <w:tcBorders>
              <w:tl2br w:val="nil"/>
              <w:tr2bl w:val="nil"/>
            </w:tcBorders>
            <w:vAlign w:val="center"/>
          </w:tcPr>
          <w:p w14:paraId="5AC91B55">
            <w:pPr>
              <w:bidi w:val="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备注</w:t>
            </w:r>
          </w:p>
        </w:tc>
      </w:tr>
      <w:tr w14:paraId="2039CBA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7" w:hRule="atLeast"/>
          <w:jc w:val="center"/>
        </w:trPr>
        <w:tc>
          <w:tcPr>
            <w:tcW w:w="246" w:type="pct"/>
            <w:tcBorders>
              <w:tl2br w:val="nil"/>
              <w:tr2bl w:val="nil"/>
            </w:tcBorders>
            <w:vAlign w:val="center"/>
          </w:tcPr>
          <w:p w14:paraId="55BE7E54">
            <w:pPr>
              <w:bidi w:val="0"/>
              <w:jc w:val="center"/>
              <w:rPr>
                <w:rFonts w:hint="default" w:ascii="Times New Roman" w:hAnsi="Times New Roman" w:cs="Times New Roman"/>
                <w:color w:val="auto"/>
                <w:sz w:val="21"/>
                <w:szCs w:val="21"/>
                <w:highlight w:val="none"/>
              </w:rPr>
            </w:pPr>
            <w:bookmarkStart w:id="1204" w:name="OLE_LINK1121" w:colFirst="2" w:colLast="2"/>
            <w:r>
              <w:rPr>
                <w:rFonts w:hint="default" w:ascii="Times New Roman" w:hAnsi="Times New Roman" w:cs="Times New Roman"/>
                <w:color w:val="auto"/>
                <w:sz w:val="21"/>
                <w:szCs w:val="21"/>
                <w:highlight w:val="none"/>
              </w:rPr>
              <w:t>G1</w:t>
            </w:r>
          </w:p>
        </w:tc>
        <w:tc>
          <w:tcPr>
            <w:tcW w:w="763" w:type="pct"/>
            <w:tcBorders>
              <w:tl2br w:val="nil"/>
              <w:tr2bl w:val="nil"/>
            </w:tcBorders>
            <w:vAlign w:val="center"/>
          </w:tcPr>
          <w:p w14:paraId="43B481A5">
            <w:pPr>
              <w:bidi w:val="0"/>
              <w:jc w:val="center"/>
              <w:rPr>
                <w:rFonts w:hint="default" w:ascii="Times New Roman" w:hAnsi="Times New Roman" w:cs="Times New Roman"/>
                <w:color w:val="auto"/>
                <w:sz w:val="21"/>
                <w:szCs w:val="21"/>
                <w:highlight w:val="none"/>
                <w:lang w:val="en-US"/>
              </w:rPr>
            </w:pPr>
            <w:bookmarkStart w:id="1205" w:name="OLE_LINK378"/>
            <w:r>
              <w:rPr>
                <w:rFonts w:hint="eastAsia" w:ascii="Times New Roman" w:hAnsi="Times New Roman" w:cs="Times New Roman"/>
                <w:color w:val="auto"/>
                <w:sz w:val="21"/>
                <w:szCs w:val="21"/>
                <w:highlight w:val="none"/>
                <w:lang w:val="en-US" w:eastAsia="zh-CN"/>
              </w:rPr>
              <w:t>上汽大众汽车</w:t>
            </w:r>
            <w:bookmarkEnd w:id="1205"/>
            <w:r>
              <w:rPr>
                <w:rFonts w:hint="eastAsia" w:ascii="Times New Roman" w:hAnsi="Times New Roman" w:cs="Times New Roman"/>
                <w:color w:val="auto"/>
                <w:sz w:val="21"/>
                <w:szCs w:val="21"/>
                <w:highlight w:val="none"/>
                <w:lang w:val="en-US" w:eastAsia="zh-CN"/>
              </w:rPr>
              <w:t>有限公司</w:t>
            </w:r>
          </w:p>
        </w:tc>
        <w:tc>
          <w:tcPr>
            <w:tcW w:w="1259" w:type="pct"/>
            <w:tcBorders>
              <w:tl2br w:val="nil"/>
              <w:tr2bl w:val="nil"/>
            </w:tcBorders>
            <w:vAlign w:val="center"/>
          </w:tcPr>
          <w:p w14:paraId="03ABD64A">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118.792278,31.950367</w:t>
            </w:r>
          </w:p>
        </w:tc>
        <w:tc>
          <w:tcPr>
            <w:tcW w:w="1529" w:type="pct"/>
            <w:vMerge w:val="restart"/>
            <w:tcBorders>
              <w:tl2br w:val="nil"/>
              <w:tr2bl w:val="nil"/>
            </w:tcBorders>
            <w:vAlign w:val="center"/>
          </w:tcPr>
          <w:p w14:paraId="3FA6356F">
            <w:pPr>
              <w:bidi w:val="0"/>
              <w:jc w:val="center"/>
              <w:rPr>
                <w:rFonts w:hint="default"/>
                <w:color w:val="auto"/>
                <w:highlight w:val="none"/>
              </w:rPr>
            </w:pPr>
            <w:bookmarkStart w:id="1206" w:name="sys4659056"/>
            <w:r>
              <w:rPr>
                <w:rFonts w:hint="default" w:ascii="Times New Roman" w:hAnsi="Times New Roman" w:cs="Times New Roman"/>
                <w:color w:val="auto"/>
                <w:sz w:val="21"/>
                <w:szCs w:val="21"/>
                <w:highlight w:val="none"/>
                <w:lang w:val="en-US" w:eastAsia="zh-CN"/>
              </w:rPr>
              <w:t>TSP</w:t>
            </w:r>
            <w:r>
              <w:rPr>
                <w:rFonts w:hint="default" w:ascii="Times New Roman" w:hAnsi="Times New Roman" w:eastAsia="宋体" w:cs="Times New Roman"/>
                <w:color w:val="auto"/>
                <w:sz w:val="21"/>
                <w:szCs w:val="21"/>
                <w:highlight w:val="none"/>
                <w:lang w:val="de-DE"/>
              </w:rPr>
              <w:t>、NO</w:t>
            </w:r>
            <w:r>
              <w:rPr>
                <w:rFonts w:hint="default" w:ascii="Times New Roman" w:hAnsi="Times New Roman" w:eastAsia="宋体" w:cs="Times New Roman"/>
                <w:color w:val="auto"/>
                <w:sz w:val="21"/>
                <w:szCs w:val="21"/>
                <w:highlight w:val="none"/>
                <w:vertAlign w:val="subscript"/>
                <w:lang w:val="de-DE"/>
              </w:rPr>
              <w:t>X</w:t>
            </w:r>
            <w:r>
              <w:rPr>
                <w:rFonts w:hint="default" w:ascii="Times New Roman" w:hAnsi="Times New Roman" w:eastAsia="宋体" w:cs="Times New Roman"/>
                <w:color w:val="auto"/>
                <w:sz w:val="21"/>
                <w:szCs w:val="21"/>
                <w:highlight w:val="none"/>
                <w:lang w:val="de-DE"/>
              </w:rPr>
              <w:t>、HCl、H</w:t>
            </w:r>
            <w:r>
              <w:rPr>
                <w:rFonts w:hint="default" w:ascii="Times New Roman" w:hAnsi="Times New Roman" w:eastAsia="宋体" w:cs="Times New Roman"/>
                <w:color w:val="auto"/>
                <w:sz w:val="21"/>
                <w:szCs w:val="21"/>
                <w:highlight w:val="none"/>
                <w:vertAlign w:val="subscript"/>
                <w:lang w:val="de-DE"/>
              </w:rPr>
              <w:t>2</w:t>
            </w:r>
            <w:r>
              <w:rPr>
                <w:rFonts w:hint="default" w:ascii="Times New Roman" w:hAnsi="Times New Roman" w:eastAsia="宋体" w:cs="Times New Roman"/>
                <w:color w:val="auto"/>
                <w:sz w:val="21"/>
                <w:szCs w:val="21"/>
                <w:highlight w:val="none"/>
                <w:lang w:val="de-DE"/>
              </w:rPr>
              <w:t>S、NH</w:t>
            </w:r>
            <w:r>
              <w:rPr>
                <w:rFonts w:hint="default" w:ascii="Times New Roman" w:hAnsi="Times New Roman" w:eastAsia="宋体" w:cs="Times New Roman"/>
                <w:color w:val="auto"/>
                <w:sz w:val="21"/>
                <w:szCs w:val="21"/>
                <w:highlight w:val="none"/>
                <w:vertAlign w:val="subscript"/>
                <w:lang w:val="de-DE"/>
              </w:rPr>
              <w:t>3</w:t>
            </w:r>
            <w:r>
              <w:rPr>
                <w:rFonts w:hint="default" w:ascii="Times New Roman" w:hAnsi="Times New Roman" w:eastAsia="宋体" w:cs="Times New Roman"/>
                <w:color w:val="auto"/>
                <w:sz w:val="21"/>
                <w:szCs w:val="21"/>
                <w:highlight w:val="none"/>
                <w:lang w:val="de-DE"/>
              </w:rPr>
              <w:t>、氟化物、苯、</w:t>
            </w:r>
            <w:r>
              <w:rPr>
                <w:rFonts w:hint="eastAsia" w:ascii="Times New Roman" w:hAnsi="Times New Roman" w:eastAsia="宋体" w:cs="Times New Roman"/>
                <w:color w:val="auto"/>
                <w:sz w:val="21"/>
                <w:szCs w:val="21"/>
                <w:highlight w:val="none"/>
                <w:lang w:val="en-US" w:eastAsia="zh-CN"/>
              </w:rPr>
              <w:t>硫酸</w:t>
            </w:r>
            <w:sdt>
              <w:sdtPr>
                <w:rPr>
                  <w:color w:val="auto"/>
                  <w:highlight w:val="none"/>
                </w:rPr>
                <w:alias w:val="易错词检查"/>
                <w:tag w:val="auto"/>
                <w:id w:val="3003356"/>
              </w:sdtPr>
              <w:sdtEndPr>
                <w:rPr>
                  <w:color w:val="auto"/>
                  <w:highlight w:val="none"/>
                </w:rPr>
              </w:sdtEndPr>
              <w:sdtContent>
                <w:bookmarkStart w:id="1207" w:name="bkReivew3003356"/>
                <w:r>
                  <w:rPr>
                    <w:rFonts w:hint="eastAsia" w:ascii="Times New Roman" w:hAnsi="Times New Roman" w:eastAsia="宋体" w:cs="Times New Roman"/>
                    <w:color w:val="auto"/>
                    <w:sz w:val="21"/>
                    <w:szCs w:val="21"/>
                    <w:highlight w:val="none"/>
                    <w:lang w:val="en-US" w:eastAsia="zh-CN"/>
                  </w:rPr>
                  <w:t>雾</w:t>
                </w:r>
                <w:bookmarkEnd w:id="1207"/>
              </w:sdtContent>
            </w:sdt>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de-DE"/>
              </w:rPr>
              <w:t>非甲烷总烃</w:t>
            </w:r>
            <w:r>
              <w:rPr>
                <w:rFonts w:hint="default" w:ascii="Times New Roman" w:hAnsi="Times New Roman" w:eastAsia="宋体" w:cs="Times New Roman"/>
                <w:color w:val="auto"/>
                <w:sz w:val="21"/>
                <w:szCs w:val="21"/>
                <w:highlight w:val="none"/>
                <w:shd w:val="clear" w:color="auto" w:fill="auto"/>
                <w:lang w:val="en-US" w:eastAsia="zh-CN"/>
              </w:rPr>
              <w:t>，</w:t>
            </w:r>
            <w:r>
              <w:rPr>
                <w:rFonts w:hint="default" w:ascii="Times New Roman" w:hAnsi="Times New Roman" w:eastAsia="宋体" w:cs="Times New Roman"/>
                <w:color w:val="auto"/>
                <w:sz w:val="21"/>
                <w:szCs w:val="21"/>
                <w:highlight w:val="none"/>
                <w:lang w:val="en-US" w:eastAsia="zh-CN"/>
              </w:rPr>
              <w:t>同时记录风向、风速、温度、气压等气象参数</w:t>
            </w:r>
            <w:bookmarkEnd w:id="1206"/>
          </w:p>
        </w:tc>
        <w:tc>
          <w:tcPr>
            <w:tcW w:w="1201" w:type="pct"/>
            <w:vMerge w:val="restart"/>
            <w:tcBorders>
              <w:tl2br w:val="nil"/>
              <w:tr2bl w:val="nil"/>
            </w:tcBorders>
            <w:vAlign w:val="center"/>
          </w:tcPr>
          <w:p w14:paraId="7B76B78C">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实测</w:t>
            </w:r>
          </w:p>
        </w:tc>
      </w:tr>
      <w:tr w14:paraId="150CF6F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7" w:hRule="atLeast"/>
          <w:jc w:val="center"/>
        </w:trPr>
        <w:tc>
          <w:tcPr>
            <w:tcW w:w="246" w:type="pct"/>
            <w:tcBorders>
              <w:tl2br w:val="nil"/>
              <w:tr2bl w:val="nil"/>
            </w:tcBorders>
            <w:shd w:val="clear" w:color="auto" w:fill="auto"/>
            <w:vAlign w:val="center"/>
          </w:tcPr>
          <w:p w14:paraId="1E394583">
            <w:pPr>
              <w:bidi w:val="0"/>
              <w:jc w:val="center"/>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lang w:val="en-US" w:eastAsia="zh-CN"/>
              </w:rPr>
              <w:t>G3</w:t>
            </w:r>
          </w:p>
        </w:tc>
        <w:tc>
          <w:tcPr>
            <w:tcW w:w="763" w:type="pct"/>
            <w:tcBorders>
              <w:tl2br w:val="nil"/>
              <w:tr2bl w:val="nil"/>
            </w:tcBorders>
            <w:shd w:val="clear" w:color="auto" w:fill="auto"/>
            <w:vAlign w:val="center"/>
          </w:tcPr>
          <w:p w14:paraId="1027B5F1">
            <w:pPr>
              <w:bidi w:val="0"/>
              <w:jc w:val="center"/>
              <w:rPr>
                <w:rFonts w:hint="eastAsia" w:ascii="Times New Roman" w:hAnsi="Times New Roman" w:cs="Times New Roman"/>
                <w:color w:val="auto"/>
                <w:sz w:val="21"/>
                <w:szCs w:val="21"/>
                <w:highlight w:val="none"/>
                <w:lang w:val="en-US" w:eastAsia="zh-CN"/>
              </w:rPr>
            </w:pPr>
            <w:bookmarkStart w:id="1208" w:name="OLE_LINK377"/>
            <w:bookmarkStart w:id="1209" w:name="OLE_LINK1123"/>
            <w:r>
              <w:rPr>
                <w:rFonts w:hint="eastAsia" w:ascii="Times New Roman" w:hAnsi="Times New Roman" w:cs="Times New Roman"/>
                <w:color w:val="auto"/>
                <w:sz w:val="21"/>
                <w:szCs w:val="21"/>
                <w:highlight w:val="none"/>
                <w:lang w:val="en-US" w:eastAsia="zh-CN"/>
              </w:rPr>
              <w:t>远洋风景名邸空地</w:t>
            </w:r>
            <w:bookmarkEnd w:id="1208"/>
            <w:bookmarkEnd w:id="1209"/>
          </w:p>
        </w:tc>
        <w:tc>
          <w:tcPr>
            <w:tcW w:w="1259" w:type="pct"/>
            <w:tcBorders>
              <w:tl2br w:val="nil"/>
              <w:tr2bl w:val="nil"/>
            </w:tcBorders>
            <w:vAlign w:val="center"/>
          </w:tcPr>
          <w:p w14:paraId="127C89EF">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118.734763,31.877968</w:t>
            </w:r>
          </w:p>
        </w:tc>
        <w:tc>
          <w:tcPr>
            <w:tcW w:w="1529" w:type="pct"/>
            <w:vMerge w:val="continue"/>
            <w:tcBorders>
              <w:tl2br w:val="nil"/>
              <w:tr2bl w:val="nil"/>
            </w:tcBorders>
            <w:vAlign w:val="center"/>
          </w:tcPr>
          <w:p w14:paraId="752A3DFD">
            <w:pPr>
              <w:bidi w:val="0"/>
              <w:jc w:val="center"/>
              <w:rPr>
                <w:rFonts w:hint="default" w:ascii="Times New Roman" w:hAnsi="Times New Roman" w:cs="Times New Roman"/>
                <w:color w:val="auto"/>
                <w:sz w:val="21"/>
                <w:szCs w:val="21"/>
                <w:highlight w:val="none"/>
                <w:lang w:val="en-US" w:eastAsia="zh-CN"/>
              </w:rPr>
            </w:pPr>
          </w:p>
        </w:tc>
        <w:tc>
          <w:tcPr>
            <w:tcW w:w="1201" w:type="pct"/>
            <w:vMerge w:val="continue"/>
            <w:tcBorders>
              <w:tl2br w:val="nil"/>
              <w:tr2bl w:val="nil"/>
            </w:tcBorders>
            <w:vAlign w:val="center"/>
          </w:tcPr>
          <w:p w14:paraId="38AF3CF6">
            <w:pPr>
              <w:bidi w:val="0"/>
              <w:jc w:val="center"/>
              <w:rPr>
                <w:rFonts w:hint="eastAsia" w:ascii="Times New Roman" w:hAnsi="Times New Roman" w:cs="Times New Roman"/>
                <w:color w:val="auto"/>
                <w:sz w:val="21"/>
                <w:szCs w:val="21"/>
                <w:highlight w:val="none"/>
                <w:lang w:val="en-US" w:eastAsia="zh-CN"/>
              </w:rPr>
            </w:pPr>
          </w:p>
        </w:tc>
      </w:tr>
      <w:tr w14:paraId="4C46614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trHeight w:val="337" w:hRule="atLeast"/>
          <w:jc w:val="center"/>
        </w:trPr>
        <w:tc>
          <w:tcPr>
            <w:tcW w:w="246" w:type="pct"/>
            <w:tcBorders>
              <w:tl2br w:val="nil"/>
              <w:tr2bl w:val="nil"/>
            </w:tcBorders>
            <w:shd w:val="clear" w:color="auto" w:fill="auto"/>
            <w:vAlign w:val="center"/>
          </w:tcPr>
          <w:p w14:paraId="28B6FACE">
            <w:pPr>
              <w:bidi w:val="0"/>
              <w:jc w:val="center"/>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lang w:val="en-US" w:eastAsia="zh-CN"/>
              </w:rPr>
              <w:t>G4</w:t>
            </w:r>
          </w:p>
        </w:tc>
        <w:tc>
          <w:tcPr>
            <w:tcW w:w="763" w:type="pct"/>
            <w:tcBorders>
              <w:tl2br w:val="nil"/>
              <w:tr2bl w:val="nil"/>
            </w:tcBorders>
            <w:shd w:val="clear" w:color="auto" w:fill="auto"/>
            <w:vAlign w:val="center"/>
          </w:tcPr>
          <w:p w14:paraId="52E8A77D">
            <w:pPr>
              <w:bidi w:val="0"/>
              <w:jc w:val="center"/>
              <w:rPr>
                <w:rFonts w:hint="eastAsia" w:ascii="Times New Roman" w:hAnsi="Times New Roman" w:cs="Times New Roman"/>
                <w:color w:val="auto"/>
                <w:sz w:val="21"/>
                <w:szCs w:val="21"/>
                <w:highlight w:val="none"/>
                <w:lang w:val="en-US" w:eastAsia="zh-CN"/>
              </w:rPr>
            </w:pPr>
            <w:bookmarkStart w:id="1210" w:name="OLE_LINK382"/>
            <w:r>
              <w:rPr>
                <w:rFonts w:hint="eastAsia" w:ascii="Times New Roman" w:hAnsi="Times New Roman" w:cs="Times New Roman"/>
                <w:color w:val="auto"/>
                <w:sz w:val="21"/>
                <w:szCs w:val="21"/>
                <w:highlight w:val="none"/>
                <w:lang w:val="en-US" w:eastAsia="zh-CN"/>
              </w:rPr>
              <w:t>南京北方慧华光电有限公司旁空地</w:t>
            </w:r>
            <w:bookmarkEnd w:id="1210"/>
          </w:p>
        </w:tc>
        <w:tc>
          <w:tcPr>
            <w:tcW w:w="1259" w:type="pct"/>
            <w:tcBorders>
              <w:tl2br w:val="nil"/>
              <w:tr2bl w:val="nil"/>
            </w:tcBorders>
            <w:vAlign w:val="center"/>
          </w:tcPr>
          <w:p w14:paraId="130D9AF1">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118.795456,31.866166</w:t>
            </w:r>
          </w:p>
        </w:tc>
        <w:tc>
          <w:tcPr>
            <w:tcW w:w="1529" w:type="pct"/>
            <w:vMerge w:val="continue"/>
            <w:tcBorders>
              <w:tl2br w:val="nil"/>
              <w:tr2bl w:val="nil"/>
            </w:tcBorders>
            <w:vAlign w:val="center"/>
          </w:tcPr>
          <w:p w14:paraId="6E1C2427">
            <w:pPr>
              <w:bidi w:val="0"/>
              <w:jc w:val="center"/>
              <w:rPr>
                <w:rFonts w:hint="default" w:ascii="Times New Roman" w:hAnsi="Times New Roman" w:cs="Times New Roman"/>
                <w:color w:val="auto"/>
                <w:sz w:val="21"/>
                <w:szCs w:val="21"/>
                <w:highlight w:val="none"/>
                <w:lang w:val="en-US" w:eastAsia="zh-CN"/>
              </w:rPr>
            </w:pPr>
          </w:p>
        </w:tc>
        <w:tc>
          <w:tcPr>
            <w:tcW w:w="1201" w:type="pct"/>
            <w:vMerge w:val="continue"/>
            <w:tcBorders>
              <w:tl2br w:val="nil"/>
              <w:tr2bl w:val="nil"/>
            </w:tcBorders>
            <w:vAlign w:val="center"/>
          </w:tcPr>
          <w:p w14:paraId="43103F3A">
            <w:pPr>
              <w:bidi w:val="0"/>
              <w:jc w:val="center"/>
              <w:rPr>
                <w:rFonts w:hint="eastAsia" w:ascii="Times New Roman" w:hAnsi="Times New Roman" w:cs="Times New Roman"/>
                <w:color w:val="auto"/>
                <w:sz w:val="21"/>
                <w:szCs w:val="21"/>
                <w:highlight w:val="none"/>
                <w:lang w:val="en-US" w:eastAsia="zh-CN"/>
              </w:rPr>
            </w:pPr>
          </w:p>
        </w:tc>
      </w:tr>
      <w:tr w14:paraId="1843773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7" w:hRule="atLeast"/>
          <w:jc w:val="center"/>
        </w:trPr>
        <w:tc>
          <w:tcPr>
            <w:tcW w:w="246" w:type="pct"/>
            <w:tcBorders>
              <w:tl2br w:val="nil"/>
              <w:tr2bl w:val="nil"/>
            </w:tcBorders>
            <w:shd w:val="clear" w:color="auto" w:fill="auto"/>
            <w:vAlign w:val="center"/>
          </w:tcPr>
          <w:p w14:paraId="7A61CC7A">
            <w:pPr>
              <w:bidi w:val="0"/>
              <w:jc w:val="center"/>
              <w:rPr>
                <w:rFonts w:hint="default" w:ascii="Times New Roman" w:hAnsi="Times New Roman" w:cs="Times New Roman"/>
                <w:color w:val="auto"/>
                <w:sz w:val="21"/>
                <w:szCs w:val="21"/>
                <w:highlight w:val="none"/>
                <w:lang w:val="en-US" w:eastAsia="en-US"/>
              </w:rPr>
            </w:pPr>
            <w:r>
              <w:rPr>
                <w:rFonts w:hint="default" w:ascii="Times New Roman" w:hAnsi="Times New Roman" w:cs="Times New Roman"/>
                <w:color w:val="auto"/>
                <w:sz w:val="21"/>
                <w:szCs w:val="21"/>
                <w:highlight w:val="none"/>
                <w:lang w:val="en-US" w:eastAsia="zh-CN"/>
              </w:rPr>
              <w:t>G5</w:t>
            </w:r>
          </w:p>
        </w:tc>
        <w:tc>
          <w:tcPr>
            <w:tcW w:w="763" w:type="pct"/>
            <w:tcBorders>
              <w:tl2br w:val="nil"/>
              <w:tr2bl w:val="nil"/>
            </w:tcBorders>
            <w:shd w:val="clear" w:color="auto" w:fill="auto"/>
            <w:vAlign w:val="center"/>
          </w:tcPr>
          <w:p w14:paraId="2E577B32">
            <w:pPr>
              <w:bidi w:val="0"/>
              <w:jc w:val="center"/>
              <w:rPr>
                <w:rFonts w:hint="eastAsia" w:ascii="Times New Roman" w:hAnsi="Times New Roman" w:cs="Times New Roman"/>
                <w:color w:val="auto"/>
                <w:sz w:val="21"/>
                <w:szCs w:val="21"/>
                <w:highlight w:val="none"/>
                <w:lang w:val="en-US" w:eastAsia="zh-CN"/>
              </w:rPr>
            </w:pPr>
            <w:bookmarkStart w:id="1211" w:name="OLE_LINK384"/>
            <w:r>
              <w:rPr>
                <w:rFonts w:hint="eastAsia" w:ascii="Times New Roman" w:hAnsi="Times New Roman" w:cs="Times New Roman"/>
                <w:color w:val="auto"/>
                <w:sz w:val="21"/>
                <w:szCs w:val="21"/>
                <w:highlight w:val="none"/>
                <w:lang w:val="en-US" w:eastAsia="zh-CN"/>
              </w:rPr>
              <w:t>秣陵中学</w:t>
            </w:r>
            <w:bookmarkEnd w:id="1211"/>
          </w:p>
        </w:tc>
        <w:tc>
          <w:tcPr>
            <w:tcW w:w="1259" w:type="pct"/>
            <w:tcBorders>
              <w:tl2br w:val="nil"/>
              <w:tr2bl w:val="nil"/>
            </w:tcBorders>
            <w:vAlign w:val="center"/>
          </w:tcPr>
          <w:p w14:paraId="4B56E052">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118.829235,31.830911</w:t>
            </w:r>
          </w:p>
        </w:tc>
        <w:tc>
          <w:tcPr>
            <w:tcW w:w="1529" w:type="pct"/>
            <w:vMerge w:val="continue"/>
            <w:tcBorders>
              <w:tl2br w:val="nil"/>
              <w:tr2bl w:val="nil"/>
            </w:tcBorders>
            <w:vAlign w:val="center"/>
          </w:tcPr>
          <w:p w14:paraId="10C2EFDE">
            <w:pPr>
              <w:bidi w:val="0"/>
              <w:jc w:val="center"/>
              <w:rPr>
                <w:rFonts w:hint="default" w:ascii="Times New Roman" w:hAnsi="Times New Roman" w:cs="Times New Roman"/>
                <w:color w:val="auto"/>
                <w:sz w:val="21"/>
                <w:szCs w:val="21"/>
                <w:highlight w:val="none"/>
                <w:lang w:val="en-US" w:eastAsia="zh-CN"/>
              </w:rPr>
            </w:pPr>
          </w:p>
        </w:tc>
        <w:tc>
          <w:tcPr>
            <w:tcW w:w="1201" w:type="pct"/>
            <w:vMerge w:val="continue"/>
            <w:tcBorders>
              <w:tl2br w:val="nil"/>
              <w:tr2bl w:val="nil"/>
            </w:tcBorders>
            <w:vAlign w:val="center"/>
          </w:tcPr>
          <w:p w14:paraId="6D7EEB62">
            <w:pPr>
              <w:bidi w:val="0"/>
              <w:jc w:val="center"/>
              <w:rPr>
                <w:rFonts w:hint="eastAsia" w:ascii="Times New Roman" w:hAnsi="Times New Roman" w:cs="Times New Roman"/>
                <w:color w:val="auto"/>
                <w:sz w:val="21"/>
                <w:szCs w:val="21"/>
                <w:highlight w:val="none"/>
                <w:lang w:val="en-US" w:eastAsia="zh-CN"/>
              </w:rPr>
            </w:pPr>
          </w:p>
        </w:tc>
      </w:tr>
      <w:tr w14:paraId="6A5D553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46" w:type="pct"/>
            <w:vMerge w:val="restart"/>
            <w:tcBorders>
              <w:tl2br w:val="nil"/>
              <w:tr2bl w:val="nil"/>
            </w:tcBorders>
            <w:shd w:val="clear" w:color="auto" w:fill="auto"/>
            <w:vAlign w:val="center"/>
          </w:tcPr>
          <w:p w14:paraId="5A2D5DC6">
            <w:pPr>
              <w:bidi w:val="0"/>
              <w:jc w:val="center"/>
              <w:rPr>
                <w:rFonts w:hint="default" w:ascii="Times New Roman" w:hAnsi="Times New Roman" w:eastAsia="Arial" w:cs="Times New Roman"/>
                <w:snapToGrid w:val="0"/>
                <w:color w:val="auto"/>
                <w:kern w:val="0"/>
                <w:sz w:val="21"/>
                <w:szCs w:val="21"/>
                <w:highlight w:val="none"/>
                <w:lang w:val="en-US" w:eastAsia="en-US" w:bidi="ar-SA"/>
              </w:rPr>
            </w:pPr>
            <w:bookmarkStart w:id="1212" w:name="OLE_LINK1138" w:colFirst="0" w:colLast="1"/>
            <w:bookmarkStart w:id="1213" w:name="OLE_LINK375" w:colFirst="3" w:colLast="3"/>
            <w:bookmarkStart w:id="1214" w:name="OLE_LINK373" w:colFirst="4" w:colLast="4"/>
            <w:r>
              <w:rPr>
                <w:rFonts w:hint="default" w:ascii="Times New Roman" w:hAnsi="Times New Roman" w:cs="Times New Roman"/>
                <w:color w:val="auto"/>
                <w:sz w:val="21"/>
                <w:szCs w:val="21"/>
                <w:highlight w:val="none"/>
              </w:rPr>
              <w:t>G2</w:t>
            </w:r>
          </w:p>
        </w:tc>
        <w:tc>
          <w:tcPr>
            <w:tcW w:w="763" w:type="pct"/>
            <w:vMerge w:val="restart"/>
            <w:tcBorders>
              <w:tl2br w:val="nil"/>
              <w:tr2bl w:val="nil"/>
            </w:tcBorders>
            <w:shd w:val="clear" w:color="auto" w:fill="auto"/>
            <w:vAlign w:val="center"/>
          </w:tcPr>
          <w:p w14:paraId="6473ABE9">
            <w:pPr>
              <w:bidi w:val="0"/>
              <w:jc w:val="center"/>
              <w:rPr>
                <w:rFonts w:hint="default" w:ascii="Times New Roman" w:hAnsi="Times New Roman" w:eastAsia="Arial" w:cs="Times New Roman"/>
                <w:snapToGrid w:val="0"/>
                <w:color w:val="auto"/>
                <w:kern w:val="0"/>
                <w:sz w:val="21"/>
                <w:szCs w:val="21"/>
                <w:highlight w:val="none"/>
                <w:lang w:val="en-US" w:eastAsia="zh-CN" w:bidi="ar-SA"/>
              </w:rPr>
            </w:pPr>
            <w:bookmarkStart w:id="1215" w:name="OLE_LINK1139"/>
            <w:r>
              <w:rPr>
                <w:rFonts w:hint="eastAsia" w:ascii="Times New Roman" w:hAnsi="Times New Roman" w:cs="Times New Roman"/>
                <w:snapToGrid w:val="0"/>
                <w:color w:val="auto"/>
                <w:kern w:val="0"/>
                <w:sz w:val="21"/>
                <w:szCs w:val="21"/>
                <w:highlight w:val="none"/>
                <w:lang w:val="en-US" w:eastAsia="zh-CN" w:bidi="ar-SA"/>
              </w:rPr>
              <w:t>南京奥联光能科技有限公司厂房西北角处</w:t>
            </w:r>
            <w:bookmarkEnd w:id="1215"/>
          </w:p>
        </w:tc>
        <w:tc>
          <w:tcPr>
            <w:tcW w:w="1259" w:type="pct"/>
            <w:vMerge w:val="restart"/>
            <w:tcBorders>
              <w:tl2br w:val="nil"/>
              <w:tr2bl w:val="nil"/>
            </w:tcBorders>
            <w:vAlign w:val="center"/>
          </w:tcPr>
          <w:p w14:paraId="3A5E426B">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118.771530,31.886970</w:t>
            </w:r>
          </w:p>
        </w:tc>
        <w:tc>
          <w:tcPr>
            <w:tcW w:w="1529" w:type="pct"/>
            <w:tcBorders>
              <w:tl2br w:val="nil"/>
              <w:tr2bl w:val="nil"/>
            </w:tcBorders>
            <w:vAlign w:val="center"/>
          </w:tcPr>
          <w:p w14:paraId="6462B729">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TSP</w:t>
            </w:r>
            <w:r>
              <w:rPr>
                <w:rFonts w:hint="default" w:ascii="Times New Roman" w:hAnsi="Times New Roman" w:eastAsia="宋体" w:cs="Times New Roman"/>
                <w:color w:val="auto"/>
                <w:sz w:val="21"/>
                <w:szCs w:val="21"/>
                <w:highlight w:val="none"/>
                <w:lang w:val="de-DE"/>
              </w:rPr>
              <w:t>、NO</w:t>
            </w:r>
            <w:r>
              <w:rPr>
                <w:rFonts w:hint="default" w:ascii="Times New Roman" w:hAnsi="Times New Roman" w:eastAsia="宋体" w:cs="Times New Roman"/>
                <w:color w:val="auto"/>
                <w:sz w:val="21"/>
                <w:szCs w:val="21"/>
                <w:highlight w:val="none"/>
                <w:vertAlign w:val="subscript"/>
                <w:lang w:val="de-DE"/>
              </w:rPr>
              <w:t>X</w:t>
            </w:r>
            <w:r>
              <w:rPr>
                <w:rFonts w:hint="default" w:ascii="Times New Roman" w:hAnsi="Times New Roman" w:eastAsia="宋体" w:cs="Times New Roman"/>
                <w:color w:val="auto"/>
                <w:sz w:val="21"/>
                <w:szCs w:val="21"/>
                <w:highlight w:val="none"/>
                <w:lang w:val="de-DE"/>
              </w:rPr>
              <w:t>、H</w:t>
            </w:r>
            <w:r>
              <w:rPr>
                <w:rFonts w:hint="default" w:ascii="Times New Roman" w:hAnsi="Times New Roman" w:eastAsia="宋体" w:cs="Times New Roman"/>
                <w:color w:val="auto"/>
                <w:sz w:val="21"/>
                <w:szCs w:val="21"/>
                <w:highlight w:val="none"/>
                <w:vertAlign w:val="subscript"/>
                <w:lang w:val="de-DE"/>
              </w:rPr>
              <w:t>2</w:t>
            </w:r>
            <w:r>
              <w:rPr>
                <w:rFonts w:hint="default" w:ascii="Times New Roman" w:hAnsi="Times New Roman" w:eastAsia="宋体" w:cs="Times New Roman"/>
                <w:color w:val="auto"/>
                <w:sz w:val="21"/>
                <w:szCs w:val="21"/>
                <w:highlight w:val="none"/>
                <w:lang w:val="de-DE"/>
              </w:rPr>
              <w:t>S、苯</w:t>
            </w:r>
          </w:p>
        </w:tc>
        <w:tc>
          <w:tcPr>
            <w:tcW w:w="1201" w:type="pct"/>
            <w:tcBorders>
              <w:tl2br w:val="nil"/>
              <w:tr2bl w:val="nil"/>
            </w:tcBorders>
            <w:vAlign w:val="center"/>
          </w:tcPr>
          <w:p w14:paraId="02832017">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实测</w:t>
            </w:r>
          </w:p>
        </w:tc>
      </w:tr>
      <w:bookmarkEnd w:id="1212"/>
      <w:tr w14:paraId="1516979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46" w:type="pct"/>
            <w:vMerge w:val="continue"/>
            <w:tcBorders>
              <w:tl2br w:val="nil"/>
              <w:tr2bl w:val="nil"/>
            </w:tcBorders>
            <w:vAlign w:val="center"/>
          </w:tcPr>
          <w:p w14:paraId="410A29C0">
            <w:pPr>
              <w:bidi w:val="0"/>
              <w:jc w:val="center"/>
              <w:rPr>
                <w:rFonts w:hint="default" w:ascii="Times New Roman" w:hAnsi="Times New Roman" w:cs="Times New Roman"/>
                <w:color w:val="auto"/>
                <w:sz w:val="21"/>
                <w:szCs w:val="21"/>
                <w:highlight w:val="none"/>
              </w:rPr>
            </w:pPr>
          </w:p>
        </w:tc>
        <w:tc>
          <w:tcPr>
            <w:tcW w:w="763" w:type="pct"/>
            <w:vMerge w:val="continue"/>
            <w:tcBorders>
              <w:tl2br w:val="nil"/>
              <w:tr2bl w:val="nil"/>
            </w:tcBorders>
            <w:vAlign w:val="center"/>
          </w:tcPr>
          <w:p w14:paraId="6095C70C">
            <w:pPr>
              <w:bidi w:val="0"/>
              <w:jc w:val="center"/>
              <w:rPr>
                <w:rFonts w:hint="eastAsia" w:ascii="Times New Roman" w:hAnsi="Times New Roman" w:cs="Times New Roman"/>
                <w:color w:val="auto"/>
                <w:sz w:val="21"/>
                <w:szCs w:val="21"/>
                <w:highlight w:val="none"/>
                <w:lang w:val="en-US" w:eastAsia="zh-CN"/>
              </w:rPr>
            </w:pPr>
          </w:p>
        </w:tc>
        <w:tc>
          <w:tcPr>
            <w:tcW w:w="1259" w:type="pct"/>
            <w:vMerge w:val="continue"/>
            <w:tcBorders>
              <w:tl2br w:val="nil"/>
              <w:tr2bl w:val="nil"/>
            </w:tcBorders>
            <w:vAlign w:val="center"/>
          </w:tcPr>
          <w:p w14:paraId="21C4DB12">
            <w:pPr>
              <w:bidi w:val="0"/>
              <w:jc w:val="center"/>
              <w:rPr>
                <w:rFonts w:hint="default" w:ascii="Times New Roman" w:hAnsi="Times New Roman" w:cs="Times New Roman"/>
                <w:color w:val="auto"/>
                <w:sz w:val="21"/>
                <w:szCs w:val="21"/>
                <w:highlight w:val="none"/>
              </w:rPr>
            </w:pPr>
          </w:p>
        </w:tc>
        <w:tc>
          <w:tcPr>
            <w:tcW w:w="1529" w:type="pct"/>
            <w:tcBorders>
              <w:tl2br w:val="nil"/>
              <w:tr2bl w:val="nil"/>
            </w:tcBorders>
            <w:vAlign w:val="center"/>
          </w:tcPr>
          <w:p w14:paraId="7B68AC5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已测</w:t>
            </w:r>
            <w:r>
              <w:rPr>
                <w:rFonts w:hint="eastAsia" w:ascii="Times New Roman" w:hAnsi="Times New Roman" w:eastAsia="宋体" w:cs="Times New Roman"/>
                <w:b w:val="0"/>
                <w:bCs w:val="0"/>
                <w:color w:val="auto"/>
                <w:sz w:val="21"/>
                <w:szCs w:val="21"/>
                <w:highlight w:val="none"/>
                <w:lang w:val="en-US" w:eastAsia="zh-CN"/>
              </w:rPr>
              <w:t>非甲烷总烃、氟化物</w:t>
            </w:r>
          </w:p>
        </w:tc>
        <w:tc>
          <w:tcPr>
            <w:tcW w:w="1201" w:type="pct"/>
            <w:tcBorders>
              <w:tl2br w:val="nil"/>
              <w:tr2bl w:val="nil"/>
            </w:tcBorders>
            <w:vAlign w:val="center"/>
          </w:tcPr>
          <w:p w14:paraId="1833C2E2">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引用</w:t>
            </w:r>
            <w:r>
              <w:rPr>
                <w:rFonts w:hint="eastAsia" w:ascii="Times New Roman" w:hAnsi="Times New Roman" w:eastAsia="宋体" w:cs="Times New Roman"/>
                <w:b w:val="0"/>
                <w:bCs w:val="0"/>
                <w:color w:val="auto"/>
                <w:sz w:val="21"/>
                <w:szCs w:val="21"/>
                <w:highlight w:val="none"/>
                <w:lang w:val="en-US" w:eastAsia="zh-CN"/>
              </w:rPr>
              <w:t>2023.12.23~2023.12.29</w:t>
            </w:r>
          </w:p>
        </w:tc>
      </w:tr>
      <w:bookmarkEnd w:id="1213"/>
      <w:bookmarkEnd w:id="1214"/>
      <w:tr w14:paraId="1109639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46" w:type="pct"/>
            <w:vMerge w:val="restart"/>
            <w:tcBorders>
              <w:tl2br w:val="nil"/>
              <w:tr2bl w:val="nil"/>
            </w:tcBorders>
            <w:vAlign w:val="center"/>
          </w:tcPr>
          <w:p w14:paraId="3EFA69A9">
            <w:pPr>
              <w:bidi w:val="0"/>
              <w:jc w:val="center"/>
              <w:rPr>
                <w:rFonts w:hint="default" w:ascii="Times New Roman" w:hAnsi="Times New Roman" w:cs="Times New Roman"/>
                <w:color w:val="auto"/>
                <w:sz w:val="21"/>
                <w:szCs w:val="21"/>
                <w:highlight w:val="none"/>
              </w:rPr>
            </w:pPr>
            <w:bookmarkStart w:id="1216" w:name="OLE_LINK376" w:colFirst="3" w:colLast="3"/>
            <w:bookmarkStart w:id="1217" w:name="OLE_LINK374" w:colFirst="4" w:colLast="4"/>
            <w:bookmarkStart w:id="1218" w:name="OLE_LINK1122" w:colFirst="1" w:colLast="1"/>
            <w:bookmarkStart w:id="1219" w:name="OLE_LINK372" w:colFirst="0" w:colLast="0"/>
            <w:r>
              <w:rPr>
                <w:rFonts w:hint="default" w:ascii="Times New Roman" w:hAnsi="Times New Roman" w:cs="Times New Roman"/>
                <w:color w:val="auto"/>
                <w:sz w:val="21"/>
                <w:szCs w:val="21"/>
                <w:highlight w:val="none"/>
              </w:rPr>
              <w:t>G6</w:t>
            </w:r>
          </w:p>
        </w:tc>
        <w:tc>
          <w:tcPr>
            <w:tcW w:w="763" w:type="pct"/>
            <w:vMerge w:val="restart"/>
            <w:tcBorders>
              <w:tl2br w:val="nil"/>
              <w:tr2bl w:val="nil"/>
            </w:tcBorders>
            <w:vAlign w:val="center"/>
          </w:tcPr>
          <w:p w14:paraId="2AFAFD53">
            <w:pPr>
              <w:bidi w:val="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荣盛隽峰</w:t>
            </w:r>
          </w:p>
        </w:tc>
        <w:tc>
          <w:tcPr>
            <w:tcW w:w="1259" w:type="pct"/>
            <w:vMerge w:val="restart"/>
            <w:tcBorders>
              <w:tl2br w:val="nil"/>
              <w:tr2bl w:val="nil"/>
            </w:tcBorders>
            <w:vAlign w:val="center"/>
          </w:tcPr>
          <w:p w14:paraId="533A066F">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118.776487,31.829281</w:t>
            </w:r>
          </w:p>
        </w:tc>
        <w:tc>
          <w:tcPr>
            <w:tcW w:w="1529" w:type="pct"/>
            <w:tcBorders>
              <w:tl2br w:val="nil"/>
              <w:tr2bl w:val="nil"/>
            </w:tcBorders>
            <w:vAlign w:val="center"/>
          </w:tcPr>
          <w:p w14:paraId="63950838">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TSP</w:t>
            </w:r>
            <w:r>
              <w:rPr>
                <w:rFonts w:hint="default" w:ascii="Times New Roman" w:hAnsi="Times New Roman" w:eastAsia="宋体" w:cs="Times New Roman"/>
                <w:color w:val="auto"/>
                <w:sz w:val="21"/>
                <w:szCs w:val="21"/>
                <w:highlight w:val="none"/>
                <w:lang w:val="de-DE"/>
              </w:rPr>
              <w:t>、NO</w:t>
            </w:r>
            <w:r>
              <w:rPr>
                <w:rFonts w:hint="default" w:ascii="Times New Roman" w:hAnsi="Times New Roman" w:eastAsia="宋体" w:cs="Times New Roman"/>
                <w:color w:val="auto"/>
                <w:sz w:val="21"/>
                <w:szCs w:val="21"/>
                <w:highlight w:val="none"/>
                <w:vertAlign w:val="subscript"/>
                <w:lang w:val="de-DE"/>
              </w:rPr>
              <w:t>X</w:t>
            </w:r>
            <w:r>
              <w:rPr>
                <w:rFonts w:hint="default" w:ascii="Times New Roman" w:hAnsi="Times New Roman" w:eastAsia="宋体" w:cs="Times New Roman"/>
                <w:color w:val="auto"/>
                <w:sz w:val="21"/>
                <w:szCs w:val="21"/>
                <w:highlight w:val="none"/>
                <w:lang w:val="de-DE"/>
              </w:rPr>
              <w:t>、H</w:t>
            </w:r>
            <w:r>
              <w:rPr>
                <w:rFonts w:hint="default" w:ascii="Times New Roman" w:hAnsi="Times New Roman" w:eastAsia="宋体" w:cs="Times New Roman"/>
                <w:color w:val="auto"/>
                <w:sz w:val="21"/>
                <w:szCs w:val="21"/>
                <w:highlight w:val="none"/>
                <w:vertAlign w:val="subscript"/>
                <w:lang w:val="de-DE"/>
              </w:rPr>
              <w:t>2</w:t>
            </w:r>
            <w:r>
              <w:rPr>
                <w:rFonts w:hint="default" w:ascii="Times New Roman" w:hAnsi="Times New Roman" w:eastAsia="宋体" w:cs="Times New Roman"/>
                <w:color w:val="auto"/>
                <w:sz w:val="21"/>
                <w:szCs w:val="21"/>
                <w:highlight w:val="none"/>
                <w:lang w:val="de-DE"/>
              </w:rPr>
              <w:t>S、</w:t>
            </w:r>
            <w:bookmarkStart w:id="1220" w:name="OLE_LINK387"/>
            <w:r>
              <w:rPr>
                <w:rFonts w:hint="default" w:ascii="Times New Roman" w:hAnsi="Times New Roman" w:eastAsia="宋体" w:cs="Times New Roman"/>
                <w:color w:val="auto"/>
                <w:sz w:val="21"/>
                <w:szCs w:val="21"/>
                <w:highlight w:val="none"/>
                <w:lang w:val="de-DE"/>
              </w:rPr>
              <w:t>苯</w:t>
            </w:r>
            <w:bookmarkEnd w:id="1220"/>
          </w:p>
        </w:tc>
        <w:tc>
          <w:tcPr>
            <w:tcW w:w="1201" w:type="pct"/>
            <w:tcBorders>
              <w:tl2br w:val="nil"/>
              <w:tr2bl w:val="nil"/>
            </w:tcBorders>
            <w:vAlign w:val="center"/>
          </w:tcPr>
          <w:p w14:paraId="1AF27B9F">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实测</w:t>
            </w:r>
          </w:p>
        </w:tc>
      </w:tr>
      <w:tr w14:paraId="2F5A693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46" w:type="pct"/>
            <w:vMerge w:val="continue"/>
            <w:tcBorders>
              <w:tl2br w:val="nil"/>
              <w:tr2bl w:val="nil"/>
            </w:tcBorders>
            <w:vAlign w:val="center"/>
          </w:tcPr>
          <w:p w14:paraId="59ECE0CD">
            <w:pPr>
              <w:bidi w:val="0"/>
              <w:jc w:val="center"/>
              <w:rPr>
                <w:rFonts w:hint="default" w:ascii="Times New Roman" w:hAnsi="Times New Roman" w:cs="Times New Roman"/>
                <w:color w:val="auto"/>
                <w:sz w:val="21"/>
                <w:szCs w:val="21"/>
                <w:highlight w:val="none"/>
              </w:rPr>
            </w:pPr>
          </w:p>
        </w:tc>
        <w:tc>
          <w:tcPr>
            <w:tcW w:w="763" w:type="pct"/>
            <w:vMerge w:val="continue"/>
            <w:tcBorders>
              <w:tl2br w:val="nil"/>
              <w:tr2bl w:val="nil"/>
            </w:tcBorders>
            <w:vAlign w:val="center"/>
          </w:tcPr>
          <w:p w14:paraId="6467D38C">
            <w:pPr>
              <w:bidi w:val="0"/>
              <w:jc w:val="center"/>
              <w:rPr>
                <w:rFonts w:hint="eastAsia" w:ascii="Times New Roman" w:hAnsi="Times New Roman" w:cs="Times New Roman"/>
                <w:color w:val="auto"/>
                <w:sz w:val="21"/>
                <w:szCs w:val="21"/>
                <w:highlight w:val="none"/>
                <w:lang w:val="en-US" w:eastAsia="zh-CN"/>
              </w:rPr>
            </w:pPr>
          </w:p>
        </w:tc>
        <w:tc>
          <w:tcPr>
            <w:tcW w:w="1259" w:type="pct"/>
            <w:vMerge w:val="continue"/>
            <w:tcBorders>
              <w:tl2br w:val="nil"/>
              <w:tr2bl w:val="nil"/>
            </w:tcBorders>
            <w:vAlign w:val="center"/>
          </w:tcPr>
          <w:p w14:paraId="5E5B7A8D">
            <w:pPr>
              <w:bidi w:val="0"/>
              <w:jc w:val="center"/>
              <w:rPr>
                <w:rFonts w:hint="default" w:ascii="Times New Roman" w:hAnsi="Times New Roman" w:cs="Times New Roman"/>
                <w:color w:val="auto"/>
                <w:sz w:val="21"/>
                <w:szCs w:val="21"/>
                <w:highlight w:val="none"/>
              </w:rPr>
            </w:pPr>
          </w:p>
        </w:tc>
        <w:tc>
          <w:tcPr>
            <w:tcW w:w="1529" w:type="pct"/>
            <w:tcBorders>
              <w:tl2br w:val="nil"/>
              <w:tr2bl w:val="nil"/>
            </w:tcBorders>
            <w:vAlign w:val="center"/>
          </w:tcPr>
          <w:p w14:paraId="4FF1B026">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已测氯化氢、氟化物、氨、非甲烷总烃</w:t>
            </w:r>
          </w:p>
        </w:tc>
        <w:tc>
          <w:tcPr>
            <w:tcW w:w="1201" w:type="pct"/>
            <w:tcBorders>
              <w:tl2br w:val="nil"/>
              <w:tr2bl w:val="nil"/>
            </w:tcBorders>
            <w:vAlign w:val="center"/>
          </w:tcPr>
          <w:p w14:paraId="1876EF6A">
            <w:pPr>
              <w:bidi w:val="0"/>
              <w:jc w:val="center"/>
              <w:rPr>
                <w:rFonts w:hint="default" w:ascii="Times New Roman" w:hAnsi="Times New Roman" w:cs="Times New Roman"/>
                <w:color w:val="auto"/>
                <w:sz w:val="21"/>
                <w:szCs w:val="21"/>
                <w:highlight w:val="none"/>
              </w:rPr>
            </w:pPr>
            <w:bookmarkStart w:id="1221" w:name="OLE_LINK385"/>
            <w:r>
              <w:rPr>
                <w:rFonts w:hint="eastAsia" w:ascii="Times New Roman" w:hAnsi="Times New Roman" w:eastAsia="宋体" w:cs="Times New Roman"/>
                <w:color w:val="auto"/>
                <w:sz w:val="21"/>
                <w:szCs w:val="21"/>
                <w:highlight w:val="none"/>
                <w:lang w:val="en-US" w:eastAsia="zh-CN"/>
              </w:rPr>
              <w:t>引用</w:t>
            </w:r>
            <w:bookmarkEnd w:id="1221"/>
            <w:r>
              <w:rPr>
                <w:rFonts w:hint="eastAsia" w:ascii="Times New Roman" w:hAnsi="Times New Roman" w:cs="Times New Roman"/>
                <w:color w:val="auto"/>
                <w:sz w:val="21"/>
                <w:szCs w:val="21"/>
                <w:highlight w:val="none"/>
                <w:lang w:val="en-US" w:eastAsia="zh-CN"/>
              </w:rPr>
              <w:t>2023.12.20~2023.12.26</w:t>
            </w:r>
          </w:p>
        </w:tc>
      </w:tr>
      <w:tr w14:paraId="2D2B3B0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246" w:type="pct"/>
            <w:tcBorders>
              <w:tl2br w:val="nil"/>
              <w:tr2bl w:val="nil"/>
            </w:tcBorders>
            <w:vAlign w:val="center"/>
          </w:tcPr>
          <w:p w14:paraId="7F28F352">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QH1</w:t>
            </w:r>
          </w:p>
        </w:tc>
        <w:tc>
          <w:tcPr>
            <w:tcW w:w="763" w:type="pct"/>
            <w:tcBorders>
              <w:tl2br w:val="nil"/>
              <w:tr2bl w:val="nil"/>
            </w:tcBorders>
            <w:vAlign w:val="center"/>
          </w:tcPr>
          <w:p w14:paraId="39C32BD9">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九龙湖</w:t>
            </w:r>
          </w:p>
        </w:tc>
        <w:tc>
          <w:tcPr>
            <w:tcW w:w="1259" w:type="pct"/>
            <w:tcBorders>
              <w:tl2br w:val="nil"/>
              <w:tr2bl w:val="nil"/>
            </w:tcBorders>
            <w:vAlign w:val="center"/>
          </w:tcPr>
          <w:p w14:paraId="46AED841">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118.806332,31.917605</w:t>
            </w:r>
          </w:p>
        </w:tc>
        <w:tc>
          <w:tcPr>
            <w:tcW w:w="1529" w:type="pct"/>
            <w:tcBorders>
              <w:tl2br w:val="nil"/>
              <w:tr2bl w:val="nil"/>
            </w:tcBorders>
            <w:vAlign w:val="center"/>
          </w:tcPr>
          <w:p w14:paraId="273CD2F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bookmarkStart w:id="1222" w:name="OLE_LINK463"/>
            <w:r>
              <w:rPr>
                <w:rFonts w:hint="eastAsia" w:ascii="Times New Roman" w:hAnsi="Times New Roman" w:cs="Times New Roman"/>
                <w:color w:val="auto"/>
                <w:sz w:val="21"/>
                <w:szCs w:val="21"/>
                <w:highlight w:val="none"/>
                <w:lang w:val="en-US" w:eastAsia="zh-CN"/>
              </w:rPr>
              <w:t>已测</w:t>
            </w:r>
            <w:bookmarkEnd w:id="1222"/>
            <w:r>
              <w:rPr>
                <w:rFonts w:hint="eastAsia" w:ascii="Times New Roman" w:hAnsi="Times New Roman" w:cs="Times New Roman"/>
                <w:color w:val="auto"/>
                <w:sz w:val="21"/>
                <w:szCs w:val="21"/>
                <w:highlight w:val="none"/>
                <w:lang w:val="en-US" w:eastAsia="zh-CN"/>
              </w:rPr>
              <w:t>氯化氢、氟化物、氨、</w:t>
            </w:r>
            <w:r>
              <w:rPr>
                <w:rFonts w:hint="eastAsia" w:ascii="Times New Roman" w:hAnsi="Times New Roman" w:eastAsia="宋体" w:cs="Times New Roman"/>
                <w:color w:val="auto"/>
                <w:sz w:val="21"/>
                <w:szCs w:val="21"/>
                <w:highlight w:val="none"/>
                <w:lang w:val="en-US" w:eastAsia="zh-CN"/>
              </w:rPr>
              <w:t>硫酸</w:t>
            </w:r>
            <w:sdt>
              <w:sdtPr>
                <w:rPr>
                  <w:color w:val="auto"/>
                  <w:highlight w:val="none"/>
                </w:rPr>
                <w:alias w:val="易错词检查"/>
                <w:tag w:val="auto"/>
                <w:id w:val="3072430"/>
              </w:sdtPr>
              <w:sdtEndPr>
                <w:rPr>
                  <w:color w:val="auto"/>
                  <w:highlight w:val="none"/>
                </w:rPr>
              </w:sdtEndPr>
              <w:sdtContent>
                <w:bookmarkStart w:id="1223" w:name="bkReivew3072430"/>
                <w:r>
                  <w:rPr>
                    <w:rFonts w:hint="eastAsia" w:ascii="Times New Roman" w:hAnsi="Times New Roman" w:eastAsia="宋体" w:cs="Times New Roman"/>
                    <w:color w:val="auto"/>
                    <w:sz w:val="21"/>
                    <w:szCs w:val="21"/>
                    <w:highlight w:val="none"/>
                    <w:lang w:val="en-US" w:eastAsia="zh-CN"/>
                  </w:rPr>
                  <w:t>雾</w:t>
                </w:r>
                <w:bookmarkEnd w:id="1223"/>
              </w:sdtContent>
            </w:sdt>
          </w:p>
        </w:tc>
        <w:tc>
          <w:tcPr>
            <w:tcW w:w="1201" w:type="pct"/>
            <w:vMerge w:val="restart"/>
            <w:tcBorders>
              <w:tl2br w:val="nil"/>
              <w:tr2bl w:val="nil"/>
            </w:tcBorders>
            <w:vAlign w:val="center"/>
          </w:tcPr>
          <w:p w14:paraId="6792896D">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引用</w:t>
            </w:r>
          </w:p>
          <w:p w14:paraId="552912B9">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2024.5.6-2024.5.13</w:t>
            </w:r>
          </w:p>
        </w:tc>
      </w:tr>
      <w:tr w14:paraId="44966D9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5" w:hRule="atLeast"/>
          <w:jc w:val="center"/>
        </w:trPr>
        <w:tc>
          <w:tcPr>
            <w:tcW w:w="246" w:type="pct"/>
            <w:tcBorders>
              <w:tl2br w:val="nil"/>
              <w:tr2bl w:val="nil"/>
            </w:tcBorders>
            <w:vAlign w:val="center"/>
          </w:tcPr>
          <w:p w14:paraId="6B703785">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QH2</w:t>
            </w:r>
          </w:p>
        </w:tc>
        <w:tc>
          <w:tcPr>
            <w:tcW w:w="763" w:type="pct"/>
            <w:tcBorders>
              <w:tl2br w:val="nil"/>
              <w:tr2bl w:val="nil"/>
            </w:tcBorders>
            <w:vAlign w:val="center"/>
          </w:tcPr>
          <w:p w14:paraId="750ACAB6">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彩虹桥</w:t>
            </w:r>
          </w:p>
        </w:tc>
        <w:tc>
          <w:tcPr>
            <w:tcW w:w="1259" w:type="pct"/>
            <w:tcBorders>
              <w:tl2br w:val="nil"/>
              <w:tr2bl w:val="nil"/>
            </w:tcBorders>
            <w:vAlign w:val="center"/>
          </w:tcPr>
          <w:p w14:paraId="48B71A19">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118.843182,31.913583</w:t>
            </w:r>
          </w:p>
        </w:tc>
        <w:tc>
          <w:tcPr>
            <w:tcW w:w="1529" w:type="pct"/>
            <w:tcBorders>
              <w:tl2br w:val="nil"/>
              <w:tr2bl w:val="nil"/>
            </w:tcBorders>
            <w:vAlign w:val="center"/>
          </w:tcPr>
          <w:p w14:paraId="433C629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已测氯化氢、氟化物、硫化氢、氨、苯、</w:t>
            </w:r>
            <w:r>
              <w:rPr>
                <w:rFonts w:hint="eastAsia" w:ascii="Times New Roman" w:hAnsi="Times New Roman" w:eastAsia="宋体" w:cs="Times New Roman"/>
                <w:color w:val="auto"/>
                <w:sz w:val="21"/>
                <w:szCs w:val="21"/>
                <w:highlight w:val="none"/>
                <w:lang w:val="en-US" w:eastAsia="zh-CN"/>
              </w:rPr>
              <w:t>硫酸</w:t>
            </w:r>
            <w:sdt>
              <w:sdtPr>
                <w:rPr>
                  <w:color w:val="auto"/>
                  <w:highlight w:val="none"/>
                </w:rPr>
                <w:alias w:val="易错词检查"/>
                <w:tag w:val="auto"/>
                <w:id w:val="2113345"/>
              </w:sdtPr>
              <w:sdtEndPr>
                <w:rPr>
                  <w:color w:val="auto"/>
                  <w:highlight w:val="none"/>
                </w:rPr>
              </w:sdtEndPr>
              <w:sdtContent>
                <w:bookmarkStart w:id="1224" w:name="bkReivew2113345"/>
                <w:r>
                  <w:rPr>
                    <w:rFonts w:hint="eastAsia" w:ascii="Times New Roman" w:hAnsi="Times New Roman" w:eastAsia="宋体" w:cs="Times New Roman"/>
                    <w:color w:val="auto"/>
                    <w:sz w:val="21"/>
                    <w:szCs w:val="21"/>
                    <w:highlight w:val="none"/>
                    <w:lang w:val="en-US" w:eastAsia="zh-CN"/>
                  </w:rPr>
                  <w:t>雾</w:t>
                </w:r>
                <w:bookmarkEnd w:id="1224"/>
              </w:sdtContent>
            </w:sdt>
          </w:p>
        </w:tc>
        <w:tc>
          <w:tcPr>
            <w:tcW w:w="1201" w:type="pct"/>
            <w:vMerge w:val="continue"/>
            <w:tcBorders>
              <w:tl2br w:val="nil"/>
              <w:tr2bl w:val="nil"/>
            </w:tcBorders>
            <w:vAlign w:val="center"/>
          </w:tcPr>
          <w:p w14:paraId="3AA01B15">
            <w:pPr>
              <w:bidi w:val="0"/>
              <w:jc w:val="center"/>
              <w:rPr>
                <w:rFonts w:hint="eastAsia" w:ascii="Times New Roman" w:hAnsi="Times New Roman" w:eastAsia="宋体" w:cs="Times New Roman"/>
                <w:color w:val="auto"/>
                <w:sz w:val="21"/>
                <w:szCs w:val="21"/>
                <w:highlight w:val="none"/>
                <w:lang w:val="en-US" w:eastAsia="zh-CN"/>
              </w:rPr>
            </w:pPr>
          </w:p>
        </w:tc>
      </w:tr>
      <w:bookmarkEnd w:id="1204"/>
      <w:bookmarkEnd w:id="1216"/>
      <w:bookmarkEnd w:id="1217"/>
      <w:bookmarkEnd w:id="1218"/>
      <w:bookmarkEnd w:id="1219"/>
    </w:tbl>
    <w:p w14:paraId="1315D32D">
      <w:pPr>
        <w:spacing w:before="0" w:line="360" w:lineRule="auto"/>
        <w:ind w:left="0" w:firstLine="468" w:firstLineChars="200"/>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w:t>
      </w:r>
      <w:r>
        <w:rPr>
          <w:rFonts w:ascii="Times New Roman" w:hAnsi="Times New Roman" w:eastAsia="Times New Roman" w:cs="Times New Roman"/>
          <w:color w:val="auto"/>
          <w:spacing w:val="-3"/>
          <w:sz w:val="24"/>
          <w:szCs w:val="24"/>
          <w:highlight w:val="none"/>
        </w:rPr>
        <w:t>2</w:t>
      </w:r>
      <w:r>
        <w:rPr>
          <w:rFonts w:ascii="宋体" w:hAnsi="宋体" w:eastAsia="宋体" w:cs="宋体"/>
          <w:color w:val="auto"/>
          <w:spacing w:val="-3"/>
          <w:sz w:val="24"/>
          <w:szCs w:val="24"/>
          <w:highlight w:val="none"/>
        </w:rPr>
        <w:t>）监测</w:t>
      </w:r>
      <w:r>
        <w:rPr>
          <w:rFonts w:ascii="Times New Roman" w:hAnsi="Times New Roman" w:eastAsia="Times New Roman" w:cs="Times New Roman"/>
          <w:color w:val="auto"/>
          <w:spacing w:val="-2"/>
          <w:sz w:val="24"/>
          <w:szCs w:val="24"/>
          <w:highlight w:val="none"/>
        </w:rPr>
        <w:t>项目</w:t>
      </w:r>
      <w:r>
        <w:rPr>
          <w:rFonts w:ascii="宋体" w:hAnsi="宋体" w:eastAsia="宋体" w:cs="宋体"/>
          <w:color w:val="auto"/>
          <w:spacing w:val="-3"/>
          <w:sz w:val="24"/>
          <w:szCs w:val="24"/>
          <w:highlight w:val="none"/>
        </w:rPr>
        <w:t>和频次</w:t>
      </w:r>
      <w:bookmarkStart w:id="1225" w:name="pindex4707"/>
      <w:bookmarkEnd w:id="1225"/>
    </w:p>
    <w:p w14:paraId="74D9A875">
      <w:pPr>
        <w:spacing w:before="0" w:line="360" w:lineRule="auto"/>
        <w:ind w:left="0" w:firstLine="472" w:firstLineChars="200"/>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监测项目见表</w:t>
      </w:r>
      <w:r>
        <w:rPr>
          <w:rFonts w:ascii="Times New Roman" w:hAnsi="Times New Roman" w:eastAsia="Times New Roman" w:cs="Times New Roman"/>
          <w:color w:val="auto"/>
          <w:spacing w:val="-2"/>
          <w:sz w:val="24"/>
          <w:szCs w:val="24"/>
          <w:highlight w:val="none"/>
        </w:rPr>
        <w:t>6.3-</w:t>
      </w:r>
      <w:r>
        <w:rPr>
          <w:rFonts w:hint="eastAsia" w:ascii="Times New Roman" w:hAnsi="Times New Roman" w:eastAsia="宋体" w:cs="Times New Roman"/>
          <w:color w:val="auto"/>
          <w:spacing w:val="-2"/>
          <w:sz w:val="24"/>
          <w:szCs w:val="24"/>
          <w:highlight w:val="none"/>
          <w:lang w:val="en-US" w:eastAsia="zh-CN"/>
        </w:rPr>
        <w:t>4</w:t>
      </w:r>
      <w:r>
        <w:rPr>
          <w:rFonts w:ascii="宋体" w:hAnsi="宋体" w:eastAsia="宋体" w:cs="宋体"/>
          <w:color w:val="auto"/>
          <w:spacing w:val="-2"/>
          <w:sz w:val="24"/>
          <w:szCs w:val="24"/>
          <w:highlight w:val="none"/>
        </w:rPr>
        <w:t>，同时记录风向、风速、温度、气压等气象参数。</w:t>
      </w:r>
    </w:p>
    <w:p w14:paraId="26B74CF7">
      <w:pPr>
        <w:keepNext w:val="0"/>
        <w:keepLines w:val="0"/>
        <w:pageBreakBefore w:val="0"/>
        <w:widowControl/>
        <w:kinsoku w:val="0"/>
        <w:wordWrap/>
        <w:overflowPunct/>
        <w:topLinePunct w:val="0"/>
        <w:autoSpaceDE w:val="0"/>
        <w:autoSpaceDN w:val="0"/>
        <w:bidi w:val="0"/>
        <w:adjustRightInd w:val="0"/>
        <w:snapToGrid w:val="0"/>
        <w:spacing w:before="0" w:line="360" w:lineRule="auto"/>
        <w:ind w:firstLine="480" w:firstLineChars="200"/>
        <w:textAlignment w:val="baseline"/>
        <w:rPr>
          <w:rFonts w:hint="default" w:ascii="Times New Roman" w:hAnsi="Times New Roman" w:eastAsia="宋体" w:cs="Times New Roman"/>
          <w:color w:val="auto"/>
          <w:spacing w:val="-2"/>
          <w:sz w:val="24"/>
          <w:szCs w:val="24"/>
          <w:highlight w:val="none"/>
        </w:rPr>
      </w:pPr>
      <w:bookmarkStart w:id="1226" w:name="sys47090102"/>
      <w:r>
        <w:rPr>
          <w:rFonts w:hint="default" w:ascii="Times New Roman" w:hAnsi="Times New Roman" w:cs="Times New Roman"/>
          <w:color w:val="auto"/>
          <w:sz w:val="24"/>
          <w:szCs w:val="24"/>
          <w:highlight w:val="none"/>
          <w:lang w:val="en-US" w:eastAsia="zh-CN"/>
        </w:rPr>
        <w:t>TSP</w:t>
      </w:r>
      <w:r>
        <w:rPr>
          <w:rFonts w:hint="eastAsia" w:ascii="Times New Roman" w:hAnsi="Times New Roman" w:cs="Times New Roman"/>
          <w:color w:val="auto"/>
          <w:sz w:val="24"/>
          <w:szCs w:val="24"/>
          <w:highlight w:val="none"/>
          <w:lang w:val="en-US" w:eastAsia="zh-CN"/>
        </w:rPr>
        <w:t>（需测日均）</w:t>
      </w:r>
      <w:r>
        <w:rPr>
          <w:rFonts w:hint="default" w:ascii="Times New Roman" w:hAnsi="Times New Roman" w:eastAsia="宋体" w:cs="Times New Roman"/>
          <w:color w:val="auto"/>
          <w:sz w:val="24"/>
          <w:szCs w:val="24"/>
          <w:highlight w:val="none"/>
          <w:lang w:val="de-DE"/>
        </w:rPr>
        <w:t>、NO</w:t>
      </w:r>
      <w:r>
        <w:rPr>
          <w:rFonts w:hint="default" w:ascii="Times New Roman" w:hAnsi="Times New Roman" w:eastAsia="宋体" w:cs="Times New Roman"/>
          <w:color w:val="auto"/>
          <w:sz w:val="24"/>
          <w:szCs w:val="24"/>
          <w:highlight w:val="none"/>
          <w:vertAlign w:val="subscript"/>
          <w:lang w:val="de-DE"/>
        </w:rPr>
        <w:t>X</w:t>
      </w:r>
      <w:r>
        <w:rPr>
          <w:rFonts w:hint="default" w:ascii="Times New Roman" w:hAnsi="Times New Roman" w:eastAsia="宋体" w:cs="Times New Roman"/>
          <w:color w:val="auto"/>
          <w:sz w:val="24"/>
          <w:szCs w:val="24"/>
          <w:highlight w:val="none"/>
          <w:lang w:val="de-DE"/>
        </w:rPr>
        <w:t>、HCl、H</w:t>
      </w:r>
      <w:r>
        <w:rPr>
          <w:rFonts w:hint="default" w:ascii="Times New Roman" w:hAnsi="Times New Roman" w:eastAsia="宋体" w:cs="Times New Roman"/>
          <w:color w:val="auto"/>
          <w:sz w:val="24"/>
          <w:szCs w:val="24"/>
          <w:highlight w:val="none"/>
          <w:vertAlign w:val="subscript"/>
          <w:lang w:val="de-DE"/>
        </w:rPr>
        <w:t>2</w:t>
      </w:r>
      <w:r>
        <w:rPr>
          <w:rFonts w:hint="default" w:ascii="Times New Roman" w:hAnsi="Times New Roman" w:eastAsia="宋体" w:cs="Times New Roman"/>
          <w:color w:val="auto"/>
          <w:sz w:val="24"/>
          <w:szCs w:val="24"/>
          <w:highlight w:val="none"/>
          <w:lang w:val="de-DE"/>
        </w:rPr>
        <w:t>S、NH</w:t>
      </w:r>
      <w:r>
        <w:rPr>
          <w:rFonts w:hint="default" w:ascii="Times New Roman" w:hAnsi="Times New Roman" w:eastAsia="宋体" w:cs="Times New Roman"/>
          <w:color w:val="auto"/>
          <w:sz w:val="24"/>
          <w:szCs w:val="24"/>
          <w:highlight w:val="none"/>
          <w:vertAlign w:val="subscript"/>
          <w:lang w:val="de-DE"/>
        </w:rPr>
        <w:t>3</w:t>
      </w:r>
      <w:r>
        <w:rPr>
          <w:rFonts w:hint="default" w:ascii="Times New Roman" w:hAnsi="Times New Roman" w:eastAsia="宋体" w:cs="Times New Roman"/>
          <w:color w:val="auto"/>
          <w:sz w:val="24"/>
          <w:szCs w:val="24"/>
          <w:highlight w:val="none"/>
          <w:lang w:val="de-DE"/>
        </w:rPr>
        <w:t>、氟化物、硫酸</w:t>
      </w:r>
      <w:sdt>
        <w:sdtPr>
          <w:rPr>
            <w:color w:val="auto"/>
            <w:highlight w:val="none"/>
          </w:rPr>
          <w:alias w:val="易错词检查"/>
          <w:tag w:val="auto"/>
          <w:id w:val="1163013"/>
        </w:sdtPr>
        <w:sdtEndPr>
          <w:rPr>
            <w:color w:val="auto"/>
            <w:highlight w:val="none"/>
          </w:rPr>
        </w:sdtEndPr>
        <w:sdtContent>
          <w:bookmarkStart w:id="1227" w:name="bkReivew1163013"/>
          <w:r>
            <w:rPr>
              <w:rFonts w:hint="default" w:ascii="Times New Roman" w:hAnsi="Times New Roman" w:eastAsia="宋体" w:cs="Times New Roman"/>
              <w:color w:val="auto"/>
              <w:sz w:val="24"/>
              <w:szCs w:val="24"/>
              <w:highlight w:val="none"/>
              <w:lang w:val="de-DE"/>
            </w:rPr>
            <w:t>雾</w:t>
          </w:r>
          <w:bookmarkEnd w:id="1227"/>
        </w:sdtContent>
      </w:sdt>
      <w:r>
        <w:rPr>
          <w:rFonts w:hint="default" w:ascii="Times New Roman" w:hAnsi="Times New Roman" w:eastAsia="宋体" w:cs="Times New Roman"/>
          <w:color w:val="auto"/>
          <w:sz w:val="24"/>
          <w:szCs w:val="24"/>
          <w:highlight w:val="none"/>
          <w:lang w:val="de-DE"/>
        </w:rPr>
        <w:t>、苯、非甲烷</w:t>
      </w:r>
      <w:r>
        <w:rPr>
          <w:rFonts w:hint="default" w:ascii="宋体" w:hAnsi="宋体" w:eastAsia="宋体" w:cs="宋体"/>
          <w:color w:val="auto"/>
          <w:spacing w:val="-2"/>
          <w:sz w:val="24"/>
          <w:szCs w:val="24"/>
          <w:highlight w:val="none"/>
          <w:lang w:val="de-DE"/>
        </w:rPr>
        <w:t>总烃</w:t>
      </w:r>
      <w:r>
        <w:rPr>
          <w:rFonts w:hint="default" w:ascii="Times New Roman" w:hAnsi="Times New Roman" w:eastAsia="宋体" w:cs="Times New Roman"/>
          <w:color w:val="auto"/>
          <w:spacing w:val="-2"/>
          <w:sz w:val="24"/>
          <w:szCs w:val="24"/>
          <w:highlight w:val="none"/>
          <w:lang w:val="en-US" w:eastAsia="zh-CN"/>
        </w:rPr>
        <w:t>连续7天，其1小时浓度值每天监测4次，获取当地时间02、08、14、20时4个小时浓度值（每小时至少有45分钟采样时间）</w:t>
      </w:r>
      <w:r>
        <w:rPr>
          <w:rFonts w:hint="default" w:ascii="Times New Roman" w:hAnsi="Times New Roman" w:eastAsia="宋体" w:cs="Times New Roman"/>
          <w:color w:val="auto"/>
          <w:spacing w:val="-2"/>
          <w:sz w:val="24"/>
          <w:szCs w:val="24"/>
          <w:highlight w:val="none"/>
        </w:rPr>
        <w:t>。</w:t>
      </w:r>
      <w:bookmarkEnd w:id="1226"/>
    </w:p>
    <w:p w14:paraId="59E636F4">
      <w:pPr>
        <w:keepNext w:val="0"/>
        <w:keepLines w:val="0"/>
        <w:pageBreakBefore w:val="0"/>
        <w:widowControl/>
        <w:kinsoku/>
        <w:wordWrap/>
        <w:overflowPunct/>
        <w:topLinePunct w:val="0"/>
        <w:autoSpaceDE/>
        <w:autoSpaceDN/>
        <w:bidi w:val="0"/>
        <w:adjustRightInd/>
        <w:snapToGrid/>
        <w:spacing w:before="0" w:line="360" w:lineRule="auto"/>
        <w:ind w:firstLine="472" w:firstLineChars="200"/>
        <w:textAlignment w:val="auto"/>
        <w:rPr>
          <w:rFonts w:ascii="宋体" w:hAnsi="宋体" w:eastAsia="宋体" w:cs="宋体"/>
          <w:color w:val="auto"/>
          <w:spacing w:val="-2"/>
          <w:sz w:val="24"/>
          <w:szCs w:val="24"/>
          <w:highlight w:val="none"/>
        </w:rPr>
      </w:pPr>
      <w:r>
        <w:rPr>
          <w:rFonts w:ascii="宋体" w:hAnsi="宋体" w:eastAsia="宋体" w:cs="宋体"/>
          <w:color w:val="auto"/>
          <w:spacing w:val="-2"/>
          <w:sz w:val="24"/>
          <w:szCs w:val="24"/>
          <w:highlight w:val="none"/>
        </w:rPr>
        <w:t>采样监测同时记录风向、风速、气压、气温等常规气象要素。</w:t>
      </w:r>
    </w:p>
    <w:p w14:paraId="63220EFC">
      <w:pPr>
        <w:keepNext w:val="0"/>
        <w:keepLines w:val="0"/>
        <w:pageBreakBefore w:val="0"/>
        <w:widowControl/>
        <w:kinsoku/>
        <w:wordWrap/>
        <w:overflowPunct/>
        <w:topLinePunct w:val="0"/>
        <w:autoSpaceDE/>
        <w:autoSpaceDN/>
        <w:bidi w:val="0"/>
        <w:adjustRightInd/>
        <w:snapToGrid/>
        <w:spacing w:before="0" w:line="240" w:lineRule="auto"/>
        <w:jc w:val="center"/>
        <w:textAlignment w:val="auto"/>
        <w:rPr>
          <w:rFonts w:ascii="Times New Roman" w:hAnsi="Times New Roman" w:eastAsia="宋体" w:cs="Times New Roman"/>
          <w:bCs/>
          <w:color w:val="auto"/>
          <w:sz w:val="24"/>
          <w:szCs w:val="21"/>
          <w:highlight w:val="none"/>
        </w:rPr>
      </w:pPr>
      <w:r>
        <w:rPr>
          <w:rFonts w:ascii="宋体" w:hAnsi="宋体" w:eastAsia="宋体" w:cs="宋体"/>
          <w:b/>
          <w:bCs/>
          <w:color w:val="auto"/>
          <w:spacing w:val="-3"/>
          <w:sz w:val="24"/>
          <w:szCs w:val="24"/>
          <w:highlight w:val="none"/>
        </w:rPr>
        <w:t>表</w:t>
      </w:r>
      <w:r>
        <w:rPr>
          <w:rFonts w:ascii="Times New Roman" w:hAnsi="Times New Roman" w:eastAsia="Times New Roman" w:cs="Times New Roman"/>
          <w:b/>
          <w:bCs/>
          <w:color w:val="auto"/>
          <w:spacing w:val="-3"/>
          <w:sz w:val="24"/>
          <w:szCs w:val="24"/>
          <w:highlight w:val="none"/>
        </w:rPr>
        <w:t>6.3-</w:t>
      </w:r>
      <w:r>
        <w:rPr>
          <w:rFonts w:hint="eastAsia" w:ascii="Times New Roman" w:hAnsi="Times New Roman" w:eastAsia="宋体" w:cs="Times New Roman"/>
          <w:b/>
          <w:bCs/>
          <w:color w:val="auto"/>
          <w:spacing w:val="-3"/>
          <w:sz w:val="24"/>
          <w:szCs w:val="24"/>
          <w:highlight w:val="none"/>
          <w:lang w:val="en-US" w:eastAsia="zh-CN"/>
        </w:rPr>
        <w:t xml:space="preserve">4  </w:t>
      </w:r>
      <w:r>
        <w:rPr>
          <w:rFonts w:ascii="Times New Roman" w:hAnsi="Times New Roman" w:eastAsia="宋体" w:cs="Times New Roman"/>
          <w:b/>
          <w:bCs w:val="0"/>
          <w:color w:val="auto"/>
          <w:sz w:val="24"/>
          <w:szCs w:val="21"/>
          <w:highlight w:val="none"/>
        </w:rPr>
        <w:t>环境空气质量监测因子、监测时间及监测频率</w:t>
      </w:r>
      <w:bookmarkStart w:id="1228" w:name="pindex4711"/>
      <w:bookmarkEnd w:id="1228"/>
    </w:p>
    <w:tbl>
      <w:tblPr>
        <w:tblStyle w:val="19"/>
        <w:tblW w:w="504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778"/>
        <w:gridCol w:w="1382"/>
        <w:gridCol w:w="2400"/>
        <w:gridCol w:w="2096"/>
      </w:tblGrid>
      <w:tr w14:paraId="79CA63D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1604" w:type="pct"/>
            <w:vAlign w:val="center"/>
          </w:tcPr>
          <w:p w14:paraId="65324147">
            <w:pPr>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监测因子</w:t>
            </w:r>
          </w:p>
        </w:tc>
        <w:tc>
          <w:tcPr>
            <w:tcW w:w="798" w:type="pct"/>
          </w:tcPr>
          <w:p w14:paraId="2A8CF8D0">
            <w:pPr>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监测时间</w:t>
            </w:r>
          </w:p>
        </w:tc>
        <w:tc>
          <w:tcPr>
            <w:tcW w:w="2596" w:type="pct"/>
            <w:gridSpan w:val="2"/>
            <w:vAlign w:val="center"/>
          </w:tcPr>
          <w:p w14:paraId="7B46F205">
            <w:pPr>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监测频率</w:t>
            </w:r>
          </w:p>
        </w:tc>
      </w:tr>
      <w:tr w14:paraId="2D4C197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17" w:hRule="atLeast"/>
          <w:jc w:val="center"/>
        </w:trPr>
        <w:tc>
          <w:tcPr>
            <w:tcW w:w="1604" w:type="pct"/>
            <w:vAlign w:val="center"/>
          </w:tcPr>
          <w:p w14:paraId="332551B9">
            <w:pPr>
              <w:jc w:val="center"/>
              <w:rPr>
                <w:rFonts w:ascii="Times New Roman" w:hAnsi="Times New Roman" w:eastAsia="宋体" w:cs="Times New Roman"/>
                <w:color w:val="auto"/>
                <w:szCs w:val="21"/>
                <w:highlight w:val="none"/>
                <w:lang w:val="de-DE"/>
              </w:rPr>
            </w:pPr>
            <w:r>
              <w:rPr>
                <w:rFonts w:hint="default" w:ascii="Times New Roman" w:hAnsi="Times New Roman" w:eastAsia="宋体" w:cs="Times New Roman"/>
                <w:color w:val="auto"/>
                <w:sz w:val="21"/>
                <w:szCs w:val="21"/>
                <w:highlight w:val="none"/>
                <w:lang w:val="de-DE"/>
              </w:rPr>
              <w:t>NO</w:t>
            </w:r>
            <w:r>
              <w:rPr>
                <w:rFonts w:hint="default" w:ascii="Times New Roman" w:hAnsi="Times New Roman" w:eastAsia="宋体" w:cs="Times New Roman"/>
                <w:color w:val="auto"/>
                <w:sz w:val="21"/>
                <w:szCs w:val="21"/>
                <w:highlight w:val="none"/>
                <w:vertAlign w:val="subscript"/>
                <w:lang w:val="de-DE"/>
              </w:rPr>
              <w:t>X</w:t>
            </w:r>
            <w:r>
              <w:rPr>
                <w:rFonts w:hint="default" w:ascii="Times New Roman" w:hAnsi="Times New Roman" w:eastAsia="宋体" w:cs="Times New Roman"/>
                <w:color w:val="auto"/>
                <w:sz w:val="21"/>
                <w:szCs w:val="21"/>
                <w:highlight w:val="none"/>
                <w:lang w:val="de-DE"/>
              </w:rPr>
              <w:t>、HCl、H</w:t>
            </w:r>
            <w:r>
              <w:rPr>
                <w:rFonts w:hint="default" w:ascii="Times New Roman" w:hAnsi="Times New Roman" w:eastAsia="宋体" w:cs="Times New Roman"/>
                <w:color w:val="auto"/>
                <w:sz w:val="21"/>
                <w:szCs w:val="21"/>
                <w:highlight w:val="none"/>
                <w:vertAlign w:val="subscript"/>
                <w:lang w:val="de-DE"/>
              </w:rPr>
              <w:t>2</w:t>
            </w:r>
            <w:r>
              <w:rPr>
                <w:rFonts w:hint="default" w:ascii="Times New Roman" w:hAnsi="Times New Roman" w:eastAsia="宋体" w:cs="Times New Roman"/>
                <w:color w:val="auto"/>
                <w:sz w:val="21"/>
                <w:szCs w:val="21"/>
                <w:highlight w:val="none"/>
                <w:lang w:val="de-DE"/>
              </w:rPr>
              <w:t>S、NH</w:t>
            </w:r>
            <w:r>
              <w:rPr>
                <w:rFonts w:hint="default" w:ascii="Times New Roman" w:hAnsi="Times New Roman" w:eastAsia="宋体" w:cs="Times New Roman"/>
                <w:color w:val="auto"/>
                <w:sz w:val="21"/>
                <w:szCs w:val="21"/>
                <w:highlight w:val="none"/>
                <w:vertAlign w:val="subscript"/>
                <w:lang w:val="de-DE"/>
              </w:rPr>
              <w:t>3</w:t>
            </w:r>
            <w:r>
              <w:rPr>
                <w:rFonts w:hint="default" w:ascii="Times New Roman" w:hAnsi="Times New Roman" w:eastAsia="宋体" w:cs="Times New Roman"/>
                <w:color w:val="auto"/>
                <w:sz w:val="21"/>
                <w:szCs w:val="21"/>
                <w:highlight w:val="none"/>
                <w:lang w:val="de-DE"/>
              </w:rPr>
              <w:t>、氟化物、</w:t>
            </w:r>
            <w:bookmarkStart w:id="1229" w:name="OLE_LINK595"/>
            <w:r>
              <w:rPr>
                <w:rFonts w:hint="default" w:ascii="Times New Roman" w:hAnsi="Times New Roman" w:eastAsia="宋体" w:cs="Times New Roman"/>
                <w:color w:val="auto"/>
                <w:sz w:val="21"/>
                <w:szCs w:val="21"/>
                <w:highlight w:val="none"/>
                <w:lang w:val="de-DE"/>
              </w:rPr>
              <w:t>硫酸</w:t>
            </w:r>
            <w:sdt>
              <w:sdtPr>
                <w:rPr>
                  <w:color w:val="auto"/>
                  <w:highlight w:val="none"/>
                </w:rPr>
                <w:alias w:val="易错词检查"/>
                <w:tag w:val="auto"/>
                <w:id w:val="2163730"/>
              </w:sdtPr>
              <w:sdtEndPr>
                <w:rPr>
                  <w:color w:val="auto"/>
                  <w:highlight w:val="none"/>
                </w:rPr>
              </w:sdtEndPr>
              <w:sdtContent>
                <w:bookmarkStart w:id="1230" w:name="bkReivew2163730"/>
                <w:r>
                  <w:rPr>
                    <w:rFonts w:hint="default" w:ascii="Times New Roman" w:hAnsi="Times New Roman" w:eastAsia="宋体" w:cs="Times New Roman"/>
                    <w:color w:val="auto"/>
                    <w:sz w:val="21"/>
                    <w:szCs w:val="21"/>
                    <w:highlight w:val="none"/>
                    <w:lang w:val="de-DE"/>
                  </w:rPr>
                  <w:t>雾</w:t>
                </w:r>
                <w:bookmarkEnd w:id="1230"/>
              </w:sdtContent>
            </w:sdt>
            <w:bookmarkEnd w:id="1229"/>
            <w:r>
              <w:rPr>
                <w:rFonts w:hint="default" w:ascii="Times New Roman" w:hAnsi="Times New Roman" w:eastAsia="宋体" w:cs="Times New Roman"/>
                <w:color w:val="auto"/>
                <w:sz w:val="21"/>
                <w:szCs w:val="21"/>
                <w:highlight w:val="none"/>
                <w:lang w:val="de-DE"/>
              </w:rPr>
              <w:t>、苯、非甲烷总烃</w:t>
            </w:r>
          </w:p>
        </w:tc>
        <w:tc>
          <w:tcPr>
            <w:tcW w:w="798" w:type="pct"/>
            <w:vAlign w:val="center"/>
          </w:tcPr>
          <w:p w14:paraId="4065EEFD">
            <w:pPr>
              <w:jc w:val="center"/>
              <w:rPr>
                <w:rFonts w:ascii="Times New Roman" w:hAnsi="Times New Roman" w:eastAsia="宋体" w:cs="Times New Roman"/>
                <w:color w:val="auto"/>
                <w:szCs w:val="21"/>
                <w:highlight w:val="none"/>
              </w:rPr>
            </w:pPr>
            <w:r>
              <w:rPr>
                <w:rFonts w:ascii="Times New Roman" w:hAnsi="Times New Roman" w:eastAsia="宋体" w:cs="Times New Roman"/>
                <w:bCs/>
                <w:color w:val="auto"/>
                <w:szCs w:val="21"/>
                <w:highlight w:val="none"/>
                <w:lang w:val="de-DE"/>
              </w:rPr>
              <w:t>连续采样7天</w:t>
            </w:r>
          </w:p>
        </w:tc>
        <w:tc>
          <w:tcPr>
            <w:tcW w:w="1386" w:type="pct"/>
            <w:vAlign w:val="center"/>
          </w:tcPr>
          <w:p w14:paraId="1E703405">
            <w:pPr>
              <w:jc w:val="center"/>
              <w:rPr>
                <w:rFonts w:hint="eastAsia" w:ascii="Times New Roman" w:hAnsi="Times New Roman" w:eastAsia="宋体" w:cs="Times New Roman"/>
                <w:color w:val="auto"/>
                <w:szCs w:val="21"/>
                <w:highlight w:val="none"/>
                <w:lang w:eastAsia="zh-CN"/>
              </w:rPr>
            </w:pPr>
            <w:r>
              <w:rPr>
                <w:rFonts w:ascii="Times New Roman" w:hAnsi="Times New Roman" w:eastAsia="宋体" w:cs="Times New Roman"/>
                <w:color w:val="auto"/>
                <w:szCs w:val="21"/>
                <w:highlight w:val="none"/>
              </w:rPr>
              <w:t>1小时平均</w:t>
            </w:r>
            <w:r>
              <w:rPr>
                <w:rFonts w:hint="eastAsia" w:ascii="Times New Roman" w:hAnsi="Times New Roman" w:eastAsia="宋体" w:cs="Times New Roman"/>
                <w:color w:val="auto"/>
                <w:szCs w:val="21"/>
                <w:highlight w:val="none"/>
                <w:lang w:eastAsia="zh-CN"/>
              </w:rPr>
              <w:t>（</w:t>
            </w:r>
            <w:r>
              <w:rPr>
                <w:rFonts w:ascii="Times New Roman" w:hAnsi="Times New Roman" w:eastAsia="宋体" w:cs="Times New Roman"/>
                <w:color w:val="auto"/>
                <w:highlight w:val="none"/>
              </w:rPr>
              <w:t>02:00</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08:00</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14:00</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20:00</w:t>
            </w:r>
            <w:r>
              <w:rPr>
                <w:rFonts w:hint="eastAsia" w:ascii="Times New Roman" w:hAnsi="Times New Roman" w:eastAsia="宋体" w:cs="Times New Roman"/>
                <w:color w:val="auto"/>
                <w:highlight w:val="none"/>
                <w:lang w:eastAsia="zh-CN"/>
              </w:rPr>
              <w:t>）</w:t>
            </w:r>
          </w:p>
        </w:tc>
        <w:tc>
          <w:tcPr>
            <w:tcW w:w="1210" w:type="pct"/>
            <w:vAlign w:val="center"/>
          </w:tcPr>
          <w:p w14:paraId="2BB7FB9B">
            <w:pPr>
              <w:spacing w:before="62" w:beforeLines="2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每小时至少有45分钟的采样时间</w:t>
            </w:r>
          </w:p>
        </w:tc>
      </w:tr>
      <w:tr w14:paraId="36F563A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17" w:hRule="atLeast"/>
          <w:jc w:val="center"/>
        </w:trPr>
        <w:tc>
          <w:tcPr>
            <w:tcW w:w="1604" w:type="pct"/>
            <w:shd w:val="clear" w:color="auto" w:fill="auto"/>
            <w:vAlign w:val="center"/>
          </w:tcPr>
          <w:p w14:paraId="70C937F2">
            <w:pPr>
              <w:jc w:val="center"/>
              <w:rPr>
                <w:rFonts w:hint="default" w:ascii="Times New Roman" w:hAnsi="Times New Roman" w:eastAsia="宋体" w:cs="Times New Roman"/>
                <w:snapToGrid w:val="0"/>
                <w:color w:val="auto"/>
                <w:kern w:val="0"/>
                <w:sz w:val="21"/>
                <w:szCs w:val="21"/>
                <w:highlight w:val="none"/>
                <w:lang w:val="de-DE" w:eastAsia="zh-CN" w:bidi="ar-SA"/>
              </w:rPr>
            </w:pPr>
            <w:r>
              <w:rPr>
                <w:rFonts w:hint="eastAsia" w:ascii="Times New Roman" w:hAnsi="Times New Roman" w:eastAsia="宋体" w:cs="Times New Roman"/>
                <w:color w:val="auto"/>
                <w:sz w:val="22"/>
                <w:highlight w:val="none"/>
                <w:lang w:val="en-US" w:eastAsia="zh-CN"/>
              </w:rPr>
              <w:t>TSP</w:t>
            </w:r>
          </w:p>
        </w:tc>
        <w:tc>
          <w:tcPr>
            <w:tcW w:w="798" w:type="pct"/>
            <w:shd w:val="clear" w:color="auto" w:fill="auto"/>
            <w:vAlign w:val="center"/>
          </w:tcPr>
          <w:p w14:paraId="548406BF">
            <w:pPr>
              <w:jc w:val="center"/>
              <w:rPr>
                <w:rFonts w:ascii="Times New Roman" w:hAnsi="Times New Roman" w:eastAsia="宋体" w:cs="Times New Roman"/>
                <w:snapToGrid w:val="0"/>
                <w:color w:val="auto"/>
                <w:kern w:val="0"/>
                <w:sz w:val="21"/>
                <w:szCs w:val="21"/>
                <w:highlight w:val="none"/>
                <w:lang w:val="de-DE" w:eastAsia="en-US" w:bidi="ar-SA"/>
              </w:rPr>
            </w:pPr>
            <w:r>
              <w:rPr>
                <w:rFonts w:ascii="Times New Roman" w:hAnsi="Times New Roman" w:eastAsia="宋体" w:cs="Times New Roman"/>
                <w:bCs/>
                <w:color w:val="auto"/>
                <w:szCs w:val="21"/>
                <w:highlight w:val="none"/>
                <w:lang w:val="de-DE"/>
              </w:rPr>
              <w:t>连续采样7天</w:t>
            </w:r>
          </w:p>
        </w:tc>
        <w:tc>
          <w:tcPr>
            <w:tcW w:w="1386" w:type="pct"/>
            <w:shd w:val="clear" w:color="auto" w:fill="auto"/>
            <w:vAlign w:val="center"/>
          </w:tcPr>
          <w:p w14:paraId="1CA42373">
            <w:pPr>
              <w:jc w:val="center"/>
              <w:rPr>
                <w:rFonts w:ascii="Times New Roman" w:hAnsi="Times New Roman" w:eastAsia="宋体" w:cs="Times New Roman"/>
                <w:snapToGrid w:val="0"/>
                <w:color w:val="auto"/>
                <w:kern w:val="0"/>
                <w:sz w:val="21"/>
                <w:szCs w:val="21"/>
                <w:highlight w:val="none"/>
                <w:lang w:val="en-US" w:eastAsia="en-US" w:bidi="ar-SA"/>
              </w:rPr>
            </w:pPr>
            <w:r>
              <w:rPr>
                <w:rFonts w:ascii="Times New Roman" w:hAnsi="Times New Roman" w:eastAsia="宋体" w:cs="Times New Roman"/>
                <w:color w:val="auto"/>
                <w:szCs w:val="21"/>
                <w:highlight w:val="none"/>
              </w:rPr>
              <w:t>24小时平均</w:t>
            </w:r>
          </w:p>
        </w:tc>
        <w:tc>
          <w:tcPr>
            <w:tcW w:w="1210" w:type="pct"/>
            <w:shd w:val="clear" w:color="auto" w:fill="auto"/>
            <w:vAlign w:val="center"/>
          </w:tcPr>
          <w:p w14:paraId="69461CFE">
            <w:pPr>
              <w:spacing w:before="62" w:beforeLines="20"/>
              <w:jc w:val="center"/>
              <w:rPr>
                <w:rFonts w:ascii="Times New Roman" w:hAnsi="Times New Roman" w:eastAsia="宋体" w:cs="Times New Roman"/>
                <w:snapToGrid w:val="0"/>
                <w:color w:val="auto"/>
                <w:kern w:val="0"/>
                <w:sz w:val="21"/>
                <w:szCs w:val="21"/>
                <w:highlight w:val="none"/>
                <w:lang w:val="en-US" w:eastAsia="en-US" w:bidi="ar-SA"/>
              </w:rPr>
            </w:pPr>
            <w:r>
              <w:rPr>
                <w:rFonts w:ascii="Times New Roman" w:hAnsi="Times New Roman" w:eastAsia="宋体" w:cs="Times New Roman"/>
                <w:color w:val="auto"/>
                <w:szCs w:val="21"/>
                <w:highlight w:val="none"/>
              </w:rPr>
              <w:t>每日至少有</w:t>
            </w:r>
            <w:bookmarkStart w:id="1231" w:name="OLE_LINK203"/>
            <w:r>
              <w:rPr>
                <w:rFonts w:ascii="Times New Roman" w:hAnsi="Times New Roman" w:eastAsia="宋体" w:cs="Times New Roman"/>
                <w:bCs/>
                <w:color w:val="auto"/>
                <w:szCs w:val="21"/>
                <w:highlight w:val="none"/>
              </w:rPr>
              <w:t>2</w:t>
            </w:r>
            <w:r>
              <w:rPr>
                <w:rFonts w:hint="eastAsia" w:ascii="Times New Roman" w:hAnsi="Times New Roman" w:eastAsia="宋体" w:cs="Times New Roman"/>
                <w:bCs/>
                <w:color w:val="auto"/>
                <w:szCs w:val="21"/>
                <w:highlight w:val="none"/>
                <w:lang w:val="en-US" w:eastAsia="zh-CN"/>
              </w:rPr>
              <w:t>4</w:t>
            </w:r>
            <w:bookmarkEnd w:id="1231"/>
            <w:r>
              <w:rPr>
                <w:rFonts w:ascii="Times New Roman" w:hAnsi="Times New Roman" w:eastAsia="宋体" w:cs="Times New Roman"/>
                <w:color w:val="auto"/>
                <w:szCs w:val="21"/>
                <w:highlight w:val="none"/>
              </w:rPr>
              <w:t>个小时采样时间</w:t>
            </w:r>
          </w:p>
        </w:tc>
      </w:tr>
    </w:tbl>
    <w:p w14:paraId="27FC178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（3）监测、分析方法</w:t>
      </w:r>
      <w:bookmarkStart w:id="1232" w:name="pindex4723"/>
      <w:bookmarkEnd w:id="1232"/>
    </w:p>
    <w:p w14:paraId="7914156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大气环境现状监测的采样方法和分析方法按《环境监测技术规范》和《环境空气质量标准》（GB3095-2012）的有关规定执行</w:t>
      </w:r>
      <w:r>
        <w:rPr>
          <w:rFonts w:hint="eastAsia" w:ascii="Times New Roman" w:hAnsi="Times New Roman" w:eastAsia="宋体" w:cs="Times New Roman"/>
          <w:color w:val="auto"/>
          <w:sz w:val="24"/>
          <w:szCs w:val="24"/>
          <w:highlight w:val="none"/>
          <w:lang w:eastAsia="zh-CN"/>
        </w:rPr>
        <w:t>。</w:t>
      </w:r>
    </w:p>
    <w:p w14:paraId="7D87ADD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监测和分析方法按照《环境监测技术规范》（大气部分）、《环境影响评价技术导则-大气环境》（HJ2.2-2018）、《环境空气质量标准》（GB3095-2012）及有关规定和要求执行。各项监测因子分析方法见表</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3-5</w:t>
      </w:r>
      <w:r>
        <w:rPr>
          <w:rFonts w:hint="default" w:ascii="Times New Roman" w:hAnsi="Times New Roman" w:eastAsia="宋体" w:cs="Times New Roman"/>
          <w:color w:val="auto"/>
          <w:sz w:val="24"/>
          <w:szCs w:val="24"/>
          <w:highlight w:val="none"/>
        </w:rPr>
        <w:t>。</w:t>
      </w:r>
    </w:p>
    <w:p w14:paraId="4A1B0E7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color w:val="auto"/>
          <w:sz w:val="24"/>
          <w:szCs w:val="24"/>
          <w:highlight w:val="none"/>
        </w:rPr>
      </w:pPr>
      <w:r>
        <w:rPr>
          <w:rFonts w:ascii="Times New Roman" w:hAnsi="Times New Roman" w:eastAsia="宋体" w:cs="Times New Roman"/>
          <w:b/>
          <w:bCs/>
          <w:color w:val="auto"/>
          <w:sz w:val="24"/>
          <w:szCs w:val="24"/>
          <w:highlight w:val="none"/>
        </w:rPr>
        <w:t>表</w:t>
      </w:r>
      <w:r>
        <w:rPr>
          <w:rFonts w:hint="eastAsia" w:ascii="Times New Roman" w:hAnsi="Times New Roman" w:eastAsia="宋体" w:cs="Times New Roman"/>
          <w:b/>
          <w:bCs/>
          <w:color w:val="auto"/>
          <w:sz w:val="24"/>
          <w:szCs w:val="24"/>
          <w:highlight w:val="none"/>
          <w:lang w:val="en-US" w:eastAsia="zh-CN"/>
        </w:rPr>
        <w:t>6</w:t>
      </w:r>
      <w:r>
        <w:rPr>
          <w:rFonts w:ascii="Times New Roman" w:hAnsi="Times New Roman" w:eastAsia="宋体" w:cs="Times New Roman"/>
          <w:b/>
          <w:bCs/>
          <w:color w:val="auto"/>
          <w:sz w:val="24"/>
          <w:szCs w:val="24"/>
          <w:highlight w:val="none"/>
        </w:rPr>
        <w:t>.</w:t>
      </w:r>
      <w:r>
        <w:rPr>
          <w:rFonts w:hint="eastAsia" w:ascii="Times New Roman" w:hAnsi="Times New Roman" w:eastAsia="宋体" w:cs="Times New Roman"/>
          <w:b/>
          <w:bCs/>
          <w:color w:val="auto"/>
          <w:sz w:val="24"/>
          <w:szCs w:val="24"/>
          <w:highlight w:val="none"/>
          <w:lang w:val="en-US" w:eastAsia="zh-CN"/>
        </w:rPr>
        <w:t>3-5</w:t>
      </w:r>
      <w:r>
        <w:rPr>
          <w:rFonts w:ascii="Times New Roman" w:hAnsi="Times New Roman" w:eastAsia="宋体" w:cs="Times New Roman"/>
          <w:b/>
          <w:bCs/>
          <w:color w:val="auto"/>
          <w:sz w:val="24"/>
          <w:szCs w:val="24"/>
          <w:highlight w:val="none"/>
        </w:rPr>
        <w:t xml:space="preserve">  环境空气监测及分析方法</w:t>
      </w:r>
      <w:bookmarkStart w:id="1233" w:name="pindex4726"/>
      <w:bookmarkEnd w:id="1233"/>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1"/>
        <w:gridCol w:w="1815"/>
        <w:gridCol w:w="5959"/>
      </w:tblGrid>
      <w:tr w14:paraId="7340E2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1525" w:type="pct"/>
            <w:gridSpan w:val="2"/>
            <w:vAlign w:val="center"/>
          </w:tcPr>
          <w:p w14:paraId="36E1D545">
            <w:pPr>
              <w:pStyle w:val="30"/>
              <w:ind w:left="482" w:hanging="482"/>
              <w:rPr>
                <w:b/>
                <w:bCs/>
                <w:color w:val="auto"/>
                <w:highlight w:val="none"/>
              </w:rPr>
            </w:pPr>
            <w:r>
              <w:rPr>
                <w:b/>
                <w:bCs/>
                <w:color w:val="auto"/>
                <w:highlight w:val="none"/>
              </w:rPr>
              <w:t>项目名称</w:t>
            </w:r>
          </w:p>
        </w:tc>
        <w:tc>
          <w:tcPr>
            <w:tcW w:w="3474" w:type="pct"/>
            <w:vAlign w:val="center"/>
          </w:tcPr>
          <w:p w14:paraId="44BDEFDF">
            <w:pPr>
              <w:pStyle w:val="30"/>
              <w:ind w:left="482" w:hanging="482"/>
              <w:rPr>
                <w:b/>
                <w:bCs/>
                <w:color w:val="auto"/>
                <w:highlight w:val="none"/>
              </w:rPr>
            </w:pPr>
            <w:r>
              <w:rPr>
                <w:b/>
                <w:bCs/>
                <w:color w:val="auto"/>
                <w:highlight w:val="none"/>
              </w:rPr>
              <w:t>分析方法</w:t>
            </w:r>
          </w:p>
        </w:tc>
      </w:tr>
      <w:tr w14:paraId="7115D4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7" w:type="pct"/>
            <w:vMerge w:val="restart"/>
            <w:vAlign w:val="center"/>
          </w:tcPr>
          <w:p w14:paraId="2E3D0DE0">
            <w:pPr>
              <w:pStyle w:val="30"/>
              <w:rPr>
                <w:color w:val="auto"/>
                <w:highlight w:val="none"/>
              </w:rPr>
            </w:pPr>
            <w:bookmarkStart w:id="1234" w:name="OLE_LINK94" w:colFirst="1" w:colLast="2"/>
            <w:bookmarkStart w:id="1235" w:name="OLE_LINK93" w:colFirst="0" w:colLast="1"/>
            <w:r>
              <w:rPr>
                <w:color w:val="auto"/>
                <w:highlight w:val="none"/>
              </w:rPr>
              <w:t>环境空气</w:t>
            </w:r>
          </w:p>
        </w:tc>
        <w:tc>
          <w:tcPr>
            <w:tcW w:w="1058" w:type="pct"/>
            <w:shd w:val="clear" w:color="auto" w:fill="auto"/>
            <w:vAlign w:val="center"/>
          </w:tcPr>
          <w:p w14:paraId="4A6DB36F">
            <w:pPr>
              <w:keepNext w:val="0"/>
              <w:keepLines w:val="0"/>
              <w:widowControl/>
              <w:suppressLineNumbers w:val="0"/>
              <w:jc w:val="center"/>
              <w:textAlignment w:val="center"/>
              <w:rPr>
                <w:rFonts w:ascii="Arial" w:hAnsi="Arial" w:eastAsia="Arial" w:cs="Arial"/>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zh-CN" w:bidi="ar-SA"/>
              </w:rPr>
              <w:t>总悬浮颗粒物</w:t>
            </w:r>
            <w:r>
              <w:rPr>
                <w:rFonts w:hint="eastAsia" w:ascii="Times New Roman" w:hAnsi="Times New Roman" w:eastAsia="宋体" w:cs="Times New Roman"/>
                <w:snapToGrid w:val="0"/>
                <w:color w:val="auto"/>
                <w:kern w:val="0"/>
                <w:sz w:val="21"/>
                <w:szCs w:val="21"/>
                <w:highlight w:val="none"/>
                <w:lang w:val="en-US" w:eastAsia="zh-CN" w:bidi="ar-SA"/>
              </w:rPr>
              <w:t>（日均值）</w:t>
            </w:r>
          </w:p>
        </w:tc>
        <w:tc>
          <w:tcPr>
            <w:tcW w:w="3474" w:type="pct"/>
            <w:shd w:val="clear" w:color="auto" w:fill="auto"/>
            <w:vAlign w:val="center"/>
          </w:tcPr>
          <w:p w14:paraId="78E940F7">
            <w:pPr>
              <w:keepNext w:val="0"/>
              <w:keepLines w:val="0"/>
              <w:widowControl/>
              <w:suppressLineNumbers w:val="0"/>
              <w:jc w:val="center"/>
              <w:textAlignment w:val="center"/>
              <w:rPr>
                <w:rFonts w:ascii="Arial" w:hAnsi="Arial" w:eastAsia="Arial" w:cs="Arial"/>
                <w:snapToGrid w:val="0"/>
                <w:color w:val="auto"/>
                <w:kern w:val="0"/>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环境空气 总悬浮颗粒物的测定 重量法 HJ 1263-2022</w:t>
            </w:r>
          </w:p>
        </w:tc>
      </w:tr>
      <w:bookmarkEnd w:id="1234"/>
      <w:tr w14:paraId="14A93A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7" w:type="pct"/>
            <w:vMerge w:val="continue"/>
            <w:vAlign w:val="center"/>
          </w:tcPr>
          <w:p w14:paraId="2CB68BF1">
            <w:pPr>
              <w:pStyle w:val="30"/>
              <w:ind w:left="480" w:hanging="480"/>
              <w:rPr>
                <w:color w:val="auto"/>
                <w:highlight w:val="none"/>
              </w:rPr>
            </w:pPr>
          </w:p>
        </w:tc>
        <w:tc>
          <w:tcPr>
            <w:tcW w:w="1058" w:type="pct"/>
            <w:vAlign w:val="center"/>
          </w:tcPr>
          <w:p w14:paraId="5447F5E7">
            <w:pPr>
              <w:pStyle w:val="30"/>
              <w:ind w:left="480" w:hanging="480"/>
              <w:rPr>
                <w:color w:val="auto"/>
                <w:highlight w:val="none"/>
              </w:rPr>
            </w:pPr>
            <w:r>
              <w:rPr>
                <w:color w:val="auto"/>
                <w:highlight w:val="none"/>
              </w:rPr>
              <w:t>氮氧化物</w:t>
            </w:r>
          </w:p>
        </w:tc>
        <w:tc>
          <w:tcPr>
            <w:tcW w:w="3474" w:type="pct"/>
            <w:vAlign w:val="center"/>
          </w:tcPr>
          <w:p w14:paraId="28167EEF">
            <w:pPr>
              <w:pStyle w:val="30"/>
              <w:ind w:left="480" w:hanging="480"/>
              <w:rPr>
                <w:color w:val="auto"/>
                <w:highlight w:val="none"/>
              </w:rPr>
            </w:pPr>
            <w:r>
              <w:rPr>
                <w:rFonts w:hint="default" w:ascii="Times New Roman" w:hAnsi="Times New Roman" w:cs="Times New Roman"/>
                <w:b w:val="0"/>
                <w:bCs/>
                <w:color w:val="auto"/>
                <w:sz w:val="21"/>
                <w:szCs w:val="21"/>
                <w:highlight w:val="none"/>
                <w:lang w:val="en-US" w:eastAsia="zh-CN"/>
              </w:rPr>
              <w:t>环境空气 氮氧化物（一氧化氮和二氧化氮）的测定 盐酸萘乙二胺分光光度法HJ 479-2009 及修改单（生态环境部公告 2018年第31号）</w:t>
            </w:r>
          </w:p>
        </w:tc>
      </w:tr>
      <w:bookmarkEnd w:id="1235"/>
      <w:tr w14:paraId="2699CA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67" w:type="pct"/>
            <w:vMerge w:val="continue"/>
            <w:vAlign w:val="center"/>
          </w:tcPr>
          <w:p w14:paraId="555182A9">
            <w:pPr>
              <w:pStyle w:val="30"/>
              <w:ind w:left="480" w:hanging="480"/>
              <w:rPr>
                <w:color w:val="auto"/>
                <w:highlight w:val="none"/>
              </w:rPr>
            </w:pPr>
          </w:p>
        </w:tc>
        <w:tc>
          <w:tcPr>
            <w:tcW w:w="1058" w:type="pct"/>
            <w:shd w:val="clear" w:color="auto" w:fill="auto"/>
            <w:vAlign w:val="center"/>
          </w:tcPr>
          <w:p w14:paraId="4CC685F0">
            <w:pPr>
              <w:pStyle w:val="30"/>
              <w:ind w:left="480" w:leftChars="0" w:hanging="480" w:firstLineChars="0"/>
              <w:rPr>
                <w:rFonts w:ascii="Times New Roman" w:hAnsi="Times New Roman" w:eastAsia="宋体" w:cs="Times New Roman"/>
                <w:snapToGrid w:val="0"/>
                <w:color w:val="auto"/>
                <w:kern w:val="0"/>
                <w:sz w:val="21"/>
                <w:szCs w:val="21"/>
                <w:highlight w:val="none"/>
                <w:lang w:val="en-US" w:eastAsia="en-US" w:bidi="ar-SA"/>
              </w:rPr>
            </w:pPr>
            <w:r>
              <w:rPr>
                <w:color w:val="auto"/>
                <w:highlight w:val="none"/>
              </w:rPr>
              <w:t>氯化氢</w:t>
            </w:r>
          </w:p>
        </w:tc>
        <w:tc>
          <w:tcPr>
            <w:tcW w:w="3474" w:type="pct"/>
            <w:shd w:val="clear" w:color="auto" w:fill="auto"/>
            <w:vAlign w:val="center"/>
          </w:tcPr>
          <w:p w14:paraId="40289727">
            <w:pPr>
              <w:pStyle w:val="30"/>
              <w:ind w:left="480" w:leftChars="0" w:hanging="480" w:firstLineChars="0"/>
              <w:rPr>
                <w:rFonts w:hint="default" w:ascii="Times New Roman" w:hAnsi="Times New Roman" w:eastAsia="宋体" w:cs="Times New Roman"/>
                <w:snapToGrid w:val="0"/>
                <w:color w:val="auto"/>
                <w:kern w:val="0"/>
                <w:sz w:val="21"/>
                <w:szCs w:val="21"/>
                <w:highlight w:val="none"/>
                <w:lang w:val="en-US" w:eastAsia="zh-CN" w:bidi="ar-SA"/>
              </w:rPr>
            </w:pPr>
            <w:r>
              <w:rPr>
                <w:color w:val="auto"/>
                <w:highlight w:val="none"/>
              </w:rPr>
              <w:t>环境空气和废气 氯化氢的测定 离子色谱法 HJ549-2016</w:t>
            </w:r>
          </w:p>
        </w:tc>
      </w:tr>
      <w:tr w14:paraId="54B0BF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7" w:type="pct"/>
            <w:vMerge w:val="continue"/>
            <w:vAlign w:val="center"/>
          </w:tcPr>
          <w:p w14:paraId="54B6C105">
            <w:pPr>
              <w:pStyle w:val="30"/>
              <w:ind w:left="480" w:hanging="480"/>
              <w:rPr>
                <w:color w:val="auto"/>
                <w:highlight w:val="none"/>
              </w:rPr>
            </w:pPr>
          </w:p>
        </w:tc>
        <w:tc>
          <w:tcPr>
            <w:tcW w:w="1058" w:type="pct"/>
            <w:shd w:val="clear" w:color="auto" w:fill="auto"/>
            <w:vAlign w:val="center"/>
          </w:tcPr>
          <w:p w14:paraId="544D7EDA">
            <w:pPr>
              <w:pStyle w:val="30"/>
              <w:ind w:left="480" w:leftChars="0" w:hanging="480" w:firstLineChars="0"/>
              <w:rPr>
                <w:rFonts w:ascii="Times New Roman" w:hAnsi="Times New Roman" w:eastAsia="宋体" w:cs="Times New Roman"/>
                <w:snapToGrid w:val="0"/>
                <w:color w:val="auto"/>
                <w:kern w:val="0"/>
                <w:sz w:val="21"/>
                <w:szCs w:val="21"/>
                <w:highlight w:val="none"/>
                <w:lang w:val="en-US" w:eastAsia="en-US" w:bidi="ar-SA"/>
              </w:rPr>
            </w:pPr>
            <w:r>
              <w:rPr>
                <w:color w:val="auto"/>
                <w:highlight w:val="none"/>
              </w:rPr>
              <w:t>硫化氢</w:t>
            </w:r>
          </w:p>
        </w:tc>
        <w:tc>
          <w:tcPr>
            <w:tcW w:w="3474" w:type="pct"/>
            <w:shd w:val="clear" w:color="auto" w:fill="auto"/>
            <w:vAlign w:val="center"/>
          </w:tcPr>
          <w:p w14:paraId="4D832EB9">
            <w:pPr>
              <w:pStyle w:val="30"/>
              <w:ind w:left="480" w:leftChars="0" w:hanging="480" w:firstLineChars="0"/>
              <w:rPr>
                <w:rFonts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color w:val="auto"/>
                <w:kern w:val="2"/>
                <w:sz w:val="21"/>
                <w:szCs w:val="21"/>
                <w:highlight w:val="none"/>
                <w:lang w:val="en-US" w:eastAsia="zh-CN" w:bidi="ar-SA"/>
              </w:rPr>
              <w:t>《空气和废气监测分析方法》（第四版增补版）国家环境保护总局（2003年）3.1.11.2 亚甲基蓝分光光度法</w:t>
            </w:r>
          </w:p>
        </w:tc>
      </w:tr>
      <w:tr w14:paraId="6FFF35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7" w:type="pct"/>
            <w:vMerge w:val="continue"/>
            <w:vAlign w:val="center"/>
          </w:tcPr>
          <w:p w14:paraId="4F080836">
            <w:pPr>
              <w:pStyle w:val="30"/>
              <w:ind w:left="480" w:hanging="480"/>
              <w:rPr>
                <w:color w:val="auto"/>
                <w:highlight w:val="none"/>
              </w:rPr>
            </w:pPr>
          </w:p>
        </w:tc>
        <w:tc>
          <w:tcPr>
            <w:tcW w:w="1058" w:type="pct"/>
            <w:vAlign w:val="center"/>
          </w:tcPr>
          <w:p w14:paraId="530D09BE">
            <w:pPr>
              <w:pStyle w:val="30"/>
              <w:ind w:left="480" w:hanging="480"/>
              <w:rPr>
                <w:color w:val="auto"/>
                <w:highlight w:val="none"/>
              </w:rPr>
            </w:pPr>
            <w:r>
              <w:rPr>
                <w:color w:val="auto"/>
                <w:highlight w:val="none"/>
              </w:rPr>
              <w:t>氨</w:t>
            </w:r>
          </w:p>
        </w:tc>
        <w:tc>
          <w:tcPr>
            <w:tcW w:w="3474" w:type="pct"/>
            <w:vAlign w:val="center"/>
          </w:tcPr>
          <w:p w14:paraId="2FAFAFA2">
            <w:pPr>
              <w:pStyle w:val="30"/>
              <w:ind w:left="480" w:hanging="480"/>
              <w:rPr>
                <w:color w:val="auto"/>
                <w:highlight w:val="none"/>
              </w:rPr>
            </w:pPr>
            <w:r>
              <w:rPr>
                <w:color w:val="auto"/>
                <w:highlight w:val="none"/>
              </w:rPr>
              <w:t>环境空气和废气 氨的测定 纳氏试剂分光光度法 HJ533-2009</w:t>
            </w:r>
          </w:p>
        </w:tc>
      </w:tr>
      <w:tr w14:paraId="0B66B3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7" w:type="pct"/>
            <w:vMerge w:val="continue"/>
            <w:vAlign w:val="center"/>
          </w:tcPr>
          <w:p w14:paraId="39EC297A">
            <w:pPr>
              <w:pStyle w:val="30"/>
              <w:ind w:left="480" w:hanging="480"/>
              <w:rPr>
                <w:color w:val="auto"/>
                <w:highlight w:val="none"/>
              </w:rPr>
            </w:pPr>
          </w:p>
        </w:tc>
        <w:tc>
          <w:tcPr>
            <w:tcW w:w="1058" w:type="pct"/>
            <w:shd w:val="clear" w:color="auto" w:fill="auto"/>
            <w:vAlign w:val="center"/>
          </w:tcPr>
          <w:p w14:paraId="568B9942">
            <w:pPr>
              <w:pStyle w:val="30"/>
              <w:ind w:left="480" w:leftChars="0" w:hanging="480" w:firstLineChars="0"/>
              <w:rPr>
                <w:rFonts w:ascii="Times New Roman" w:hAnsi="Times New Roman" w:eastAsia="宋体" w:cs="Times New Roman"/>
                <w:snapToGrid w:val="0"/>
                <w:color w:val="auto"/>
                <w:kern w:val="0"/>
                <w:sz w:val="21"/>
                <w:szCs w:val="21"/>
                <w:highlight w:val="none"/>
                <w:lang w:val="en-US" w:eastAsia="en-US" w:bidi="ar-SA"/>
              </w:rPr>
            </w:pPr>
            <w:r>
              <w:rPr>
                <w:color w:val="auto"/>
                <w:highlight w:val="none"/>
              </w:rPr>
              <w:t>氟化物</w:t>
            </w:r>
          </w:p>
        </w:tc>
        <w:tc>
          <w:tcPr>
            <w:tcW w:w="3474" w:type="pct"/>
            <w:shd w:val="clear" w:color="auto" w:fill="auto"/>
            <w:vAlign w:val="center"/>
          </w:tcPr>
          <w:p w14:paraId="57F2F0D3">
            <w:pPr>
              <w:pStyle w:val="30"/>
              <w:ind w:left="480" w:leftChars="0" w:hanging="480" w:firstLineChars="0"/>
              <w:rPr>
                <w:rFonts w:ascii="Times New Roman" w:hAnsi="Times New Roman" w:eastAsia="宋体" w:cs="Times New Roman"/>
                <w:snapToGrid w:val="0"/>
                <w:color w:val="auto"/>
                <w:kern w:val="0"/>
                <w:sz w:val="21"/>
                <w:szCs w:val="21"/>
                <w:highlight w:val="none"/>
                <w:lang w:val="en-US" w:eastAsia="en-US" w:bidi="ar-SA"/>
              </w:rPr>
            </w:pPr>
            <w:r>
              <w:rPr>
                <w:color w:val="auto"/>
                <w:highlight w:val="none"/>
              </w:rPr>
              <w:t>环境空气 氟化物的测定 滤膜采样</w:t>
            </w:r>
            <w:r>
              <w:rPr>
                <w:rFonts w:hint="eastAsia"/>
                <w:color w:val="auto"/>
                <w:highlight w:val="none"/>
                <w:lang w:val="en-US" w:eastAsia="zh-CN"/>
              </w:rPr>
              <w:t>/</w:t>
            </w:r>
            <w:r>
              <w:rPr>
                <w:color w:val="auto"/>
                <w:highlight w:val="none"/>
              </w:rPr>
              <w:t>氟离子选择电极法 HJ955-2018</w:t>
            </w:r>
          </w:p>
        </w:tc>
      </w:tr>
      <w:tr w14:paraId="4E5693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7" w:type="pct"/>
            <w:vMerge w:val="continue"/>
            <w:vAlign w:val="center"/>
          </w:tcPr>
          <w:p w14:paraId="1A64CC3C">
            <w:pPr>
              <w:pStyle w:val="30"/>
              <w:ind w:left="480" w:hanging="480"/>
              <w:rPr>
                <w:color w:val="auto"/>
                <w:highlight w:val="none"/>
              </w:rPr>
            </w:pPr>
          </w:p>
        </w:tc>
        <w:tc>
          <w:tcPr>
            <w:tcW w:w="1058" w:type="pct"/>
            <w:vAlign w:val="center"/>
          </w:tcPr>
          <w:p w14:paraId="043A0452">
            <w:pPr>
              <w:pStyle w:val="30"/>
              <w:ind w:left="480" w:hanging="480"/>
              <w:rPr>
                <w:color w:val="auto"/>
                <w:highlight w:val="none"/>
              </w:rPr>
            </w:pPr>
            <w:r>
              <w:rPr>
                <w:color w:val="auto"/>
                <w:highlight w:val="none"/>
              </w:rPr>
              <w:t>苯</w:t>
            </w:r>
          </w:p>
        </w:tc>
        <w:tc>
          <w:tcPr>
            <w:tcW w:w="3474" w:type="pct"/>
            <w:vAlign w:val="center"/>
          </w:tcPr>
          <w:p w14:paraId="4C4AD894">
            <w:pPr>
              <w:pStyle w:val="30"/>
              <w:ind w:left="480" w:hanging="480"/>
              <w:rPr>
                <w:color w:val="auto"/>
                <w:highlight w:val="none"/>
              </w:rPr>
            </w:pPr>
            <w:r>
              <w:rPr>
                <w:color w:val="auto"/>
                <w:highlight w:val="none"/>
              </w:rPr>
              <w:t>环境空气 苯系物的测定 活性炭吸附/二硫化碳解吸-气相色谱法</w:t>
            </w:r>
            <w:r>
              <w:rPr>
                <w:rFonts w:hint="eastAsia"/>
                <w:color w:val="auto"/>
                <w:highlight w:val="none"/>
                <w:lang w:val="en-US" w:eastAsia="zh-CN"/>
              </w:rPr>
              <w:t xml:space="preserve"> </w:t>
            </w:r>
            <w:r>
              <w:rPr>
                <w:color w:val="auto"/>
                <w:highlight w:val="none"/>
              </w:rPr>
              <w:t>HJ584-2010</w:t>
            </w:r>
          </w:p>
        </w:tc>
      </w:tr>
      <w:tr w14:paraId="2E619F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7" w:type="pct"/>
            <w:vMerge w:val="continue"/>
            <w:vAlign w:val="center"/>
          </w:tcPr>
          <w:p w14:paraId="65EB6DC9">
            <w:pPr>
              <w:pStyle w:val="30"/>
              <w:ind w:left="480" w:hanging="480"/>
              <w:rPr>
                <w:color w:val="auto"/>
                <w:highlight w:val="none"/>
              </w:rPr>
            </w:pPr>
            <w:bookmarkStart w:id="1236" w:name="OLE_LINK792" w:colFirst="1" w:colLast="2"/>
          </w:p>
        </w:tc>
        <w:tc>
          <w:tcPr>
            <w:tcW w:w="1815" w:type="dxa"/>
            <w:vAlign w:val="center"/>
          </w:tcPr>
          <w:p w14:paraId="51163E3D">
            <w:pPr>
              <w:pStyle w:val="30"/>
              <w:ind w:left="480" w:leftChars="0" w:hanging="480" w:firstLineChars="0"/>
              <w:rPr>
                <w:rFonts w:hint="eastAsia" w:eastAsia="宋体"/>
                <w:color w:val="auto"/>
                <w:highlight w:val="none"/>
                <w:lang w:val="en-US" w:eastAsia="zh-CN"/>
              </w:rPr>
            </w:pPr>
            <w:r>
              <w:rPr>
                <w:color w:val="auto"/>
                <w:highlight w:val="none"/>
              </w:rPr>
              <w:t>硫酸雾</w:t>
            </w:r>
          </w:p>
        </w:tc>
        <w:tc>
          <w:tcPr>
            <w:tcW w:w="5959" w:type="dxa"/>
            <w:vAlign w:val="center"/>
          </w:tcPr>
          <w:p w14:paraId="205CDF23">
            <w:pPr>
              <w:pStyle w:val="30"/>
              <w:ind w:left="480" w:leftChars="0" w:hanging="480" w:firstLineChars="0"/>
              <w:rPr>
                <w:color w:val="auto"/>
                <w:highlight w:val="none"/>
              </w:rPr>
            </w:pPr>
            <w:r>
              <w:rPr>
                <w:color w:val="auto"/>
                <w:highlight w:val="none"/>
              </w:rPr>
              <w:t>铬酸钡分光光度法 《空气和废气监测分析方法》</w:t>
            </w:r>
            <w:r>
              <w:rPr>
                <w:rFonts w:hint="eastAsia"/>
                <w:color w:val="auto"/>
                <w:highlight w:val="none"/>
                <w:lang w:eastAsia="zh-CN"/>
              </w:rPr>
              <w:t>（</w:t>
            </w:r>
            <w:r>
              <w:rPr>
                <w:color w:val="auto"/>
                <w:highlight w:val="none"/>
              </w:rPr>
              <w:t>第四版</w:t>
            </w:r>
            <w:r>
              <w:rPr>
                <w:rFonts w:hint="eastAsia"/>
                <w:color w:val="auto"/>
                <w:highlight w:val="none"/>
                <w:lang w:eastAsia="zh-CN"/>
              </w:rPr>
              <w:t>）（</w:t>
            </w:r>
            <w:r>
              <w:rPr>
                <w:color w:val="auto"/>
                <w:highlight w:val="none"/>
              </w:rPr>
              <w:t>国家环境保护总局</w:t>
            </w:r>
            <w:r>
              <w:rPr>
                <w:rFonts w:hint="eastAsia"/>
                <w:color w:val="auto"/>
                <w:highlight w:val="none"/>
                <w:lang w:eastAsia="zh-CN"/>
              </w:rPr>
              <w:t>）（</w:t>
            </w:r>
            <w:r>
              <w:rPr>
                <w:color w:val="auto"/>
                <w:highlight w:val="none"/>
              </w:rPr>
              <w:t>2003</w:t>
            </w:r>
            <w:r>
              <w:rPr>
                <w:rFonts w:hint="eastAsia"/>
                <w:color w:val="auto"/>
                <w:highlight w:val="none"/>
                <w:lang w:eastAsia="zh-CN"/>
              </w:rPr>
              <w:t>）</w:t>
            </w:r>
            <w:r>
              <w:rPr>
                <w:color w:val="auto"/>
                <w:highlight w:val="none"/>
              </w:rPr>
              <w:t>5.4.4.1</w:t>
            </w:r>
          </w:p>
        </w:tc>
      </w:tr>
      <w:bookmarkEnd w:id="1236"/>
      <w:tr w14:paraId="719387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7" w:type="pct"/>
            <w:vMerge w:val="continue"/>
            <w:vAlign w:val="center"/>
          </w:tcPr>
          <w:p w14:paraId="115CE59C">
            <w:pPr>
              <w:pStyle w:val="30"/>
              <w:ind w:left="480" w:hanging="480"/>
              <w:rPr>
                <w:color w:val="auto"/>
                <w:highlight w:val="none"/>
              </w:rPr>
            </w:pPr>
          </w:p>
        </w:tc>
        <w:tc>
          <w:tcPr>
            <w:tcW w:w="1058" w:type="pct"/>
            <w:shd w:val="clear" w:color="auto" w:fill="auto"/>
            <w:vAlign w:val="center"/>
          </w:tcPr>
          <w:p w14:paraId="1F4654C4">
            <w:pPr>
              <w:pStyle w:val="30"/>
              <w:ind w:left="480" w:leftChars="0" w:hanging="480" w:firstLineChars="0"/>
              <w:rPr>
                <w:rFonts w:ascii="Times New Roman" w:hAnsi="Times New Roman" w:eastAsia="宋体" w:cs="Times New Roman"/>
                <w:snapToGrid w:val="0"/>
                <w:color w:val="auto"/>
                <w:kern w:val="0"/>
                <w:sz w:val="21"/>
                <w:szCs w:val="21"/>
                <w:highlight w:val="none"/>
                <w:lang w:val="en-US" w:eastAsia="en-US" w:bidi="ar-SA"/>
              </w:rPr>
            </w:pPr>
            <w:r>
              <w:rPr>
                <w:color w:val="auto"/>
                <w:highlight w:val="none"/>
              </w:rPr>
              <w:t>非甲烷总烃</w:t>
            </w:r>
          </w:p>
        </w:tc>
        <w:tc>
          <w:tcPr>
            <w:tcW w:w="3474" w:type="pct"/>
            <w:shd w:val="clear" w:color="auto" w:fill="auto"/>
            <w:vAlign w:val="center"/>
          </w:tcPr>
          <w:p w14:paraId="1C8851C1">
            <w:pPr>
              <w:pStyle w:val="30"/>
              <w:ind w:left="480" w:leftChars="0" w:hanging="480" w:firstLineChars="0"/>
              <w:rPr>
                <w:rFonts w:ascii="Times New Roman" w:hAnsi="Times New Roman" w:eastAsia="宋体" w:cs="Times New Roman"/>
                <w:snapToGrid w:val="0"/>
                <w:color w:val="auto"/>
                <w:kern w:val="0"/>
                <w:sz w:val="21"/>
                <w:szCs w:val="21"/>
                <w:highlight w:val="none"/>
                <w:lang w:val="en-US" w:eastAsia="en-US" w:bidi="ar-SA"/>
              </w:rPr>
            </w:pPr>
            <w:r>
              <w:rPr>
                <w:color w:val="auto"/>
                <w:highlight w:val="none"/>
              </w:rPr>
              <w:t>环境空气 总烃、甲烷和非甲烷总烃的测定 直接进样-气相色谱法</w:t>
            </w:r>
            <w:r>
              <w:rPr>
                <w:rFonts w:hint="eastAsia"/>
                <w:color w:val="auto"/>
                <w:highlight w:val="none"/>
                <w:lang w:val="en-US" w:eastAsia="zh-CN"/>
              </w:rPr>
              <w:t xml:space="preserve"> </w:t>
            </w:r>
            <w:r>
              <w:rPr>
                <w:color w:val="auto"/>
                <w:highlight w:val="none"/>
              </w:rPr>
              <w:t>HJ604-2017</w:t>
            </w:r>
          </w:p>
        </w:tc>
      </w:tr>
    </w:tbl>
    <w:p w14:paraId="69C9B77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w:t>
      </w:r>
      <w:sdt>
        <w:sdtPr>
          <w:rPr>
            <w:color w:val="auto"/>
            <w:highlight w:val="none"/>
          </w:rPr>
          <w:alias w:val="易错词检查"/>
          <w:tag w:val="auto"/>
          <w:id w:val="2172406"/>
        </w:sdtPr>
        <w:sdtEndPr>
          <w:rPr>
            <w:color w:val="auto"/>
            <w:highlight w:val="none"/>
          </w:rPr>
        </w:sdtEndPr>
        <w:sdtContent>
          <w:bookmarkStart w:id="1237" w:name="bkReivew2172406"/>
          <w:r>
            <w:rPr>
              <w:rFonts w:hint="eastAsia" w:ascii="Times New Roman" w:hAnsi="Times New Roman" w:eastAsia="宋体" w:cs="Times New Roman"/>
              <w:color w:val="auto"/>
              <w:sz w:val="24"/>
              <w:szCs w:val="24"/>
              <w:highlight w:val="none"/>
              <w:lang w:val="en-US" w:eastAsia="zh-CN"/>
            </w:rPr>
            <w:t>监测</w:t>
          </w:r>
          <w:bookmarkEnd w:id="1237"/>
        </w:sdtContent>
      </w:sdt>
      <w:r>
        <w:rPr>
          <w:rFonts w:hint="eastAsia" w:ascii="Times New Roman" w:hAnsi="Times New Roman" w:eastAsia="宋体" w:cs="Times New Roman"/>
          <w:color w:val="auto"/>
          <w:sz w:val="24"/>
          <w:szCs w:val="24"/>
          <w:highlight w:val="none"/>
          <w:lang w:val="en-US" w:eastAsia="zh-CN"/>
        </w:rPr>
        <w:t>时间</w:t>
      </w:r>
      <w:bookmarkStart w:id="1238" w:name="pindex4756"/>
      <w:bookmarkEnd w:id="1238"/>
    </w:p>
    <w:p w14:paraId="3F91BF0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color w:val="auto"/>
          <w:highlight w:val="none"/>
        </w:rPr>
      </w:pPr>
      <w:bookmarkStart w:id="1239" w:name="sys4757048"/>
      <w:bookmarkStart w:id="1240" w:name="OLE_LINK13"/>
      <w:r>
        <w:rPr>
          <w:rFonts w:hint="eastAsia" w:ascii="Times New Roman" w:hAnsi="Times New Roman" w:eastAsia="宋体" w:cs="Times New Roman"/>
          <w:color w:val="auto"/>
          <w:sz w:val="24"/>
          <w:szCs w:val="24"/>
          <w:highlight w:val="none"/>
          <w:lang w:val="en-US" w:eastAsia="zh-CN"/>
        </w:rPr>
        <w:t>引用监测报告基本情况如下表所示，监测点</w:t>
      </w:r>
      <w:sdt>
        <w:sdtPr>
          <w:rPr>
            <w:color w:val="auto"/>
            <w:highlight w:val="none"/>
          </w:rPr>
          <w:alias w:val="易错词检查"/>
          <w:tag w:val="FF0000"/>
          <w:id w:val="2020734"/>
        </w:sdtPr>
        <w:sdtEndPr>
          <w:rPr>
            <w:color w:val="auto"/>
            <w:highlight w:val="none"/>
          </w:rPr>
        </w:sdtEndPr>
        <w:sdtContent>
          <w:bookmarkStart w:id="1241" w:name="bkReivew2020734"/>
          <w:r>
            <w:rPr>
              <w:rFonts w:hint="eastAsia" w:ascii="Times New Roman" w:hAnsi="Times New Roman" w:eastAsia="宋体" w:cs="Times New Roman"/>
              <w:color w:val="auto"/>
              <w:sz w:val="24"/>
              <w:szCs w:val="24"/>
              <w:highlight w:val="none"/>
              <w:lang w:val="en-US" w:eastAsia="zh-CN"/>
            </w:rPr>
            <w:t>位位</w:t>
          </w:r>
          <w:bookmarkEnd w:id="1241"/>
        </w:sdtContent>
      </w:sdt>
      <w:r>
        <w:rPr>
          <w:rFonts w:hint="eastAsia" w:ascii="Times New Roman" w:hAnsi="Times New Roman" w:eastAsia="宋体" w:cs="Times New Roman"/>
          <w:color w:val="auto"/>
          <w:sz w:val="24"/>
          <w:szCs w:val="24"/>
          <w:highlight w:val="none"/>
          <w:lang w:val="en-US" w:eastAsia="zh-CN"/>
        </w:rPr>
        <w:t>于评估范围内，且时间未超过三年，因此监测数据可以引用。</w:t>
      </w:r>
      <w:bookmarkEnd w:id="1239"/>
    </w:p>
    <w:p w14:paraId="751E036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表6.3-</w:t>
      </w:r>
      <w:r>
        <w:rPr>
          <w:rFonts w:hint="eastAsia" w:ascii="Times New Roman" w:hAnsi="Times New Roman" w:eastAsia="宋体"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 xml:space="preserve">  引用监测报告基本情况</w:t>
      </w:r>
      <w:bookmarkStart w:id="1242" w:name="pindex4758"/>
      <w:bookmarkEnd w:id="1242"/>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43"/>
        <w:gridCol w:w="2143"/>
        <w:gridCol w:w="2143"/>
        <w:gridCol w:w="2144"/>
      </w:tblGrid>
      <w:tr w14:paraId="44FCE0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43" w:type="dxa"/>
            <w:tcBorders>
              <w:tl2br w:val="nil"/>
              <w:tr2bl w:val="nil"/>
            </w:tcBorders>
            <w:vAlign w:val="center"/>
          </w:tcPr>
          <w:p w14:paraId="4D5497E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监测因子</w:t>
            </w:r>
          </w:p>
        </w:tc>
        <w:tc>
          <w:tcPr>
            <w:tcW w:w="2143" w:type="dxa"/>
            <w:tcBorders>
              <w:tl2br w:val="nil"/>
              <w:tr2bl w:val="nil"/>
            </w:tcBorders>
            <w:vAlign w:val="center"/>
          </w:tcPr>
          <w:p w14:paraId="55B77DF7">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监测点位</w:t>
            </w:r>
          </w:p>
        </w:tc>
        <w:tc>
          <w:tcPr>
            <w:tcW w:w="2143" w:type="dxa"/>
            <w:tcBorders>
              <w:tl2br w:val="nil"/>
              <w:tr2bl w:val="nil"/>
            </w:tcBorders>
            <w:vAlign w:val="center"/>
          </w:tcPr>
          <w:p w14:paraId="648E5F1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数据来源</w:t>
            </w:r>
          </w:p>
        </w:tc>
        <w:tc>
          <w:tcPr>
            <w:tcW w:w="2144" w:type="dxa"/>
            <w:tcBorders>
              <w:tl2br w:val="nil"/>
              <w:tr2bl w:val="nil"/>
            </w:tcBorders>
            <w:vAlign w:val="center"/>
          </w:tcPr>
          <w:p w14:paraId="42E519A8">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监测时间</w:t>
            </w:r>
          </w:p>
        </w:tc>
      </w:tr>
      <w:tr w14:paraId="09DDA1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43" w:type="dxa"/>
            <w:tcBorders>
              <w:tl2br w:val="nil"/>
              <w:tr2bl w:val="nil"/>
            </w:tcBorders>
            <w:vAlign w:val="center"/>
          </w:tcPr>
          <w:p w14:paraId="32325A2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硫酸</w:t>
            </w:r>
            <w:sdt>
              <w:sdtPr>
                <w:rPr>
                  <w:color w:val="auto"/>
                  <w:highlight w:val="none"/>
                </w:rPr>
                <w:alias w:val="易错词检查"/>
                <w:tag w:val="auto"/>
                <w:id w:val="52100"/>
              </w:sdtPr>
              <w:sdtEndPr>
                <w:rPr>
                  <w:color w:val="auto"/>
                  <w:highlight w:val="none"/>
                </w:rPr>
              </w:sdtEndPr>
              <w:sdtContent>
                <w:bookmarkStart w:id="1243" w:name="bkReivew52100"/>
                <w:r>
                  <w:rPr>
                    <w:rFonts w:hint="default" w:ascii="Times New Roman" w:hAnsi="Times New Roman" w:eastAsia="宋体" w:cs="Times New Roman"/>
                    <w:b w:val="0"/>
                    <w:bCs w:val="0"/>
                    <w:color w:val="auto"/>
                    <w:sz w:val="21"/>
                    <w:szCs w:val="21"/>
                    <w:highlight w:val="none"/>
                    <w:vertAlign w:val="baseline"/>
                    <w:lang w:val="en-US" w:eastAsia="zh-CN"/>
                  </w:rPr>
                  <w:t>雾</w:t>
                </w:r>
                <w:bookmarkEnd w:id="1243"/>
              </w:sdtContent>
            </w:sdt>
            <w:r>
              <w:rPr>
                <w:rFonts w:hint="default" w:ascii="Times New Roman" w:hAnsi="Times New Roman" w:eastAsia="宋体" w:cs="Times New Roman"/>
                <w:b w:val="0"/>
                <w:bCs w:val="0"/>
                <w:color w:val="auto"/>
                <w:sz w:val="21"/>
                <w:szCs w:val="21"/>
                <w:highlight w:val="none"/>
                <w:vertAlign w:val="baseline"/>
                <w:lang w:val="en-US" w:eastAsia="zh-CN"/>
              </w:rPr>
              <w:t>、氯化氢、氟化物、氨</w:t>
            </w:r>
          </w:p>
        </w:tc>
        <w:tc>
          <w:tcPr>
            <w:tcW w:w="2143" w:type="dxa"/>
            <w:tcBorders>
              <w:tl2br w:val="nil"/>
              <w:tr2bl w:val="nil"/>
            </w:tcBorders>
            <w:vAlign w:val="center"/>
          </w:tcPr>
          <w:p w14:paraId="1D550648">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九龙湖QH1</w:t>
            </w:r>
          </w:p>
        </w:tc>
        <w:tc>
          <w:tcPr>
            <w:tcW w:w="2143" w:type="dxa"/>
            <w:vMerge w:val="restart"/>
            <w:tcBorders>
              <w:tl2br w:val="nil"/>
              <w:tr2bl w:val="nil"/>
            </w:tcBorders>
            <w:vAlign w:val="center"/>
          </w:tcPr>
          <w:p w14:paraId="67D73C2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《江宁经济技术开发区环境质量跟踪监测》（报告编号：</w:t>
            </w:r>
            <w:sdt>
              <w:sdtPr>
                <w:rPr>
                  <w:color w:val="auto"/>
                  <w:highlight w:val="none"/>
                </w:rPr>
                <w:alias w:val="标点符号检查"/>
                <w:tag w:val="FF0000"/>
                <w:id w:val="161254"/>
              </w:sdtPr>
              <w:sdtEndPr>
                <w:rPr>
                  <w:color w:val="auto"/>
                  <w:highlight w:val="none"/>
                </w:rPr>
              </w:sdtEndPr>
              <w:sdtContent>
                <w:bookmarkStart w:id="1244" w:name="bkReivew161254"/>
                <w:r>
                  <w:rPr>
                    <w:rFonts w:hint="default" w:ascii="Times New Roman" w:hAnsi="Times New Roman" w:eastAsia="宋体" w:cs="Times New Roman"/>
                    <w:b w:val="0"/>
                    <w:bCs w:val="0"/>
                    <w:color w:val="auto"/>
                    <w:sz w:val="21"/>
                    <w:szCs w:val="21"/>
                    <w:highlight w:val="none"/>
                    <w:vertAlign w:val="baseline"/>
                    <w:lang w:val="en-US" w:eastAsia="zh-CN"/>
                  </w:rPr>
                  <w:t>（</w:t>
                </w:r>
                <w:bookmarkEnd w:id="1244"/>
              </w:sdtContent>
            </w:sdt>
            <w:r>
              <w:rPr>
                <w:rFonts w:hint="default" w:ascii="Times New Roman" w:hAnsi="Times New Roman" w:eastAsia="宋体" w:cs="Times New Roman"/>
                <w:b w:val="0"/>
                <w:bCs w:val="0"/>
                <w:color w:val="auto"/>
                <w:sz w:val="21"/>
                <w:szCs w:val="21"/>
                <w:highlight w:val="none"/>
                <w:vertAlign w:val="baseline"/>
                <w:lang w:val="en-US" w:eastAsia="zh-CN"/>
              </w:rPr>
              <w:t>2024</w:t>
            </w:r>
            <w:sdt>
              <w:sdtPr>
                <w:rPr>
                  <w:color w:val="auto"/>
                  <w:highlight w:val="none"/>
                </w:rPr>
                <w:alias w:val="标点符号检查"/>
                <w:tag w:val="FF0000"/>
                <w:id w:val="1112406"/>
              </w:sdtPr>
              <w:sdtEndPr>
                <w:rPr>
                  <w:color w:val="auto"/>
                  <w:highlight w:val="none"/>
                </w:rPr>
              </w:sdtEndPr>
              <w:sdtContent>
                <w:bookmarkStart w:id="1245" w:name="bkReivew1112406"/>
                <w:r>
                  <w:rPr>
                    <w:rFonts w:hint="default" w:ascii="Times New Roman" w:hAnsi="Times New Roman" w:eastAsia="宋体" w:cs="Times New Roman"/>
                    <w:b w:val="0"/>
                    <w:bCs w:val="0"/>
                    <w:color w:val="auto"/>
                    <w:sz w:val="21"/>
                    <w:szCs w:val="21"/>
                    <w:highlight w:val="none"/>
                    <w:vertAlign w:val="baseline"/>
                    <w:lang w:val="en-US" w:eastAsia="zh-CN"/>
                  </w:rPr>
                  <w:t>）</w:t>
                </w:r>
                <w:bookmarkEnd w:id="1245"/>
              </w:sdtContent>
            </w:sdt>
            <w:r>
              <w:rPr>
                <w:rFonts w:hint="default" w:ascii="Times New Roman" w:hAnsi="Times New Roman" w:eastAsia="宋体" w:cs="Times New Roman"/>
                <w:b w:val="0"/>
                <w:bCs w:val="0"/>
                <w:color w:val="auto"/>
                <w:sz w:val="21"/>
                <w:szCs w:val="21"/>
                <w:highlight w:val="none"/>
                <w:vertAlign w:val="baseline"/>
                <w:lang w:val="en-US" w:eastAsia="zh-CN"/>
              </w:rPr>
              <w:t>环检</w:t>
            </w:r>
            <w:sdt>
              <w:sdtPr>
                <w:rPr>
                  <w:color w:val="auto"/>
                  <w:highlight w:val="none"/>
                </w:rPr>
                <w:alias w:val="标点符号检查"/>
                <w:tag w:val="FF0000"/>
                <w:id w:val="151255"/>
              </w:sdtPr>
              <w:sdtEndPr>
                <w:rPr>
                  <w:color w:val="auto"/>
                  <w:highlight w:val="none"/>
                </w:rPr>
              </w:sdtEndPr>
              <w:sdtContent>
                <w:bookmarkStart w:id="1246" w:name="bkReivew151255"/>
                <w:r>
                  <w:rPr>
                    <w:rFonts w:hint="default" w:ascii="Times New Roman" w:hAnsi="Times New Roman" w:eastAsia="宋体" w:cs="Times New Roman"/>
                    <w:b w:val="0"/>
                    <w:bCs w:val="0"/>
                    <w:color w:val="auto"/>
                    <w:sz w:val="21"/>
                    <w:szCs w:val="21"/>
                    <w:highlight w:val="none"/>
                    <w:vertAlign w:val="baseline"/>
                    <w:lang w:val="en-US" w:eastAsia="zh-CN"/>
                  </w:rPr>
                  <w:t>（</w:t>
                </w:r>
                <w:bookmarkEnd w:id="1246"/>
              </w:sdtContent>
            </w:sdt>
            <w:r>
              <w:rPr>
                <w:rFonts w:hint="default" w:ascii="Times New Roman" w:hAnsi="Times New Roman" w:eastAsia="宋体" w:cs="Times New Roman"/>
                <w:b w:val="0"/>
                <w:bCs w:val="0"/>
                <w:color w:val="auto"/>
                <w:sz w:val="21"/>
                <w:szCs w:val="21"/>
                <w:highlight w:val="none"/>
                <w:vertAlign w:val="baseline"/>
                <w:lang w:val="en-US" w:eastAsia="zh-CN"/>
              </w:rPr>
              <w:t>综</w:t>
            </w:r>
            <w:sdt>
              <w:sdtPr>
                <w:rPr>
                  <w:color w:val="auto"/>
                  <w:highlight w:val="none"/>
                </w:rPr>
                <w:alias w:val="标点符号检查"/>
                <w:tag w:val="FF0000"/>
                <w:id w:val="1003221"/>
              </w:sdtPr>
              <w:sdtEndPr>
                <w:rPr>
                  <w:color w:val="auto"/>
                  <w:highlight w:val="none"/>
                </w:rPr>
              </w:sdtEndPr>
              <w:sdtContent>
                <w:bookmarkStart w:id="1247" w:name="bkReivew1003221"/>
                <w:r>
                  <w:rPr>
                    <w:rFonts w:hint="default" w:ascii="Times New Roman" w:hAnsi="Times New Roman" w:eastAsia="宋体" w:cs="Times New Roman"/>
                    <w:b w:val="0"/>
                    <w:bCs w:val="0"/>
                    <w:color w:val="auto"/>
                    <w:sz w:val="21"/>
                    <w:szCs w:val="21"/>
                    <w:highlight w:val="none"/>
                    <w:vertAlign w:val="baseline"/>
                    <w:lang w:val="en-US" w:eastAsia="zh-CN"/>
                  </w:rPr>
                  <w:t>）</w:t>
                </w:r>
                <w:bookmarkEnd w:id="1247"/>
              </w:sdtContent>
            </w:sdt>
            <w:r>
              <w:rPr>
                <w:rFonts w:hint="default" w:ascii="Times New Roman" w:hAnsi="Times New Roman" w:eastAsia="宋体" w:cs="Times New Roman"/>
                <w:b w:val="0"/>
                <w:bCs w:val="0"/>
                <w:color w:val="auto"/>
                <w:sz w:val="21"/>
                <w:szCs w:val="21"/>
                <w:highlight w:val="none"/>
                <w:vertAlign w:val="baseline"/>
                <w:lang w:val="en-US" w:eastAsia="zh-CN"/>
              </w:rPr>
              <w:t>字第</w:t>
            </w:r>
            <w:sdt>
              <w:sdtPr>
                <w:rPr>
                  <w:color w:val="auto"/>
                  <w:highlight w:val="none"/>
                </w:rPr>
                <w:alias w:val="标点符号检查"/>
                <w:tag w:val="FF0000"/>
                <w:id w:val="2043550"/>
              </w:sdtPr>
              <w:sdtEndPr>
                <w:rPr>
                  <w:color w:val="auto"/>
                  <w:highlight w:val="none"/>
                </w:rPr>
              </w:sdtEndPr>
              <w:sdtContent>
                <w:bookmarkStart w:id="1248" w:name="bkReivew2043550"/>
                <w:r>
                  <w:rPr>
                    <w:rFonts w:hint="default" w:ascii="Times New Roman" w:hAnsi="Times New Roman" w:eastAsia="宋体" w:cs="Times New Roman"/>
                    <w:b w:val="0"/>
                    <w:bCs w:val="0"/>
                    <w:color w:val="auto"/>
                    <w:sz w:val="21"/>
                    <w:szCs w:val="21"/>
                    <w:highlight w:val="none"/>
                    <w:vertAlign w:val="baseline"/>
                    <w:lang w:val="en-US" w:eastAsia="zh-CN"/>
                  </w:rPr>
                  <w:t>（</w:t>
                </w:r>
                <w:bookmarkEnd w:id="1248"/>
              </w:sdtContent>
            </w:sdt>
            <w:r>
              <w:rPr>
                <w:rFonts w:hint="default" w:ascii="Times New Roman" w:hAnsi="Times New Roman" w:eastAsia="宋体" w:cs="Times New Roman"/>
                <w:b w:val="0"/>
                <w:bCs w:val="0"/>
                <w:color w:val="auto"/>
                <w:sz w:val="21"/>
                <w:szCs w:val="21"/>
                <w:highlight w:val="none"/>
                <w:vertAlign w:val="baseline"/>
                <w:lang w:val="en-US" w:eastAsia="zh-CN"/>
              </w:rPr>
              <w:t>H0002</w:t>
            </w:r>
            <w:sdt>
              <w:sdtPr>
                <w:rPr>
                  <w:color w:val="auto"/>
                  <w:highlight w:val="none"/>
                </w:rPr>
                <w:alias w:val="标点符号检查"/>
                <w:tag w:val="FF0000"/>
                <w:id w:val="3071021"/>
              </w:sdtPr>
              <w:sdtEndPr>
                <w:rPr>
                  <w:color w:val="auto"/>
                  <w:highlight w:val="none"/>
                </w:rPr>
              </w:sdtEndPr>
              <w:sdtContent>
                <w:bookmarkStart w:id="1249" w:name="bkReivew3071021"/>
                <w:r>
                  <w:rPr>
                    <w:rFonts w:hint="default" w:ascii="Times New Roman" w:hAnsi="Times New Roman" w:eastAsia="宋体" w:cs="Times New Roman"/>
                    <w:b w:val="0"/>
                    <w:bCs w:val="0"/>
                    <w:color w:val="auto"/>
                    <w:sz w:val="21"/>
                    <w:szCs w:val="21"/>
                    <w:highlight w:val="none"/>
                    <w:vertAlign w:val="baseline"/>
                    <w:lang w:val="en-US" w:eastAsia="zh-CN"/>
                  </w:rPr>
                  <w:t>）</w:t>
                </w:r>
                <w:bookmarkEnd w:id="1249"/>
              </w:sdtContent>
            </w:sdt>
            <w:r>
              <w:rPr>
                <w:rFonts w:hint="default" w:ascii="Times New Roman" w:hAnsi="Times New Roman" w:eastAsia="宋体" w:cs="Times New Roman"/>
                <w:b w:val="0"/>
                <w:bCs w:val="0"/>
                <w:color w:val="auto"/>
                <w:sz w:val="21"/>
                <w:szCs w:val="21"/>
                <w:highlight w:val="none"/>
                <w:vertAlign w:val="baseline"/>
                <w:lang w:val="en-US" w:eastAsia="zh-CN"/>
              </w:rPr>
              <w:t>号）</w:t>
            </w:r>
          </w:p>
        </w:tc>
        <w:tc>
          <w:tcPr>
            <w:tcW w:w="2144" w:type="dxa"/>
            <w:vMerge w:val="restart"/>
            <w:tcBorders>
              <w:tl2br w:val="nil"/>
              <w:tr2bl w:val="nil"/>
            </w:tcBorders>
            <w:vAlign w:val="center"/>
          </w:tcPr>
          <w:p w14:paraId="479CC54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2024年5月6日-2024年5月13日</w:t>
            </w:r>
          </w:p>
        </w:tc>
      </w:tr>
      <w:tr w14:paraId="1D3B31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43" w:type="dxa"/>
            <w:tcBorders>
              <w:tl2br w:val="nil"/>
              <w:tr2bl w:val="nil"/>
            </w:tcBorders>
            <w:vAlign w:val="center"/>
          </w:tcPr>
          <w:p w14:paraId="37A7ADC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硫酸</w:t>
            </w:r>
            <w:sdt>
              <w:sdtPr>
                <w:rPr>
                  <w:color w:val="auto"/>
                  <w:highlight w:val="none"/>
                </w:rPr>
                <w:alias w:val="易错词检查"/>
                <w:tag w:val="auto"/>
                <w:id w:val="10603"/>
              </w:sdtPr>
              <w:sdtEndPr>
                <w:rPr>
                  <w:color w:val="auto"/>
                  <w:highlight w:val="none"/>
                </w:rPr>
              </w:sdtEndPr>
              <w:sdtContent>
                <w:bookmarkStart w:id="1250" w:name="bkReivew10603"/>
                <w:r>
                  <w:rPr>
                    <w:rFonts w:hint="default" w:ascii="Times New Roman" w:hAnsi="Times New Roman" w:eastAsia="宋体" w:cs="Times New Roman"/>
                    <w:b w:val="0"/>
                    <w:bCs w:val="0"/>
                    <w:color w:val="auto"/>
                    <w:sz w:val="21"/>
                    <w:szCs w:val="21"/>
                    <w:highlight w:val="none"/>
                    <w:vertAlign w:val="baseline"/>
                    <w:lang w:val="en-US" w:eastAsia="zh-CN"/>
                  </w:rPr>
                  <w:t>雾</w:t>
                </w:r>
                <w:bookmarkEnd w:id="1250"/>
              </w:sdtContent>
            </w:sdt>
            <w:r>
              <w:rPr>
                <w:rFonts w:hint="default" w:ascii="Times New Roman" w:hAnsi="Times New Roman" w:eastAsia="宋体" w:cs="Times New Roman"/>
                <w:b w:val="0"/>
                <w:bCs w:val="0"/>
                <w:color w:val="auto"/>
                <w:sz w:val="21"/>
                <w:szCs w:val="21"/>
                <w:highlight w:val="none"/>
                <w:vertAlign w:val="baseline"/>
                <w:lang w:val="en-US" w:eastAsia="zh-CN"/>
              </w:rPr>
              <w:t>、氯化氢、氟化物、硫化氢、氨、苯</w:t>
            </w:r>
          </w:p>
        </w:tc>
        <w:tc>
          <w:tcPr>
            <w:tcW w:w="2143" w:type="dxa"/>
            <w:tcBorders>
              <w:tl2br w:val="nil"/>
              <w:tr2bl w:val="nil"/>
            </w:tcBorders>
            <w:vAlign w:val="center"/>
          </w:tcPr>
          <w:p w14:paraId="1B3EEF0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彩虹桥QH2</w:t>
            </w:r>
          </w:p>
        </w:tc>
        <w:tc>
          <w:tcPr>
            <w:tcW w:w="2143" w:type="dxa"/>
            <w:vMerge w:val="continue"/>
            <w:tcBorders>
              <w:tl2br w:val="nil"/>
              <w:tr2bl w:val="nil"/>
            </w:tcBorders>
            <w:vAlign w:val="center"/>
          </w:tcPr>
          <w:p w14:paraId="7E25825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p>
        </w:tc>
        <w:tc>
          <w:tcPr>
            <w:tcW w:w="2144" w:type="dxa"/>
            <w:vMerge w:val="continue"/>
            <w:tcBorders>
              <w:tl2br w:val="nil"/>
              <w:tr2bl w:val="nil"/>
            </w:tcBorders>
            <w:vAlign w:val="center"/>
          </w:tcPr>
          <w:p w14:paraId="1912608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p>
        </w:tc>
      </w:tr>
      <w:tr w14:paraId="2EA6A4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43" w:type="dxa"/>
            <w:tcBorders>
              <w:tl2br w:val="nil"/>
              <w:tr2bl w:val="nil"/>
            </w:tcBorders>
            <w:vAlign w:val="center"/>
          </w:tcPr>
          <w:p w14:paraId="722BCB8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非甲烷总烃、氟化物</w:t>
            </w:r>
          </w:p>
        </w:tc>
        <w:tc>
          <w:tcPr>
            <w:tcW w:w="2143" w:type="dxa"/>
            <w:tcBorders>
              <w:tl2br w:val="nil"/>
              <w:tr2bl w:val="nil"/>
            </w:tcBorders>
            <w:vAlign w:val="center"/>
          </w:tcPr>
          <w:p w14:paraId="1CAAB1C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G1厂房西北角</w:t>
            </w:r>
          </w:p>
        </w:tc>
        <w:tc>
          <w:tcPr>
            <w:tcW w:w="2143" w:type="dxa"/>
            <w:tcBorders>
              <w:tl2br w:val="nil"/>
              <w:tr2bl w:val="nil"/>
            </w:tcBorders>
            <w:vAlign w:val="center"/>
          </w:tcPr>
          <w:p w14:paraId="5544E082">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《南京奥联光能科技有限公司环评检测报告》（报告编号：NVTT-2023-1002）</w:t>
            </w:r>
          </w:p>
        </w:tc>
        <w:tc>
          <w:tcPr>
            <w:tcW w:w="2144" w:type="dxa"/>
            <w:tcBorders>
              <w:tl2br w:val="nil"/>
              <w:tr2bl w:val="nil"/>
            </w:tcBorders>
            <w:vAlign w:val="center"/>
          </w:tcPr>
          <w:p w14:paraId="16D8175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2023年12月23日-2023年12月29日</w:t>
            </w:r>
          </w:p>
        </w:tc>
      </w:tr>
      <w:tr w14:paraId="5728E0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43" w:type="dxa"/>
            <w:tcBorders>
              <w:tl2br w:val="nil"/>
              <w:tr2bl w:val="nil"/>
            </w:tcBorders>
            <w:vAlign w:val="center"/>
          </w:tcPr>
          <w:p w14:paraId="313826FB">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氨、非甲烷总烃、氯化氢、氟化物</w:t>
            </w:r>
          </w:p>
        </w:tc>
        <w:tc>
          <w:tcPr>
            <w:tcW w:w="2143" w:type="dxa"/>
            <w:tcBorders>
              <w:tl2br w:val="nil"/>
              <w:tr2bl w:val="nil"/>
            </w:tcBorders>
            <w:vAlign w:val="center"/>
          </w:tcPr>
          <w:p w14:paraId="2BE2922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G1荣盛隽峰</w:t>
            </w:r>
          </w:p>
        </w:tc>
        <w:tc>
          <w:tcPr>
            <w:tcW w:w="2143" w:type="dxa"/>
            <w:tcBorders>
              <w:tl2br w:val="nil"/>
              <w:tr2bl w:val="nil"/>
            </w:tcBorders>
            <w:vAlign w:val="center"/>
          </w:tcPr>
          <w:p w14:paraId="74E1783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《中国电子科技集团公司第五十五研究所YG生产线条件建设项目》（报告编号：NVTT-2023-H0163）</w:t>
            </w:r>
          </w:p>
        </w:tc>
        <w:tc>
          <w:tcPr>
            <w:tcW w:w="2144" w:type="dxa"/>
            <w:tcBorders>
              <w:tl2br w:val="nil"/>
              <w:tr2bl w:val="nil"/>
            </w:tcBorders>
            <w:vAlign w:val="center"/>
          </w:tcPr>
          <w:p w14:paraId="7B8337C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2023年12月20日-2023年12月26日</w:t>
            </w:r>
          </w:p>
        </w:tc>
      </w:tr>
      <w:bookmarkEnd w:id="1240"/>
    </w:tbl>
    <w:p w14:paraId="306377A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实测数据</w:t>
      </w:r>
      <w:r>
        <w:rPr>
          <w:rFonts w:hint="default" w:ascii="Times New Roman" w:hAnsi="Times New Roman" w:eastAsia="宋体" w:cs="Times New Roman"/>
          <w:color w:val="auto"/>
          <w:sz w:val="24"/>
          <w:szCs w:val="24"/>
          <w:highlight w:val="none"/>
        </w:rPr>
        <w:t>由南京</w:t>
      </w:r>
      <w:r>
        <w:rPr>
          <w:rFonts w:hint="default" w:ascii="Times New Roman" w:hAnsi="Times New Roman" w:eastAsia="宋体" w:cs="Times New Roman"/>
          <w:color w:val="auto"/>
          <w:sz w:val="24"/>
          <w:szCs w:val="24"/>
          <w:highlight w:val="none"/>
          <w:lang w:val="en-US" w:eastAsia="zh-CN"/>
        </w:rPr>
        <w:t>学府环境安全科技</w:t>
      </w:r>
      <w:r>
        <w:rPr>
          <w:rFonts w:hint="default" w:ascii="Times New Roman" w:hAnsi="Times New Roman" w:eastAsia="宋体" w:cs="Times New Roman"/>
          <w:color w:val="auto"/>
          <w:sz w:val="24"/>
          <w:szCs w:val="24"/>
          <w:highlight w:val="none"/>
        </w:rPr>
        <w:t>有限公司于20</w:t>
      </w:r>
      <w:r>
        <w:rPr>
          <w:rFonts w:hint="eastAsia"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年8月</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日</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8月</w:t>
      </w:r>
      <w:r>
        <w:rPr>
          <w:rFonts w:hint="eastAsia" w:ascii="Times New Roman" w:hAnsi="Times New Roman" w:eastAsia="宋体" w:cs="Times New Roman"/>
          <w:color w:val="auto"/>
          <w:sz w:val="24"/>
          <w:szCs w:val="24"/>
          <w:highlight w:val="none"/>
          <w:lang w:val="en-US" w:eastAsia="zh-CN"/>
        </w:rPr>
        <w:t>11</w:t>
      </w:r>
      <w:r>
        <w:rPr>
          <w:rFonts w:hint="default" w:ascii="Times New Roman" w:hAnsi="Times New Roman" w:eastAsia="宋体" w:cs="Times New Roman"/>
          <w:color w:val="auto"/>
          <w:sz w:val="24"/>
          <w:szCs w:val="24"/>
          <w:highlight w:val="none"/>
        </w:rPr>
        <w:t>日进行监测。</w:t>
      </w:r>
    </w:p>
    <w:p w14:paraId="24A2FF2F">
      <w:pPr>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w:t>
      </w:r>
      <w:r>
        <w:rPr>
          <w:rFonts w:hint="eastAsia" w:ascii="Times New Roman" w:hAnsi="Times New Roman" w:eastAsia="宋体" w:cs="Times New Roman"/>
          <w:color w:val="auto"/>
          <w:spacing w:val="-3"/>
          <w:sz w:val="24"/>
          <w:szCs w:val="24"/>
          <w:highlight w:val="none"/>
          <w:lang w:val="en-US" w:eastAsia="zh-CN"/>
        </w:rPr>
        <w:t>5</w:t>
      </w:r>
      <w:r>
        <w:rPr>
          <w:rFonts w:ascii="宋体" w:hAnsi="宋体" w:eastAsia="宋体" w:cs="宋体"/>
          <w:color w:val="auto"/>
          <w:spacing w:val="-3"/>
          <w:sz w:val="24"/>
          <w:szCs w:val="24"/>
          <w:highlight w:val="none"/>
        </w:rPr>
        <w:t>）气象要素观测及监测结果</w:t>
      </w:r>
      <w:bookmarkStart w:id="1251" w:name="pindex4780"/>
      <w:bookmarkEnd w:id="1251"/>
    </w:p>
    <w:p w14:paraId="03BAB2B6">
      <w:pPr>
        <w:spacing w:before="31" w:line="220" w:lineRule="auto"/>
        <w:ind w:left="520"/>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各气象要素见</w:t>
      </w:r>
      <w:bookmarkStart w:id="1252" w:name="OLE_LINK391"/>
      <w:bookmarkStart w:id="1253" w:name="OLE_LINK824"/>
      <w:r>
        <w:rPr>
          <w:rFonts w:ascii="宋体" w:hAnsi="宋体" w:eastAsia="宋体" w:cs="宋体"/>
          <w:color w:val="auto"/>
          <w:spacing w:val="-2"/>
          <w:sz w:val="24"/>
          <w:szCs w:val="24"/>
          <w:highlight w:val="none"/>
        </w:rPr>
        <w:t>表</w:t>
      </w:r>
      <w:r>
        <w:rPr>
          <w:rFonts w:ascii="Times New Roman" w:hAnsi="Times New Roman" w:eastAsia="Times New Roman" w:cs="Times New Roman"/>
          <w:color w:val="auto"/>
          <w:spacing w:val="-2"/>
          <w:sz w:val="24"/>
          <w:szCs w:val="24"/>
          <w:highlight w:val="none"/>
        </w:rPr>
        <w:t>6.3-</w:t>
      </w:r>
      <w:r>
        <w:rPr>
          <w:rFonts w:hint="eastAsia" w:ascii="Times New Roman" w:hAnsi="Times New Roman" w:eastAsia="宋体" w:cs="Times New Roman"/>
          <w:color w:val="auto"/>
          <w:spacing w:val="-2"/>
          <w:sz w:val="24"/>
          <w:szCs w:val="24"/>
          <w:highlight w:val="none"/>
          <w:lang w:val="en-US" w:eastAsia="zh-CN"/>
        </w:rPr>
        <w:t>7表6.3-</w:t>
      </w:r>
      <w:bookmarkEnd w:id="1252"/>
      <w:bookmarkEnd w:id="1253"/>
      <w:r>
        <w:rPr>
          <w:rFonts w:hint="eastAsia" w:ascii="Times New Roman" w:hAnsi="Times New Roman" w:eastAsia="宋体" w:cs="Times New Roman"/>
          <w:color w:val="auto"/>
          <w:spacing w:val="-2"/>
          <w:sz w:val="24"/>
          <w:szCs w:val="24"/>
          <w:highlight w:val="none"/>
          <w:lang w:val="en-US" w:eastAsia="zh-CN"/>
        </w:rPr>
        <w:t>10</w:t>
      </w:r>
      <w:r>
        <w:rPr>
          <w:rFonts w:ascii="宋体" w:hAnsi="宋体" w:eastAsia="宋体" w:cs="宋体"/>
          <w:color w:val="auto"/>
          <w:spacing w:val="-2"/>
          <w:sz w:val="24"/>
          <w:szCs w:val="24"/>
          <w:highlight w:val="none"/>
        </w:rPr>
        <w:t>。</w:t>
      </w:r>
    </w:p>
    <w:p w14:paraId="3F5F6724">
      <w:pPr>
        <w:keepNext w:val="0"/>
        <w:keepLines w:val="0"/>
        <w:pageBreakBefore w:val="0"/>
        <w:widowControl/>
        <w:kinsoku w:val="0"/>
        <w:wordWrap/>
        <w:overflowPunct/>
        <w:topLinePunct w:val="0"/>
        <w:autoSpaceDE w:val="0"/>
        <w:autoSpaceDN w:val="0"/>
        <w:bidi w:val="0"/>
        <w:adjustRightInd w:val="0"/>
        <w:snapToGrid w:val="0"/>
        <w:spacing w:before="181" w:line="240" w:lineRule="auto"/>
        <w:jc w:val="center"/>
        <w:textAlignment w:val="baseline"/>
        <w:rPr>
          <w:rFonts w:hint="eastAsia" w:eastAsia="宋体"/>
          <w:color w:val="auto"/>
          <w:highlight w:val="none"/>
          <w:lang w:eastAsia="zh-CN"/>
        </w:rPr>
      </w:pPr>
      <w:bookmarkStart w:id="1254" w:name="OLE_LINK405"/>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6.3-</w:t>
      </w:r>
      <w:r>
        <w:rPr>
          <w:rFonts w:hint="eastAsia" w:ascii="Times New Roman" w:hAnsi="Times New Roman" w:eastAsia="宋体" w:cs="Times New Roman"/>
          <w:b/>
          <w:bCs/>
          <w:color w:val="auto"/>
          <w:spacing w:val="-2"/>
          <w:sz w:val="24"/>
          <w:szCs w:val="24"/>
          <w:highlight w:val="none"/>
          <w:lang w:val="en-US" w:eastAsia="zh-CN"/>
        </w:rPr>
        <w:t xml:space="preserve">7  </w:t>
      </w:r>
      <w:bookmarkStart w:id="1255" w:name="OLE_LINK396"/>
      <w:r>
        <w:rPr>
          <w:rFonts w:hint="eastAsia" w:ascii="Times New Roman" w:hAnsi="Times New Roman" w:eastAsia="宋体" w:cs="Times New Roman"/>
          <w:b/>
          <w:bCs/>
          <w:color w:val="auto"/>
          <w:spacing w:val="-2"/>
          <w:sz w:val="24"/>
          <w:szCs w:val="24"/>
          <w:highlight w:val="none"/>
          <w:lang w:val="en-US" w:eastAsia="zh-CN"/>
        </w:rPr>
        <w:t>引用监测报告</w:t>
      </w:r>
      <w:r>
        <w:rPr>
          <w:rFonts w:ascii="宋体" w:hAnsi="宋体" w:eastAsia="宋体" w:cs="宋体"/>
          <w:b/>
          <w:bCs/>
          <w:color w:val="auto"/>
          <w:spacing w:val="-2"/>
          <w:sz w:val="24"/>
          <w:szCs w:val="24"/>
          <w:highlight w:val="none"/>
        </w:rPr>
        <w:t>环境空气现场气象</w:t>
      </w:r>
      <w:r>
        <w:rPr>
          <w:rFonts w:hint="eastAsia" w:ascii="宋体" w:hAnsi="宋体" w:eastAsia="宋体" w:cs="宋体"/>
          <w:b/>
          <w:bCs/>
          <w:color w:val="auto"/>
          <w:spacing w:val="-2"/>
          <w:sz w:val="24"/>
          <w:szCs w:val="24"/>
          <w:highlight w:val="none"/>
          <w:lang w:val="en-US" w:eastAsia="zh-CN"/>
        </w:rPr>
        <w:t>参数</w:t>
      </w:r>
      <w:bookmarkStart w:id="1256" w:name="pindex4782"/>
      <w:bookmarkEnd w:id="1256"/>
    </w:p>
    <w:bookmarkEnd w:id="1255"/>
    <w:tbl>
      <w:tblPr>
        <w:tblStyle w:val="19"/>
        <w:tblW w:w="5033"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66"/>
        <w:gridCol w:w="700"/>
        <w:gridCol w:w="1425"/>
        <w:gridCol w:w="1446"/>
        <w:gridCol w:w="1704"/>
        <w:gridCol w:w="774"/>
        <w:gridCol w:w="1417"/>
      </w:tblGrid>
      <w:tr w14:paraId="2023D2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675" w:type="pct"/>
            <w:tcBorders>
              <w:tl2br w:val="nil"/>
              <w:tr2bl w:val="nil"/>
            </w:tcBorders>
            <w:noWrap w:val="0"/>
            <w:vAlign w:val="center"/>
          </w:tcPr>
          <w:p w14:paraId="4007B81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bookmarkStart w:id="1257" w:name="OLE_LINK400" w:colFirst="0" w:colLast="6"/>
            <w:r>
              <w:rPr>
                <w:rFonts w:hint="default" w:ascii="Times New Roman" w:hAnsi="Times New Roman" w:eastAsia="宋体" w:cs="Times New Roman"/>
                <w:b/>
                <w:bCs/>
                <w:color w:val="auto"/>
                <w:sz w:val="21"/>
                <w:szCs w:val="21"/>
                <w:highlight w:val="none"/>
                <w:lang w:eastAsia="zh-CN"/>
              </w:rPr>
              <w:t>采样日期</w:t>
            </w:r>
          </w:p>
        </w:tc>
        <w:tc>
          <w:tcPr>
            <w:tcW w:w="405" w:type="pct"/>
            <w:tcBorders>
              <w:tl2br w:val="nil"/>
              <w:tr2bl w:val="nil"/>
            </w:tcBorders>
            <w:noWrap w:val="0"/>
            <w:vAlign w:val="center"/>
          </w:tcPr>
          <w:p w14:paraId="43AE73E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采样频次</w:t>
            </w:r>
          </w:p>
        </w:tc>
        <w:tc>
          <w:tcPr>
            <w:tcW w:w="825" w:type="pct"/>
            <w:tcBorders>
              <w:tl2br w:val="nil"/>
              <w:tr2bl w:val="nil"/>
            </w:tcBorders>
            <w:noWrap w:val="0"/>
            <w:vAlign w:val="center"/>
          </w:tcPr>
          <w:p w14:paraId="64D4606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气温</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lang w:val="en-US" w:eastAsia="zh-CN"/>
              </w:rPr>
              <w:t>C</w:t>
            </w:r>
            <w:r>
              <w:rPr>
                <w:rFonts w:hint="default" w:ascii="Times New Roman" w:hAnsi="Times New Roman" w:eastAsia="宋体" w:cs="Times New Roman"/>
                <w:b/>
                <w:bCs/>
                <w:color w:val="auto"/>
                <w:sz w:val="21"/>
                <w:szCs w:val="21"/>
                <w:highlight w:val="none"/>
                <w:lang w:eastAsia="zh-CN"/>
              </w:rPr>
              <w:t>）</w:t>
            </w:r>
          </w:p>
        </w:tc>
        <w:tc>
          <w:tcPr>
            <w:tcW w:w="837" w:type="pct"/>
            <w:tcBorders>
              <w:tl2br w:val="nil"/>
              <w:tr2bl w:val="nil"/>
            </w:tcBorders>
            <w:noWrap w:val="0"/>
            <w:vAlign w:val="center"/>
          </w:tcPr>
          <w:p w14:paraId="30336E2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气压</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kPa</w:t>
            </w:r>
            <w:r>
              <w:rPr>
                <w:rFonts w:hint="default" w:ascii="Times New Roman" w:hAnsi="Times New Roman" w:eastAsia="宋体" w:cs="Times New Roman"/>
                <w:b/>
                <w:bCs/>
                <w:color w:val="auto"/>
                <w:sz w:val="21"/>
                <w:szCs w:val="21"/>
                <w:highlight w:val="none"/>
                <w:lang w:eastAsia="zh-CN"/>
              </w:rPr>
              <w:t>）</w:t>
            </w:r>
          </w:p>
        </w:tc>
        <w:tc>
          <w:tcPr>
            <w:tcW w:w="987" w:type="pct"/>
            <w:tcBorders>
              <w:tl2br w:val="nil"/>
              <w:tr2bl w:val="nil"/>
            </w:tcBorders>
            <w:noWrap w:val="0"/>
            <w:vAlign w:val="center"/>
          </w:tcPr>
          <w:p w14:paraId="363825C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相对湿度</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w:t>
            </w:r>
            <w:r>
              <w:rPr>
                <w:rFonts w:hint="default" w:ascii="Times New Roman" w:hAnsi="Times New Roman" w:eastAsia="宋体" w:cs="Times New Roman"/>
                <w:b/>
                <w:bCs/>
                <w:color w:val="auto"/>
                <w:sz w:val="21"/>
                <w:szCs w:val="21"/>
                <w:highlight w:val="none"/>
                <w:lang w:eastAsia="zh-CN"/>
              </w:rPr>
              <w:t>）</w:t>
            </w:r>
          </w:p>
        </w:tc>
        <w:tc>
          <w:tcPr>
            <w:tcW w:w="448" w:type="pct"/>
            <w:tcBorders>
              <w:tl2br w:val="nil"/>
              <w:tr2bl w:val="nil"/>
            </w:tcBorders>
            <w:noWrap w:val="0"/>
            <w:vAlign w:val="center"/>
          </w:tcPr>
          <w:p w14:paraId="2010C93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风向</w:t>
            </w:r>
          </w:p>
        </w:tc>
        <w:tc>
          <w:tcPr>
            <w:tcW w:w="820" w:type="pct"/>
            <w:tcBorders>
              <w:tl2br w:val="nil"/>
              <w:tr2bl w:val="nil"/>
            </w:tcBorders>
            <w:noWrap w:val="0"/>
            <w:vAlign w:val="center"/>
          </w:tcPr>
          <w:p w14:paraId="18BD604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风速</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m/s</w:t>
            </w:r>
            <w:r>
              <w:rPr>
                <w:rFonts w:hint="default" w:ascii="Times New Roman" w:hAnsi="Times New Roman" w:eastAsia="宋体" w:cs="Times New Roman"/>
                <w:b/>
                <w:bCs/>
                <w:color w:val="auto"/>
                <w:sz w:val="21"/>
                <w:szCs w:val="21"/>
                <w:highlight w:val="none"/>
                <w:lang w:eastAsia="zh-CN"/>
              </w:rPr>
              <w:t>）</w:t>
            </w:r>
          </w:p>
        </w:tc>
      </w:tr>
      <w:bookmarkEnd w:id="1257"/>
      <w:tr w14:paraId="30C147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6" w:hRule="atLeast"/>
          <w:jc w:val="center"/>
        </w:trPr>
        <w:tc>
          <w:tcPr>
            <w:tcW w:w="675" w:type="pct"/>
            <w:vMerge w:val="restart"/>
            <w:tcBorders>
              <w:tl2br w:val="nil"/>
              <w:tr2bl w:val="nil"/>
            </w:tcBorders>
            <w:noWrap w:val="0"/>
            <w:vAlign w:val="center"/>
          </w:tcPr>
          <w:p w14:paraId="3B5487E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bookmarkStart w:id="1258" w:name="OLE_LINK397"/>
            <w:bookmarkStart w:id="1259" w:name="OLE_LINK399" w:colFirst="2" w:colLast="4"/>
            <w:r>
              <w:rPr>
                <w:rFonts w:hint="default" w:ascii="Times New Roman" w:hAnsi="Times New Roman" w:eastAsia="宋体" w:cs="Times New Roman"/>
                <w:color w:val="auto"/>
                <w:sz w:val="21"/>
                <w:szCs w:val="21"/>
                <w:highlight w:val="none"/>
                <w:lang w:val="en-US" w:eastAsia="zh-CN"/>
              </w:rPr>
              <w:t>2023.12.23</w:t>
            </w:r>
            <w:bookmarkEnd w:id="1258"/>
          </w:p>
        </w:tc>
        <w:tc>
          <w:tcPr>
            <w:tcW w:w="405" w:type="pct"/>
            <w:tcBorders>
              <w:tl2br w:val="nil"/>
              <w:tr2bl w:val="nil"/>
            </w:tcBorders>
            <w:noWrap w:val="0"/>
            <w:vAlign w:val="center"/>
          </w:tcPr>
          <w:p w14:paraId="5C74DC0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25" w:type="pct"/>
            <w:tcBorders>
              <w:tl2br w:val="nil"/>
              <w:tr2bl w:val="nil"/>
            </w:tcBorders>
            <w:noWrap w:val="0"/>
            <w:vAlign w:val="center"/>
          </w:tcPr>
          <w:p w14:paraId="1AF980A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c>
          <w:tcPr>
            <w:tcW w:w="837" w:type="pct"/>
            <w:tcBorders>
              <w:tl2br w:val="nil"/>
              <w:tr2bl w:val="nil"/>
            </w:tcBorders>
            <w:noWrap w:val="0"/>
            <w:vAlign w:val="center"/>
          </w:tcPr>
          <w:p w14:paraId="703D1D1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103.5</w:t>
            </w:r>
          </w:p>
        </w:tc>
        <w:tc>
          <w:tcPr>
            <w:tcW w:w="987" w:type="pct"/>
            <w:tcBorders>
              <w:tl2br w:val="nil"/>
              <w:tr2bl w:val="nil"/>
            </w:tcBorders>
            <w:noWrap w:val="0"/>
            <w:vAlign w:val="center"/>
          </w:tcPr>
          <w:p w14:paraId="5D348B0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60.9</w:t>
            </w:r>
          </w:p>
        </w:tc>
        <w:tc>
          <w:tcPr>
            <w:tcW w:w="448" w:type="pct"/>
            <w:tcBorders>
              <w:tl2br w:val="nil"/>
              <w:tr2bl w:val="nil"/>
            </w:tcBorders>
            <w:noWrap w:val="0"/>
            <w:vAlign w:val="center"/>
          </w:tcPr>
          <w:p w14:paraId="3C25540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0DD0D47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r>
      <w:tr w14:paraId="1D90FD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8" w:hRule="atLeast"/>
          <w:jc w:val="center"/>
        </w:trPr>
        <w:tc>
          <w:tcPr>
            <w:tcW w:w="675" w:type="pct"/>
            <w:vMerge w:val="continue"/>
            <w:tcBorders>
              <w:tl2br w:val="nil"/>
              <w:tr2bl w:val="nil"/>
            </w:tcBorders>
            <w:noWrap w:val="0"/>
            <w:vAlign w:val="center"/>
          </w:tcPr>
          <w:p w14:paraId="23DBA46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tcBorders>
              <w:tl2br w:val="nil"/>
              <w:tr2bl w:val="nil"/>
            </w:tcBorders>
            <w:noWrap w:val="0"/>
            <w:vAlign w:val="center"/>
          </w:tcPr>
          <w:p w14:paraId="389D2B9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825" w:type="pct"/>
            <w:tcBorders>
              <w:tl2br w:val="nil"/>
              <w:tr2bl w:val="nil"/>
            </w:tcBorders>
            <w:noWrap w:val="0"/>
            <w:vAlign w:val="center"/>
          </w:tcPr>
          <w:p w14:paraId="7E06EFC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-2.1</w:t>
            </w:r>
          </w:p>
        </w:tc>
        <w:tc>
          <w:tcPr>
            <w:tcW w:w="837" w:type="pct"/>
            <w:tcBorders>
              <w:tl2br w:val="nil"/>
              <w:tr2bl w:val="nil"/>
            </w:tcBorders>
            <w:noWrap w:val="0"/>
            <w:vAlign w:val="center"/>
          </w:tcPr>
          <w:p w14:paraId="076D5D8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103.5</w:t>
            </w:r>
          </w:p>
        </w:tc>
        <w:tc>
          <w:tcPr>
            <w:tcW w:w="987" w:type="pct"/>
            <w:tcBorders>
              <w:tl2br w:val="nil"/>
              <w:tr2bl w:val="nil"/>
            </w:tcBorders>
            <w:noWrap w:val="0"/>
            <w:vAlign w:val="center"/>
          </w:tcPr>
          <w:p w14:paraId="501CECA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62.7</w:t>
            </w:r>
          </w:p>
        </w:tc>
        <w:tc>
          <w:tcPr>
            <w:tcW w:w="774" w:type="dxa"/>
            <w:tcBorders>
              <w:tl2br w:val="nil"/>
              <w:tr2bl w:val="nil"/>
            </w:tcBorders>
            <w:noWrap w:val="0"/>
            <w:vAlign w:val="center"/>
          </w:tcPr>
          <w:p w14:paraId="2A758B9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1417" w:type="dxa"/>
            <w:tcBorders>
              <w:tl2br w:val="nil"/>
              <w:tr2bl w:val="nil"/>
            </w:tcBorders>
            <w:noWrap w:val="0"/>
            <w:vAlign w:val="center"/>
          </w:tcPr>
          <w:p w14:paraId="0CB3CD4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r>
      <w:tr w14:paraId="577C99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3957E94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tcBorders>
              <w:tl2br w:val="nil"/>
              <w:tr2bl w:val="nil"/>
            </w:tcBorders>
            <w:noWrap w:val="0"/>
            <w:vAlign w:val="center"/>
          </w:tcPr>
          <w:p w14:paraId="62A9DDC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825" w:type="pct"/>
            <w:tcBorders>
              <w:tl2br w:val="nil"/>
              <w:tr2bl w:val="nil"/>
            </w:tcBorders>
            <w:noWrap w:val="0"/>
            <w:vAlign w:val="center"/>
          </w:tcPr>
          <w:p w14:paraId="682137A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c>
          <w:tcPr>
            <w:tcW w:w="837" w:type="pct"/>
            <w:tcBorders>
              <w:tl2br w:val="nil"/>
              <w:tr2bl w:val="nil"/>
            </w:tcBorders>
            <w:noWrap w:val="0"/>
            <w:vAlign w:val="center"/>
          </w:tcPr>
          <w:p w14:paraId="078C40C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103.4</w:t>
            </w:r>
          </w:p>
        </w:tc>
        <w:tc>
          <w:tcPr>
            <w:tcW w:w="987" w:type="pct"/>
            <w:tcBorders>
              <w:tl2br w:val="nil"/>
              <w:tr2bl w:val="nil"/>
            </w:tcBorders>
            <w:noWrap w:val="0"/>
            <w:vAlign w:val="center"/>
          </w:tcPr>
          <w:p w14:paraId="0B2B52F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60.4</w:t>
            </w:r>
          </w:p>
        </w:tc>
        <w:tc>
          <w:tcPr>
            <w:tcW w:w="774" w:type="dxa"/>
            <w:tcBorders>
              <w:tl2br w:val="nil"/>
              <w:tr2bl w:val="nil"/>
            </w:tcBorders>
            <w:noWrap w:val="0"/>
            <w:vAlign w:val="center"/>
          </w:tcPr>
          <w:p w14:paraId="5108AF6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1417" w:type="dxa"/>
            <w:tcBorders>
              <w:tl2br w:val="nil"/>
              <w:tr2bl w:val="nil"/>
            </w:tcBorders>
            <w:noWrap w:val="0"/>
            <w:vAlign w:val="center"/>
          </w:tcPr>
          <w:p w14:paraId="46DFC3C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4</w:t>
            </w:r>
          </w:p>
        </w:tc>
      </w:tr>
      <w:tr w14:paraId="0BAD88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268D996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tcBorders>
              <w:tl2br w:val="nil"/>
              <w:tr2bl w:val="nil"/>
            </w:tcBorders>
            <w:noWrap w:val="0"/>
            <w:vAlign w:val="center"/>
          </w:tcPr>
          <w:p w14:paraId="22F7A62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825" w:type="pct"/>
            <w:tcBorders>
              <w:tl2br w:val="nil"/>
              <w:tr2bl w:val="nil"/>
            </w:tcBorders>
            <w:noWrap w:val="0"/>
            <w:vAlign w:val="center"/>
          </w:tcPr>
          <w:p w14:paraId="46F4E51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w:t>
            </w:r>
          </w:p>
        </w:tc>
        <w:tc>
          <w:tcPr>
            <w:tcW w:w="837" w:type="pct"/>
            <w:tcBorders>
              <w:tl2br w:val="nil"/>
              <w:tr2bl w:val="nil"/>
            </w:tcBorders>
            <w:noWrap w:val="0"/>
            <w:vAlign w:val="center"/>
          </w:tcPr>
          <w:p w14:paraId="4BCF026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103.4</w:t>
            </w:r>
          </w:p>
        </w:tc>
        <w:tc>
          <w:tcPr>
            <w:tcW w:w="987" w:type="pct"/>
            <w:tcBorders>
              <w:tl2br w:val="nil"/>
              <w:tr2bl w:val="nil"/>
            </w:tcBorders>
            <w:noWrap w:val="0"/>
            <w:vAlign w:val="center"/>
          </w:tcPr>
          <w:p w14:paraId="5367D9C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61.6</w:t>
            </w:r>
          </w:p>
        </w:tc>
        <w:tc>
          <w:tcPr>
            <w:tcW w:w="774" w:type="dxa"/>
            <w:tcBorders>
              <w:tl2br w:val="nil"/>
              <w:tr2bl w:val="nil"/>
            </w:tcBorders>
            <w:noWrap w:val="0"/>
            <w:vAlign w:val="center"/>
          </w:tcPr>
          <w:p w14:paraId="38FAD0A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bookmarkStart w:id="1260" w:name="OLE_LINK401"/>
            <w:r>
              <w:rPr>
                <w:rFonts w:hint="default" w:ascii="Times New Roman" w:hAnsi="Times New Roman" w:eastAsia="宋体" w:cs="Times New Roman"/>
                <w:color w:val="auto"/>
                <w:sz w:val="21"/>
                <w:szCs w:val="21"/>
                <w:highlight w:val="none"/>
                <w:lang w:val="en-US" w:eastAsia="zh-CN"/>
              </w:rPr>
              <w:t>东南</w:t>
            </w:r>
            <w:bookmarkEnd w:id="1260"/>
          </w:p>
        </w:tc>
        <w:tc>
          <w:tcPr>
            <w:tcW w:w="1417" w:type="dxa"/>
            <w:tcBorders>
              <w:tl2br w:val="nil"/>
              <w:tr2bl w:val="nil"/>
            </w:tcBorders>
            <w:noWrap w:val="0"/>
            <w:vAlign w:val="center"/>
          </w:tcPr>
          <w:p w14:paraId="54B3C6C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r>
      <w:tr w14:paraId="325003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restart"/>
            <w:tcBorders>
              <w:tl2br w:val="nil"/>
              <w:tr2bl w:val="nil"/>
            </w:tcBorders>
            <w:noWrap w:val="0"/>
            <w:vAlign w:val="center"/>
          </w:tcPr>
          <w:p w14:paraId="641D18E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2023.12.24</w:t>
            </w:r>
          </w:p>
        </w:tc>
        <w:tc>
          <w:tcPr>
            <w:tcW w:w="405" w:type="pct"/>
            <w:tcBorders>
              <w:tl2br w:val="nil"/>
              <w:tr2bl w:val="nil"/>
            </w:tcBorders>
            <w:noWrap w:val="0"/>
            <w:vAlign w:val="center"/>
          </w:tcPr>
          <w:p w14:paraId="60A189D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25" w:type="pct"/>
            <w:tcBorders>
              <w:tl2br w:val="nil"/>
              <w:tr2bl w:val="nil"/>
            </w:tcBorders>
            <w:noWrap w:val="0"/>
            <w:vAlign w:val="center"/>
          </w:tcPr>
          <w:p w14:paraId="3AE2C0E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-3.9</w:t>
            </w:r>
          </w:p>
        </w:tc>
        <w:tc>
          <w:tcPr>
            <w:tcW w:w="837" w:type="pct"/>
            <w:tcBorders>
              <w:tl2br w:val="nil"/>
              <w:tr2bl w:val="nil"/>
            </w:tcBorders>
            <w:noWrap w:val="0"/>
            <w:vAlign w:val="center"/>
          </w:tcPr>
          <w:p w14:paraId="5D8CFB0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103.5</w:t>
            </w:r>
          </w:p>
        </w:tc>
        <w:tc>
          <w:tcPr>
            <w:tcW w:w="987" w:type="pct"/>
            <w:tcBorders>
              <w:tl2br w:val="nil"/>
              <w:tr2bl w:val="nil"/>
            </w:tcBorders>
            <w:noWrap w:val="0"/>
            <w:vAlign w:val="center"/>
          </w:tcPr>
          <w:p w14:paraId="529C4B7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63.4</w:t>
            </w:r>
          </w:p>
        </w:tc>
        <w:tc>
          <w:tcPr>
            <w:tcW w:w="448" w:type="pct"/>
            <w:tcBorders>
              <w:tl2br w:val="nil"/>
              <w:tr2bl w:val="nil"/>
            </w:tcBorders>
            <w:noWrap w:val="0"/>
            <w:vAlign w:val="center"/>
          </w:tcPr>
          <w:p w14:paraId="77F5844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095142F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w:t>
            </w:r>
          </w:p>
        </w:tc>
      </w:tr>
      <w:tr w14:paraId="6A89ED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02B0C31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tcBorders>
              <w:tl2br w:val="nil"/>
              <w:tr2bl w:val="nil"/>
            </w:tcBorders>
            <w:noWrap w:val="0"/>
            <w:vAlign w:val="center"/>
          </w:tcPr>
          <w:p w14:paraId="0104756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825" w:type="pct"/>
            <w:tcBorders>
              <w:tl2br w:val="nil"/>
              <w:tr2bl w:val="nil"/>
            </w:tcBorders>
            <w:noWrap w:val="0"/>
            <w:vAlign w:val="center"/>
          </w:tcPr>
          <w:p w14:paraId="5DCDF9A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w:t>
            </w:r>
          </w:p>
        </w:tc>
        <w:tc>
          <w:tcPr>
            <w:tcW w:w="837" w:type="pct"/>
            <w:tcBorders>
              <w:tl2br w:val="nil"/>
              <w:tr2bl w:val="nil"/>
            </w:tcBorders>
            <w:noWrap w:val="0"/>
            <w:vAlign w:val="center"/>
          </w:tcPr>
          <w:p w14:paraId="3AB91FE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103.4</w:t>
            </w:r>
          </w:p>
        </w:tc>
        <w:tc>
          <w:tcPr>
            <w:tcW w:w="987" w:type="pct"/>
            <w:tcBorders>
              <w:tl2br w:val="nil"/>
              <w:tr2bl w:val="nil"/>
            </w:tcBorders>
            <w:noWrap w:val="0"/>
            <w:vAlign w:val="center"/>
          </w:tcPr>
          <w:p w14:paraId="5BFED74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65.7</w:t>
            </w:r>
          </w:p>
        </w:tc>
        <w:tc>
          <w:tcPr>
            <w:tcW w:w="448" w:type="pct"/>
            <w:tcBorders>
              <w:tl2br w:val="nil"/>
              <w:tr2bl w:val="nil"/>
            </w:tcBorders>
            <w:noWrap w:val="0"/>
            <w:vAlign w:val="center"/>
          </w:tcPr>
          <w:p w14:paraId="671FE0D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035B32B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w:t>
            </w:r>
          </w:p>
        </w:tc>
      </w:tr>
      <w:tr w14:paraId="02BBC3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2" w:hRule="atLeast"/>
          <w:jc w:val="center"/>
        </w:trPr>
        <w:tc>
          <w:tcPr>
            <w:tcW w:w="675" w:type="pct"/>
            <w:vMerge w:val="continue"/>
            <w:tcBorders>
              <w:tl2br w:val="nil"/>
              <w:tr2bl w:val="nil"/>
            </w:tcBorders>
            <w:noWrap w:val="0"/>
            <w:vAlign w:val="center"/>
          </w:tcPr>
          <w:p w14:paraId="243ABDA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tcBorders>
              <w:tl2br w:val="nil"/>
              <w:tr2bl w:val="nil"/>
            </w:tcBorders>
            <w:noWrap w:val="0"/>
            <w:vAlign w:val="center"/>
          </w:tcPr>
          <w:p w14:paraId="2B44840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825" w:type="pct"/>
            <w:tcBorders>
              <w:tl2br w:val="nil"/>
              <w:tr2bl w:val="nil"/>
            </w:tcBorders>
            <w:noWrap w:val="0"/>
            <w:vAlign w:val="center"/>
          </w:tcPr>
          <w:p w14:paraId="593DD34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4.3</w:t>
            </w:r>
          </w:p>
        </w:tc>
        <w:tc>
          <w:tcPr>
            <w:tcW w:w="837" w:type="pct"/>
            <w:tcBorders>
              <w:tl2br w:val="nil"/>
              <w:tr2bl w:val="nil"/>
            </w:tcBorders>
            <w:noWrap w:val="0"/>
            <w:vAlign w:val="center"/>
          </w:tcPr>
          <w:p w14:paraId="7C1F821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103.4</w:t>
            </w:r>
          </w:p>
        </w:tc>
        <w:tc>
          <w:tcPr>
            <w:tcW w:w="987" w:type="pct"/>
            <w:tcBorders>
              <w:tl2br w:val="nil"/>
              <w:tr2bl w:val="nil"/>
            </w:tcBorders>
            <w:noWrap w:val="0"/>
            <w:vAlign w:val="center"/>
          </w:tcPr>
          <w:p w14:paraId="130EC40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62.3</w:t>
            </w:r>
          </w:p>
        </w:tc>
        <w:tc>
          <w:tcPr>
            <w:tcW w:w="448" w:type="pct"/>
            <w:tcBorders>
              <w:tl2br w:val="nil"/>
              <w:tr2bl w:val="nil"/>
            </w:tcBorders>
            <w:noWrap w:val="0"/>
            <w:vAlign w:val="center"/>
          </w:tcPr>
          <w:p w14:paraId="01AFA64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767170C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w:t>
            </w:r>
          </w:p>
        </w:tc>
      </w:tr>
      <w:tr w14:paraId="656F2B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432DA3A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tcBorders>
              <w:tl2br w:val="nil"/>
              <w:tr2bl w:val="nil"/>
            </w:tcBorders>
            <w:noWrap w:val="0"/>
            <w:vAlign w:val="center"/>
          </w:tcPr>
          <w:p w14:paraId="150B992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825" w:type="pct"/>
            <w:tcBorders>
              <w:tl2br w:val="nil"/>
              <w:tr2bl w:val="nil"/>
            </w:tcBorders>
            <w:noWrap w:val="0"/>
            <w:vAlign w:val="center"/>
          </w:tcPr>
          <w:p w14:paraId="78EC5C5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837" w:type="pct"/>
            <w:tcBorders>
              <w:tl2br w:val="nil"/>
              <w:tr2bl w:val="nil"/>
            </w:tcBorders>
            <w:noWrap w:val="0"/>
            <w:vAlign w:val="center"/>
          </w:tcPr>
          <w:p w14:paraId="361A581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103.4</w:t>
            </w:r>
          </w:p>
        </w:tc>
        <w:tc>
          <w:tcPr>
            <w:tcW w:w="987" w:type="pct"/>
            <w:tcBorders>
              <w:tl2br w:val="nil"/>
              <w:tr2bl w:val="nil"/>
            </w:tcBorders>
            <w:noWrap w:val="0"/>
            <w:vAlign w:val="center"/>
          </w:tcPr>
          <w:p w14:paraId="0C9DEED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63.1</w:t>
            </w:r>
          </w:p>
        </w:tc>
        <w:tc>
          <w:tcPr>
            <w:tcW w:w="448" w:type="pct"/>
            <w:tcBorders>
              <w:tl2br w:val="nil"/>
              <w:tr2bl w:val="nil"/>
            </w:tcBorders>
            <w:noWrap w:val="0"/>
            <w:vAlign w:val="center"/>
          </w:tcPr>
          <w:p w14:paraId="7ADBF0F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66494CB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r>
      <w:tr w14:paraId="10C33B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93" w:hRule="atLeast"/>
          <w:jc w:val="center"/>
        </w:trPr>
        <w:tc>
          <w:tcPr>
            <w:tcW w:w="675" w:type="pct"/>
            <w:vMerge w:val="restart"/>
            <w:tcBorders>
              <w:tl2br w:val="nil"/>
              <w:tr2bl w:val="nil"/>
            </w:tcBorders>
            <w:noWrap w:val="0"/>
            <w:vAlign w:val="center"/>
          </w:tcPr>
          <w:p w14:paraId="65607AD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2023.12.25</w:t>
            </w:r>
          </w:p>
        </w:tc>
        <w:tc>
          <w:tcPr>
            <w:tcW w:w="405" w:type="pct"/>
            <w:tcBorders>
              <w:tl2br w:val="nil"/>
              <w:tr2bl w:val="nil"/>
            </w:tcBorders>
            <w:noWrap w:val="0"/>
            <w:vAlign w:val="center"/>
          </w:tcPr>
          <w:p w14:paraId="0ABCE5F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25" w:type="pct"/>
            <w:tcBorders>
              <w:tl2br w:val="nil"/>
              <w:tr2bl w:val="nil"/>
            </w:tcBorders>
            <w:noWrap w:val="0"/>
            <w:vAlign w:val="center"/>
          </w:tcPr>
          <w:p w14:paraId="5310988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w:t>
            </w:r>
          </w:p>
        </w:tc>
        <w:tc>
          <w:tcPr>
            <w:tcW w:w="837" w:type="pct"/>
            <w:tcBorders>
              <w:tl2br w:val="nil"/>
              <w:tr2bl w:val="nil"/>
            </w:tcBorders>
            <w:noWrap w:val="0"/>
            <w:vAlign w:val="center"/>
          </w:tcPr>
          <w:p w14:paraId="2596823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103.3</w:t>
            </w:r>
          </w:p>
        </w:tc>
        <w:tc>
          <w:tcPr>
            <w:tcW w:w="987" w:type="pct"/>
            <w:tcBorders>
              <w:tl2br w:val="nil"/>
              <w:tr2bl w:val="nil"/>
            </w:tcBorders>
            <w:noWrap w:val="0"/>
            <w:vAlign w:val="center"/>
          </w:tcPr>
          <w:p w14:paraId="7536F92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64.2</w:t>
            </w:r>
          </w:p>
        </w:tc>
        <w:tc>
          <w:tcPr>
            <w:tcW w:w="448" w:type="pct"/>
            <w:tcBorders>
              <w:tl2br w:val="nil"/>
              <w:tr2bl w:val="nil"/>
            </w:tcBorders>
            <w:noWrap w:val="0"/>
            <w:vAlign w:val="center"/>
          </w:tcPr>
          <w:p w14:paraId="565DFEB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6E0DFFF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r>
      <w:tr w14:paraId="689B2C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8" w:hRule="atLeast"/>
          <w:jc w:val="center"/>
        </w:trPr>
        <w:tc>
          <w:tcPr>
            <w:tcW w:w="675" w:type="pct"/>
            <w:vMerge w:val="continue"/>
            <w:tcBorders>
              <w:tl2br w:val="nil"/>
              <w:tr2bl w:val="nil"/>
            </w:tcBorders>
            <w:noWrap w:val="0"/>
            <w:vAlign w:val="center"/>
          </w:tcPr>
          <w:p w14:paraId="61E77B0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tcBorders>
              <w:tl2br w:val="nil"/>
              <w:tr2bl w:val="nil"/>
            </w:tcBorders>
            <w:noWrap w:val="0"/>
            <w:vAlign w:val="center"/>
          </w:tcPr>
          <w:p w14:paraId="28DFDEB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825" w:type="pct"/>
            <w:tcBorders>
              <w:tl2br w:val="nil"/>
              <w:tr2bl w:val="nil"/>
            </w:tcBorders>
            <w:noWrap w:val="0"/>
            <w:vAlign w:val="center"/>
          </w:tcPr>
          <w:p w14:paraId="24AB7B4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w:t>
            </w:r>
          </w:p>
        </w:tc>
        <w:tc>
          <w:tcPr>
            <w:tcW w:w="837" w:type="pct"/>
            <w:tcBorders>
              <w:tl2br w:val="nil"/>
              <w:tr2bl w:val="nil"/>
            </w:tcBorders>
            <w:noWrap w:val="0"/>
            <w:vAlign w:val="center"/>
          </w:tcPr>
          <w:p w14:paraId="5902251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103.3</w:t>
            </w:r>
          </w:p>
        </w:tc>
        <w:tc>
          <w:tcPr>
            <w:tcW w:w="987" w:type="pct"/>
            <w:tcBorders>
              <w:tl2br w:val="nil"/>
              <w:tr2bl w:val="nil"/>
            </w:tcBorders>
            <w:noWrap w:val="0"/>
            <w:vAlign w:val="center"/>
          </w:tcPr>
          <w:p w14:paraId="50F27DA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63.6</w:t>
            </w:r>
          </w:p>
        </w:tc>
        <w:tc>
          <w:tcPr>
            <w:tcW w:w="448" w:type="pct"/>
            <w:tcBorders>
              <w:tl2br w:val="nil"/>
              <w:tr2bl w:val="nil"/>
            </w:tcBorders>
            <w:noWrap w:val="0"/>
            <w:vAlign w:val="center"/>
          </w:tcPr>
          <w:p w14:paraId="5C257E9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39B0824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r>
      <w:tr w14:paraId="270CF4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8" w:hRule="atLeast"/>
          <w:jc w:val="center"/>
        </w:trPr>
        <w:tc>
          <w:tcPr>
            <w:tcW w:w="675" w:type="pct"/>
            <w:vMerge w:val="continue"/>
            <w:tcBorders>
              <w:tl2br w:val="nil"/>
              <w:tr2bl w:val="nil"/>
            </w:tcBorders>
            <w:noWrap w:val="0"/>
            <w:vAlign w:val="center"/>
          </w:tcPr>
          <w:p w14:paraId="0DBE73D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tcBorders>
              <w:tl2br w:val="nil"/>
              <w:tr2bl w:val="nil"/>
            </w:tcBorders>
            <w:noWrap w:val="0"/>
            <w:vAlign w:val="center"/>
          </w:tcPr>
          <w:p w14:paraId="72FD8F3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825" w:type="pct"/>
            <w:tcBorders>
              <w:tl2br w:val="nil"/>
              <w:tr2bl w:val="nil"/>
            </w:tcBorders>
            <w:noWrap w:val="0"/>
            <w:vAlign w:val="center"/>
          </w:tcPr>
          <w:p w14:paraId="0C3AE74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6.7</w:t>
            </w:r>
          </w:p>
        </w:tc>
        <w:tc>
          <w:tcPr>
            <w:tcW w:w="837" w:type="pct"/>
            <w:tcBorders>
              <w:tl2br w:val="nil"/>
              <w:tr2bl w:val="nil"/>
            </w:tcBorders>
            <w:noWrap w:val="0"/>
            <w:vAlign w:val="center"/>
          </w:tcPr>
          <w:p w14:paraId="54BBC9A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103.4</w:t>
            </w:r>
          </w:p>
        </w:tc>
        <w:tc>
          <w:tcPr>
            <w:tcW w:w="987" w:type="pct"/>
            <w:tcBorders>
              <w:tl2br w:val="nil"/>
              <w:tr2bl w:val="nil"/>
            </w:tcBorders>
            <w:noWrap w:val="0"/>
            <w:vAlign w:val="center"/>
          </w:tcPr>
          <w:p w14:paraId="25F7654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61.7</w:t>
            </w:r>
          </w:p>
        </w:tc>
        <w:tc>
          <w:tcPr>
            <w:tcW w:w="448" w:type="pct"/>
            <w:tcBorders>
              <w:tl2br w:val="nil"/>
              <w:tr2bl w:val="nil"/>
            </w:tcBorders>
            <w:noWrap w:val="0"/>
            <w:vAlign w:val="center"/>
          </w:tcPr>
          <w:p w14:paraId="323A9CB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7D8028F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w:t>
            </w:r>
          </w:p>
        </w:tc>
      </w:tr>
      <w:tr w14:paraId="36A143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8" w:hRule="atLeast"/>
          <w:jc w:val="center"/>
        </w:trPr>
        <w:tc>
          <w:tcPr>
            <w:tcW w:w="675" w:type="pct"/>
            <w:vMerge w:val="continue"/>
            <w:tcBorders>
              <w:tl2br w:val="nil"/>
              <w:tr2bl w:val="nil"/>
            </w:tcBorders>
            <w:noWrap w:val="0"/>
            <w:vAlign w:val="center"/>
          </w:tcPr>
          <w:p w14:paraId="287526D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tcBorders>
              <w:tl2br w:val="nil"/>
              <w:tr2bl w:val="nil"/>
            </w:tcBorders>
            <w:noWrap w:val="0"/>
            <w:vAlign w:val="center"/>
          </w:tcPr>
          <w:p w14:paraId="0C24D0E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825" w:type="pct"/>
            <w:tcBorders>
              <w:tl2br w:val="nil"/>
              <w:tr2bl w:val="nil"/>
            </w:tcBorders>
            <w:noWrap w:val="0"/>
            <w:vAlign w:val="center"/>
          </w:tcPr>
          <w:p w14:paraId="3BB0E2E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837" w:type="pct"/>
            <w:tcBorders>
              <w:tl2br w:val="nil"/>
              <w:tr2bl w:val="nil"/>
            </w:tcBorders>
            <w:noWrap w:val="0"/>
            <w:vAlign w:val="center"/>
          </w:tcPr>
          <w:p w14:paraId="34C4BBF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103.3</w:t>
            </w:r>
          </w:p>
        </w:tc>
        <w:tc>
          <w:tcPr>
            <w:tcW w:w="987" w:type="pct"/>
            <w:tcBorders>
              <w:tl2br w:val="nil"/>
              <w:tr2bl w:val="nil"/>
            </w:tcBorders>
            <w:noWrap w:val="0"/>
            <w:vAlign w:val="center"/>
          </w:tcPr>
          <w:p w14:paraId="7F1F08A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62.3</w:t>
            </w:r>
          </w:p>
        </w:tc>
        <w:tc>
          <w:tcPr>
            <w:tcW w:w="448" w:type="pct"/>
            <w:tcBorders>
              <w:tl2br w:val="nil"/>
              <w:tr2bl w:val="nil"/>
            </w:tcBorders>
            <w:noWrap w:val="0"/>
            <w:vAlign w:val="center"/>
          </w:tcPr>
          <w:p w14:paraId="5A753F0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0CCDCE8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w:t>
            </w:r>
          </w:p>
        </w:tc>
      </w:tr>
      <w:tr w14:paraId="232182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5" w:hRule="atLeast"/>
          <w:jc w:val="center"/>
        </w:trPr>
        <w:tc>
          <w:tcPr>
            <w:tcW w:w="675" w:type="pct"/>
            <w:vMerge w:val="restart"/>
            <w:tcBorders>
              <w:tl2br w:val="nil"/>
              <w:tr2bl w:val="nil"/>
            </w:tcBorders>
            <w:noWrap w:val="0"/>
            <w:vAlign w:val="center"/>
          </w:tcPr>
          <w:p w14:paraId="515C81D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2023.12.26</w:t>
            </w:r>
          </w:p>
        </w:tc>
        <w:tc>
          <w:tcPr>
            <w:tcW w:w="405" w:type="pct"/>
            <w:tcBorders>
              <w:tl2br w:val="nil"/>
              <w:tr2bl w:val="nil"/>
            </w:tcBorders>
            <w:noWrap w:val="0"/>
            <w:vAlign w:val="center"/>
          </w:tcPr>
          <w:p w14:paraId="454DAE9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25" w:type="pct"/>
            <w:tcBorders>
              <w:tl2br w:val="nil"/>
              <w:tr2bl w:val="nil"/>
            </w:tcBorders>
            <w:noWrap w:val="0"/>
            <w:vAlign w:val="center"/>
          </w:tcPr>
          <w:p w14:paraId="27F882E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837" w:type="pct"/>
            <w:tcBorders>
              <w:tl2br w:val="nil"/>
              <w:tr2bl w:val="nil"/>
            </w:tcBorders>
            <w:noWrap w:val="0"/>
            <w:vAlign w:val="center"/>
          </w:tcPr>
          <w:p w14:paraId="73F6B2D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103.4</w:t>
            </w:r>
          </w:p>
        </w:tc>
        <w:tc>
          <w:tcPr>
            <w:tcW w:w="987" w:type="pct"/>
            <w:tcBorders>
              <w:tl2br w:val="nil"/>
              <w:tr2bl w:val="nil"/>
            </w:tcBorders>
            <w:noWrap w:val="0"/>
            <w:vAlign w:val="center"/>
          </w:tcPr>
          <w:p w14:paraId="2F27338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63.4</w:t>
            </w:r>
          </w:p>
        </w:tc>
        <w:tc>
          <w:tcPr>
            <w:tcW w:w="448" w:type="pct"/>
            <w:tcBorders>
              <w:tl2br w:val="nil"/>
              <w:tr2bl w:val="nil"/>
            </w:tcBorders>
            <w:noWrap w:val="0"/>
            <w:vAlign w:val="center"/>
          </w:tcPr>
          <w:p w14:paraId="343C602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6459221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r>
      <w:tr w14:paraId="3D9349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11B6DC0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tcBorders>
              <w:tl2br w:val="nil"/>
              <w:tr2bl w:val="nil"/>
            </w:tcBorders>
            <w:noWrap w:val="0"/>
            <w:vAlign w:val="center"/>
          </w:tcPr>
          <w:p w14:paraId="2ED3AF9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825" w:type="pct"/>
            <w:tcBorders>
              <w:tl2br w:val="nil"/>
              <w:tr2bl w:val="nil"/>
            </w:tcBorders>
            <w:noWrap w:val="0"/>
            <w:vAlign w:val="center"/>
          </w:tcPr>
          <w:p w14:paraId="62543B5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c>
          <w:tcPr>
            <w:tcW w:w="837" w:type="pct"/>
            <w:tcBorders>
              <w:tl2br w:val="nil"/>
              <w:tr2bl w:val="nil"/>
            </w:tcBorders>
            <w:noWrap w:val="0"/>
            <w:vAlign w:val="center"/>
          </w:tcPr>
          <w:p w14:paraId="61F0E39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103.3</w:t>
            </w:r>
          </w:p>
        </w:tc>
        <w:tc>
          <w:tcPr>
            <w:tcW w:w="987" w:type="pct"/>
            <w:tcBorders>
              <w:tl2br w:val="nil"/>
              <w:tr2bl w:val="nil"/>
            </w:tcBorders>
            <w:noWrap w:val="0"/>
            <w:vAlign w:val="center"/>
          </w:tcPr>
          <w:p w14:paraId="5452050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62.8</w:t>
            </w:r>
          </w:p>
        </w:tc>
        <w:tc>
          <w:tcPr>
            <w:tcW w:w="448" w:type="pct"/>
            <w:tcBorders>
              <w:tl2br w:val="nil"/>
              <w:tr2bl w:val="nil"/>
            </w:tcBorders>
            <w:noWrap w:val="0"/>
            <w:vAlign w:val="center"/>
          </w:tcPr>
          <w:p w14:paraId="1EA0010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42DA9B6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w:t>
            </w:r>
          </w:p>
        </w:tc>
      </w:tr>
      <w:tr w14:paraId="25E6DC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34C6341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tcBorders>
              <w:tl2br w:val="nil"/>
              <w:tr2bl w:val="nil"/>
            </w:tcBorders>
            <w:noWrap w:val="0"/>
            <w:vAlign w:val="center"/>
          </w:tcPr>
          <w:p w14:paraId="5ECBED8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825" w:type="pct"/>
            <w:tcBorders>
              <w:tl2br w:val="nil"/>
              <w:tr2bl w:val="nil"/>
            </w:tcBorders>
            <w:noWrap w:val="0"/>
            <w:vAlign w:val="center"/>
          </w:tcPr>
          <w:p w14:paraId="040921C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8.1</w:t>
            </w:r>
          </w:p>
        </w:tc>
        <w:tc>
          <w:tcPr>
            <w:tcW w:w="837" w:type="pct"/>
            <w:tcBorders>
              <w:tl2br w:val="nil"/>
              <w:tr2bl w:val="nil"/>
            </w:tcBorders>
            <w:noWrap w:val="0"/>
            <w:vAlign w:val="center"/>
          </w:tcPr>
          <w:p w14:paraId="4767129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103.3</w:t>
            </w:r>
          </w:p>
        </w:tc>
        <w:tc>
          <w:tcPr>
            <w:tcW w:w="987" w:type="pct"/>
            <w:tcBorders>
              <w:tl2br w:val="nil"/>
              <w:tr2bl w:val="nil"/>
            </w:tcBorders>
            <w:noWrap w:val="0"/>
            <w:vAlign w:val="center"/>
          </w:tcPr>
          <w:p w14:paraId="74DF23B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60.6</w:t>
            </w:r>
          </w:p>
        </w:tc>
        <w:tc>
          <w:tcPr>
            <w:tcW w:w="448" w:type="pct"/>
            <w:tcBorders>
              <w:tl2br w:val="nil"/>
              <w:tr2bl w:val="nil"/>
            </w:tcBorders>
            <w:noWrap w:val="0"/>
            <w:vAlign w:val="center"/>
          </w:tcPr>
          <w:p w14:paraId="4BBE5FC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19695D6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r>
      <w:tr w14:paraId="578080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0E1D3E9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tcBorders>
              <w:tl2br w:val="nil"/>
              <w:tr2bl w:val="nil"/>
            </w:tcBorders>
            <w:noWrap w:val="0"/>
            <w:vAlign w:val="center"/>
          </w:tcPr>
          <w:p w14:paraId="29C79B7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825" w:type="pct"/>
            <w:tcBorders>
              <w:tl2br w:val="nil"/>
              <w:tr2bl w:val="nil"/>
            </w:tcBorders>
            <w:noWrap w:val="0"/>
            <w:vAlign w:val="center"/>
          </w:tcPr>
          <w:p w14:paraId="1EDA9D0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3.3</w:t>
            </w:r>
          </w:p>
        </w:tc>
        <w:tc>
          <w:tcPr>
            <w:tcW w:w="837" w:type="pct"/>
            <w:tcBorders>
              <w:tl2br w:val="nil"/>
              <w:tr2bl w:val="nil"/>
            </w:tcBorders>
            <w:noWrap w:val="0"/>
            <w:vAlign w:val="center"/>
          </w:tcPr>
          <w:p w14:paraId="3823EDF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103.2</w:t>
            </w:r>
          </w:p>
        </w:tc>
        <w:tc>
          <w:tcPr>
            <w:tcW w:w="987" w:type="pct"/>
            <w:tcBorders>
              <w:tl2br w:val="nil"/>
              <w:tr2bl w:val="nil"/>
            </w:tcBorders>
            <w:noWrap w:val="0"/>
            <w:vAlign w:val="center"/>
          </w:tcPr>
          <w:p w14:paraId="36C4854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61.9</w:t>
            </w:r>
          </w:p>
        </w:tc>
        <w:tc>
          <w:tcPr>
            <w:tcW w:w="448" w:type="pct"/>
            <w:tcBorders>
              <w:tl2br w:val="nil"/>
              <w:tr2bl w:val="nil"/>
            </w:tcBorders>
            <w:noWrap w:val="0"/>
            <w:vAlign w:val="center"/>
          </w:tcPr>
          <w:p w14:paraId="459608E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332C745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w:t>
            </w:r>
          </w:p>
        </w:tc>
      </w:tr>
      <w:tr w14:paraId="5BFB3B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8" w:hRule="atLeast"/>
          <w:jc w:val="center"/>
        </w:trPr>
        <w:tc>
          <w:tcPr>
            <w:tcW w:w="675" w:type="pct"/>
            <w:vMerge w:val="restart"/>
            <w:tcBorders>
              <w:tl2br w:val="nil"/>
              <w:tr2bl w:val="nil"/>
            </w:tcBorders>
            <w:shd w:val="clear" w:color="auto" w:fill="auto"/>
            <w:noWrap w:val="0"/>
            <w:vAlign w:val="center"/>
          </w:tcPr>
          <w:p w14:paraId="60735EB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2023.12.27</w:t>
            </w:r>
          </w:p>
        </w:tc>
        <w:tc>
          <w:tcPr>
            <w:tcW w:w="405" w:type="pct"/>
            <w:tcBorders>
              <w:tl2br w:val="nil"/>
              <w:tr2bl w:val="nil"/>
            </w:tcBorders>
            <w:shd w:val="clear" w:color="auto" w:fill="auto"/>
            <w:noWrap w:val="0"/>
            <w:vAlign w:val="center"/>
          </w:tcPr>
          <w:p w14:paraId="018BB2F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25" w:type="pct"/>
            <w:tcBorders>
              <w:tl2br w:val="nil"/>
              <w:tr2bl w:val="nil"/>
            </w:tcBorders>
            <w:shd w:val="clear" w:color="auto" w:fill="auto"/>
            <w:noWrap w:val="0"/>
            <w:vAlign w:val="center"/>
          </w:tcPr>
          <w:p w14:paraId="1462804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837" w:type="pct"/>
            <w:tcBorders>
              <w:tl2br w:val="nil"/>
              <w:tr2bl w:val="nil"/>
            </w:tcBorders>
            <w:shd w:val="clear" w:color="auto" w:fill="auto"/>
            <w:noWrap w:val="0"/>
            <w:vAlign w:val="center"/>
          </w:tcPr>
          <w:p w14:paraId="1DA5EE3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103.5</w:t>
            </w:r>
          </w:p>
        </w:tc>
        <w:tc>
          <w:tcPr>
            <w:tcW w:w="987" w:type="pct"/>
            <w:tcBorders>
              <w:tl2br w:val="nil"/>
              <w:tr2bl w:val="nil"/>
            </w:tcBorders>
            <w:shd w:val="clear" w:color="auto" w:fill="auto"/>
            <w:noWrap w:val="0"/>
            <w:vAlign w:val="center"/>
          </w:tcPr>
          <w:p w14:paraId="197BE89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60.2</w:t>
            </w:r>
          </w:p>
        </w:tc>
        <w:tc>
          <w:tcPr>
            <w:tcW w:w="448" w:type="pct"/>
            <w:tcBorders>
              <w:tl2br w:val="nil"/>
              <w:tr2bl w:val="nil"/>
            </w:tcBorders>
            <w:shd w:val="clear" w:color="auto" w:fill="auto"/>
            <w:noWrap w:val="0"/>
            <w:vAlign w:val="center"/>
          </w:tcPr>
          <w:p w14:paraId="77502E9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bookmarkStart w:id="1261" w:name="OLE_LINK402"/>
            <w:r>
              <w:rPr>
                <w:rFonts w:hint="default" w:ascii="Times New Roman" w:hAnsi="Times New Roman" w:eastAsia="宋体" w:cs="Times New Roman"/>
                <w:color w:val="auto"/>
                <w:sz w:val="21"/>
                <w:szCs w:val="21"/>
                <w:highlight w:val="none"/>
                <w:lang w:val="en-US" w:eastAsia="zh-CN"/>
              </w:rPr>
              <w:t>东</w:t>
            </w:r>
            <w:r>
              <w:rPr>
                <w:rFonts w:hint="eastAsia" w:ascii="Times New Roman" w:hAnsi="Times New Roman" w:eastAsia="宋体" w:cs="Times New Roman"/>
                <w:color w:val="auto"/>
                <w:sz w:val="21"/>
                <w:szCs w:val="21"/>
                <w:highlight w:val="none"/>
                <w:lang w:val="en-US" w:eastAsia="zh-CN"/>
              </w:rPr>
              <w:t>北</w:t>
            </w:r>
            <w:bookmarkEnd w:id="1261"/>
          </w:p>
        </w:tc>
        <w:tc>
          <w:tcPr>
            <w:tcW w:w="820" w:type="pct"/>
            <w:tcBorders>
              <w:tl2br w:val="nil"/>
              <w:tr2bl w:val="nil"/>
            </w:tcBorders>
            <w:shd w:val="clear" w:color="auto" w:fill="auto"/>
            <w:noWrap w:val="0"/>
            <w:vAlign w:val="center"/>
          </w:tcPr>
          <w:p w14:paraId="4E5CC4A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w:t>
            </w:r>
          </w:p>
        </w:tc>
      </w:tr>
      <w:tr w14:paraId="31EA27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vAlign w:val="center"/>
          </w:tcPr>
          <w:p w14:paraId="152D6DE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bookmarkStart w:id="1262" w:name="OLE_LINK403" w:colFirst="5" w:colLast="5"/>
          </w:p>
        </w:tc>
        <w:tc>
          <w:tcPr>
            <w:tcW w:w="405" w:type="pct"/>
            <w:shd w:val="clear" w:color="auto" w:fill="auto"/>
            <w:vAlign w:val="center"/>
          </w:tcPr>
          <w:p w14:paraId="14FDD4C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825" w:type="pct"/>
            <w:shd w:val="clear" w:color="auto" w:fill="auto"/>
            <w:vAlign w:val="center"/>
          </w:tcPr>
          <w:p w14:paraId="151DEFB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3.8</w:t>
            </w:r>
          </w:p>
        </w:tc>
        <w:tc>
          <w:tcPr>
            <w:tcW w:w="837" w:type="pct"/>
            <w:shd w:val="clear" w:color="auto" w:fill="auto"/>
            <w:vAlign w:val="center"/>
          </w:tcPr>
          <w:p w14:paraId="3FB2FED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103.4</w:t>
            </w:r>
          </w:p>
        </w:tc>
        <w:tc>
          <w:tcPr>
            <w:tcW w:w="987" w:type="pct"/>
            <w:shd w:val="clear" w:color="auto" w:fill="auto"/>
            <w:vAlign w:val="center"/>
          </w:tcPr>
          <w:p w14:paraId="575E5E6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61.2</w:t>
            </w:r>
          </w:p>
        </w:tc>
        <w:tc>
          <w:tcPr>
            <w:tcW w:w="448" w:type="pct"/>
            <w:shd w:val="clear" w:color="auto" w:fill="auto"/>
            <w:vAlign w:val="center"/>
          </w:tcPr>
          <w:p w14:paraId="526F305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1FE1461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r>
      <w:tr w14:paraId="552667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vAlign w:val="center"/>
          </w:tcPr>
          <w:p w14:paraId="429046A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shd w:val="clear" w:color="auto" w:fill="auto"/>
            <w:vAlign w:val="center"/>
          </w:tcPr>
          <w:p w14:paraId="16099BA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825" w:type="pct"/>
            <w:shd w:val="clear" w:color="auto" w:fill="auto"/>
            <w:vAlign w:val="center"/>
          </w:tcPr>
          <w:p w14:paraId="6575F74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10.5</w:t>
            </w:r>
          </w:p>
        </w:tc>
        <w:tc>
          <w:tcPr>
            <w:tcW w:w="837" w:type="pct"/>
            <w:shd w:val="clear" w:color="auto" w:fill="auto"/>
            <w:vAlign w:val="center"/>
          </w:tcPr>
          <w:p w14:paraId="5C166CC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103.4</w:t>
            </w:r>
          </w:p>
        </w:tc>
        <w:tc>
          <w:tcPr>
            <w:tcW w:w="987" w:type="pct"/>
            <w:shd w:val="clear" w:color="auto" w:fill="auto"/>
            <w:vAlign w:val="center"/>
          </w:tcPr>
          <w:p w14:paraId="02BBB7D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59.5</w:t>
            </w:r>
          </w:p>
        </w:tc>
        <w:tc>
          <w:tcPr>
            <w:tcW w:w="448" w:type="pct"/>
            <w:shd w:val="clear" w:color="auto" w:fill="auto"/>
            <w:vAlign w:val="center"/>
          </w:tcPr>
          <w:p w14:paraId="730BE87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799CFF8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w:t>
            </w:r>
          </w:p>
        </w:tc>
      </w:tr>
      <w:tr w14:paraId="619A27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vAlign w:val="center"/>
          </w:tcPr>
          <w:p w14:paraId="7ADDC6C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shd w:val="clear" w:color="auto" w:fill="auto"/>
            <w:vAlign w:val="center"/>
          </w:tcPr>
          <w:p w14:paraId="3D80114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825" w:type="pct"/>
            <w:shd w:val="clear" w:color="auto" w:fill="auto"/>
            <w:vAlign w:val="center"/>
          </w:tcPr>
          <w:p w14:paraId="4C97789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w:t>
            </w:r>
          </w:p>
        </w:tc>
        <w:tc>
          <w:tcPr>
            <w:tcW w:w="837" w:type="pct"/>
            <w:shd w:val="clear" w:color="auto" w:fill="auto"/>
            <w:vAlign w:val="center"/>
          </w:tcPr>
          <w:p w14:paraId="1DD264C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103.5</w:t>
            </w:r>
          </w:p>
        </w:tc>
        <w:tc>
          <w:tcPr>
            <w:tcW w:w="987" w:type="pct"/>
            <w:shd w:val="clear" w:color="auto" w:fill="auto"/>
            <w:vAlign w:val="center"/>
          </w:tcPr>
          <w:p w14:paraId="43267B1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59.9</w:t>
            </w:r>
          </w:p>
        </w:tc>
        <w:tc>
          <w:tcPr>
            <w:tcW w:w="448" w:type="pct"/>
            <w:shd w:val="clear" w:color="auto" w:fill="auto"/>
            <w:vAlign w:val="center"/>
          </w:tcPr>
          <w:p w14:paraId="4A80CAC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0E8BC4F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w:t>
            </w:r>
          </w:p>
        </w:tc>
      </w:tr>
      <w:tr w14:paraId="5E86DC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restart"/>
            <w:shd w:val="clear" w:color="auto" w:fill="auto"/>
            <w:vAlign w:val="center"/>
          </w:tcPr>
          <w:p w14:paraId="7295916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bookmarkStart w:id="1263" w:name="OLE_LINK398" w:colFirst="0" w:colLast="1"/>
            <w:r>
              <w:rPr>
                <w:rFonts w:hint="default" w:ascii="Times New Roman" w:hAnsi="Times New Roman" w:eastAsia="宋体" w:cs="Times New Roman"/>
                <w:color w:val="auto"/>
                <w:sz w:val="21"/>
                <w:szCs w:val="21"/>
                <w:highlight w:val="none"/>
                <w:lang w:val="en-US" w:eastAsia="zh-CN"/>
              </w:rPr>
              <w:t>2023.12.28</w:t>
            </w:r>
          </w:p>
        </w:tc>
        <w:tc>
          <w:tcPr>
            <w:tcW w:w="405" w:type="pct"/>
            <w:shd w:val="clear" w:color="auto" w:fill="auto"/>
            <w:vAlign w:val="center"/>
          </w:tcPr>
          <w:p w14:paraId="608C67D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25" w:type="pct"/>
            <w:shd w:val="clear" w:color="auto" w:fill="auto"/>
            <w:vAlign w:val="center"/>
          </w:tcPr>
          <w:p w14:paraId="060AD2C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w:t>
            </w:r>
          </w:p>
        </w:tc>
        <w:tc>
          <w:tcPr>
            <w:tcW w:w="837" w:type="pct"/>
            <w:shd w:val="clear" w:color="auto" w:fill="auto"/>
            <w:vAlign w:val="center"/>
          </w:tcPr>
          <w:p w14:paraId="61527D2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103.4</w:t>
            </w:r>
          </w:p>
        </w:tc>
        <w:tc>
          <w:tcPr>
            <w:tcW w:w="987" w:type="pct"/>
            <w:shd w:val="clear" w:color="auto" w:fill="auto"/>
            <w:vAlign w:val="center"/>
          </w:tcPr>
          <w:p w14:paraId="50D5AE4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61.8</w:t>
            </w:r>
          </w:p>
        </w:tc>
        <w:tc>
          <w:tcPr>
            <w:tcW w:w="448" w:type="pct"/>
            <w:shd w:val="clear" w:color="auto" w:fill="auto"/>
            <w:vAlign w:val="center"/>
          </w:tcPr>
          <w:p w14:paraId="5FAF1EC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2B99F92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r>
      <w:bookmarkEnd w:id="1263"/>
      <w:tr w14:paraId="29DAB5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vAlign w:val="center"/>
          </w:tcPr>
          <w:p w14:paraId="3590D1A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shd w:val="clear" w:color="auto" w:fill="auto"/>
            <w:vAlign w:val="center"/>
          </w:tcPr>
          <w:p w14:paraId="61A86F7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825" w:type="pct"/>
            <w:shd w:val="clear" w:color="auto" w:fill="auto"/>
            <w:vAlign w:val="center"/>
          </w:tcPr>
          <w:p w14:paraId="57969BD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w:t>
            </w:r>
          </w:p>
        </w:tc>
        <w:tc>
          <w:tcPr>
            <w:tcW w:w="837" w:type="pct"/>
            <w:shd w:val="clear" w:color="auto" w:fill="auto"/>
            <w:vAlign w:val="center"/>
          </w:tcPr>
          <w:p w14:paraId="3F91232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103.4</w:t>
            </w:r>
          </w:p>
        </w:tc>
        <w:tc>
          <w:tcPr>
            <w:tcW w:w="987" w:type="pct"/>
            <w:shd w:val="clear" w:color="auto" w:fill="auto"/>
            <w:vAlign w:val="center"/>
          </w:tcPr>
          <w:p w14:paraId="19B73F1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62.4</w:t>
            </w:r>
          </w:p>
        </w:tc>
        <w:tc>
          <w:tcPr>
            <w:tcW w:w="448" w:type="pct"/>
            <w:shd w:val="clear" w:color="auto" w:fill="auto"/>
            <w:vAlign w:val="center"/>
          </w:tcPr>
          <w:p w14:paraId="4CFC943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50BE05A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w:t>
            </w:r>
          </w:p>
        </w:tc>
      </w:tr>
      <w:tr w14:paraId="45D763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vAlign w:val="center"/>
          </w:tcPr>
          <w:p w14:paraId="4B3B620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shd w:val="clear" w:color="auto" w:fill="auto"/>
            <w:vAlign w:val="center"/>
          </w:tcPr>
          <w:p w14:paraId="4EB17CF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825" w:type="pct"/>
            <w:shd w:val="clear" w:color="auto" w:fill="auto"/>
            <w:vAlign w:val="center"/>
          </w:tcPr>
          <w:p w14:paraId="1E102F1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11.6</w:t>
            </w:r>
          </w:p>
        </w:tc>
        <w:tc>
          <w:tcPr>
            <w:tcW w:w="837" w:type="pct"/>
            <w:shd w:val="clear" w:color="auto" w:fill="auto"/>
            <w:vAlign w:val="center"/>
          </w:tcPr>
          <w:p w14:paraId="5545636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103.3</w:t>
            </w:r>
          </w:p>
        </w:tc>
        <w:tc>
          <w:tcPr>
            <w:tcW w:w="987" w:type="pct"/>
            <w:shd w:val="clear" w:color="auto" w:fill="auto"/>
            <w:vAlign w:val="center"/>
          </w:tcPr>
          <w:p w14:paraId="75AAC6F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61.3</w:t>
            </w:r>
          </w:p>
        </w:tc>
        <w:tc>
          <w:tcPr>
            <w:tcW w:w="448" w:type="pct"/>
            <w:shd w:val="clear" w:color="auto" w:fill="auto"/>
            <w:vAlign w:val="center"/>
          </w:tcPr>
          <w:p w14:paraId="1675840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790B214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r>
      <w:tr w14:paraId="48539B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vAlign w:val="center"/>
          </w:tcPr>
          <w:p w14:paraId="2F72492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shd w:val="clear" w:color="auto" w:fill="auto"/>
            <w:vAlign w:val="center"/>
          </w:tcPr>
          <w:p w14:paraId="60976E0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825" w:type="pct"/>
            <w:shd w:val="clear" w:color="auto" w:fill="auto"/>
            <w:vAlign w:val="center"/>
          </w:tcPr>
          <w:p w14:paraId="536795C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w:t>
            </w:r>
          </w:p>
        </w:tc>
        <w:tc>
          <w:tcPr>
            <w:tcW w:w="837" w:type="pct"/>
            <w:shd w:val="clear" w:color="auto" w:fill="auto"/>
            <w:vAlign w:val="center"/>
          </w:tcPr>
          <w:p w14:paraId="653D589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103.3</w:t>
            </w:r>
          </w:p>
        </w:tc>
        <w:tc>
          <w:tcPr>
            <w:tcW w:w="987" w:type="pct"/>
            <w:shd w:val="clear" w:color="auto" w:fill="auto"/>
            <w:vAlign w:val="center"/>
          </w:tcPr>
          <w:p w14:paraId="3EFA2F1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62.8</w:t>
            </w:r>
          </w:p>
        </w:tc>
        <w:tc>
          <w:tcPr>
            <w:tcW w:w="448" w:type="pct"/>
            <w:shd w:val="clear" w:color="auto" w:fill="auto"/>
            <w:vAlign w:val="center"/>
          </w:tcPr>
          <w:p w14:paraId="507CD74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389661E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w:t>
            </w:r>
          </w:p>
        </w:tc>
      </w:tr>
      <w:tr w14:paraId="323C55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restart"/>
            <w:shd w:val="clear" w:color="auto" w:fill="auto"/>
            <w:vAlign w:val="center"/>
          </w:tcPr>
          <w:p w14:paraId="1870C42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2023.12.29</w:t>
            </w:r>
          </w:p>
        </w:tc>
        <w:tc>
          <w:tcPr>
            <w:tcW w:w="405" w:type="pct"/>
            <w:shd w:val="clear" w:color="auto" w:fill="auto"/>
            <w:vAlign w:val="center"/>
          </w:tcPr>
          <w:p w14:paraId="6783C15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25" w:type="pct"/>
            <w:shd w:val="clear" w:color="auto" w:fill="auto"/>
            <w:vAlign w:val="center"/>
          </w:tcPr>
          <w:p w14:paraId="26FC3EE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w:t>
            </w:r>
          </w:p>
        </w:tc>
        <w:tc>
          <w:tcPr>
            <w:tcW w:w="837" w:type="pct"/>
            <w:shd w:val="clear" w:color="auto" w:fill="auto"/>
            <w:vAlign w:val="center"/>
          </w:tcPr>
          <w:p w14:paraId="4414842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bookmarkStart w:id="1264" w:name="OLE_LINK404"/>
            <w:r>
              <w:rPr>
                <w:rFonts w:hint="eastAsia" w:ascii="Times New Roman" w:hAnsi="Times New Roman" w:eastAsia="宋体" w:cs="Times New Roman"/>
                <w:color w:val="auto"/>
                <w:sz w:val="21"/>
                <w:szCs w:val="21"/>
                <w:highlight w:val="none"/>
                <w:lang w:val="en-US" w:eastAsia="zh-CN"/>
              </w:rPr>
              <w:t>103.3</w:t>
            </w:r>
            <w:bookmarkEnd w:id="1264"/>
          </w:p>
        </w:tc>
        <w:tc>
          <w:tcPr>
            <w:tcW w:w="987" w:type="pct"/>
            <w:shd w:val="clear" w:color="auto" w:fill="auto"/>
            <w:vAlign w:val="center"/>
          </w:tcPr>
          <w:p w14:paraId="74AD251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65.3</w:t>
            </w:r>
          </w:p>
        </w:tc>
        <w:tc>
          <w:tcPr>
            <w:tcW w:w="448" w:type="pct"/>
            <w:shd w:val="clear" w:color="auto" w:fill="auto"/>
            <w:vAlign w:val="center"/>
          </w:tcPr>
          <w:p w14:paraId="78252B3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64DF8DF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w:t>
            </w:r>
          </w:p>
        </w:tc>
      </w:tr>
      <w:tr w14:paraId="09F57A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vAlign w:val="center"/>
          </w:tcPr>
          <w:p w14:paraId="6A0C468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shd w:val="clear" w:color="auto" w:fill="auto"/>
            <w:vAlign w:val="center"/>
          </w:tcPr>
          <w:p w14:paraId="5829E0E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825" w:type="pct"/>
            <w:shd w:val="clear" w:color="auto" w:fill="auto"/>
            <w:vAlign w:val="center"/>
          </w:tcPr>
          <w:p w14:paraId="271E820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5.2</w:t>
            </w:r>
          </w:p>
        </w:tc>
        <w:tc>
          <w:tcPr>
            <w:tcW w:w="837" w:type="pct"/>
            <w:shd w:val="clear" w:color="auto" w:fill="auto"/>
            <w:vAlign w:val="center"/>
          </w:tcPr>
          <w:p w14:paraId="46E12D7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103.3</w:t>
            </w:r>
          </w:p>
        </w:tc>
        <w:tc>
          <w:tcPr>
            <w:tcW w:w="987" w:type="pct"/>
            <w:shd w:val="clear" w:color="auto" w:fill="auto"/>
            <w:vAlign w:val="center"/>
          </w:tcPr>
          <w:p w14:paraId="5877DEA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66.5</w:t>
            </w:r>
          </w:p>
        </w:tc>
        <w:tc>
          <w:tcPr>
            <w:tcW w:w="448" w:type="pct"/>
            <w:shd w:val="clear" w:color="auto" w:fill="auto"/>
            <w:vAlign w:val="center"/>
          </w:tcPr>
          <w:p w14:paraId="2CB6904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6B10491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r>
      <w:tr w14:paraId="504DFE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vAlign w:val="center"/>
          </w:tcPr>
          <w:p w14:paraId="5F63550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shd w:val="clear" w:color="auto" w:fill="auto"/>
            <w:vAlign w:val="center"/>
          </w:tcPr>
          <w:p w14:paraId="35455B9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825" w:type="pct"/>
            <w:shd w:val="clear" w:color="auto" w:fill="auto"/>
            <w:vAlign w:val="center"/>
          </w:tcPr>
          <w:p w14:paraId="04AE80A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11.4</w:t>
            </w:r>
          </w:p>
        </w:tc>
        <w:tc>
          <w:tcPr>
            <w:tcW w:w="837" w:type="pct"/>
            <w:shd w:val="clear" w:color="auto" w:fill="auto"/>
            <w:vAlign w:val="center"/>
          </w:tcPr>
          <w:p w14:paraId="43749B8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103.3</w:t>
            </w:r>
          </w:p>
        </w:tc>
        <w:tc>
          <w:tcPr>
            <w:tcW w:w="987" w:type="pct"/>
            <w:shd w:val="clear" w:color="auto" w:fill="auto"/>
            <w:vAlign w:val="center"/>
          </w:tcPr>
          <w:p w14:paraId="24A7041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64.1</w:t>
            </w:r>
          </w:p>
        </w:tc>
        <w:tc>
          <w:tcPr>
            <w:tcW w:w="448" w:type="pct"/>
            <w:shd w:val="clear" w:color="auto" w:fill="auto"/>
            <w:vAlign w:val="center"/>
          </w:tcPr>
          <w:p w14:paraId="03A6E9F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31C7A15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w:t>
            </w:r>
          </w:p>
        </w:tc>
      </w:tr>
      <w:tr w14:paraId="0956BA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vAlign w:val="center"/>
          </w:tcPr>
          <w:p w14:paraId="0DF74D4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405" w:type="pct"/>
            <w:shd w:val="clear" w:color="auto" w:fill="auto"/>
            <w:vAlign w:val="center"/>
          </w:tcPr>
          <w:p w14:paraId="312B415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825" w:type="pct"/>
            <w:shd w:val="clear" w:color="auto" w:fill="auto"/>
            <w:vAlign w:val="center"/>
          </w:tcPr>
          <w:p w14:paraId="5C55ABA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4.1</w:t>
            </w:r>
          </w:p>
        </w:tc>
        <w:tc>
          <w:tcPr>
            <w:tcW w:w="837" w:type="pct"/>
            <w:shd w:val="clear" w:color="auto" w:fill="auto"/>
            <w:vAlign w:val="center"/>
          </w:tcPr>
          <w:p w14:paraId="6688902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103.2</w:t>
            </w:r>
          </w:p>
        </w:tc>
        <w:tc>
          <w:tcPr>
            <w:tcW w:w="987" w:type="pct"/>
            <w:shd w:val="clear" w:color="auto" w:fill="auto"/>
            <w:vAlign w:val="center"/>
          </w:tcPr>
          <w:p w14:paraId="27149A0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64.7</w:t>
            </w:r>
          </w:p>
        </w:tc>
        <w:tc>
          <w:tcPr>
            <w:tcW w:w="448" w:type="pct"/>
            <w:shd w:val="clear" w:color="auto" w:fill="auto"/>
            <w:vAlign w:val="center"/>
          </w:tcPr>
          <w:p w14:paraId="2FB7835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6DF1F3C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w:t>
            </w:r>
          </w:p>
        </w:tc>
      </w:tr>
      <w:bookmarkEnd w:id="1254"/>
      <w:bookmarkEnd w:id="1259"/>
      <w:bookmarkEnd w:id="1262"/>
    </w:tbl>
    <w:p w14:paraId="44065110">
      <w:pPr>
        <w:keepNext w:val="0"/>
        <w:keepLines w:val="0"/>
        <w:pageBreakBefore w:val="0"/>
        <w:widowControl/>
        <w:kinsoku w:val="0"/>
        <w:wordWrap/>
        <w:overflowPunct/>
        <w:topLinePunct w:val="0"/>
        <w:autoSpaceDE w:val="0"/>
        <w:autoSpaceDN w:val="0"/>
        <w:bidi w:val="0"/>
        <w:adjustRightInd w:val="0"/>
        <w:snapToGrid w:val="0"/>
        <w:spacing w:before="181" w:line="240" w:lineRule="auto"/>
        <w:jc w:val="center"/>
        <w:textAlignment w:val="baseline"/>
        <w:rPr>
          <w:rFonts w:hint="eastAsia" w:eastAsia="宋体"/>
          <w:color w:val="auto"/>
          <w:highlight w:val="none"/>
          <w:lang w:eastAsia="zh-CN"/>
        </w:rPr>
      </w:pPr>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6.3-</w:t>
      </w:r>
      <w:r>
        <w:rPr>
          <w:rFonts w:hint="eastAsia" w:ascii="Times New Roman" w:hAnsi="Times New Roman" w:eastAsia="宋体" w:cs="Times New Roman"/>
          <w:b/>
          <w:bCs/>
          <w:color w:val="auto"/>
          <w:spacing w:val="-2"/>
          <w:sz w:val="24"/>
          <w:szCs w:val="24"/>
          <w:highlight w:val="none"/>
          <w:lang w:val="en-US" w:eastAsia="zh-CN"/>
        </w:rPr>
        <w:t>8  引用监测报告</w:t>
      </w:r>
      <w:r>
        <w:rPr>
          <w:rFonts w:ascii="宋体" w:hAnsi="宋体" w:eastAsia="宋体" w:cs="宋体"/>
          <w:b/>
          <w:bCs/>
          <w:color w:val="auto"/>
          <w:spacing w:val="-2"/>
          <w:sz w:val="24"/>
          <w:szCs w:val="24"/>
          <w:highlight w:val="none"/>
        </w:rPr>
        <w:t>环境空气现场气象</w:t>
      </w:r>
      <w:r>
        <w:rPr>
          <w:rFonts w:hint="eastAsia" w:ascii="宋体" w:hAnsi="宋体" w:eastAsia="宋体" w:cs="宋体"/>
          <w:b/>
          <w:bCs/>
          <w:color w:val="auto"/>
          <w:spacing w:val="-2"/>
          <w:sz w:val="24"/>
          <w:szCs w:val="24"/>
          <w:highlight w:val="none"/>
          <w:lang w:val="en-US" w:eastAsia="zh-CN"/>
        </w:rPr>
        <w:t>参数</w:t>
      </w:r>
      <w:bookmarkStart w:id="1265" w:name="pindex4986"/>
      <w:bookmarkEnd w:id="1265"/>
    </w:p>
    <w:tbl>
      <w:tblPr>
        <w:tblStyle w:val="19"/>
        <w:tblW w:w="5081"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94"/>
        <w:gridCol w:w="657"/>
        <w:gridCol w:w="1036"/>
        <w:gridCol w:w="1323"/>
        <w:gridCol w:w="1432"/>
        <w:gridCol w:w="1704"/>
        <w:gridCol w:w="1469"/>
      </w:tblGrid>
      <w:tr w14:paraId="77B7F0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15" w:hRule="atLeast"/>
          <w:jc w:val="center"/>
        </w:trPr>
        <w:tc>
          <w:tcPr>
            <w:tcW w:w="627" w:type="pct"/>
            <w:tcBorders>
              <w:tl2br w:val="nil"/>
              <w:tr2bl w:val="nil"/>
            </w:tcBorders>
            <w:noWrap w:val="0"/>
            <w:vAlign w:val="center"/>
          </w:tcPr>
          <w:p w14:paraId="10E9515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采样日期</w:t>
            </w:r>
          </w:p>
        </w:tc>
        <w:tc>
          <w:tcPr>
            <w:tcW w:w="376" w:type="pct"/>
            <w:tcBorders>
              <w:tl2br w:val="nil"/>
              <w:tr2bl w:val="nil"/>
            </w:tcBorders>
            <w:noWrap w:val="0"/>
            <w:vAlign w:val="center"/>
          </w:tcPr>
          <w:p w14:paraId="1267420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lang w:val="en-US" w:eastAsia="zh-CN"/>
              </w:rPr>
              <w:t>检测</w:t>
            </w:r>
            <w:r>
              <w:rPr>
                <w:rFonts w:hint="default" w:ascii="Times New Roman" w:hAnsi="Times New Roman" w:eastAsia="宋体" w:cs="Times New Roman"/>
                <w:b/>
                <w:bCs/>
                <w:color w:val="auto"/>
                <w:sz w:val="21"/>
                <w:szCs w:val="21"/>
                <w:highlight w:val="none"/>
                <w:lang w:eastAsia="zh-CN"/>
              </w:rPr>
              <w:t>频次</w:t>
            </w:r>
          </w:p>
        </w:tc>
        <w:tc>
          <w:tcPr>
            <w:tcW w:w="594" w:type="pct"/>
            <w:tcBorders>
              <w:tl2br w:val="nil"/>
              <w:tr2bl w:val="nil"/>
            </w:tcBorders>
            <w:shd w:val="clear" w:color="auto" w:fill="auto"/>
            <w:noWrap w:val="0"/>
            <w:vAlign w:val="center"/>
          </w:tcPr>
          <w:p w14:paraId="7F482D1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snapToGrid w:val="0"/>
                <w:color w:val="auto"/>
                <w:kern w:val="0"/>
                <w:sz w:val="21"/>
                <w:szCs w:val="21"/>
                <w:highlight w:val="none"/>
                <w:lang w:val="en-US" w:eastAsia="en-US" w:bidi="ar-SA"/>
              </w:rPr>
            </w:pPr>
            <w:r>
              <w:rPr>
                <w:rFonts w:hint="default" w:ascii="Times New Roman" w:hAnsi="Times New Roman" w:eastAsia="宋体" w:cs="Times New Roman"/>
                <w:b/>
                <w:bCs/>
                <w:color w:val="auto"/>
                <w:sz w:val="21"/>
                <w:szCs w:val="21"/>
                <w:highlight w:val="none"/>
              </w:rPr>
              <w:t>风向</w:t>
            </w:r>
          </w:p>
        </w:tc>
        <w:tc>
          <w:tcPr>
            <w:tcW w:w="759" w:type="pct"/>
            <w:tcBorders>
              <w:tl2br w:val="nil"/>
              <w:tr2bl w:val="nil"/>
            </w:tcBorders>
            <w:noWrap w:val="0"/>
            <w:vAlign w:val="center"/>
          </w:tcPr>
          <w:p w14:paraId="206C887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气温</w:t>
            </w:r>
            <w:r>
              <w:rPr>
                <w:rFonts w:hint="default" w:ascii="Times New Roman" w:hAnsi="Times New Roman" w:eastAsia="宋体" w:cs="Times New Roman"/>
                <w:b/>
                <w:bCs/>
                <w:color w:val="auto"/>
                <w:sz w:val="21"/>
                <w:szCs w:val="21"/>
                <w:highlight w:val="none"/>
                <w:lang w:eastAsia="zh-CN"/>
              </w:rPr>
              <w:t>（</w:t>
            </w:r>
            <w:r>
              <w:rPr>
                <w:rFonts w:hint="eastAsia" w:ascii="Times New Roman" w:hAnsi="Times New Roman" w:eastAsia="宋体" w:cs="Times New Roman"/>
                <w:b/>
                <w:bCs/>
                <w:color w:val="auto"/>
                <w:sz w:val="21"/>
                <w:szCs w:val="21"/>
                <w:highlight w:val="none"/>
                <w:lang w:val="en-US" w:eastAsia="zh-CN"/>
              </w:rPr>
              <w:t>K</w:t>
            </w:r>
            <w:r>
              <w:rPr>
                <w:rFonts w:hint="default" w:ascii="Times New Roman" w:hAnsi="Times New Roman" w:eastAsia="宋体" w:cs="Times New Roman"/>
                <w:b/>
                <w:bCs/>
                <w:color w:val="auto"/>
                <w:sz w:val="21"/>
                <w:szCs w:val="21"/>
                <w:highlight w:val="none"/>
                <w:lang w:eastAsia="zh-CN"/>
              </w:rPr>
              <w:t>）</w:t>
            </w:r>
          </w:p>
        </w:tc>
        <w:tc>
          <w:tcPr>
            <w:tcW w:w="821" w:type="pct"/>
            <w:tcBorders>
              <w:tl2br w:val="nil"/>
              <w:tr2bl w:val="nil"/>
            </w:tcBorders>
            <w:noWrap w:val="0"/>
            <w:vAlign w:val="center"/>
          </w:tcPr>
          <w:p w14:paraId="3D06A60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气压</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kPa</w:t>
            </w:r>
            <w:r>
              <w:rPr>
                <w:rFonts w:hint="default" w:ascii="Times New Roman" w:hAnsi="Times New Roman" w:eastAsia="宋体" w:cs="Times New Roman"/>
                <w:b/>
                <w:bCs/>
                <w:color w:val="auto"/>
                <w:sz w:val="21"/>
                <w:szCs w:val="21"/>
                <w:highlight w:val="none"/>
                <w:lang w:eastAsia="zh-CN"/>
              </w:rPr>
              <w:t>）</w:t>
            </w:r>
          </w:p>
        </w:tc>
        <w:tc>
          <w:tcPr>
            <w:tcW w:w="977" w:type="pct"/>
            <w:tcBorders>
              <w:tl2br w:val="nil"/>
              <w:tr2bl w:val="nil"/>
            </w:tcBorders>
            <w:noWrap w:val="0"/>
            <w:vAlign w:val="center"/>
          </w:tcPr>
          <w:p w14:paraId="368BBC6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相对湿度</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w:t>
            </w:r>
            <w:r>
              <w:rPr>
                <w:rFonts w:hint="default" w:ascii="Times New Roman" w:hAnsi="Times New Roman" w:eastAsia="宋体" w:cs="Times New Roman"/>
                <w:b/>
                <w:bCs/>
                <w:color w:val="auto"/>
                <w:sz w:val="21"/>
                <w:szCs w:val="21"/>
                <w:highlight w:val="none"/>
                <w:lang w:eastAsia="zh-CN"/>
              </w:rPr>
              <w:t>）</w:t>
            </w:r>
          </w:p>
        </w:tc>
        <w:tc>
          <w:tcPr>
            <w:tcW w:w="842" w:type="pct"/>
            <w:tcBorders>
              <w:tl2br w:val="nil"/>
              <w:tr2bl w:val="nil"/>
            </w:tcBorders>
            <w:noWrap w:val="0"/>
            <w:vAlign w:val="center"/>
          </w:tcPr>
          <w:p w14:paraId="08E940D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风速</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m/s</w:t>
            </w:r>
            <w:r>
              <w:rPr>
                <w:rFonts w:hint="default" w:ascii="Times New Roman" w:hAnsi="Times New Roman" w:eastAsia="宋体" w:cs="Times New Roman"/>
                <w:b/>
                <w:bCs/>
                <w:color w:val="auto"/>
                <w:sz w:val="21"/>
                <w:szCs w:val="21"/>
                <w:highlight w:val="none"/>
                <w:lang w:eastAsia="zh-CN"/>
              </w:rPr>
              <w:t>）</w:t>
            </w:r>
          </w:p>
        </w:tc>
      </w:tr>
      <w:tr w14:paraId="28B271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627" w:type="pct"/>
            <w:vMerge w:val="restart"/>
            <w:tcBorders>
              <w:tl2br w:val="nil"/>
              <w:tr2bl w:val="nil"/>
            </w:tcBorders>
            <w:noWrap w:val="0"/>
            <w:vAlign w:val="center"/>
          </w:tcPr>
          <w:p w14:paraId="556B1E2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highlight w:val="none"/>
                <w:lang w:val="en-US" w:eastAsia="zh-CN"/>
              </w:rPr>
            </w:pPr>
            <w:bookmarkStart w:id="1266" w:name="OLE_LINK406"/>
            <w:r>
              <w:rPr>
                <w:rFonts w:hint="eastAsia" w:ascii="Times New Roman" w:hAnsi="Times New Roman" w:eastAsia="宋体" w:cs="Times New Roman"/>
                <w:b w:val="0"/>
                <w:bCs w:val="0"/>
                <w:color w:val="auto"/>
                <w:sz w:val="21"/>
                <w:szCs w:val="21"/>
                <w:highlight w:val="none"/>
                <w:lang w:val="en-US" w:eastAsia="zh-CN"/>
              </w:rPr>
              <w:t>2024.5.6</w:t>
            </w:r>
            <w:bookmarkEnd w:id="1266"/>
          </w:p>
        </w:tc>
        <w:tc>
          <w:tcPr>
            <w:tcW w:w="376" w:type="pct"/>
            <w:tcBorders>
              <w:tl2br w:val="nil"/>
              <w:tr2bl w:val="nil"/>
            </w:tcBorders>
            <w:noWrap w:val="0"/>
            <w:vAlign w:val="center"/>
          </w:tcPr>
          <w:p w14:paraId="10FA2EB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w:t>
            </w:r>
          </w:p>
        </w:tc>
        <w:tc>
          <w:tcPr>
            <w:tcW w:w="594" w:type="pct"/>
            <w:tcBorders>
              <w:tl2br w:val="nil"/>
              <w:tr2bl w:val="nil"/>
            </w:tcBorders>
            <w:noWrap w:val="0"/>
            <w:vAlign w:val="center"/>
          </w:tcPr>
          <w:p w14:paraId="395C0F2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b w:val="0"/>
                <w:bCs w:val="0"/>
                <w:color w:val="auto"/>
                <w:sz w:val="21"/>
                <w:szCs w:val="21"/>
                <w:highlight w:val="none"/>
                <w:lang w:val="en-US" w:eastAsia="zh-CN"/>
              </w:rPr>
            </w:pPr>
            <w:bookmarkStart w:id="1267" w:name="OLE_LINK407"/>
            <w:r>
              <w:rPr>
                <w:rFonts w:hint="eastAsia" w:ascii="Times New Roman" w:hAnsi="Times New Roman" w:eastAsia="宋体" w:cs="Times New Roman"/>
                <w:b w:val="0"/>
                <w:bCs w:val="0"/>
                <w:color w:val="auto"/>
                <w:sz w:val="21"/>
                <w:szCs w:val="21"/>
                <w:highlight w:val="none"/>
                <w:lang w:val="en-US" w:eastAsia="zh-CN"/>
              </w:rPr>
              <w:t>东南</w:t>
            </w:r>
            <w:bookmarkEnd w:id="1267"/>
          </w:p>
        </w:tc>
        <w:tc>
          <w:tcPr>
            <w:tcW w:w="759" w:type="pct"/>
            <w:tcBorders>
              <w:tl2br w:val="nil"/>
              <w:tr2bl w:val="nil"/>
            </w:tcBorders>
            <w:noWrap w:val="0"/>
            <w:vAlign w:val="center"/>
          </w:tcPr>
          <w:p w14:paraId="53A602A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296.7</w:t>
            </w:r>
          </w:p>
        </w:tc>
        <w:tc>
          <w:tcPr>
            <w:tcW w:w="821" w:type="pct"/>
            <w:tcBorders>
              <w:tl2br w:val="nil"/>
              <w:tr2bl w:val="nil"/>
            </w:tcBorders>
            <w:noWrap w:val="0"/>
            <w:vAlign w:val="center"/>
          </w:tcPr>
          <w:p w14:paraId="4615936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100.5</w:t>
            </w:r>
          </w:p>
        </w:tc>
        <w:tc>
          <w:tcPr>
            <w:tcW w:w="977" w:type="pct"/>
            <w:tcBorders>
              <w:tl2br w:val="nil"/>
              <w:tr2bl w:val="nil"/>
            </w:tcBorders>
            <w:noWrap w:val="0"/>
            <w:vAlign w:val="center"/>
          </w:tcPr>
          <w:p w14:paraId="07DF800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57</w:t>
            </w:r>
          </w:p>
        </w:tc>
        <w:tc>
          <w:tcPr>
            <w:tcW w:w="842" w:type="pct"/>
            <w:tcBorders>
              <w:tl2br w:val="nil"/>
              <w:tr2bl w:val="nil"/>
            </w:tcBorders>
            <w:noWrap w:val="0"/>
            <w:vAlign w:val="center"/>
          </w:tcPr>
          <w:p w14:paraId="3BA50B5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2.7</w:t>
            </w:r>
          </w:p>
        </w:tc>
      </w:tr>
      <w:tr w14:paraId="3E35FE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627" w:type="pct"/>
            <w:vMerge w:val="continue"/>
            <w:tcBorders>
              <w:tl2br w:val="nil"/>
              <w:tr2bl w:val="nil"/>
            </w:tcBorders>
            <w:noWrap w:val="0"/>
            <w:vAlign w:val="center"/>
          </w:tcPr>
          <w:p w14:paraId="64829AD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highlight w:val="none"/>
                <w:lang w:eastAsia="zh-CN"/>
              </w:rPr>
            </w:pPr>
          </w:p>
        </w:tc>
        <w:tc>
          <w:tcPr>
            <w:tcW w:w="376" w:type="pct"/>
            <w:tcBorders>
              <w:tl2br w:val="nil"/>
              <w:tr2bl w:val="nil"/>
            </w:tcBorders>
            <w:noWrap w:val="0"/>
            <w:vAlign w:val="center"/>
          </w:tcPr>
          <w:p w14:paraId="7CC0E79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w:t>
            </w:r>
          </w:p>
        </w:tc>
        <w:tc>
          <w:tcPr>
            <w:tcW w:w="594" w:type="pct"/>
            <w:tcBorders>
              <w:tl2br w:val="nil"/>
              <w:tr2bl w:val="nil"/>
            </w:tcBorders>
            <w:noWrap w:val="0"/>
            <w:vAlign w:val="center"/>
          </w:tcPr>
          <w:p w14:paraId="3254C78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2DF6C1F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294.1</w:t>
            </w:r>
          </w:p>
        </w:tc>
        <w:tc>
          <w:tcPr>
            <w:tcW w:w="821" w:type="pct"/>
            <w:tcBorders>
              <w:tl2br w:val="nil"/>
              <w:tr2bl w:val="nil"/>
            </w:tcBorders>
            <w:noWrap w:val="0"/>
            <w:vAlign w:val="center"/>
          </w:tcPr>
          <w:p w14:paraId="31F8F50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100.7</w:t>
            </w:r>
          </w:p>
        </w:tc>
        <w:tc>
          <w:tcPr>
            <w:tcW w:w="977" w:type="pct"/>
            <w:tcBorders>
              <w:tl2br w:val="nil"/>
              <w:tr2bl w:val="nil"/>
            </w:tcBorders>
            <w:noWrap w:val="0"/>
            <w:vAlign w:val="center"/>
          </w:tcPr>
          <w:p w14:paraId="54C9918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55</w:t>
            </w:r>
          </w:p>
        </w:tc>
        <w:tc>
          <w:tcPr>
            <w:tcW w:w="842" w:type="pct"/>
            <w:tcBorders>
              <w:tl2br w:val="nil"/>
              <w:tr2bl w:val="nil"/>
            </w:tcBorders>
            <w:noWrap w:val="0"/>
            <w:vAlign w:val="center"/>
          </w:tcPr>
          <w:p w14:paraId="146A15D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2.1</w:t>
            </w:r>
          </w:p>
        </w:tc>
      </w:tr>
      <w:tr w14:paraId="0F93FA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restart"/>
            <w:tcBorders>
              <w:tl2br w:val="nil"/>
              <w:tr2bl w:val="nil"/>
            </w:tcBorders>
            <w:noWrap w:val="0"/>
            <w:vAlign w:val="center"/>
          </w:tcPr>
          <w:p w14:paraId="4F0D2FB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2024.5.7</w:t>
            </w:r>
          </w:p>
        </w:tc>
        <w:tc>
          <w:tcPr>
            <w:tcW w:w="376" w:type="pct"/>
            <w:tcBorders>
              <w:tl2br w:val="nil"/>
              <w:tr2bl w:val="nil"/>
            </w:tcBorders>
            <w:noWrap w:val="0"/>
            <w:vAlign w:val="center"/>
          </w:tcPr>
          <w:p w14:paraId="496141A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594" w:type="pct"/>
            <w:tcBorders>
              <w:tl2br w:val="nil"/>
              <w:tr2bl w:val="nil"/>
            </w:tcBorders>
            <w:noWrap w:val="0"/>
            <w:vAlign w:val="center"/>
          </w:tcPr>
          <w:p w14:paraId="122B206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3FBD681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290.2</w:t>
            </w:r>
          </w:p>
        </w:tc>
        <w:tc>
          <w:tcPr>
            <w:tcW w:w="821" w:type="pct"/>
            <w:tcBorders>
              <w:tl2br w:val="nil"/>
              <w:tr2bl w:val="nil"/>
            </w:tcBorders>
            <w:noWrap w:val="0"/>
            <w:vAlign w:val="center"/>
          </w:tcPr>
          <w:p w14:paraId="55A7D3A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101.1</w:t>
            </w:r>
          </w:p>
        </w:tc>
        <w:tc>
          <w:tcPr>
            <w:tcW w:w="977" w:type="pct"/>
            <w:tcBorders>
              <w:tl2br w:val="nil"/>
              <w:tr2bl w:val="nil"/>
            </w:tcBorders>
            <w:noWrap w:val="0"/>
            <w:vAlign w:val="center"/>
          </w:tcPr>
          <w:p w14:paraId="3A5926E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54</w:t>
            </w:r>
          </w:p>
        </w:tc>
        <w:tc>
          <w:tcPr>
            <w:tcW w:w="842" w:type="pct"/>
            <w:tcBorders>
              <w:tl2br w:val="nil"/>
              <w:tr2bl w:val="nil"/>
            </w:tcBorders>
            <w:noWrap w:val="0"/>
            <w:vAlign w:val="center"/>
          </w:tcPr>
          <w:p w14:paraId="57B932D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w:t>
            </w:r>
          </w:p>
        </w:tc>
      </w:tr>
      <w:tr w14:paraId="2843FD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6" w:hRule="atLeast"/>
          <w:jc w:val="center"/>
        </w:trPr>
        <w:tc>
          <w:tcPr>
            <w:tcW w:w="627" w:type="pct"/>
            <w:vMerge w:val="continue"/>
            <w:tcBorders>
              <w:tl2br w:val="nil"/>
              <w:tr2bl w:val="nil"/>
            </w:tcBorders>
            <w:noWrap w:val="0"/>
            <w:vAlign w:val="center"/>
          </w:tcPr>
          <w:p w14:paraId="2C5478C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tcBorders>
              <w:tl2br w:val="nil"/>
              <w:tr2bl w:val="nil"/>
            </w:tcBorders>
            <w:noWrap w:val="0"/>
            <w:vAlign w:val="center"/>
          </w:tcPr>
          <w:p w14:paraId="1045024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594" w:type="pct"/>
            <w:tcBorders>
              <w:tl2br w:val="nil"/>
              <w:tr2bl w:val="nil"/>
            </w:tcBorders>
            <w:noWrap w:val="0"/>
            <w:vAlign w:val="center"/>
          </w:tcPr>
          <w:p w14:paraId="4AD2020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5C3C788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292.6</w:t>
            </w:r>
          </w:p>
        </w:tc>
        <w:tc>
          <w:tcPr>
            <w:tcW w:w="821" w:type="pct"/>
            <w:tcBorders>
              <w:tl2br w:val="nil"/>
              <w:tr2bl w:val="nil"/>
            </w:tcBorders>
            <w:noWrap w:val="0"/>
            <w:vAlign w:val="center"/>
          </w:tcPr>
          <w:p w14:paraId="310E870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100.9</w:t>
            </w:r>
          </w:p>
        </w:tc>
        <w:tc>
          <w:tcPr>
            <w:tcW w:w="977" w:type="pct"/>
            <w:tcBorders>
              <w:tl2br w:val="nil"/>
              <w:tr2bl w:val="nil"/>
            </w:tcBorders>
            <w:noWrap w:val="0"/>
            <w:vAlign w:val="center"/>
          </w:tcPr>
          <w:p w14:paraId="61A4C85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57</w:t>
            </w:r>
          </w:p>
        </w:tc>
        <w:tc>
          <w:tcPr>
            <w:tcW w:w="842" w:type="pct"/>
            <w:tcBorders>
              <w:tl2br w:val="nil"/>
              <w:tr2bl w:val="nil"/>
            </w:tcBorders>
            <w:noWrap w:val="0"/>
            <w:vAlign w:val="center"/>
          </w:tcPr>
          <w:p w14:paraId="6B81A37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w:t>
            </w:r>
          </w:p>
        </w:tc>
      </w:tr>
      <w:tr w14:paraId="2FF7E6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tcBorders>
              <w:tl2br w:val="nil"/>
              <w:tr2bl w:val="nil"/>
            </w:tcBorders>
            <w:noWrap w:val="0"/>
            <w:vAlign w:val="center"/>
          </w:tcPr>
          <w:p w14:paraId="3AF00A7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tcBorders>
              <w:tl2br w:val="nil"/>
              <w:tr2bl w:val="nil"/>
            </w:tcBorders>
            <w:noWrap w:val="0"/>
            <w:vAlign w:val="center"/>
          </w:tcPr>
          <w:p w14:paraId="1D0F338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594" w:type="pct"/>
            <w:tcBorders>
              <w:tl2br w:val="nil"/>
              <w:tr2bl w:val="nil"/>
            </w:tcBorders>
            <w:noWrap w:val="0"/>
            <w:vAlign w:val="center"/>
          </w:tcPr>
          <w:p w14:paraId="6D69863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463B04F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295.4</w:t>
            </w:r>
          </w:p>
        </w:tc>
        <w:tc>
          <w:tcPr>
            <w:tcW w:w="821" w:type="pct"/>
            <w:tcBorders>
              <w:tl2br w:val="nil"/>
              <w:tr2bl w:val="nil"/>
            </w:tcBorders>
            <w:noWrap w:val="0"/>
            <w:vAlign w:val="center"/>
          </w:tcPr>
          <w:p w14:paraId="5595861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100.6</w:t>
            </w:r>
          </w:p>
        </w:tc>
        <w:tc>
          <w:tcPr>
            <w:tcW w:w="977" w:type="pct"/>
            <w:tcBorders>
              <w:tl2br w:val="nil"/>
              <w:tr2bl w:val="nil"/>
            </w:tcBorders>
            <w:noWrap w:val="0"/>
            <w:vAlign w:val="center"/>
          </w:tcPr>
          <w:p w14:paraId="3CB723D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842" w:type="pct"/>
            <w:tcBorders>
              <w:tl2br w:val="nil"/>
              <w:tr2bl w:val="nil"/>
            </w:tcBorders>
            <w:noWrap w:val="0"/>
            <w:vAlign w:val="center"/>
          </w:tcPr>
          <w:p w14:paraId="420A1B6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w:t>
            </w:r>
          </w:p>
        </w:tc>
      </w:tr>
      <w:tr w14:paraId="5BCE48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tcBorders>
              <w:tl2br w:val="nil"/>
              <w:tr2bl w:val="nil"/>
            </w:tcBorders>
            <w:noWrap w:val="0"/>
            <w:vAlign w:val="center"/>
          </w:tcPr>
          <w:p w14:paraId="5E9ACB9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tcBorders>
              <w:tl2br w:val="nil"/>
              <w:tr2bl w:val="nil"/>
            </w:tcBorders>
            <w:noWrap w:val="0"/>
            <w:vAlign w:val="center"/>
          </w:tcPr>
          <w:p w14:paraId="27AF4A0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p>
        </w:tc>
        <w:tc>
          <w:tcPr>
            <w:tcW w:w="594" w:type="pct"/>
            <w:tcBorders>
              <w:tl2br w:val="nil"/>
              <w:tr2bl w:val="nil"/>
            </w:tcBorders>
            <w:noWrap w:val="0"/>
            <w:vAlign w:val="center"/>
          </w:tcPr>
          <w:p w14:paraId="2CEF921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6D0FCDC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293.4</w:t>
            </w:r>
          </w:p>
        </w:tc>
        <w:tc>
          <w:tcPr>
            <w:tcW w:w="821" w:type="pct"/>
            <w:tcBorders>
              <w:tl2br w:val="nil"/>
              <w:tr2bl w:val="nil"/>
            </w:tcBorders>
            <w:noWrap w:val="0"/>
            <w:vAlign w:val="center"/>
          </w:tcPr>
          <w:p w14:paraId="7D85475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100.8</w:t>
            </w:r>
          </w:p>
        </w:tc>
        <w:tc>
          <w:tcPr>
            <w:tcW w:w="977" w:type="pct"/>
            <w:tcBorders>
              <w:tl2br w:val="nil"/>
              <w:tr2bl w:val="nil"/>
            </w:tcBorders>
            <w:noWrap w:val="0"/>
            <w:vAlign w:val="center"/>
          </w:tcPr>
          <w:p w14:paraId="2DB4EA0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58</w:t>
            </w:r>
          </w:p>
        </w:tc>
        <w:tc>
          <w:tcPr>
            <w:tcW w:w="842" w:type="pct"/>
            <w:tcBorders>
              <w:tl2br w:val="nil"/>
              <w:tr2bl w:val="nil"/>
            </w:tcBorders>
            <w:noWrap w:val="0"/>
            <w:vAlign w:val="center"/>
          </w:tcPr>
          <w:p w14:paraId="7178035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w:t>
            </w:r>
          </w:p>
        </w:tc>
      </w:tr>
      <w:tr w14:paraId="5B6966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restart"/>
            <w:tcBorders>
              <w:tl2br w:val="nil"/>
              <w:tr2bl w:val="nil"/>
            </w:tcBorders>
            <w:noWrap w:val="0"/>
            <w:vAlign w:val="center"/>
          </w:tcPr>
          <w:p w14:paraId="5BB3F12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2024.5.8</w:t>
            </w:r>
          </w:p>
        </w:tc>
        <w:tc>
          <w:tcPr>
            <w:tcW w:w="376" w:type="pct"/>
            <w:tcBorders>
              <w:tl2br w:val="nil"/>
              <w:tr2bl w:val="nil"/>
            </w:tcBorders>
            <w:noWrap w:val="0"/>
            <w:vAlign w:val="center"/>
          </w:tcPr>
          <w:p w14:paraId="720A266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w:t>
            </w:r>
          </w:p>
        </w:tc>
        <w:tc>
          <w:tcPr>
            <w:tcW w:w="594" w:type="pct"/>
            <w:tcBorders>
              <w:tl2br w:val="nil"/>
              <w:tr2bl w:val="nil"/>
            </w:tcBorders>
            <w:noWrap w:val="0"/>
            <w:vAlign w:val="center"/>
          </w:tcPr>
          <w:p w14:paraId="58B1BC9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7A827C8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289.8</w:t>
            </w:r>
          </w:p>
        </w:tc>
        <w:tc>
          <w:tcPr>
            <w:tcW w:w="821" w:type="pct"/>
            <w:tcBorders>
              <w:tl2br w:val="nil"/>
              <w:tr2bl w:val="nil"/>
            </w:tcBorders>
            <w:noWrap w:val="0"/>
            <w:vAlign w:val="center"/>
          </w:tcPr>
          <w:p w14:paraId="066B04A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101.2</w:t>
            </w:r>
          </w:p>
        </w:tc>
        <w:tc>
          <w:tcPr>
            <w:tcW w:w="977" w:type="pct"/>
            <w:tcBorders>
              <w:tl2br w:val="nil"/>
              <w:tr2bl w:val="nil"/>
            </w:tcBorders>
            <w:noWrap w:val="0"/>
            <w:vAlign w:val="center"/>
          </w:tcPr>
          <w:p w14:paraId="5312688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57</w:t>
            </w:r>
          </w:p>
        </w:tc>
        <w:tc>
          <w:tcPr>
            <w:tcW w:w="842" w:type="pct"/>
            <w:tcBorders>
              <w:tl2br w:val="nil"/>
              <w:tr2bl w:val="nil"/>
            </w:tcBorders>
            <w:noWrap w:val="0"/>
            <w:vAlign w:val="center"/>
          </w:tcPr>
          <w:p w14:paraId="79BC859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r>
      <w:tr w14:paraId="5613F1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tcBorders>
              <w:tl2br w:val="nil"/>
              <w:tr2bl w:val="nil"/>
            </w:tcBorders>
            <w:noWrap w:val="0"/>
            <w:vAlign w:val="center"/>
          </w:tcPr>
          <w:p w14:paraId="16F5DFB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tcBorders>
              <w:tl2br w:val="nil"/>
              <w:tr2bl w:val="nil"/>
            </w:tcBorders>
            <w:noWrap w:val="0"/>
            <w:vAlign w:val="center"/>
          </w:tcPr>
          <w:p w14:paraId="27B3FF2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c>
          <w:tcPr>
            <w:tcW w:w="594" w:type="pct"/>
            <w:tcBorders>
              <w:tl2br w:val="nil"/>
              <w:tr2bl w:val="nil"/>
            </w:tcBorders>
            <w:noWrap w:val="0"/>
            <w:vAlign w:val="center"/>
          </w:tcPr>
          <w:p w14:paraId="5419310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7D32FE8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293.1</w:t>
            </w:r>
          </w:p>
        </w:tc>
        <w:tc>
          <w:tcPr>
            <w:tcW w:w="821" w:type="pct"/>
            <w:tcBorders>
              <w:tl2br w:val="nil"/>
              <w:tr2bl w:val="nil"/>
            </w:tcBorders>
            <w:noWrap w:val="0"/>
            <w:vAlign w:val="center"/>
          </w:tcPr>
          <w:p w14:paraId="1AD339C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100.8</w:t>
            </w:r>
          </w:p>
        </w:tc>
        <w:tc>
          <w:tcPr>
            <w:tcW w:w="977" w:type="pct"/>
            <w:tcBorders>
              <w:tl2br w:val="nil"/>
              <w:tr2bl w:val="nil"/>
            </w:tcBorders>
            <w:noWrap w:val="0"/>
            <w:vAlign w:val="center"/>
          </w:tcPr>
          <w:p w14:paraId="26F16AB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58</w:t>
            </w:r>
          </w:p>
        </w:tc>
        <w:tc>
          <w:tcPr>
            <w:tcW w:w="842" w:type="pct"/>
            <w:tcBorders>
              <w:tl2br w:val="nil"/>
              <w:tr2bl w:val="nil"/>
            </w:tcBorders>
            <w:noWrap w:val="0"/>
            <w:vAlign w:val="center"/>
          </w:tcPr>
          <w:p w14:paraId="235446A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r>
      <w:tr w14:paraId="0D51B5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tcBorders>
              <w:tl2br w:val="nil"/>
              <w:tr2bl w:val="nil"/>
            </w:tcBorders>
            <w:noWrap w:val="0"/>
            <w:vAlign w:val="center"/>
          </w:tcPr>
          <w:p w14:paraId="1EADACE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tcBorders>
              <w:tl2br w:val="nil"/>
              <w:tr2bl w:val="nil"/>
            </w:tcBorders>
            <w:noWrap w:val="0"/>
            <w:vAlign w:val="center"/>
          </w:tcPr>
          <w:p w14:paraId="717ED9B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w:t>
            </w:r>
          </w:p>
        </w:tc>
        <w:tc>
          <w:tcPr>
            <w:tcW w:w="594" w:type="pct"/>
            <w:tcBorders>
              <w:tl2br w:val="nil"/>
              <w:tr2bl w:val="nil"/>
            </w:tcBorders>
            <w:noWrap w:val="0"/>
            <w:vAlign w:val="center"/>
          </w:tcPr>
          <w:p w14:paraId="3A42632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4E20804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296.4</w:t>
            </w:r>
          </w:p>
        </w:tc>
        <w:tc>
          <w:tcPr>
            <w:tcW w:w="821" w:type="pct"/>
            <w:tcBorders>
              <w:tl2br w:val="nil"/>
              <w:tr2bl w:val="nil"/>
            </w:tcBorders>
            <w:noWrap w:val="0"/>
            <w:vAlign w:val="center"/>
          </w:tcPr>
          <w:p w14:paraId="7018D65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100.5</w:t>
            </w:r>
          </w:p>
        </w:tc>
        <w:tc>
          <w:tcPr>
            <w:tcW w:w="977" w:type="pct"/>
            <w:tcBorders>
              <w:tl2br w:val="nil"/>
              <w:tr2bl w:val="nil"/>
            </w:tcBorders>
            <w:noWrap w:val="0"/>
            <w:vAlign w:val="center"/>
          </w:tcPr>
          <w:p w14:paraId="0BB4733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w:t>
            </w:r>
          </w:p>
        </w:tc>
        <w:tc>
          <w:tcPr>
            <w:tcW w:w="842" w:type="pct"/>
            <w:tcBorders>
              <w:tl2br w:val="nil"/>
              <w:tr2bl w:val="nil"/>
            </w:tcBorders>
            <w:noWrap w:val="0"/>
            <w:vAlign w:val="center"/>
          </w:tcPr>
          <w:p w14:paraId="13BB4BB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w:t>
            </w:r>
          </w:p>
        </w:tc>
      </w:tr>
      <w:tr w14:paraId="5F8000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tcBorders>
              <w:tl2br w:val="nil"/>
              <w:tr2bl w:val="nil"/>
            </w:tcBorders>
            <w:noWrap w:val="0"/>
            <w:vAlign w:val="center"/>
          </w:tcPr>
          <w:p w14:paraId="69D5F18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tcBorders>
              <w:tl2br w:val="nil"/>
              <w:tr2bl w:val="nil"/>
            </w:tcBorders>
            <w:noWrap w:val="0"/>
            <w:vAlign w:val="center"/>
          </w:tcPr>
          <w:p w14:paraId="53B0D92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94" w:type="pct"/>
            <w:tcBorders>
              <w:tl2br w:val="nil"/>
              <w:tr2bl w:val="nil"/>
            </w:tcBorders>
            <w:noWrap w:val="0"/>
            <w:vAlign w:val="center"/>
          </w:tcPr>
          <w:p w14:paraId="2B5A6A3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5A70FD6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294.2</w:t>
            </w:r>
          </w:p>
        </w:tc>
        <w:tc>
          <w:tcPr>
            <w:tcW w:w="821" w:type="pct"/>
            <w:tcBorders>
              <w:tl2br w:val="nil"/>
              <w:tr2bl w:val="nil"/>
            </w:tcBorders>
            <w:noWrap w:val="0"/>
            <w:vAlign w:val="center"/>
          </w:tcPr>
          <w:p w14:paraId="24A27CD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100.7</w:t>
            </w:r>
          </w:p>
        </w:tc>
        <w:tc>
          <w:tcPr>
            <w:tcW w:w="977" w:type="pct"/>
            <w:tcBorders>
              <w:tl2br w:val="nil"/>
              <w:tr2bl w:val="nil"/>
            </w:tcBorders>
            <w:noWrap w:val="0"/>
            <w:vAlign w:val="center"/>
          </w:tcPr>
          <w:p w14:paraId="0AC9A99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842" w:type="pct"/>
            <w:tcBorders>
              <w:tl2br w:val="nil"/>
              <w:tr2bl w:val="nil"/>
            </w:tcBorders>
            <w:noWrap w:val="0"/>
            <w:vAlign w:val="center"/>
          </w:tcPr>
          <w:p w14:paraId="7177D68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w:t>
            </w:r>
          </w:p>
        </w:tc>
      </w:tr>
      <w:tr w14:paraId="3D0B88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restart"/>
            <w:tcBorders>
              <w:tl2br w:val="nil"/>
              <w:tr2bl w:val="nil"/>
            </w:tcBorders>
            <w:noWrap w:val="0"/>
            <w:vAlign w:val="center"/>
          </w:tcPr>
          <w:p w14:paraId="2A050CE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2024.5.9</w:t>
            </w:r>
          </w:p>
        </w:tc>
        <w:tc>
          <w:tcPr>
            <w:tcW w:w="376" w:type="pct"/>
            <w:tcBorders>
              <w:tl2br w:val="nil"/>
              <w:tr2bl w:val="nil"/>
            </w:tcBorders>
            <w:noWrap w:val="0"/>
            <w:vAlign w:val="center"/>
          </w:tcPr>
          <w:p w14:paraId="0203ED7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p>
        </w:tc>
        <w:tc>
          <w:tcPr>
            <w:tcW w:w="594" w:type="pct"/>
            <w:tcBorders>
              <w:tl2br w:val="nil"/>
              <w:tr2bl w:val="nil"/>
            </w:tcBorders>
            <w:noWrap w:val="0"/>
            <w:vAlign w:val="center"/>
          </w:tcPr>
          <w:p w14:paraId="313AE1D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39B1309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291.5</w:t>
            </w:r>
          </w:p>
        </w:tc>
        <w:tc>
          <w:tcPr>
            <w:tcW w:w="821" w:type="pct"/>
            <w:tcBorders>
              <w:tl2br w:val="nil"/>
              <w:tr2bl w:val="nil"/>
            </w:tcBorders>
            <w:noWrap w:val="0"/>
            <w:vAlign w:val="center"/>
          </w:tcPr>
          <w:p w14:paraId="34D7AA0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101.0</w:t>
            </w:r>
          </w:p>
        </w:tc>
        <w:tc>
          <w:tcPr>
            <w:tcW w:w="977" w:type="pct"/>
            <w:tcBorders>
              <w:tl2br w:val="nil"/>
              <w:tr2bl w:val="nil"/>
            </w:tcBorders>
            <w:noWrap w:val="0"/>
            <w:vAlign w:val="center"/>
          </w:tcPr>
          <w:p w14:paraId="3356CE2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57</w:t>
            </w:r>
          </w:p>
        </w:tc>
        <w:tc>
          <w:tcPr>
            <w:tcW w:w="842" w:type="pct"/>
            <w:tcBorders>
              <w:tl2br w:val="nil"/>
              <w:tr2bl w:val="nil"/>
            </w:tcBorders>
            <w:noWrap w:val="0"/>
            <w:vAlign w:val="center"/>
          </w:tcPr>
          <w:p w14:paraId="4EB163A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w:t>
            </w:r>
          </w:p>
        </w:tc>
      </w:tr>
      <w:tr w14:paraId="1FD3F2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tcBorders>
              <w:tl2br w:val="nil"/>
              <w:tr2bl w:val="nil"/>
            </w:tcBorders>
            <w:noWrap w:val="0"/>
            <w:vAlign w:val="center"/>
          </w:tcPr>
          <w:p w14:paraId="4F560FF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tcBorders>
              <w:tl2br w:val="nil"/>
              <w:tr2bl w:val="nil"/>
            </w:tcBorders>
            <w:noWrap w:val="0"/>
            <w:vAlign w:val="center"/>
          </w:tcPr>
          <w:p w14:paraId="182DF32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594" w:type="pct"/>
            <w:tcBorders>
              <w:tl2br w:val="nil"/>
              <w:tr2bl w:val="nil"/>
            </w:tcBorders>
            <w:noWrap w:val="0"/>
            <w:vAlign w:val="center"/>
          </w:tcPr>
          <w:p w14:paraId="5FBE632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68CA8D0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294.3</w:t>
            </w:r>
          </w:p>
        </w:tc>
        <w:tc>
          <w:tcPr>
            <w:tcW w:w="821" w:type="pct"/>
            <w:tcBorders>
              <w:tl2br w:val="nil"/>
              <w:tr2bl w:val="nil"/>
            </w:tcBorders>
            <w:noWrap w:val="0"/>
            <w:vAlign w:val="center"/>
          </w:tcPr>
          <w:p w14:paraId="6D8E9E9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100.7</w:t>
            </w:r>
          </w:p>
        </w:tc>
        <w:tc>
          <w:tcPr>
            <w:tcW w:w="977" w:type="pct"/>
            <w:tcBorders>
              <w:tl2br w:val="nil"/>
              <w:tr2bl w:val="nil"/>
            </w:tcBorders>
            <w:noWrap w:val="0"/>
            <w:vAlign w:val="center"/>
          </w:tcPr>
          <w:p w14:paraId="5937269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58</w:t>
            </w:r>
          </w:p>
        </w:tc>
        <w:tc>
          <w:tcPr>
            <w:tcW w:w="842" w:type="pct"/>
            <w:tcBorders>
              <w:tl2br w:val="nil"/>
              <w:tr2bl w:val="nil"/>
            </w:tcBorders>
            <w:noWrap w:val="0"/>
            <w:vAlign w:val="center"/>
          </w:tcPr>
          <w:p w14:paraId="590C14D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w:t>
            </w:r>
          </w:p>
        </w:tc>
      </w:tr>
      <w:tr w14:paraId="0A776B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tcBorders>
              <w:tl2br w:val="nil"/>
              <w:tr2bl w:val="nil"/>
            </w:tcBorders>
            <w:noWrap w:val="0"/>
            <w:vAlign w:val="center"/>
          </w:tcPr>
          <w:p w14:paraId="1EBABAF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tcBorders>
              <w:tl2br w:val="nil"/>
              <w:tr2bl w:val="nil"/>
            </w:tcBorders>
            <w:noWrap w:val="0"/>
            <w:vAlign w:val="center"/>
          </w:tcPr>
          <w:p w14:paraId="6183FE3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w:t>
            </w:r>
          </w:p>
        </w:tc>
        <w:tc>
          <w:tcPr>
            <w:tcW w:w="594" w:type="pct"/>
            <w:tcBorders>
              <w:tl2br w:val="nil"/>
              <w:tr2bl w:val="nil"/>
            </w:tcBorders>
            <w:noWrap w:val="0"/>
            <w:vAlign w:val="center"/>
          </w:tcPr>
          <w:p w14:paraId="08F694E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6263D5D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298.6</w:t>
            </w:r>
          </w:p>
        </w:tc>
        <w:tc>
          <w:tcPr>
            <w:tcW w:w="821" w:type="pct"/>
            <w:tcBorders>
              <w:tl2br w:val="nil"/>
              <w:tr2bl w:val="nil"/>
            </w:tcBorders>
            <w:noWrap w:val="0"/>
            <w:vAlign w:val="center"/>
          </w:tcPr>
          <w:p w14:paraId="430DE03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100.3</w:t>
            </w:r>
          </w:p>
        </w:tc>
        <w:tc>
          <w:tcPr>
            <w:tcW w:w="977" w:type="pct"/>
            <w:tcBorders>
              <w:tl2br w:val="nil"/>
              <w:tr2bl w:val="nil"/>
            </w:tcBorders>
            <w:noWrap w:val="0"/>
            <w:vAlign w:val="center"/>
          </w:tcPr>
          <w:p w14:paraId="02DEC29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65</w:t>
            </w:r>
          </w:p>
        </w:tc>
        <w:tc>
          <w:tcPr>
            <w:tcW w:w="842" w:type="pct"/>
            <w:tcBorders>
              <w:tl2br w:val="nil"/>
              <w:tr2bl w:val="nil"/>
            </w:tcBorders>
            <w:noWrap w:val="0"/>
            <w:vAlign w:val="center"/>
          </w:tcPr>
          <w:p w14:paraId="688E342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w:t>
            </w:r>
          </w:p>
        </w:tc>
      </w:tr>
      <w:tr w14:paraId="66B58D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tcBorders>
              <w:tl2br w:val="nil"/>
              <w:tr2bl w:val="nil"/>
            </w:tcBorders>
            <w:noWrap w:val="0"/>
            <w:vAlign w:val="center"/>
          </w:tcPr>
          <w:p w14:paraId="30FD272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tcBorders>
              <w:tl2br w:val="nil"/>
              <w:tr2bl w:val="nil"/>
            </w:tcBorders>
            <w:noWrap w:val="0"/>
            <w:vAlign w:val="center"/>
          </w:tcPr>
          <w:p w14:paraId="6FF17DB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w:t>
            </w:r>
          </w:p>
        </w:tc>
        <w:tc>
          <w:tcPr>
            <w:tcW w:w="594" w:type="pct"/>
            <w:tcBorders>
              <w:tl2br w:val="nil"/>
              <w:tr2bl w:val="nil"/>
            </w:tcBorders>
            <w:noWrap w:val="0"/>
            <w:vAlign w:val="center"/>
          </w:tcPr>
          <w:p w14:paraId="72E6CD1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54B1674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295.2</w:t>
            </w:r>
          </w:p>
        </w:tc>
        <w:tc>
          <w:tcPr>
            <w:tcW w:w="821" w:type="pct"/>
            <w:tcBorders>
              <w:tl2br w:val="nil"/>
              <w:tr2bl w:val="nil"/>
            </w:tcBorders>
            <w:noWrap w:val="0"/>
            <w:vAlign w:val="center"/>
          </w:tcPr>
          <w:p w14:paraId="3BF10FB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100.6</w:t>
            </w:r>
          </w:p>
        </w:tc>
        <w:tc>
          <w:tcPr>
            <w:tcW w:w="977" w:type="pct"/>
            <w:tcBorders>
              <w:tl2br w:val="nil"/>
              <w:tr2bl w:val="nil"/>
            </w:tcBorders>
            <w:noWrap w:val="0"/>
            <w:vAlign w:val="center"/>
          </w:tcPr>
          <w:p w14:paraId="2E7D6C6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w:t>
            </w:r>
          </w:p>
        </w:tc>
        <w:tc>
          <w:tcPr>
            <w:tcW w:w="842" w:type="pct"/>
            <w:tcBorders>
              <w:tl2br w:val="nil"/>
              <w:tr2bl w:val="nil"/>
            </w:tcBorders>
            <w:noWrap w:val="0"/>
            <w:vAlign w:val="center"/>
          </w:tcPr>
          <w:p w14:paraId="186FC4D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w:t>
            </w:r>
          </w:p>
        </w:tc>
      </w:tr>
      <w:tr w14:paraId="4B3CDC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restart"/>
            <w:tcBorders>
              <w:tl2br w:val="nil"/>
              <w:tr2bl w:val="nil"/>
            </w:tcBorders>
            <w:noWrap w:val="0"/>
            <w:vAlign w:val="center"/>
          </w:tcPr>
          <w:p w14:paraId="768E2D8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2024.5.10</w:t>
            </w:r>
          </w:p>
        </w:tc>
        <w:tc>
          <w:tcPr>
            <w:tcW w:w="376" w:type="pct"/>
            <w:tcBorders>
              <w:tl2br w:val="nil"/>
              <w:tr2bl w:val="nil"/>
            </w:tcBorders>
            <w:noWrap w:val="0"/>
            <w:vAlign w:val="center"/>
          </w:tcPr>
          <w:p w14:paraId="045580C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594" w:type="pct"/>
            <w:tcBorders>
              <w:tl2br w:val="nil"/>
              <w:tr2bl w:val="nil"/>
            </w:tcBorders>
            <w:noWrap w:val="0"/>
            <w:vAlign w:val="center"/>
          </w:tcPr>
          <w:p w14:paraId="6E69E06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0262072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292.4</w:t>
            </w:r>
          </w:p>
        </w:tc>
        <w:tc>
          <w:tcPr>
            <w:tcW w:w="821" w:type="pct"/>
            <w:tcBorders>
              <w:tl2br w:val="nil"/>
              <w:tr2bl w:val="nil"/>
            </w:tcBorders>
            <w:noWrap w:val="0"/>
            <w:vAlign w:val="center"/>
          </w:tcPr>
          <w:p w14:paraId="7B3D3C6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100.9</w:t>
            </w:r>
          </w:p>
        </w:tc>
        <w:tc>
          <w:tcPr>
            <w:tcW w:w="977" w:type="pct"/>
            <w:tcBorders>
              <w:tl2br w:val="nil"/>
              <w:tr2bl w:val="nil"/>
            </w:tcBorders>
            <w:noWrap w:val="0"/>
            <w:vAlign w:val="center"/>
          </w:tcPr>
          <w:p w14:paraId="0109000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58</w:t>
            </w:r>
          </w:p>
        </w:tc>
        <w:tc>
          <w:tcPr>
            <w:tcW w:w="842" w:type="pct"/>
            <w:tcBorders>
              <w:tl2br w:val="nil"/>
              <w:tr2bl w:val="nil"/>
            </w:tcBorders>
            <w:noWrap w:val="0"/>
            <w:vAlign w:val="center"/>
          </w:tcPr>
          <w:p w14:paraId="033DCA1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w:t>
            </w:r>
          </w:p>
        </w:tc>
      </w:tr>
      <w:tr w14:paraId="46A988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tcBorders>
              <w:tl2br w:val="nil"/>
              <w:tr2bl w:val="nil"/>
            </w:tcBorders>
            <w:noWrap w:val="0"/>
            <w:vAlign w:val="center"/>
          </w:tcPr>
          <w:p w14:paraId="75E0B40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tcBorders>
              <w:tl2br w:val="nil"/>
              <w:tr2bl w:val="nil"/>
            </w:tcBorders>
            <w:noWrap w:val="0"/>
            <w:vAlign w:val="center"/>
          </w:tcPr>
          <w:p w14:paraId="047C351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w:t>
            </w:r>
          </w:p>
        </w:tc>
        <w:tc>
          <w:tcPr>
            <w:tcW w:w="594" w:type="pct"/>
            <w:tcBorders>
              <w:tl2br w:val="nil"/>
              <w:tr2bl w:val="nil"/>
            </w:tcBorders>
            <w:noWrap w:val="0"/>
            <w:vAlign w:val="center"/>
          </w:tcPr>
          <w:p w14:paraId="0E0A437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5EABA76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295.4</w:t>
            </w:r>
          </w:p>
        </w:tc>
        <w:tc>
          <w:tcPr>
            <w:tcW w:w="821" w:type="pct"/>
            <w:tcBorders>
              <w:tl2br w:val="nil"/>
              <w:tr2bl w:val="nil"/>
            </w:tcBorders>
            <w:noWrap w:val="0"/>
            <w:vAlign w:val="center"/>
          </w:tcPr>
          <w:p w14:paraId="61367CF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100.6</w:t>
            </w:r>
          </w:p>
        </w:tc>
        <w:tc>
          <w:tcPr>
            <w:tcW w:w="977" w:type="pct"/>
            <w:tcBorders>
              <w:tl2br w:val="nil"/>
              <w:tr2bl w:val="nil"/>
            </w:tcBorders>
            <w:noWrap w:val="0"/>
            <w:vAlign w:val="center"/>
          </w:tcPr>
          <w:p w14:paraId="7339197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w:t>
            </w:r>
          </w:p>
        </w:tc>
        <w:tc>
          <w:tcPr>
            <w:tcW w:w="842" w:type="pct"/>
            <w:tcBorders>
              <w:tl2br w:val="nil"/>
              <w:tr2bl w:val="nil"/>
            </w:tcBorders>
            <w:noWrap w:val="0"/>
            <w:vAlign w:val="center"/>
          </w:tcPr>
          <w:p w14:paraId="36994A7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r>
      <w:tr w14:paraId="0841C1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tcBorders>
              <w:tl2br w:val="nil"/>
              <w:tr2bl w:val="nil"/>
            </w:tcBorders>
            <w:noWrap w:val="0"/>
            <w:vAlign w:val="center"/>
          </w:tcPr>
          <w:p w14:paraId="246AC6A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tcBorders>
              <w:tl2br w:val="nil"/>
              <w:tr2bl w:val="nil"/>
            </w:tcBorders>
            <w:noWrap w:val="0"/>
            <w:vAlign w:val="center"/>
          </w:tcPr>
          <w:p w14:paraId="0E7398A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w:t>
            </w:r>
          </w:p>
        </w:tc>
        <w:tc>
          <w:tcPr>
            <w:tcW w:w="594" w:type="pct"/>
            <w:tcBorders>
              <w:tl2br w:val="nil"/>
              <w:tr2bl w:val="nil"/>
            </w:tcBorders>
            <w:noWrap w:val="0"/>
            <w:vAlign w:val="center"/>
          </w:tcPr>
          <w:p w14:paraId="678BC6B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172DEF8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300.4</w:t>
            </w:r>
          </w:p>
        </w:tc>
        <w:tc>
          <w:tcPr>
            <w:tcW w:w="821" w:type="pct"/>
            <w:tcBorders>
              <w:tl2br w:val="nil"/>
              <w:tr2bl w:val="nil"/>
            </w:tcBorders>
            <w:noWrap w:val="0"/>
            <w:vAlign w:val="center"/>
          </w:tcPr>
          <w:p w14:paraId="10ADE28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100.1</w:t>
            </w:r>
          </w:p>
        </w:tc>
        <w:tc>
          <w:tcPr>
            <w:tcW w:w="977" w:type="pct"/>
            <w:tcBorders>
              <w:tl2br w:val="nil"/>
              <w:tr2bl w:val="nil"/>
            </w:tcBorders>
            <w:noWrap w:val="0"/>
            <w:vAlign w:val="center"/>
          </w:tcPr>
          <w:p w14:paraId="66FFF6F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w:t>
            </w:r>
          </w:p>
        </w:tc>
        <w:tc>
          <w:tcPr>
            <w:tcW w:w="842" w:type="pct"/>
            <w:tcBorders>
              <w:tl2br w:val="nil"/>
              <w:tr2bl w:val="nil"/>
            </w:tcBorders>
            <w:noWrap w:val="0"/>
            <w:vAlign w:val="center"/>
          </w:tcPr>
          <w:p w14:paraId="1FD7707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w:t>
            </w:r>
          </w:p>
        </w:tc>
      </w:tr>
      <w:tr w14:paraId="2BE982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tcBorders>
              <w:tl2br w:val="nil"/>
              <w:tr2bl w:val="nil"/>
            </w:tcBorders>
            <w:noWrap w:val="0"/>
            <w:vAlign w:val="center"/>
          </w:tcPr>
          <w:p w14:paraId="6BA6721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tcBorders>
              <w:tl2br w:val="nil"/>
              <w:tr2bl w:val="nil"/>
            </w:tcBorders>
            <w:noWrap w:val="0"/>
            <w:vAlign w:val="center"/>
          </w:tcPr>
          <w:p w14:paraId="76FA1B5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w:t>
            </w:r>
          </w:p>
        </w:tc>
        <w:tc>
          <w:tcPr>
            <w:tcW w:w="594" w:type="pct"/>
            <w:tcBorders>
              <w:tl2br w:val="nil"/>
              <w:tr2bl w:val="nil"/>
            </w:tcBorders>
            <w:noWrap w:val="0"/>
            <w:vAlign w:val="center"/>
          </w:tcPr>
          <w:p w14:paraId="5395DE9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noWrap w:val="0"/>
            <w:vAlign w:val="center"/>
          </w:tcPr>
          <w:p w14:paraId="64918A6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296.7</w:t>
            </w:r>
          </w:p>
        </w:tc>
        <w:tc>
          <w:tcPr>
            <w:tcW w:w="821" w:type="pct"/>
            <w:tcBorders>
              <w:tl2br w:val="nil"/>
              <w:tr2bl w:val="nil"/>
            </w:tcBorders>
            <w:noWrap w:val="0"/>
            <w:vAlign w:val="center"/>
          </w:tcPr>
          <w:p w14:paraId="7AAC418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100.5</w:t>
            </w:r>
          </w:p>
        </w:tc>
        <w:tc>
          <w:tcPr>
            <w:tcW w:w="977" w:type="pct"/>
            <w:tcBorders>
              <w:tl2br w:val="nil"/>
              <w:tr2bl w:val="nil"/>
            </w:tcBorders>
            <w:noWrap w:val="0"/>
            <w:vAlign w:val="center"/>
          </w:tcPr>
          <w:p w14:paraId="34E3274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57</w:t>
            </w:r>
          </w:p>
        </w:tc>
        <w:tc>
          <w:tcPr>
            <w:tcW w:w="842" w:type="pct"/>
            <w:tcBorders>
              <w:tl2br w:val="nil"/>
              <w:tr2bl w:val="nil"/>
            </w:tcBorders>
            <w:noWrap w:val="0"/>
            <w:vAlign w:val="center"/>
          </w:tcPr>
          <w:p w14:paraId="5C3E105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r>
      <w:tr w14:paraId="59CC1E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restart"/>
            <w:tcBorders>
              <w:tl2br w:val="nil"/>
              <w:tr2bl w:val="nil"/>
            </w:tcBorders>
            <w:shd w:val="clear" w:color="auto" w:fill="auto"/>
            <w:noWrap w:val="0"/>
            <w:vAlign w:val="center"/>
          </w:tcPr>
          <w:p w14:paraId="24C405E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2024.5.11</w:t>
            </w:r>
          </w:p>
        </w:tc>
        <w:tc>
          <w:tcPr>
            <w:tcW w:w="376" w:type="pct"/>
            <w:tcBorders>
              <w:tl2br w:val="nil"/>
              <w:tr2bl w:val="nil"/>
            </w:tcBorders>
            <w:shd w:val="clear" w:color="auto" w:fill="auto"/>
            <w:noWrap w:val="0"/>
            <w:vAlign w:val="center"/>
          </w:tcPr>
          <w:p w14:paraId="0730F3B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w:t>
            </w:r>
          </w:p>
        </w:tc>
        <w:tc>
          <w:tcPr>
            <w:tcW w:w="594" w:type="pct"/>
            <w:tcBorders>
              <w:tl2br w:val="nil"/>
              <w:tr2bl w:val="nil"/>
            </w:tcBorders>
            <w:shd w:val="clear" w:color="auto" w:fill="auto"/>
            <w:noWrap w:val="0"/>
            <w:vAlign w:val="center"/>
          </w:tcPr>
          <w:p w14:paraId="44A8473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tcBorders>
              <w:tl2br w:val="nil"/>
              <w:tr2bl w:val="nil"/>
            </w:tcBorders>
            <w:shd w:val="clear" w:color="auto" w:fill="auto"/>
            <w:noWrap w:val="0"/>
            <w:vAlign w:val="center"/>
          </w:tcPr>
          <w:p w14:paraId="19E42BB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293.1</w:t>
            </w:r>
          </w:p>
        </w:tc>
        <w:tc>
          <w:tcPr>
            <w:tcW w:w="821" w:type="pct"/>
            <w:tcBorders>
              <w:tl2br w:val="nil"/>
              <w:tr2bl w:val="nil"/>
            </w:tcBorders>
            <w:shd w:val="clear" w:color="auto" w:fill="auto"/>
            <w:noWrap w:val="0"/>
            <w:vAlign w:val="center"/>
          </w:tcPr>
          <w:p w14:paraId="5A607F9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100.8</w:t>
            </w:r>
          </w:p>
        </w:tc>
        <w:tc>
          <w:tcPr>
            <w:tcW w:w="977" w:type="pct"/>
            <w:tcBorders>
              <w:tl2br w:val="nil"/>
              <w:tr2bl w:val="nil"/>
            </w:tcBorders>
            <w:shd w:val="clear" w:color="auto" w:fill="auto"/>
            <w:noWrap w:val="0"/>
            <w:vAlign w:val="center"/>
          </w:tcPr>
          <w:p w14:paraId="01825DA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56</w:t>
            </w:r>
          </w:p>
        </w:tc>
        <w:tc>
          <w:tcPr>
            <w:tcW w:w="842" w:type="pct"/>
            <w:tcBorders>
              <w:tl2br w:val="nil"/>
              <w:tr2bl w:val="nil"/>
            </w:tcBorders>
            <w:shd w:val="clear" w:color="auto" w:fill="auto"/>
            <w:noWrap w:val="0"/>
            <w:vAlign w:val="center"/>
          </w:tcPr>
          <w:p w14:paraId="32AC820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w:t>
            </w:r>
          </w:p>
        </w:tc>
      </w:tr>
      <w:tr w14:paraId="4CB0CD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vAlign w:val="center"/>
          </w:tcPr>
          <w:p w14:paraId="3275DAC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shd w:val="clear" w:color="auto" w:fill="auto"/>
            <w:vAlign w:val="center"/>
          </w:tcPr>
          <w:p w14:paraId="3B0CBBB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594" w:type="pct"/>
            <w:shd w:val="clear" w:color="auto" w:fill="auto"/>
            <w:vAlign w:val="center"/>
          </w:tcPr>
          <w:p w14:paraId="2E954DC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790FD61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295.3</w:t>
            </w:r>
          </w:p>
        </w:tc>
        <w:tc>
          <w:tcPr>
            <w:tcW w:w="821" w:type="pct"/>
            <w:shd w:val="clear" w:color="auto" w:fill="auto"/>
            <w:vAlign w:val="center"/>
          </w:tcPr>
          <w:p w14:paraId="17D7D7D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100.6</w:t>
            </w:r>
          </w:p>
        </w:tc>
        <w:tc>
          <w:tcPr>
            <w:tcW w:w="977" w:type="pct"/>
            <w:shd w:val="clear" w:color="auto" w:fill="auto"/>
            <w:vAlign w:val="center"/>
          </w:tcPr>
          <w:p w14:paraId="6B2376B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842" w:type="pct"/>
            <w:shd w:val="clear" w:color="auto" w:fill="auto"/>
            <w:vAlign w:val="center"/>
          </w:tcPr>
          <w:p w14:paraId="1F55099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r>
      <w:tr w14:paraId="4DB6A6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vAlign w:val="center"/>
          </w:tcPr>
          <w:p w14:paraId="31BDE13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shd w:val="clear" w:color="auto" w:fill="auto"/>
            <w:vAlign w:val="center"/>
          </w:tcPr>
          <w:p w14:paraId="3D8FDE0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w:t>
            </w:r>
          </w:p>
        </w:tc>
        <w:tc>
          <w:tcPr>
            <w:tcW w:w="594" w:type="pct"/>
            <w:shd w:val="clear" w:color="auto" w:fill="auto"/>
            <w:vAlign w:val="center"/>
          </w:tcPr>
          <w:p w14:paraId="5EF6879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45C784C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297.5</w:t>
            </w:r>
          </w:p>
        </w:tc>
        <w:tc>
          <w:tcPr>
            <w:tcW w:w="821" w:type="pct"/>
            <w:shd w:val="clear" w:color="auto" w:fill="auto"/>
            <w:vAlign w:val="center"/>
          </w:tcPr>
          <w:p w14:paraId="3A31399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100.4</w:t>
            </w:r>
          </w:p>
        </w:tc>
        <w:tc>
          <w:tcPr>
            <w:tcW w:w="977" w:type="pct"/>
            <w:shd w:val="clear" w:color="auto" w:fill="auto"/>
            <w:vAlign w:val="center"/>
          </w:tcPr>
          <w:p w14:paraId="032233F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59</w:t>
            </w:r>
          </w:p>
        </w:tc>
        <w:tc>
          <w:tcPr>
            <w:tcW w:w="842" w:type="pct"/>
            <w:shd w:val="clear" w:color="auto" w:fill="auto"/>
            <w:vAlign w:val="center"/>
          </w:tcPr>
          <w:p w14:paraId="7EF48F1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w:t>
            </w:r>
          </w:p>
        </w:tc>
      </w:tr>
      <w:tr w14:paraId="18A3A0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vAlign w:val="center"/>
          </w:tcPr>
          <w:p w14:paraId="5B7EF76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shd w:val="clear" w:color="auto" w:fill="auto"/>
            <w:vAlign w:val="center"/>
          </w:tcPr>
          <w:p w14:paraId="2C3CE6F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w:t>
            </w:r>
          </w:p>
        </w:tc>
        <w:tc>
          <w:tcPr>
            <w:tcW w:w="594" w:type="pct"/>
            <w:shd w:val="clear" w:color="auto" w:fill="auto"/>
            <w:vAlign w:val="center"/>
          </w:tcPr>
          <w:p w14:paraId="2C5BDAB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7D81665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292.8</w:t>
            </w:r>
          </w:p>
        </w:tc>
        <w:tc>
          <w:tcPr>
            <w:tcW w:w="821" w:type="pct"/>
            <w:shd w:val="clear" w:color="auto" w:fill="auto"/>
            <w:vAlign w:val="center"/>
          </w:tcPr>
          <w:p w14:paraId="4BDDFDE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100.5</w:t>
            </w:r>
          </w:p>
        </w:tc>
        <w:tc>
          <w:tcPr>
            <w:tcW w:w="977" w:type="pct"/>
            <w:shd w:val="clear" w:color="auto" w:fill="auto"/>
            <w:vAlign w:val="center"/>
          </w:tcPr>
          <w:p w14:paraId="7EA3D79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55</w:t>
            </w:r>
          </w:p>
        </w:tc>
        <w:tc>
          <w:tcPr>
            <w:tcW w:w="842" w:type="pct"/>
            <w:shd w:val="clear" w:color="auto" w:fill="auto"/>
            <w:vAlign w:val="center"/>
          </w:tcPr>
          <w:p w14:paraId="472B8AF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w:t>
            </w:r>
          </w:p>
        </w:tc>
      </w:tr>
      <w:tr w14:paraId="394809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restart"/>
            <w:shd w:val="clear" w:color="auto" w:fill="auto"/>
            <w:vAlign w:val="center"/>
          </w:tcPr>
          <w:p w14:paraId="54D8097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2024.5.12</w:t>
            </w:r>
          </w:p>
        </w:tc>
        <w:tc>
          <w:tcPr>
            <w:tcW w:w="376" w:type="pct"/>
            <w:shd w:val="clear" w:color="auto" w:fill="auto"/>
            <w:vAlign w:val="center"/>
          </w:tcPr>
          <w:p w14:paraId="5CE8F47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w:t>
            </w:r>
          </w:p>
        </w:tc>
        <w:tc>
          <w:tcPr>
            <w:tcW w:w="594" w:type="pct"/>
            <w:shd w:val="clear" w:color="auto" w:fill="auto"/>
            <w:vAlign w:val="center"/>
          </w:tcPr>
          <w:p w14:paraId="61FD1FB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060B185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292.5</w:t>
            </w:r>
          </w:p>
        </w:tc>
        <w:tc>
          <w:tcPr>
            <w:tcW w:w="821" w:type="pct"/>
            <w:shd w:val="clear" w:color="auto" w:fill="auto"/>
            <w:vAlign w:val="center"/>
          </w:tcPr>
          <w:p w14:paraId="76F5D9C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100.9</w:t>
            </w:r>
          </w:p>
        </w:tc>
        <w:tc>
          <w:tcPr>
            <w:tcW w:w="977" w:type="pct"/>
            <w:shd w:val="clear" w:color="auto" w:fill="auto"/>
            <w:vAlign w:val="center"/>
          </w:tcPr>
          <w:p w14:paraId="6BB7C21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53</w:t>
            </w:r>
          </w:p>
        </w:tc>
        <w:tc>
          <w:tcPr>
            <w:tcW w:w="842" w:type="pct"/>
            <w:shd w:val="clear" w:color="auto" w:fill="auto"/>
            <w:vAlign w:val="center"/>
          </w:tcPr>
          <w:p w14:paraId="3704A69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r>
      <w:tr w14:paraId="228550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vAlign w:val="center"/>
          </w:tcPr>
          <w:p w14:paraId="0204E29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shd w:val="clear" w:color="auto" w:fill="auto"/>
            <w:vAlign w:val="center"/>
          </w:tcPr>
          <w:p w14:paraId="7440C9A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c>
          <w:tcPr>
            <w:tcW w:w="594" w:type="pct"/>
            <w:shd w:val="clear" w:color="auto" w:fill="auto"/>
            <w:vAlign w:val="center"/>
          </w:tcPr>
          <w:p w14:paraId="3EEA1BD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1F09A31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295.4</w:t>
            </w:r>
          </w:p>
        </w:tc>
        <w:tc>
          <w:tcPr>
            <w:tcW w:w="821" w:type="pct"/>
            <w:shd w:val="clear" w:color="auto" w:fill="auto"/>
            <w:vAlign w:val="center"/>
          </w:tcPr>
          <w:p w14:paraId="6663D21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100.6</w:t>
            </w:r>
          </w:p>
        </w:tc>
        <w:tc>
          <w:tcPr>
            <w:tcW w:w="977" w:type="pct"/>
            <w:shd w:val="clear" w:color="auto" w:fill="auto"/>
            <w:vAlign w:val="center"/>
          </w:tcPr>
          <w:p w14:paraId="0FA637B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56</w:t>
            </w:r>
          </w:p>
        </w:tc>
        <w:tc>
          <w:tcPr>
            <w:tcW w:w="842" w:type="pct"/>
            <w:shd w:val="clear" w:color="auto" w:fill="auto"/>
            <w:vAlign w:val="center"/>
          </w:tcPr>
          <w:p w14:paraId="33B482E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w:t>
            </w:r>
          </w:p>
        </w:tc>
      </w:tr>
      <w:tr w14:paraId="4BC5B4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vAlign w:val="center"/>
          </w:tcPr>
          <w:p w14:paraId="340BA0E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shd w:val="clear" w:color="auto" w:fill="auto"/>
            <w:vAlign w:val="center"/>
          </w:tcPr>
          <w:p w14:paraId="230F39B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c>
          <w:tcPr>
            <w:tcW w:w="594" w:type="pct"/>
            <w:shd w:val="clear" w:color="auto" w:fill="auto"/>
            <w:vAlign w:val="center"/>
          </w:tcPr>
          <w:p w14:paraId="2BF6583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1894CFE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296.1</w:t>
            </w:r>
          </w:p>
        </w:tc>
        <w:tc>
          <w:tcPr>
            <w:tcW w:w="821" w:type="pct"/>
            <w:shd w:val="clear" w:color="auto" w:fill="auto"/>
            <w:vAlign w:val="center"/>
          </w:tcPr>
          <w:p w14:paraId="59F018A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100.5</w:t>
            </w:r>
          </w:p>
        </w:tc>
        <w:tc>
          <w:tcPr>
            <w:tcW w:w="977" w:type="pct"/>
            <w:shd w:val="clear" w:color="auto" w:fill="auto"/>
            <w:vAlign w:val="center"/>
          </w:tcPr>
          <w:p w14:paraId="5481600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67</w:t>
            </w:r>
          </w:p>
        </w:tc>
        <w:tc>
          <w:tcPr>
            <w:tcW w:w="842" w:type="pct"/>
            <w:shd w:val="clear" w:color="auto" w:fill="auto"/>
            <w:vAlign w:val="center"/>
          </w:tcPr>
          <w:p w14:paraId="517D49F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w:t>
            </w:r>
          </w:p>
        </w:tc>
      </w:tr>
      <w:tr w14:paraId="0CBD43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vAlign w:val="center"/>
          </w:tcPr>
          <w:p w14:paraId="3266338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shd w:val="clear" w:color="auto" w:fill="auto"/>
            <w:vAlign w:val="center"/>
          </w:tcPr>
          <w:p w14:paraId="0944F04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w:t>
            </w:r>
          </w:p>
        </w:tc>
        <w:tc>
          <w:tcPr>
            <w:tcW w:w="594" w:type="pct"/>
            <w:shd w:val="clear" w:color="auto" w:fill="auto"/>
            <w:vAlign w:val="center"/>
          </w:tcPr>
          <w:p w14:paraId="4A23F94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4E77DA3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293.6</w:t>
            </w:r>
          </w:p>
        </w:tc>
        <w:tc>
          <w:tcPr>
            <w:tcW w:w="821" w:type="pct"/>
            <w:shd w:val="clear" w:color="auto" w:fill="auto"/>
            <w:vAlign w:val="center"/>
          </w:tcPr>
          <w:p w14:paraId="44F7464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100.8</w:t>
            </w:r>
          </w:p>
        </w:tc>
        <w:tc>
          <w:tcPr>
            <w:tcW w:w="977" w:type="pct"/>
            <w:shd w:val="clear" w:color="auto" w:fill="auto"/>
            <w:vAlign w:val="center"/>
          </w:tcPr>
          <w:p w14:paraId="05F3774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w:t>
            </w:r>
          </w:p>
        </w:tc>
        <w:tc>
          <w:tcPr>
            <w:tcW w:w="842" w:type="pct"/>
            <w:shd w:val="clear" w:color="auto" w:fill="auto"/>
            <w:vAlign w:val="center"/>
          </w:tcPr>
          <w:p w14:paraId="627CC7F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r>
      <w:tr w14:paraId="55CAF4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restart"/>
            <w:shd w:val="clear" w:color="auto" w:fill="auto"/>
            <w:vAlign w:val="center"/>
          </w:tcPr>
          <w:p w14:paraId="5C1D33B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2024.5.13</w:t>
            </w:r>
          </w:p>
        </w:tc>
        <w:tc>
          <w:tcPr>
            <w:tcW w:w="376" w:type="pct"/>
            <w:shd w:val="clear" w:color="auto" w:fill="auto"/>
            <w:vAlign w:val="center"/>
          </w:tcPr>
          <w:p w14:paraId="3E40F82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w:t>
            </w:r>
          </w:p>
        </w:tc>
        <w:tc>
          <w:tcPr>
            <w:tcW w:w="594" w:type="pct"/>
            <w:shd w:val="clear" w:color="auto" w:fill="auto"/>
            <w:vAlign w:val="center"/>
          </w:tcPr>
          <w:p w14:paraId="7DBA8D1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5BDDEB2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291.4</w:t>
            </w:r>
          </w:p>
        </w:tc>
        <w:tc>
          <w:tcPr>
            <w:tcW w:w="821" w:type="pct"/>
            <w:shd w:val="clear" w:color="auto" w:fill="auto"/>
            <w:vAlign w:val="center"/>
          </w:tcPr>
          <w:p w14:paraId="0F20EAA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101.0</w:t>
            </w:r>
          </w:p>
        </w:tc>
        <w:tc>
          <w:tcPr>
            <w:tcW w:w="977" w:type="pct"/>
            <w:shd w:val="clear" w:color="auto" w:fill="auto"/>
            <w:vAlign w:val="center"/>
          </w:tcPr>
          <w:p w14:paraId="647A0CA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w:t>
            </w:r>
          </w:p>
        </w:tc>
        <w:tc>
          <w:tcPr>
            <w:tcW w:w="842" w:type="pct"/>
            <w:shd w:val="clear" w:color="auto" w:fill="auto"/>
            <w:vAlign w:val="center"/>
          </w:tcPr>
          <w:p w14:paraId="58D5989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r>
      <w:tr w14:paraId="74D232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Merge w:val="continue"/>
            <w:vAlign w:val="center"/>
          </w:tcPr>
          <w:p w14:paraId="639EAB6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p>
        </w:tc>
        <w:tc>
          <w:tcPr>
            <w:tcW w:w="376" w:type="pct"/>
            <w:shd w:val="clear" w:color="auto" w:fill="auto"/>
            <w:vAlign w:val="center"/>
          </w:tcPr>
          <w:p w14:paraId="5E6295E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w:t>
            </w:r>
          </w:p>
        </w:tc>
        <w:tc>
          <w:tcPr>
            <w:tcW w:w="594" w:type="pct"/>
            <w:shd w:val="clear" w:color="auto" w:fill="auto"/>
            <w:vAlign w:val="center"/>
          </w:tcPr>
          <w:p w14:paraId="35CF1C2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bookmarkStart w:id="1268" w:name="OLE_LINK409"/>
            <w:r>
              <w:rPr>
                <w:rFonts w:hint="eastAsia" w:ascii="Times New Roman" w:hAnsi="Times New Roman" w:eastAsia="宋体" w:cs="Times New Roman"/>
                <w:b w:val="0"/>
                <w:bCs w:val="0"/>
                <w:color w:val="auto"/>
                <w:sz w:val="21"/>
                <w:szCs w:val="21"/>
                <w:highlight w:val="none"/>
                <w:lang w:val="en-US" w:eastAsia="zh-CN"/>
              </w:rPr>
              <w:t>东南</w:t>
            </w:r>
            <w:bookmarkEnd w:id="1268"/>
          </w:p>
        </w:tc>
        <w:tc>
          <w:tcPr>
            <w:tcW w:w="759" w:type="pct"/>
            <w:shd w:val="clear" w:color="auto" w:fill="auto"/>
            <w:vAlign w:val="center"/>
          </w:tcPr>
          <w:p w14:paraId="095302E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294.4</w:t>
            </w:r>
          </w:p>
        </w:tc>
        <w:tc>
          <w:tcPr>
            <w:tcW w:w="821" w:type="pct"/>
            <w:shd w:val="clear" w:color="auto" w:fill="auto"/>
            <w:vAlign w:val="center"/>
          </w:tcPr>
          <w:p w14:paraId="072979F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100.7</w:t>
            </w:r>
          </w:p>
        </w:tc>
        <w:tc>
          <w:tcPr>
            <w:tcW w:w="977" w:type="pct"/>
            <w:shd w:val="clear" w:color="auto" w:fill="auto"/>
            <w:vAlign w:val="center"/>
          </w:tcPr>
          <w:p w14:paraId="49B336D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w:t>
            </w:r>
          </w:p>
        </w:tc>
        <w:tc>
          <w:tcPr>
            <w:tcW w:w="842" w:type="pct"/>
            <w:shd w:val="clear" w:color="auto" w:fill="auto"/>
            <w:vAlign w:val="center"/>
          </w:tcPr>
          <w:p w14:paraId="439E531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r>
      <w:tr w14:paraId="746617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Align w:val="center"/>
          </w:tcPr>
          <w:p w14:paraId="418D4CA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bookmarkStart w:id="1269" w:name="OLE_LINK408"/>
            <w:bookmarkStart w:id="1270" w:name="OLE_LINK410" w:colFirst="2" w:colLast="2"/>
            <w:r>
              <w:rPr>
                <w:rFonts w:hint="eastAsia" w:ascii="Times New Roman" w:hAnsi="Times New Roman" w:eastAsia="宋体" w:cs="Times New Roman"/>
                <w:color w:val="auto"/>
                <w:sz w:val="21"/>
                <w:szCs w:val="21"/>
                <w:highlight w:val="none"/>
                <w:lang w:val="en-US" w:eastAsia="zh-CN"/>
              </w:rPr>
              <w:t>2024.5.6-5.7</w:t>
            </w:r>
            <w:bookmarkEnd w:id="1269"/>
          </w:p>
        </w:tc>
        <w:tc>
          <w:tcPr>
            <w:tcW w:w="376" w:type="pct"/>
            <w:shd w:val="clear" w:color="auto" w:fill="auto"/>
            <w:vAlign w:val="center"/>
          </w:tcPr>
          <w:p w14:paraId="0F6FFDC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594" w:type="pct"/>
            <w:shd w:val="clear" w:color="auto" w:fill="auto"/>
            <w:vAlign w:val="center"/>
          </w:tcPr>
          <w:p w14:paraId="7DB178D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57FB000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296.7</w:t>
            </w:r>
          </w:p>
        </w:tc>
        <w:tc>
          <w:tcPr>
            <w:tcW w:w="821" w:type="pct"/>
            <w:shd w:val="clear" w:color="auto" w:fill="auto"/>
            <w:vAlign w:val="center"/>
          </w:tcPr>
          <w:p w14:paraId="642924F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100.5</w:t>
            </w:r>
          </w:p>
        </w:tc>
        <w:tc>
          <w:tcPr>
            <w:tcW w:w="977" w:type="pct"/>
            <w:shd w:val="clear" w:color="auto" w:fill="auto"/>
            <w:vAlign w:val="center"/>
          </w:tcPr>
          <w:p w14:paraId="6B9931B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57</w:t>
            </w:r>
          </w:p>
        </w:tc>
        <w:tc>
          <w:tcPr>
            <w:tcW w:w="842" w:type="pct"/>
            <w:shd w:val="clear" w:color="auto" w:fill="auto"/>
            <w:vAlign w:val="center"/>
          </w:tcPr>
          <w:p w14:paraId="4B7BAE0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w:t>
            </w:r>
          </w:p>
        </w:tc>
      </w:tr>
      <w:tr w14:paraId="30E20F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Align w:val="center"/>
          </w:tcPr>
          <w:p w14:paraId="147BFB0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2024.5.7-5.8</w:t>
            </w:r>
          </w:p>
        </w:tc>
        <w:tc>
          <w:tcPr>
            <w:tcW w:w="376" w:type="pct"/>
            <w:shd w:val="clear" w:color="auto" w:fill="auto"/>
            <w:vAlign w:val="center"/>
          </w:tcPr>
          <w:p w14:paraId="5F0F94C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594" w:type="pct"/>
            <w:shd w:val="clear" w:color="auto" w:fill="auto"/>
            <w:vAlign w:val="center"/>
          </w:tcPr>
          <w:p w14:paraId="40ABB72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04735A5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295.4</w:t>
            </w:r>
          </w:p>
        </w:tc>
        <w:tc>
          <w:tcPr>
            <w:tcW w:w="821" w:type="pct"/>
            <w:shd w:val="clear" w:color="auto" w:fill="auto"/>
            <w:vAlign w:val="center"/>
          </w:tcPr>
          <w:p w14:paraId="21A647F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100.6</w:t>
            </w:r>
          </w:p>
        </w:tc>
        <w:tc>
          <w:tcPr>
            <w:tcW w:w="977" w:type="pct"/>
            <w:shd w:val="clear" w:color="auto" w:fill="auto"/>
            <w:vAlign w:val="center"/>
          </w:tcPr>
          <w:p w14:paraId="04A0624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842" w:type="pct"/>
            <w:shd w:val="clear" w:color="auto" w:fill="auto"/>
            <w:vAlign w:val="center"/>
          </w:tcPr>
          <w:p w14:paraId="69D9B48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w:t>
            </w:r>
          </w:p>
        </w:tc>
      </w:tr>
      <w:tr w14:paraId="2CFBCE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Align w:val="center"/>
          </w:tcPr>
          <w:p w14:paraId="2CCFAB6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2024.5.8-5.9</w:t>
            </w:r>
          </w:p>
        </w:tc>
        <w:tc>
          <w:tcPr>
            <w:tcW w:w="376" w:type="pct"/>
            <w:shd w:val="clear" w:color="auto" w:fill="auto"/>
            <w:vAlign w:val="center"/>
          </w:tcPr>
          <w:p w14:paraId="2224885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594" w:type="pct"/>
            <w:shd w:val="clear" w:color="auto" w:fill="auto"/>
            <w:vAlign w:val="center"/>
          </w:tcPr>
          <w:p w14:paraId="5539255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40957F7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296.4</w:t>
            </w:r>
          </w:p>
        </w:tc>
        <w:tc>
          <w:tcPr>
            <w:tcW w:w="821" w:type="pct"/>
            <w:shd w:val="clear" w:color="auto" w:fill="auto"/>
            <w:vAlign w:val="center"/>
          </w:tcPr>
          <w:p w14:paraId="61B0380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100.5</w:t>
            </w:r>
          </w:p>
        </w:tc>
        <w:tc>
          <w:tcPr>
            <w:tcW w:w="977" w:type="pct"/>
            <w:shd w:val="clear" w:color="auto" w:fill="auto"/>
            <w:vAlign w:val="center"/>
          </w:tcPr>
          <w:p w14:paraId="692DBFD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w:t>
            </w:r>
          </w:p>
        </w:tc>
        <w:tc>
          <w:tcPr>
            <w:tcW w:w="842" w:type="pct"/>
            <w:shd w:val="clear" w:color="auto" w:fill="auto"/>
            <w:vAlign w:val="center"/>
          </w:tcPr>
          <w:p w14:paraId="1156D6F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w:t>
            </w:r>
          </w:p>
        </w:tc>
      </w:tr>
      <w:tr w14:paraId="788A74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Align w:val="center"/>
          </w:tcPr>
          <w:p w14:paraId="3421CA4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2024.5.9-5.10</w:t>
            </w:r>
          </w:p>
        </w:tc>
        <w:tc>
          <w:tcPr>
            <w:tcW w:w="376" w:type="pct"/>
            <w:shd w:val="clear" w:color="auto" w:fill="auto"/>
            <w:vAlign w:val="center"/>
          </w:tcPr>
          <w:p w14:paraId="06A8988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594" w:type="pct"/>
            <w:shd w:val="clear" w:color="auto" w:fill="auto"/>
            <w:vAlign w:val="center"/>
          </w:tcPr>
          <w:p w14:paraId="5470735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3E43BF1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298.6</w:t>
            </w:r>
          </w:p>
        </w:tc>
        <w:tc>
          <w:tcPr>
            <w:tcW w:w="821" w:type="pct"/>
            <w:shd w:val="clear" w:color="auto" w:fill="auto"/>
            <w:vAlign w:val="center"/>
          </w:tcPr>
          <w:p w14:paraId="588D5D0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100.3</w:t>
            </w:r>
          </w:p>
        </w:tc>
        <w:tc>
          <w:tcPr>
            <w:tcW w:w="977" w:type="pct"/>
            <w:shd w:val="clear" w:color="auto" w:fill="auto"/>
            <w:vAlign w:val="center"/>
          </w:tcPr>
          <w:p w14:paraId="5F38007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65</w:t>
            </w:r>
          </w:p>
        </w:tc>
        <w:tc>
          <w:tcPr>
            <w:tcW w:w="842" w:type="pct"/>
            <w:shd w:val="clear" w:color="auto" w:fill="auto"/>
            <w:vAlign w:val="center"/>
          </w:tcPr>
          <w:p w14:paraId="4C30CC5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w:t>
            </w:r>
          </w:p>
        </w:tc>
      </w:tr>
      <w:tr w14:paraId="541BF5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Align w:val="center"/>
          </w:tcPr>
          <w:p w14:paraId="7A22041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2024.5.10-5.11</w:t>
            </w:r>
          </w:p>
        </w:tc>
        <w:tc>
          <w:tcPr>
            <w:tcW w:w="376" w:type="pct"/>
            <w:shd w:val="clear" w:color="auto" w:fill="auto"/>
            <w:vAlign w:val="center"/>
          </w:tcPr>
          <w:p w14:paraId="68005D1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594" w:type="pct"/>
            <w:shd w:val="clear" w:color="auto" w:fill="auto"/>
            <w:vAlign w:val="center"/>
          </w:tcPr>
          <w:p w14:paraId="47882FF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49B94F6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300.4</w:t>
            </w:r>
          </w:p>
        </w:tc>
        <w:tc>
          <w:tcPr>
            <w:tcW w:w="821" w:type="pct"/>
            <w:shd w:val="clear" w:color="auto" w:fill="auto"/>
            <w:vAlign w:val="center"/>
          </w:tcPr>
          <w:p w14:paraId="0A05A54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100.1</w:t>
            </w:r>
          </w:p>
        </w:tc>
        <w:tc>
          <w:tcPr>
            <w:tcW w:w="977" w:type="pct"/>
            <w:shd w:val="clear" w:color="auto" w:fill="auto"/>
            <w:vAlign w:val="center"/>
          </w:tcPr>
          <w:p w14:paraId="630365F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w:t>
            </w:r>
          </w:p>
        </w:tc>
        <w:tc>
          <w:tcPr>
            <w:tcW w:w="842" w:type="pct"/>
            <w:shd w:val="clear" w:color="auto" w:fill="auto"/>
            <w:vAlign w:val="center"/>
          </w:tcPr>
          <w:p w14:paraId="23F6369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2.7</w:t>
            </w:r>
          </w:p>
        </w:tc>
      </w:tr>
      <w:tr w14:paraId="6CAC41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Align w:val="center"/>
          </w:tcPr>
          <w:p w14:paraId="286E647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2024.5.11-5.12</w:t>
            </w:r>
          </w:p>
        </w:tc>
        <w:tc>
          <w:tcPr>
            <w:tcW w:w="376" w:type="pct"/>
            <w:shd w:val="clear" w:color="auto" w:fill="auto"/>
            <w:vAlign w:val="center"/>
          </w:tcPr>
          <w:p w14:paraId="7C23A4B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p>
        </w:tc>
        <w:tc>
          <w:tcPr>
            <w:tcW w:w="594" w:type="pct"/>
            <w:shd w:val="clear" w:color="auto" w:fill="auto"/>
            <w:vAlign w:val="center"/>
          </w:tcPr>
          <w:p w14:paraId="46147BA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5F0D36D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297.5</w:t>
            </w:r>
          </w:p>
        </w:tc>
        <w:tc>
          <w:tcPr>
            <w:tcW w:w="821" w:type="pct"/>
            <w:shd w:val="clear" w:color="auto" w:fill="auto"/>
            <w:vAlign w:val="center"/>
          </w:tcPr>
          <w:p w14:paraId="41F54F7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100.4</w:t>
            </w:r>
          </w:p>
        </w:tc>
        <w:tc>
          <w:tcPr>
            <w:tcW w:w="977" w:type="pct"/>
            <w:shd w:val="clear" w:color="auto" w:fill="auto"/>
            <w:vAlign w:val="center"/>
          </w:tcPr>
          <w:p w14:paraId="43A4C69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59</w:t>
            </w:r>
          </w:p>
        </w:tc>
        <w:tc>
          <w:tcPr>
            <w:tcW w:w="842" w:type="pct"/>
            <w:shd w:val="clear" w:color="auto" w:fill="auto"/>
            <w:vAlign w:val="center"/>
          </w:tcPr>
          <w:p w14:paraId="6B7EF48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w:t>
            </w:r>
          </w:p>
        </w:tc>
      </w:tr>
      <w:tr w14:paraId="47BC10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5" w:hRule="atLeast"/>
          <w:jc w:val="center"/>
        </w:trPr>
        <w:tc>
          <w:tcPr>
            <w:tcW w:w="627" w:type="pct"/>
            <w:vAlign w:val="center"/>
          </w:tcPr>
          <w:p w14:paraId="6244CD1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2024.5.12-5.13</w:t>
            </w:r>
          </w:p>
        </w:tc>
        <w:tc>
          <w:tcPr>
            <w:tcW w:w="376" w:type="pct"/>
            <w:shd w:val="clear" w:color="auto" w:fill="auto"/>
            <w:vAlign w:val="center"/>
          </w:tcPr>
          <w:p w14:paraId="19B8413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w:t>
            </w:r>
          </w:p>
        </w:tc>
        <w:tc>
          <w:tcPr>
            <w:tcW w:w="594" w:type="pct"/>
            <w:shd w:val="clear" w:color="auto" w:fill="auto"/>
            <w:vAlign w:val="center"/>
          </w:tcPr>
          <w:p w14:paraId="55D4F82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东南</w:t>
            </w:r>
          </w:p>
        </w:tc>
        <w:tc>
          <w:tcPr>
            <w:tcW w:w="759" w:type="pct"/>
            <w:shd w:val="clear" w:color="auto" w:fill="auto"/>
            <w:vAlign w:val="center"/>
          </w:tcPr>
          <w:p w14:paraId="7053386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296.1</w:t>
            </w:r>
          </w:p>
        </w:tc>
        <w:tc>
          <w:tcPr>
            <w:tcW w:w="821" w:type="pct"/>
            <w:shd w:val="clear" w:color="auto" w:fill="auto"/>
            <w:vAlign w:val="center"/>
          </w:tcPr>
          <w:p w14:paraId="2808D46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100.5</w:t>
            </w:r>
          </w:p>
        </w:tc>
        <w:tc>
          <w:tcPr>
            <w:tcW w:w="977" w:type="pct"/>
            <w:shd w:val="clear" w:color="auto" w:fill="auto"/>
            <w:vAlign w:val="center"/>
          </w:tcPr>
          <w:p w14:paraId="73CA294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67</w:t>
            </w:r>
          </w:p>
        </w:tc>
        <w:tc>
          <w:tcPr>
            <w:tcW w:w="842" w:type="pct"/>
            <w:shd w:val="clear" w:color="auto" w:fill="auto"/>
            <w:vAlign w:val="center"/>
          </w:tcPr>
          <w:p w14:paraId="0960B60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w:t>
            </w:r>
          </w:p>
        </w:tc>
      </w:tr>
      <w:bookmarkEnd w:id="1270"/>
    </w:tbl>
    <w:p w14:paraId="55FBAF87">
      <w:pPr>
        <w:keepNext w:val="0"/>
        <w:keepLines w:val="0"/>
        <w:pageBreakBefore w:val="0"/>
        <w:widowControl/>
        <w:kinsoku w:val="0"/>
        <w:wordWrap/>
        <w:overflowPunct/>
        <w:topLinePunct w:val="0"/>
        <w:autoSpaceDE w:val="0"/>
        <w:autoSpaceDN w:val="0"/>
        <w:bidi w:val="0"/>
        <w:adjustRightInd w:val="0"/>
        <w:snapToGrid w:val="0"/>
        <w:spacing w:before="181" w:line="240" w:lineRule="auto"/>
        <w:ind w:left="2460"/>
        <w:textAlignment w:val="baseline"/>
        <w:rPr>
          <w:rFonts w:hint="eastAsia" w:eastAsia="宋体"/>
          <w:color w:val="auto"/>
          <w:highlight w:val="none"/>
          <w:lang w:eastAsia="zh-CN"/>
        </w:rPr>
      </w:pPr>
      <w:bookmarkStart w:id="1271" w:name="OLE_LINK395"/>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6.3-</w:t>
      </w:r>
      <w:r>
        <w:rPr>
          <w:rFonts w:hint="eastAsia" w:ascii="Times New Roman" w:hAnsi="Times New Roman" w:eastAsia="宋体" w:cs="Times New Roman"/>
          <w:b/>
          <w:bCs/>
          <w:color w:val="auto"/>
          <w:spacing w:val="-2"/>
          <w:sz w:val="24"/>
          <w:szCs w:val="24"/>
          <w:highlight w:val="none"/>
          <w:lang w:val="en-US" w:eastAsia="zh-CN"/>
        </w:rPr>
        <w:t>9  引用数据</w:t>
      </w:r>
      <w:r>
        <w:rPr>
          <w:rFonts w:ascii="宋体" w:hAnsi="宋体" w:eastAsia="宋体" w:cs="宋体"/>
          <w:b/>
          <w:bCs/>
          <w:color w:val="auto"/>
          <w:spacing w:val="-2"/>
          <w:sz w:val="24"/>
          <w:szCs w:val="24"/>
          <w:highlight w:val="none"/>
        </w:rPr>
        <w:t>环境空气现场气象</w:t>
      </w:r>
      <w:r>
        <w:rPr>
          <w:rFonts w:hint="eastAsia" w:ascii="宋体" w:hAnsi="宋体" w:eastAsia="宋体" w:cs="宋体"/>
          <w:b/>
          <w:bCs/>
          <w:color w:val="auto"/>
          <w:spacing w:val="-2"/>
          <w:sz w:val="24"/>
          <w:szCs w:val="24"/>
          <w:highlight w:val="none"/>
          <w:lang w:val="en-US" w:eastAsia="zh-CN"/>
        </w:rPr>
        <w:t>参数</w:t>
      </w:r>
      <w:bookmarkStart w:id="1272" w:name="pindex5239"/>
      <w:bookmarkEnd w:id="1272"/>
    </w:p>
    <w:tbl>
      <w:tblPr>
        <w:tblStyle w:val="19"/>
        <w:tblW w:w="5033"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66"/>
        <w:gridCol w:w="700"/>
        <w:gridCol w:w="1351"/>
        <w:gridCol w:w="1459"/>
        <w:gridCol w:w="1759"/>
        <w:gridCol w:w="780"/>
        <w:gridCol w:w="1417"/>
      </w:tblGrid>
      <w:tr w14:paraId="356B71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675" w:type="pct"/>
            <w:tcBorders>
              <w:tl2br w:val="nil"/>
              <w:tr2bl w:val="nil"/>
            </w:tcBorders>
            <w:noWrap w:val="0"/>
            <w:vAlign w:val="center"/>
          </w:tcPr>
          <w:p w14:paraId="4EC7CFAC">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采样日期</w:t>
            </w:r>
          </w:p>
        </w:tc>
        <w:tc>
          <w:tcPr>
            <w:tcW w:w="405" w:type="pct"/>
            <w:tcBorders>
              <w:tl2br w:val="nil"/>
              <w:tr2bl w:val="nil"/>
            </w:tcBorders>
            <w:noWrap w:val="0"/>
            <w:vAlign w:val="center"/>
          </w:tcPr>
          <w:p w14:paraId="2FD1D990">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采样频次</w:t>
            </w:r>
          </w:p>
        </w:tc>
        <w:tc>
          <w:tcPr>
            <w:tcW w:w="782" w:type="pct"/>
            <w:tcBorders>
              <w:tl2br w:val="nil"/>
              <w:tr2bl w:val="nil"/>
            </w:tcBorders>
            <w:noWrap w:val="0"/>
            <w:vAlign w:val="center"/>
          </w:tcPr>
          <w:p w14:paraId="339D0684">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气温</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lang w:val="en-US" w:eastAsia="zh-CN"/>
              </w:rPr>
              <w:t>C</w:t>
            </w:r>
            <w:r>
              <w:rPr>
                <w:rFonts w:hint="default" w:ascii="Times New Roman" w:hAnsi="Times New Roman" w:eastAsia="宋体" w:cs="Times New Roman"/>
                <w:b/>
                <w:bCs/>
                <w:color w:val="auto"/>
                <w:sz w:val="21"/>
                <w:szCs w:val="21"/>
                <w:highlight w:val="none"/>
                <w:lang w:eastAsia="zh-CN"/>
              </w:rPr>
              <w:t>）</w:t>
            </w:r>
          </w:p>
        </w:tc>
        <w:tc>
          <w:tcPr>
            <w:tcW w:w="845" w:type="pct"/>
            <w:tcBorders>
              <w:tl2br w:val="nil"/>
              <w:tr2bl w:val="nil"/>
            </w:tcBorders>
            <w:noWrap w:val="0"/>
            <w:vAlign w:val="center"/>
          </w:tcPr>
          <w:p w14:paraId="15E5C087">
            <w:pPr>
              <w:pStyle w:val="8"/>
              <w:rPr>
                <w:rFonts w:hint="default"/>
                <w:color w:val="auto"/>
                <w:highlight w:val="none"/>
                <w:lang w:val="en-US" w:eastAsia="zh-CN"/>
              </w:rPr>
            </w:pPr>
            <w:r>
              <w:rPr>
                <w:rFonts w:hint="default" w:ascii="Times New Roman" w:hAnsi="Times New Roman" w:eastAsia="宋体" w:cs="Times New Roman"/>
                <w:b/>
                <w:bCs/>
                <w:color w:val="auto"/>
                <w:sz w:val="21"/>
                <w:szCs w:val="21"/>
                <w:highlight w:val="none"/>
              </w:rPr>
              <w:t>气压</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kPa</w:t>
            </w:r>
            <w:r>
              <w:rPr>
                <w:rFonts w:hint="default" w:ascii="Times New Roman" w:hAnsi="Times New Roman" w:eastAsia="宋体" w:cs="Times New Roman"/>
                <w:b/>
                <w:bCs/>
                <w:color w:val="auto"/>
                <w:sz w:val="21"/>
                <w:szCs w:val="21"/>
                <w:highlight w:val="none"/>
                <w:lang w:eastAsia="zh-CN"/>
              </w:rPr>
              <w:t>）</w:t>
            </w:r>
          </w:p>
        </w:tc>
        <w:tc>
          <w:tcPr>
            <w:tcW w:w="1018" w:type="pct"/>
            <w:tcBorders>
              <w:tl2br w:val="nil"/>
              <w:tr2bl w:val="nil"/>
            </w:tcBorders>
            <w:noWrap w:val="0"/>
            <w:vAlign w:val="center"/>
          </w:tcPr>
          <w:p w14:paraId="0B79EEEC">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相对湿度</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w:t>
            </w:r>
            <w:r>
              <w:rPr>
                <w:rFonts w:hint="default" w:ascii="Times New Roman" w:hAnsi="Times New Roman" w:eastAsia="宋体" w:cs="Times New Roman"/>
                <w:b/>
                <w:bCs/>
                <w:color w:val="auto"/>
                <w:sz w:val="21"/>
                <w:szCs w:val="21"/>
                <w:highlight w:val="none"/>
                <w:lang w:eastAsia="zh-CN"/>
              </w:rPr>
              <w:t>）</w:t>
            </w:r>
          </w:p>
        </w:tc>
        <w:tc>
          <w:tcPr>
            <w:tcW w:w="451" w:type="pct"/>
            <w:tcBorders>
              <w:tl2br w:val="nil"/>
              <w:tr2bl w:val="nil"/>
            </w:tcBorders>
            <w:noWrap w:val="0"/>
            <w:vAlign w:val="center"/>
          </w:tcPr>
          <w:p w14:paraId="4ECD079D">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风向</w:t>
            </w:r>
          </w:p>
        </w:tc>
        <w:tc>
          <w:tcPr>
            <w:tcW w:w="820" w:type="pct"/>
            <w:tcBorders>
              <w:tl2br w:val="nil"/>
              <w:tr2bl w:val="nil"/>
            </w:tcBorders>
            <w:noWrap w:val="0"/>
            <w:vAlign w:val="center"/>
          </w:tcPr>
          <w:p w14:paraId="771BE662">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风速</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m/s</w:t>
            </w:r>
            <w:r>
              <w:rPr>
                <w:rFonts w:hint="default" w:ascii="Times New Roman" w:hAnsi="Times New Roman" w:eastAsia="宋体" w:cs="Times New Roman"/>
                <w:b/>
                <w:bCs/>
                <w:color w:val="auto"/>
                <w:sz w:val="21"/>
                <w:szCs w:val="21"/>
                <w:highlight w:val="none"/>
                <w:lang w:eastAsia="zh-CN"/>
              </w:rPr>
              <w:t>）</w:t>
            </w:r>
          </w:p>
        </w:tc>
      </w:tr>
      <w:tr w14:paraId="3A44C1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restart"/>
            <w:tcBorders>
              <w:tl2br w:val="nil"/>
              <w:tr2bl w:val="nil"/>
            </w:tcBorders>
            <w:noWrap w:val="0"/>
            <w:vAlign w:val="center"/>
          </w:tcPr>
          <w:p w14:paraId="57810F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bookmarkStart w:id="1273" w:name="OLE_LINK424"/>
            <w:bookmarkStart w:id="1274" w:name="OLE_LINK425" w:colFirst="2" w:colLast="6"/>
            <w:r>
              <w:rPr>
                <w:rFonts w:hint="eastAsia" w:ascii="Times New Roman" w:hAnsi="Times New Roman" w:eastAsia="宋体" w:cs="Times New Roman"/>
                <w:color w:val="auto"/>
                <w:sz w:val="21"/>
                <w:szCs w:val="21"/>
                <w:highlight w:val="none"/>
                <w:lang w:val="en-US" w:eastAsia="zh-CN"/>
              </w:rPr>
              <w:t>2023.12.20</w:t>
            </w:r>
            <w:bookmarkEnd w:id="1273"/>
          </w:p>
        </w:tc>
        <w:tc>
          <w:tcPr>
            <w:tcW w:w="405" w:type="pct"/>
            <w:tcBorders>
              <w:tl2br w:val="nil"/>
              <w:tr2bl w:val="nil"/>
            </w:tcBorders>
            <w:noWrap w:val="0"/>
            <w:vAlign w:val="center"/>
          </w:tcPr>
          <w:p w14:paraId="2C011680">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782" w:type="pct"/>
            <w:tcBorders>
              <w:tl2br w:val="nil"/>
              <w:tr2bl w:val="nil"/>
            </w:tcBorders>
            <w:noWrap w:val="0"/>
            <w:vAlign w:val="center"/>
          </w:tcPr>
          <w:p w14:paraId="517C6BF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-3.2</w:t>
            </w:r>
          </w:p>
        </w:tc>
        <w:tc>
          <w:tcPr>
            <w:tcW w:w="845" w:type="pct"/>
            <w:tcBorders>
              <w:tl2br w:val="nil"/>
              <w:tr2bl w:val="nil"/>
            </w:tcBorders>
            <w:noWrap w:val="0"/>
            <w:vAlign w:val="center"/>
          </w:tcPr>
          <w:p w14:paraId="61F5C02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103.4</w:t>
            </w:r>
          </w:p>
        </w:tc>
        <w:tc>
          <w:tcPr>
            <w:tcW w:w="1018" w:type="pct"/>
            <w:tcBorders>
              <w:tl2br w:val="nil"/>
              <w:tr2bl w:val="nil"/>
            </w:tcBorders>
            <w:noWrap w:val="0"/>
            <w:vAlign w:val="center"/>
          </w:tcPr>
          <w:p w14:paraId="1AE1868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59.6</w:t>
            </w:r>
          </w:p>
        </w:tc>
        <w:tc>
          <w:tcPr>
            <w:tcW w:w="451" w:type="pct"/>
            <w:tcBorders>
              <w:tl2br w:val="nil"/>
              <w:tr2bl w:val="nil"/>
            </w:tcBorders>
            <w:noWrap w:val="0"/>
            <w:vAlign w:val="center"/>
          </w:tcPr>
          <w:p w14:paraId="1E1CFF84">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bookmarkStart w:id="1275" w:name="OLE_LINK426"/>
            <w:r>
              <w:rPr>
                <w:rFonts w:hint="eastAsia" w:ascii="Times New Roman" w:hAnsi="Times New Roman" w:eastAsia="宋体" w:cs="Times New Roman"/>
                <w:color w:val="auto"/>
                <w:sz w:val="21"/>
                <w:szCs w:val="21"/>
                <w:highlight w:val="none"/>
                <w:lang w:val="en-US" w:eastAsia="zh-CN"/>
              </w:rPr>
              <w:t>北</w:t>
            </w:r>
            <w:bookmarkEnd w:id="1275"/>
          </w:p>
        </w:tc>
        <w:tc>
          <w:tcPr>
            <w:tcW w:w="820" w:type="pct"/>
            <w:tcBorders>
              <w:tl2br w:val="nil"/>
              <w:tr2bl w:val="nil"/>
            </w:tcBorders>
            <w:noWrap w:val="0"/>
            <w:vAlign w:val="center"/>
          </w:tcPr>
          <w:p w14:paraId="4F286A4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bookmarkStart w:id="1276" w:name="OLE_LINK439"/>
            <w:r>
              <w:rPr>
                <w:rFonts w:hint="eastAsia" w:ascii="Times New Roman" w:hAnsi="Times New Roman" w:eastAsia="宋体" w:cs="Times New Roman"/>
                <w:color w:val="auto"/>
                <w:kern w:val="2"/>
                <w:sz w:val="21"/>
                <w:szCs w:val="21"/>
                <w:highlight w:val="none"/>
                <w:lang w:val="en-US" w:eastAsia="zh-CN" w:bidi="ar-SA"/>
              </w:rPr>
              <w:t>2.4</w:t>
            </w:r>
            <w:bookmarkEnd w:id="1276"/>
          </w:p>
        </w:tc>
      </w:tr>
      <w:tr w14:paraId="31F4B5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73234325">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bookmarkStart w:id="1277" w:name="OLE_LINK440" w:colFirst="6" w:colLast="6"/>
            <w:bookmarkStart w:id="1278" w:name="OLE_LINK427" w:colFirst="5" w:colLast="5"/>
          </w:p>
        </w:tc>
        <w:tc>
          <w:tcPr>
            <w:tcW w:w="405" w:type="pct"/>
            <w:tcBorders>
              <w:tl2br w:val="nil"/>
              <w:tr2bl w:val="nil"/>
            </w:tcBorders>
            <w:noWrap w:val="0"/>
            <w:vAlign w:val="center"/>
          </w:tcPr>
          <w:p w14:paraId="637E8A75">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782" w:type="pct"/>
            <w:tcBorders>
              <w:tl2br w:val="nil"/>
              <w:tr2bl w:val="nil"/>
            </w:tcBorders>
            <w:noWrap w:val="0"/>
            <w:vAlign w:val="center"/>
          </w:tcPr>
          <w:p w14:paraId="0D96019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845" w:type="pct"/>
            <w:tcBorders>
              <w:tl2br w:val="nil"/>
              <w:tr2bl w:val="nil"/>
            </w:tcBorders>
            <w:noWrap w:val="0"/>
            <w:vAlign w:val="center"/>
          </w:tcPr>
          <w:p w14:paraId="1022EFA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103.2</w:t>
            </w:r>
          </w:p>
        </w:tc>
        <w:tc>
          <w:tcPr>
            <w:tcW w:w="1018" w:type="pct"/>
            <w:tcBorders>
              <w:tl2br w:val="nil"/>
              <w:tr2bl w:val="nil"/>
            </w:tcBorders>
            <w:noWrap w:val="0"/>
            <w:vAlign w:val="center"/>
          </w:tcPr>
          <w:p w14:paraId="4212993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55.4</w:t>
            </w:r>
          </w:p>
        </w:tc>
        <w:tc>
          <w:tcPr>
            <w:tcW w:w="451" w:type="pct"/>
            <w:tcBorders>
              <w:tl2br w:val="nil"/>
              <w:tr2bl w:val="nil"/>
            </w:tcBorders>
            <w:noWrap w:val="0"/>
            <w:vAlign w:val="center"/>
          </w:tcPr>
          <w:p w14:paraId="77F7807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北</w:t>
            </w:r>
          </w:p>
        </w:tc>
        <w:tc>
          <w:tcPr>
            <w:tcW w:w="820" w:type="pct"/>
            <w:tcBorders>
              <w:tl2br w:val="nil"/>
              <w:tr2bl w:val="nil"/>
            </w:tcBorders>
            <w:noWrap w:val="0"/>
            <w:vAlign w:val="center"/>
          </w:tcPr>
          <w:p w14:paraId="6A96D03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2.4</w:t>
            </w:r>
          </w:p>
        </w:tc>
      </w:tr>
      <w:tr w14:paraId="6217BF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6BCC3C85">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37614AA9">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782" w:type="pct"/>
            <w:tcBorders>
              <w:tl2br w:val="nil"/>
              <w:tr2bl w:val="nil"/>
            </w:tcBorders>
            <w:noWrap w:val="0"/>
            <w:vAlign w:val="center"/>
          </w:tcPr>
          <w:p w14:paraId="781BA58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845" w:type="pct"/>
            <w:tcBorders>
              <w:tl2br w:val="nil"/>
              <w:tr2bl w:val="nil"/>
            </w:tcBorders>
            <w:noWrap w:val="0"/>
            <w:vAlign w:val="center"/>
          </w:tcPr>
          <w:p w14:paraId="664F130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103.1</w:t>
            </w:r>
          </w:p>
        </w:tc>
        <w:tc>
          <w:tcPr>
            <w:tcW w:w="1018" w:type="pct"/>
            <w:tcBorders>
              <w:tl2br w:val="nil"/>
              <w:tr2bl w:val="nil"/>
            </w:tcBorders>
            <w:noWrap w:val="0"/>
            <w:vAlign w:val="center"/>
          </w:tcPr>
          <w:p w14:paraId="1FCDABE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54.0</w:t>
            </w:r>
          </w:p>
        </w:tc>
        <w:tc>
          <w:tcPr>
            <w:tcW w:w="451" w:type="pct"/>
            <w:tcBorders>
              <w:tl2br w:val="nil"/>
              <w:tr2bl w:val="nil"/>
            </w:tcBorders>
            <w:noWrap w:val="0"/>
            <w:vAlign w:val="center"/>
          </w:tcPr>
          <w:p w14:paraId="7E2A9C3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北</w:t>
            </w:r>
          </w:p>
        </w:tc>
        <w:tc>
          <w:tcPr>
            <w:tcW w:w="820" w:type="pct"/>
            <w:tcBorders>
              <w:tl2br w:val="nil"/>
              <w:tr2bl w:val="nil"/>
            </w:tcBorders>
            <w:noWrap w:val="0"/>
            <w:vAlign w:val="center"/>
          </w:tcPr>
          <w:p w14:paraId="07C3ADCD">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2.4</w:t>
            </w:r>
          </w:p>
        </w:tc>
      </w:tr>
      <w:tr w14:paraId="515796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606E7079">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6DB60A7D">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782" w:type="pct"/>
            <w:tcBorders>
              <w:tl2br w:val="nil"/>
              <w:tr2bl w:val="nil"/>
            </w:tcBorders>
            <w:noWrap w:val="0"/>
            <w:vAlign w:val="center"/>
          </w:tcPr>
          <w:p w14:paraId="03B30D6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w:t>
            </w:r>
          </w:p>
        </w:tc>
        <w:tc>
          <w:tcPr>
            <w:tcW w:w="845" w:type="pct"/>
            <w:tcBorders>
              <w:tl2br w:val="nil"/>
              <w:tr2bl w:val="nil"/>
            </w:tcBorders>
            <w:noWrap w:val="0"/>
            <w:vAlign w:val="center"/>
          </w:tcPr>
          <w:p w14:paraId="2E4A9F3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103.3</w:t>
            </w:r>
          </w:p>
        </w:tc>
        <w:tc>
          <w:tcPr>
            <w:tcW w:w="1018" w:type="pct"/>
            <w:tcBorders>
              <w:tl2br w:val="nil"/>
              <w:tr2bl w:val="nil"/>
            </w:tcBorders>
            <w:noWrap w:val="0"/>
            <w:vAlign w:val="center"/>
          </w:tcPr>
          <w:p w14:paraId="7651D96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57.8</w:t>
            </w:r>
          </w:p>
        </w:tc>
        <w:tc>
          <w:tcPr>
            <w:tcW w:w="451" w:type="pct"/>
            <w:tcBorders>
              <w:tl2br w:val="nil"/>
              <w:tr2bl w:val="nil"/>
            </w:tcBorders>
            <w:noWrap w:val="0"/>
            <w:vAlign w:val="center"/>
          </w:tcPr>
          <w:p w14:paraId="53A3FA2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bookmarkStart w:id="1279" w:name="OLE_LINK430"/>
            <w:r>
              <w:rPr>
                <w:rFonts w:hint="eastAsia" w:ascii="Times New Roman" w:hAnsi="Times New Roman" w:eastAsia="宋体" w:cs="Times New Roman"/>
                <w:color w:val="auto"/>
                <w:sz w:val="21"/>
                <w:szCs w:val="21"/>
                <w:highlight w:val="none"/>
                <w:lang w:val="en-US" w:eastAsia="zh-CN"/>
              </w:rPr>
              <w:t>北</w:t>
            </w:r>
            <w:bookmarkEnd w:id="1279"/>
          </w:p>
        </w:tc>
        <w:tc>
          <w:tcPr>
            <w:tcW w:w="820" w:type="pct"/>
            <w:tcBorders>
              <w:tl2br w:val="nil"/>
              <w:tr2bl w:val="nil"/>
            </w:tcBorders>
            <w:noWrap w:val="0"/>
            <w:vAlign w:val="center"/>
          </w:tcPr>
          <w:p w14:paraId="52925CF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2.4</w:t>
            </w:r>
          </w:p>
        </w:tc>
      </w:tr>
      <w:bookmarkEnd w:id="1277"/>
      <w:bookmarkEnd w:id="1278"/>
      <w:tr w14:paraId="1C2CFD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3" w:hRule="atLeast"/>
          <w:jc w:val="center"/>
        </w:trPr>
        <w:tc>
          <w:tcPr>
            <w:tcW w:w="675" w:type="pct"/>
            <w:vMerge w:val="restart"/>
            <w:tcBorders>
              <w:tl2br w:val="nil"/>
              <w:tr2bl w:val="nil"/>
            </w:tcBorders>
            <w:noWrap w:val="0"/>
            <w:vAlign w:val="center"/>
          </w:tcPr>
          <w:p w14:paraId="26AC35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2023.12.21</w:t>
            </w:r>
          </w:p>
        </w:tc>
        <w:tc>
          <w:tcPr>
            <w:tcW w:w="405" w:type="pct"/>
            <w:tcBorders>
              <w:tl2br w:val="nil"/>
              <w:tr2bl w:val="nil"/>
            </w:tcBorders>
            <w:noWrap w:val="0"/>
            <w:vAlign w:val="center"/>
          </w:tcPr>
          <w:p w14:paraId="42D386AB">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782" w:type="pct"/>
            <w:tcBorders>
              <w:tl2br w:val="nil"/>
              <w:tr2bl w:val="nil"/>
            </w:tcBorders>
            <w:noWrap w:val="0"/>
            <w:vAlign w:val="center"/>
          </w:tcPr>
          <w:p w14:paraId="735A25B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-5.2</w:t>
            </w:r>
          </w:p>
        </w:tc>
        <w:tc>
          <w:tcPr>
            <w:tcW w:w="845" w:type="pct"/>
            <w:tcBorders>
              <w:tl2br w:val="nil"/>
              <w:tr2bl w:val="nil"/>
            </w:tcBorders>
            <w:noWrap w:val="0"/>
            <w:vAlign w:val="center"/>
          </w:tcPr>
          <w:p w14:paraId="3E2479B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103.4</w:t>
            </w:r>
          </w:p>
        </w:tc>
        <w:tc>
          <w:tcPr>
            <w:tcW w:w="1018" w:type="pct"/>
            <w:tcBorders>
              <w:tl2br w:val="nil"/>
              <w:tr2bl w:val="nil"/>
            </w:tcBorders>
            <w:noWrap w:val="0"/>
            <w:vAlign w:val="center"/>
          </w:tcPr>
          <w:p w14:paraId="2E2D898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46.2</w:t>
            </w:r>
          </w:p>
        </w:tc>
        <w:tc>
          <w:tcPr>
            <w:tcW w:w="451" w:type="pct"/>
            <w:tcBorders>
              <w:tl2br w:val="nil"/>
              <w:tr2bl w:val="nil"/>
            </w:tcBorders>
            <w:noWrap w:val="0"/>
            <w:vAlign w:val="center"/>
          </w:tcPr>
          <w:p w14:paraId="7B020A1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bookmarkStart w:id="1280" w:name="OLE_LINK428"/>
            <w:r>
              <w:rPr>
                <w:rFonts w:hint="eastAsia" w:ascii="Times New Roman" w:hAnsi="Times New Roman" w:eastAsia="宋体" w:cs="Times New Roman"/>
                <w:color w:val="auto"/>
                <w:sz w:val="21"/>
                <w:szCs w:val="21"/>
                <w:highlight w:val="none"/>
                <w:lang w:val="en-US" w:eastAsia="zh-CN"/>
              </w:rPr>
              <w:t>西北</w:t>
            </w:r>
            <w:bookmarkEnd w:id="1280"/>
          </w:p>
        </w:tc>
        <w:tc>
          <w:tcPr>
            <w:tcW w:w="820" w:type="pct"/>
            <w:tcBorders>
              <w:tl2br w:val="nil"/>
              <w:tr2bl w:val="nil"/>
            </w:tcBorders>
            <w:noWrap w:val="0"/>
            <w:vAlign w:val="center"/>
          </w:tcPr>
          <w:p w14:paraId="78DE024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bookmarkStart w:id="1281" w:name="OLE_LINK441"/>
            <w:r>
              <w:rPr>
                <w:rFonts w:hint="eastAsia" w:ascii="Times New Roman" w:hAnsi="Times New Roman" w:eastAsia="宋体" w:cs="Times New Roman"/>
                <w:color w:val="auto"/>
                <w:kern w:val="2"/>
                <w:sz w:val="21"/>
                <w:szCs w:val="21"/>
                <w:highlight w:val="none"/>
                <w:lang w:val="en-US" w:eastAsia="zh-CN" w:bidi="ar-SA"/>
              </w:rPr>
              <w:t>2.6</w:t>
            </w:r>
            <w:bookmarkEnd w:id="1281"/>
          </w:p>
        </w:tc>
      </w:tr>
      <w:tr w14:paraId="10DB41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635FB8DA">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bookmarkStart w:id="1282" w:name="OLE_LINK429" w:colFirst="5" w:colLast="5"/>
          </w:p>
        </w:tc>
        <w:tc>
          <w:tcPr>
            <w:tcW w:w="405" w:type="pct"/>
            <w:tcBorders>
              <w:tl2br w:val="nil"/>
              <w:tr2bl w:val="nil"/>
            </w:tcBorders>
            <w:noWrap w:val="0"/>
            <w:vAlign w:val="center"/>
          </w:tcPr>
          <w:p w14:paraId="70E1E4A6">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782" w:type="pct"/>
            <w:tcBorders>
              <w:tl2br w:val="nil"/>
              <w:tr2bl w:val="nil"/>
            </w:tcBorders>
            <w:noWrap w:val="0"/>
            <w:vAlign w:val="center"/>
          </w:tcPr>
          <w:p w14:paraId="51DA60CD">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-0.8</w:t>
            </w:r>
          </w:p>
        </w:tc>
        <w:tc>
          <w:tcPr>
            <w:tcW w:w="845" w:type="pct"/>
            <w:tcBorders>
              <w:tl2br w:val="nil"/>
              <w:tr2bl w:val="nil"/>
            </w:tcBorders>
            <w:noWrap w:val="0"/>
            <w:vAlign w:val="center"/>
          </w:tcPr>
          <w:p w14:paraId="60167AE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103.3</w:t>
            </w:r>
          </w:p>
        </w:tc>
        <w:tc>
          <w:tcPr>
            <w:tcW w:w="1018" w:type="pct"/>
            <w:tcBorders>
              <w:tl2br w:val="nil"/>
              <w:tr2bl w:val="nil"/>
            </w:tcBorders>
            <w:noWrap w:val="0"/>
            <w:vAlign w:val="center"/>
          </w:tcPr>
          <w:p w14:paraId="0EEA6FF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37.8</w:t>
            </w:r>
          </w:p>
        </w:tc>
        <w:tc>
          <w:tcPr>
            <w:tcW w:w="451" w:type="pct"/>
            <w:tcBorders>
              <w:tl2br w:val="nil"/>
              <w:tr2bl w:val="nil"/>
            </w:tcBorders>
            <w:noWrap w:val="0"/>
            <w:vAlign w:val="center"/>
          </w:tcPr>
          <w:p w14:paraId="4324B9A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西北</w:t>
            </w:r>
          </w:p>
        </w:tc>
        <w:tc>
          <w:tcPr>
            <w:tcW w:w="820" w:type="pct"/>
            <w:tcBorders>
              <w:tl2br w:val="nil"/>
              <w:tr2bl w:val="nil"/>
            </w:tcBorders>
            <w:noWrap w:val="0"/>
            <w:vAlign w:val="center"/>
          </w:tcPr>
          <w:p w14:paraId="5631961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2.6</w:t>
            </w:r>
          </w:p>
        </w:tc>
      </w:tr>
      <w:tr w14:paraId="228830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592EFB87">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33FD568A">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782" w:type="pct"/>
            <w:tcBorders>
              <w:tl2br w:val="nil"/>
              <w:tr2bl w:val="nil"/>
            </w:tcBorders>
            <w:noWrap w:val="0"/>
            <w:vAlign w:val="center"/>
          </w:tcPr>
          <w:p w14:paraId="54CFB06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-0.7</w:t>
            </w:r>
          </w:p>
        </w:tc>
        <w:tc>
          <w:tcPr>
            <w:tcW w:w="845" w:type="pct"/>
            <w:tcBorders>
              <w:tl2br w:val="nil"/>
              <w:tr2bl w:val="nil"/>
            </w:tcBorders>
            <w:noWrap w:val="0"/>
            <w:vAlign w:val="center"/>
          </w:tcPr>
          <w:p w14:paraId="4746FF19">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103.3</w:t>
            </w:r>
          </w:p>
        </w:tc>
        <w:tc>
          <w:tcPr>
            <w:tcW w:w="1018" w:type="pct"/>
            <w:tcBorders>
              <w:tl2br w:val="nil"/>
              <w:tr2bl w:val="nil"/>
            </w:tcBorders>
            <w:noWrap w:val="0"/>
            <w:vAlign w:val="center"/>
          </w:tcPr>
          <w:p w14:paraId="4FFE89C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34.6</w:t>
            </w:r>
          </w:p>
        </w:tc>
        <w:tc>
          <w:tcPr>
            <w:tcW w:w="451" w:type="pct"/>
            <w:tcBorders>
              <w:tl2br w:val="nil"/>
              <w:tr2bl w:val="nil"/>
            </w:tcBorders>
            <w:noWrap w:val="0"/>
            <w:vAlign w:val="center"/>
          </w:tcPr>
          <w:p w14:paraId="677510A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西北</w:t>
            </w:r>
          </w:p>
        </w:tc>
        <w:tc>
          <w:tcPr>
            <w:tcW w:w="820" w:type="pct"/>
            <w:tcBorders>
              <w:tl2br w:val="nil"/>
              <w:tr2bl w:val="nil"/>
            </w:tcBorders>
            <w:noWrap w:val="0"/>
            <w:vAlign w:val="center"/>
          </w:tcPr>
          <w:p w14:paraId="1BFAEBC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2.6</w:t>
            </w:r>
          </w:p>
        </w:tc>
      </w:tr>
      <w:tr w14:paraId="3094BE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639A7DF0">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33E26D5D">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782" w:type="pct"/>
            <w:tcBorders>
              <w:tl2br w:val="nil"/>
              <w:tr2bl w:val="nil"/>
            </w:tcBorders>
            <w:noWrap w:val="0"/>
            <w:vAlign w:val="center"/>
          </w:tcPr>
          <w:p w14:paraId="4372B9CD">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c>
          <w:tcPr>
            <w:tcW w:w="845" w:type="pct"/>
            <w:tcBorders>
              <w:tl2br w:val="nil"/>
              <w:tr2bl w:val="nil"/>
            </w:tcBorders>
            <w:noWrap w:val="0"/>
            <w:vAlign w:val="center"/>
          </w:tcPr>
          <w:p w14:paraId="506150F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103.3</w:t>
            </w:r>
          </w:p>
        </w:tc>
        <w:tc>
          <w:tcPr>
            <w:tcW w:w="1018" w:type="pct"/>
            <w:tcBorders>
              <w:tl2br w:val="nil"/>
              <w:tr2bl w:val="nil"/>
            </w:tcBorders>
            <w:noWrap w:val="0"/>
            <w:vAlign w:val="center"/>
          </w:tcPr>
          <w:p w14:paraId="437D2CF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41.1</w:t>
            </w:r>
          </w:p>
        </w:tc>
        <w:tc>
          <w:tcPr>
            <w:tcW w:w="451" w:type="pct"/>
            <w:tcBorders>
              <w:tl2br w:val="nil"/>
              <w:tr2bl w:val="nil"/>
            </w:tcBorders>
            <w:noWrap w:val="0"/>
            <w:vAlign w:val="center"/>
          </w:tcPr>
          <w:p w14:paraId="65A6A0A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西北</w:t>
            </w:r>
          </w:p>
        </w:tc>
        <w:tc>
          <w:tcPr>
            <w:tcW w:w="820" w:type="pct"/>
            <w:tcBorders>
              <w:tl2br w:val="nil"/>
              <w:tr2bl w:val="nil"/>
            </w:tcBorders>
            <w:noWrap w:val="0"/>
            <w:vAlign w:val="center"/>
          </w:tcPr>
          <w:p w14:paraId="1AE6EC1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2.6</w:t>
            </w:r>
          </w:p>
        </w:tc>
      </w:tr>
      <w:bookmarkEnd w:id="1282"/>
      <w:tr w14:paraId="4A8508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restart"/>
            <w:tcBorders>
              <w:tl2br w:val="nil"/>
              <w:tr2bl w:val="nil"/>
            </w:tcBorders>
            <w:noWrap w:val="0"/>
            <w:vAlign w:val="center"/>
          </w:tcPr>
          <w:p w14:paraId="618CD2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bookmarkStart w:id="1283" w:name="OLE_LINK431" w:colFirst="5" w:colLast="5"/>
            <w:r>
              <w:rPr>
                <w:rFonts w:hint="eastAsia" w:ascii="Times New Roman" w:hAnsi="Times New Roman" w:eastAsia="宋体" w:cs="Times New Roman"/>
                <w:color w:val="auto"/>
                <w:sz w:val="21"/>
                <w:szCs w:val="21"/>
                <w:highlight w:val="none"/>
                <w:lang w:val="en-US" w:eastAsia="zh-CN"/>
              </w:rPr>
              <w:t>2023.12.22</w:t>
            </w:r>
          </w:p>
        </w:tc>
        <w:tc>
          <w:tcPr>
            <w:tcW w:w="405" w:type="pct"/>
            <w:tcBorders>
              <w:tl2br w:val="nil"/>
              <w:tr2bl w:val="nil"/>
            </w:tcBorders>
            <w:noWrap w:val="0"/>
            <w:vAlign w:val="center"/>
          </w:tcPr>
          <w:p w14:paraId="2AB2BED8">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782" w:type="pct"/>
            <w:tcBorders>
              <w:tl2br w:val="nil"/>
              <w:tr2bl w:val="nil"/>
            </w:tcBorders>
            <w:noWrap w:val="0"/>
            <w:vAlign w:val="center"/>
          </w:tcPr>
          <w:p w14:paraId="03B3639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w:t>
            </w:r>
          </w:p>
        </w:tc>
        <w:tc>
          <w:tcPr>
            <w:tcW w:w="845" w:type="pct"/>
            <w:tcBorders>
              <w:tl2br w:val="nil"/>
              <w:tr2bl w:val="nil"/>
            </w:tcBorders>
            <w:noWrap w:val="0"/>
            <w:vAlign w:val="center"/>
          </w:tcPr>
          <w:p w14:paraId="443869B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103.4</w:t>
            </w:r>
          </w:p>
        </w:tc>
        <w:tc>
          <w:tcPr>
            <w:tcW w:w="1018" w:type="pct"/>
            <w:tcBorders>
              <w:tl2br w:val="nil"/>
              <w:tr2bl w:val="nil"/>
            </w:tcBorders>
            <w:noWrap w:val="0"/>
            <w:vAlign w:val="center"/>
          </w:tcPr>
          <w:p w14:paraId="1E502EB4">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49.6</w:t>
            </w:r>
          </w:p>
        </w:tc>
        <w:tc>
          <w:tcPr>
            <w:tcW w:w="451" w:type="pct"/>
            <w:tcBorders>
              <w:tl2br w:val="nil"/>
              <w:tr2bl w:val="nil"/>
            </w:tcBorders>
            <w:noWrap w:val="0"/>
            <w:vAlign w:val="center"/>
          </w:tcPr>
          <w:p w14:paraId="1D80A2A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北</w:t>
            </w:r>
          </w:p>
        </w:tc>
        <w:tc>
          <w:tcPr>
            <w:tcW w:w="820" w:type="pct"/>
            <w:tcBorders>
              <w:tl2br w:val="nil"/>
              <w:tr2bl w:val="nil"/>
            </w:tcBorders>
            <w:noWrap w:val="0"/>
            <w:vAlign w:val="center"/>
          </w:tcPr>
          <w:p w14:paraId="5FE653A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bookmarkStart w:id="1284" w:name="OLE_LINK442"/>
            <w:r>
              <w:rPr>
                <w:rFonts w:hint="eastAsia" w:ascii="Times New Roman" w:hAnsi="Times New Roman" w:eastAsia="宋体" w:cs="Times New Roman"/>
                <w:color w:val="auto"/>
                <w:kern w:val="2"/>
                <w:sz w:val="21"/>
                <w:szCs w:val="21"/>
                <w:highlight w:val="none"/>
                <w:lang w:val="en-US" w:eastAsia="zh-CN" w:bidi="ar-SA"/>
              </w:rPr>
              <w:t>1.1</w:t>
            </w:r>
            <w:bookmarkEnd w:id="1284"/>
          </w:p>
        </w:tc>
      </w:tr>
      <w:tr w14:paraId="6EED21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369BBB4B">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bookmarkStart w:id="1285" w:name="OLE_LINK443" w:colFirst="6" w:colLast="6"/>
          </w:p>
        </w:tc>
        <w:tc>
          <w:tcPr>
            <w:tcW w:w="405" w:type="pct"/>
            <w:tcBorders>
              <w:tl2br w:val="nil"/>
              <w:tr2bl w:val="nil"/>
            </w:tcBorders>
            <w:noWrap w:val="0"/>
            <w:vAlign w:val="center"/>
          </w:tcPr>
          <w:p w14:paraId="26D6A877">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782" w:type="pct"/>
            <w:tcBorders>
              <w:tl2br w:val="nil"/>
              <w:tr2bl w:val="nil"/>
            </w:tcBorders>
            <w:noWrap w:val="0"/>
            <w:vAlign w:val="center"/>
          </w:tcPr>
          <w:p w14:paraId="4CB9C48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845" w:type="pct"/>
            <w:tcBorders>
              <w:tl2br w:val="nil"/>
              <w:tr2bl w:val="nil"/>
            </w:tcBorders>
            <w:noWrap w:val="0"/>
            <w:vAlign w:val="center"/>
          </w:tcPr>
          <w:p w14:paraId="781C567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103.1</w:t>
            </w:r>
          </w:p>
        </w:tc>
        <w:tc>
          <w:tcPr>
            <w:tcW w:w="1018" w:type="pct"/>
            <w:tcBorders>
              <w:tl2br w:val="nil"/>
              <w:tr2bl w:val="nil"/>
            </w:tcBorders>
            <w:noWrap w:val="0"/>
            <w:vAlign w:val="center"/>
          </w:tcPr>
          <w:p w14:paraId="44C124E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47.4</w:t>
            </w:r>
          </w:p>
        </w:tc>
        <w:tc>
          <w:tcPr>
            <w:tcW w:w="451" w:type="pct"/>
            <w:tcBorders>
              <w:tl2br w:val="nil"/>
              <w:tr2bl w:val="nil"/>
            </w:tcBorders>
            <w:noWrap w:val="0"/>
            <w:vAlign w:val="center"/>
          </w:tcPr>
          <w:p w14:paraId="39DED1D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北</w:t>
            </w:r>
          </w:p>
        </w:tc>
        <w:tc>
          <w:tcPr>
            <w:tcW w:w="820" w:type="pct"/>
            <w:tcBorders>
              <w:tl2br w:val="nil"/>
              <w:tr2bl w:val="nil"/>
            </w:tcBorders>
            <w:noWrap w:val="0"/>
            <w:vAlign w:val="center"/>
          </w:tcPr>
          <w:p w14:paraId="67F40E9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1.1</w:t>
            </w:r>
          </w:p>
        </w:tc>
      </w:tr>
      <w:tr w14:paraId="7DA8EE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214BD7A6">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204D8470">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782" w:type="pct"/>
            <w:tcBorders>
              <w:tl2br w:val="nil"/>
              <w:tr2bl w:val="nil"/>
            </w:tcBorders>
            <w:noWrap w:val="0"/>
            <w:vAlign w:val="center"/>
          </w:tcPr>
          <w:p w14:paraId="4167614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845" w:type="pct"/>
            <w:tcBorders>
              <w:tl2br w:val="nil"/>
              <w:tr2bl w:val="nil"/>
            </w:tcBorders>
            <w:noWrap w:val="0"/>
            <w:vAlign w:val="center"/>
          </w:tcPr>
          <w:p w14:paraId="2D62640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103.1</w:t>
            </w:r>
          </w:p>
        </w:tc>
        <w:tc>
          <w:tcPr>
            <w:tcW w:w="1018" w:type="pct"/>
            <w:tcBorders>
              <w:tl2br w:val="nil"/>
              <w:tr2bl w:val="nil"/>
            </w:tcBorders>
            <w:noWrap w:val="0"/>
            <w:vAlign w:val="center"/>
          </w:tcPr>
          <w:p w14:paraId="2D3ED63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42.5</w:t>
            </w:r>
          </w:p>
        </w:tc>
        <w:tc>
          <w:tcPr>
            <w:tcW w:w="451" w:type="pct"/>
            <w:tcBorders>
              <w:tl2br w:val="nil"/>
              <w:tr2bl w:val="nil"/>
            </w:tcBorders>
            <w:noWrap w:val="0"/>
            <w:vAlign w:val="center"/>
          </w:tcPr>
          <w:p w14:paraId="1D751A1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北</w:t>
            </w:r>
          </w:p>
        </w:tc>
        <w:tc>
          <w:tcPr>
            <w:tcW w:w="820" w:type="pct"/>
            <w:tcBorders>
              <w:tl2br w:val="nil"/>
              <w:tr2bl w:val="nil"/>
            </w:tcBorders>
            <w:noWrap w:val="0"/>
            <w:vAlign w:val="center"/>
          </w:tcPr>
          <w:p w14:paraId="6F96DD1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1.1</w:t>
            </w:r>
          </w:p>
        </w:tc>
      </w:tr>
      <w:tr w14:paraId="5F7E58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3EF1063B">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2148A896">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782" w:type="pct"/>
            <w:tcBorders>
              <w:tl2br w:val="nil"/>
              <w:tr2bl w:val="nil"/>
            </w:tcBorders>
            <w:noWrap w:val="0"/>
            <w:vAlign w:val="center"/>
          </w:tcPr>
          <w:p w14:paraId="52BA425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w:t>
            </w:r>
          </w:p>
        </w:tc>
        <w:tc>
          <w:tcPr>
            <w:tcW w:w="845" w:type="pct"/>
            <w:tcBorders>
              <w:tl2br w:val="nil"/>
              <w:tr2bl w:val="nil"/>
            </w:tcBorders>
            <w:noWrap w:val="0"/>
            <w:vAlign w:val="center"/>
          </w:tcPr>
          <w:p w14:paraId="3DB8972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103.3</w:t>
            </w:r>
          </w:p>
        </w:tc>
        <w:tc>
          <w:tcPr>
            <w:tcW w:w="1018" w:type="pct"/>
            <w:tcBorders>
              <w:tl2br w:val="nil"/>
              <w:tr2bl w:val="nil"/>
            </w:tcBorders>
            <w:noWrap w:val="0"/>
            <w:vAlign w:val="center"/>
          </w:tcPr>
          <w:p w14:paraId="63BF5B8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44.8</w:t>
            </w:r>
          </w:p>
        </w:tc>
        <w:tc>
          <w:tcPr>
            <w:tcW w:w="451" w:type="pct"/>
            <w:tcBorders>
              <w:tl2br w:val="nil"/>
              <w:tr2bl w:val="nil"/>
            </w:tcBorders>
            <w:noWrap w:val="0"/>
            <w:vAlign w:val="center"/>
          </w:tcPr>
          <w:p w14:paraId="17E78E6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bookmarkStart w:id="1286" w:name="OLE_LINK434"/>
            <w:r>
              <w:rPr>
                <w:rFonts w:hint="eastAsia" w:ascii="Times New Roman" w:hAnsi="Times New Roman" w:eastAsia="宋体" w:cs="Times New Roman"/>
                <w:color w:val="auto"/>
                <w:sz w:val="21"/>
                <w:szCs w:val="21"/>
                <w:highlight w:val="none"/>
                <w:lang w:val="en-US" w:eastAsia="zh-CN"/>
              </w:rPr>
              <w:t>北</w:t>
            </w:r>
            <w:bookmarkEnd w:id="1286"/>
          </w:p>
        </w:tc>
        <w:tc>
          <w:tcPr>
            <w:tcW w:w="820" w:type="pct"/>
            <w:tcBorders>
              <w:tl2br w:val="nil"/>
              <w:tr2bl w:val="nil"/>
            </w:tcBorders>
            <w:noWrap w:val="0"/>
            <w:vAlign w:val="center"/>
          </w:tcPr>
          <w:p w14:paraId="7CE9376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1.1</w:t>
            </w:r>
          </w:p>
        </w:tc>
      </w:tr>
      <w:bookmarkEnd w:id="1283"/>
      <w:bookmarkEnd w:id="1285"/>
      <w:tr w14:paraId="5CF5E0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restart"/>
            <w:tcBorders>
              <w:tl2br w:val="nil"/>
              <w:tr2bl w:val="nil"/>
            </w:tcBorders>
            <w:noWrap w:val="0"/>
            <w:vAlign w:val="center"/>
          </w:tcPr>
          <w:p w14:paraId="6CA452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2023.12.23</w:t>
            </w:r>
          </w:p>
        </w:tc>
        <w:tc>
          <w:tcPr>
            <w:tcW w:w="405" w:type="pct"/>
            <w:tcBorders>
              <w:tl2br w:val="nil"/>
              <w:tr2bl w:val="nil"/>
            </w:tcBorders>
            <w:noWrap w:val="0"/>
            <w:vAlign w:val="center"/>
          </w:tcPr>
          <w:p w14:paraId="23E0106E">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782" w:type="pct"/>
            <w:tcBorders>
              <w:tl2br w:val="nil"/>
              <w:tr2bl w:val="nil"/>
            </w:tcBorders>
            <w:noWrap w:val="0"/>
            <w:vAlign w:val="center"/>
          </w:tcPr>
          <w:p w14:paraId="1357713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w:t>
            </w:r>
          </w:p>
        </w:tc>
        <w:tc>
          <w:tcPr>
            <w:tcW w:w="845" w:type="pct"/>
            <w:tcBorders>
              <w:tl2br w:val="nil"/>
              <w:tr2bl w:val="nil"/>
            </w:tcBorders>
            <w:noWrap w:val="0"/>
            <w:vAlign w:val="center"/>
          </w:tcPr>
          <w:p w14:paraId="4A222BE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103.2</w:t>
            </w:r>
          </w:p>
        </w:tc>
        <w:tc>
          <w:tcPr>
            <w:tcW w:w="1018" w:type="pct"/>
            <w:tcBorders>
              <w:tl2br w:val="nil"/>
              <w:tr2bl w:val="nil"/>
            </w:tcBorders>
            <w:noWrap w:val="0"/>
            <w:vAlign w:val="center"/>
          </w:tcPr>
          <w:p w14:paraId="4F20651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62.7</w:t>
            </w:r>
          </w:p>
        </w:tc>
        <w:tc>
          <w:tcPr>
            <w:tcW w:w="451" w:type="pct"/>
            <w:tcBorders>
              <w:tl2br w:val="nil"/>
              <w:tr2bl w:val="nil"/>
            </w:tcBorders>
            <w:noWrap w:val="0"/>
            <w:vAlign w:val="center"/>
          </w:tcPr>
          <w:p w14:paraId="034AA07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bookmarkStart w:id="1287" w:name="OLE_LINK432"/>
            <w:r>
              <w:rPr>
                <w:rFonts w:hint="eastAsia" w:ascii="Times New Roman" w:hAnsi="Times New Roman" w:eastAsia="宋体" w:cs="Times New Roman"/>
                <w:color w:val="auto"/>
                <w:sz w:val="21"/>
                <w:szCs w:val="21"/>
                <w:highlight w:val="none"/>
                <w:lang w:val="en-US" w:eastAsia="zh-CN"/>
              </w:rPr>
              <w:t>东</w:t>
            </w:r>
            <w:bookmarkEnd w:id="1287"/>
          </w:p>
        </w:tc>
        <w:tc>
          <w:tcPr>
            <w:tcW w:w="820" w:type="pct"/>
            <w:tcBorders>
              <w:tl2br w:val="nil"/>
              <w:tr2bl w:val="nil"/>
            </w:tcBorders>
            <w:noWrap w:val="0"/>
            <w:vAlign w:val="center"/>
          </w:tcPr>
          <w:p w14:paraId="308E269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bookmarkStart w:id="1288" w:name="OLE_LINK444"/>
            <w:r>
              <w:rPr>
                <w:rFonts w:hint="eastAsia" w:ascii="Times New Roman" w:hAnsi="Times New Roman" w:eastAsia="宋体" w:cs="Times New Roman"/>
                <w:color w:val="auto"/>
                <w:kern w:val="2"/>
                <w:sz w:val="21"/>
                <w:szCs w:val="21"/>
                <w:highlight w:val="none"/>
                <w:lang w:val="en-US" w:eastAsia="zh-CN" w:bidi="ar-SA"/>
              </w:rPr>
              <w:t>1.2</w:t>
            </w:r>
            <w:bookmarkEnd w:id="1288"/>
          </w:p>
        </w:tc>
      </w:tr>
      <w:tr w14:paraId="2C6326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6EAC3DCF">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bookmarkStart w:id="1289" w:name="OLE_LINK433" w:colFirst="5" w:colLast="5"/>
          </w:p>
        </w:tc>
        <w:tc>
          <w:tcPr>
            <w:tcW w:w="405" w:type="pct"/>
            <w:tcBorders>
              <w:tl2br w:val="nil"/>
              <w:tr2bl w:val="nil"/>
            </w:tcBorders>
            <w:noWrap w:val="0"/>
            <w:vAlign w:val="center"/>
          </w:tcPr>
          <w:p w14:paraId="16BBA687">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782" w:type="pct"/>
            <w:tcBorders>
              <w:tl2br w:val="nil"/>
              <w:tr2bl w:val="nil"/>
            </w:tcBorders>
            <w:noWrap w:val="0"/>
            <w:vAlign w:val="center"/>
          </w:tcPr>
          <w:p w14:paraId="0A55932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w:t>
            </w:r>
          </w:p>
        </w:tc>
        <w:tc>
          <w:tcPr>
            <w:tcW w:w="845" w:type="pct"/>
            <w:tcBorders>
              <w:tl2br w:val="nil"/>
              <w:tr2bl w:val="nil"/>
            </w:tcBorders>
            <w:noWrap w:val="0"/>
            <w:vAlign w:val="center"/>
          </w:tcPr>
          <w:p w14:paraId="128B355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103.0</w:t>
            </w:r>
          </w:p>
        </w:tc>
        <w:tc>
          <w:tcPr>
            <w:tcW w:w="1018" w:type="pct"/>
            <w:tcBorders>
              <w:tl2br w:val="nil"/>
              <w:tr2bl w:val="nil"/>
            </w:tcBorders>
            <w:noWrap w:val="0"/>
            <w:vAlign w:val="center"/>
          </w:tcPr>
          <w:p w14:paraId="31F5D74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48.8</w:t>
            </w:r>
          </w:p>
        </w:tc>
        <w:tc>
          <w:tcPr>
            <w:tcW w:w="451" w:type="pct"/>
            <w:tcBorders>
              <w:tl2br w:val="nil"/>
              <w:tr2bl w:val="nil"/>
            </w:tcBorders>
            <w:noWrap w:val="0"/>
            <w:vAlign w:val="center"/>
          </w:tcPr>
          <w:p w14:paraId="18AD4A2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东</w:t>
            </w:r>
          </w:p>
        </w:tc>
        <w:tc>
          <w:tcPr>
            <w:tcW w:w="820" w:type="pct"/>
            <w:tcBorders>
              <w:tl2br w:val="nil"/>
              <w:tr2bl w:val="nil"/>
            </w:tcBorders>
            <w:noWrap w:val="0"/>
            <w:vAlign w:val="center"/>
          </w:tcPr>
          <w:p w14:paraId="22B8D6A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w:t>
            </w:r>
          </w:p>
        </w:tc>
      </w:tr>
      <w:tr w14:paraId="5ECEA7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7F9C0BEA">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73793634">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782" w:type="pct"/>
            <w:tcBorders>
              <w:tl2br w:val="nil"/>
              <w:tr2bl w:val="nil"/>
            </w:tcBorders>
            <w:noWrap w:val="0"/>
            <w:vAlign w:val="center"/>
          </w:tcPr>
          <w:p w14:paraId="0BF55C0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p>
        </w:tc>
        <w:tc>
          <w:tcPr>
            <w:tcW w:w="845" w:type="pct"/>
            <w:tcBorders>
              <w:tl2br w:val="nil"/>
              <w:tr2bl w:val="nil"/>
            </w:tcBorders>
            <w:noWrap w:val="0"/>
            <w:vAlign w:val="center"/>
          </w:tcPr>
          <w:p w14:paraId="3B854D8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103.0</w:t>
            </w:r>
          </w:p>
        </w:tc>
        <w:tc>
          <w:tcPr>
            <w:tcW w:w="1018" w:type="pct"/>
            <w:tcBorders>
              <w:tl2br w:val="nil"/>
              <w:tr2bl w:val="nil"/>
            </w:tcBorders>
            <w:noWrap w:val="0"/>
            <w:vAlign w:val="center"/>
          </w:tcPr>
          <w:p w14:paraId="7494F72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51.6</w:t>
            </w:r>
          </w:p>
        </w:tc>
        <w:tc>
          <w:tcPr>
            <w:tcW w:w="451" w:type="pct"/>
            <w:tcBorders>
              <w:tl2br w:val="nil"/>
              <w:tr2bl w:val="nil"/>
            </w:tcBorders>
            <w:noWrap w:val="0"/>
            <w:vAlign w:val="center"/>
          </w:tcPr>
          <w:p w14:paraId="0564671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东</w:t>
            </w:r>
          </w:p>
        </w:tc>
        <w:tc>
          <w:tcPr>
            <w:tcW w:w="820" w:type="pct"/>
            <w:tcBorders>
              <w:tl2br w:val="nil"/>
              <w:tr2bl w:val="nil"/>
            </w:tcBorders>
            <w:noWrap w:val="0"/>
            <w:vAlign w:val="center"/>
          </w:tcPr>
          <w:p w14:paraId="75B0A31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w:t>
            </w:r>
          </w:p>
        </w:tc>
      </w:tr>
      <w:tr w14:paraId="5C53A6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6E052DA6">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1F3C78F6">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782" w:type="pct"/>
            <w:tcBorders>
              <w:tl2br w:val="nil"/>
              <w:tr2bl w:val="nil"/>
            </w:tcBorders>
            <w:noWrap w:val="0"/>
            <w:vAlign w:val="center"/>
          </w:tcPr>
          <w:p w14:paraId="41666AC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845" w:type="pct"/>
            <w:tcBorders>
              <w:tl2br w:val="nil"/>
              <w:tr2bl w:val="nil"/>
            </w:tcBorders>
            <w:noWrap w:val="0"/>
            <w:vAlign w:val="center"/>
          </w:tcPr>
          <w:p w14:paraId="3F94456D">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103.1</w:t>
            </w:r>
          </w:p>
        </w:tc>
        <w:tc>
          <w:tcPr>
            <w:tcW w:w="1018" w:type="pct"/>
            <w:tcBorders>
              <w:tl2br w:val="nil"/>
              <w:tr2bl w:val="nil"/>
            </w:tcBorders>
            <w:noWrap w:val="0"/>
            <w:vAlign w:val="center"/>
          </w:tcPr>
          <w:p w14:paraId="3AE22F4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51.7</w:t>
            </w:r>
          </w:p>
        </w:tc>
        <w:tc>
          <w:tcPr>
            <w:tcW w:w="451" w:type="pct"/>
            <w:tcBorders>
              <w:tl2br w:val="nil"/>
              <w:tr2bl w:val="nil"/>
            </w:tcBorders>
            <w:noWrap w:val="0"/>
            <w:vAlign w:val="center"/>
          </w:tcPr>
          <w:p w14:paraId="4C6D360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东</w:t>
            </w:r>
          </w:p>
        </w:tc>
        <w:tc>
          <w:tcPr>
            <w:tcW w:w="820" w:type="pct"/>
            <w:tcBorders>
              <w:tl2br w:val="nil"/>
              <w:tr2bl w:val="nil"/>
            </w:tcBorders>
            <w:noWrap w:val="0"/>
            <w:vAlign w:val="center"/>
          </w:tcPr>
          <w:p w14:paraId="1B494E9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w:t>
            </w:r>
          </w:p>
        </w:tc>
      </w:tr>
      <w:bookmarkEnd w:id="1289"/>
      <w:tr w14:paraId="2C3EC8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restart"/>
            <w:tcBorders>
              <w:tl2br w:val="nil"/>
              <w:tr2bl w:val="nil"/>
            </w:tcBorders>
            <w:shd w:val="clear" w:color="auto" w:fill="auto"/>
            <w:noWrap w:val="0"/>
            <w:vAlign w:val="center"/>
          </w:tcPr>
          <w:p w14:paraId="00DF10A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bookmarkStart w:id="1290" w:name="OLE_LINK435" w:colFirst="5" w:colLast="5"/>
            <w:r>
              <w:rPr>
                <w:rFonts w:hint="eastAsia" w:ascii="Times New Roman" w:hAnsi="Times New Roman" w:eastAsia="宋体" w:cs="Times New Roman"/>
                <w:color w:val="auto"/>
                <w:sz w:val="21"/>
                <w:szCs w:val="21"/>
                <w:highlight w:val="none"/>
                <w:lang w:val="en-US" w:eastAsia="zh-CN"/>
              </w:rPr>
              <w:t>2023.12.24</w:t>
            </w:r>
          </w:p>
        </w:tc>
        <w:tc>
          <w:tcPr>
            <w:tcW w:w="405" w:type="pct"/>
            <w:tcBorders>
              <w:tl2br w:val="nil"/>
              <w:tr2bl w:val="nil"/>
            </w:tcBorders>
            <w:shd w:val="clear" w:color="auto" w:fill="auto"/>
            <w:noWrap w:val="0"/>
            <w:vAlign w:val="center"/>
          </w:tcPr>
          <w:p w14:paraId="277C15B4">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782" w:type="pct"/>
            <w:tcBorders>
              <w:tl2br w:val="nil"/>
              <w:tr2bl w:val="nil"/>
            </w:tcBorders>
            <w:shd w:val="clear" w:color="auto" w:fill="auto"/>
            <w:noWrap w:val="0"/>
            <w:vAlign w:val="center"/>
          </w:tcPr>
          <w:p w14:paraId="5A08B6E4">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0.1</w:t>
            </w:r>
          </w:p>
        </w:tc>
        <w:tc>
          <w:tcPr>
            <w:tcW w:w="845" w:type="pct"/>
            <w:tcBorders>
              <w:tl2br w:val="nil"/>
              <w:tr2bl w:val="nil"/>
            </w:tcBorders>
            <w:shd w:val="clear" w:color="auto" w:fill="auto"/>
            <w:noWrap w:val="0"/>
            <w:vAlign w:val="center"/>
          </w:tcPr>
          <w:p w14:paraId="66F75E7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103.1</w:t>
            </w:r>
          </w:p>
        </w:tc>
        <w:tc>
          <w:tcPr>
            <w:tcW w:w="1018" w:type="pct"/>
            <w:tcBorders>
              <w:tl2br w:val="nil"/>
              <w:tr2bl w:val="nil"/>
            </w:tcBorders>
            <w:shd w:val="clear" w:color="auto" w:fill="auto"/>
            <w:noWrap w:val="0"/>
            <w:vAlign w:val="center"/>
          </w:tcPr>
          <w:p w14:paraId="22C0542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63.3</w:t>
            </w:r>
          </w:p>
        </w:tc>
        <w:tc>
          <w:tcPr>
            <w:tcW w:w="451" w:type="pct"/>
            <w:tcBorders>
              <w:tl2br w:val="nil"/>
              <w:tr2bl w:val="nil"/>
            </w:tcBorders>
            <w:shd w:val="clear" w:color="auto" w:fill="auto"/>
            <w:noWrap w:val="0"/>
            <w:vAlign w:val="center"/>
          </w:tcPr>
          <w:p w14:paraId="61CD2C1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北</w:t>
            </w:r>
          </w:p>
        </w:tc>
        <w:tc>
          <w:tcPr>
            <w:tcW w:w="820" w:type="pct"/>
            <w:tcBorders>
              <w:tl2br w:val="nil"/>
              <w:tr2bl w:val="nil"/>
            </w:tcBorders>
            <w:shd w:val="clear" w:color="auto" w:fill="auto"/>
            <w:noWrap w:val="0"/>
            <w:vAlign w:val="center"/>
          </w:tcPr>
          <w:p w14:paraId="66C4ECF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bookmarkStart w:id="1291" w:name="OLE_LINK445"/>
            <w:r>
              <w:rPr>
                <w:rFonts w:hint="eastAsia" w:ascii="Times New Roman" w:hAnsi="Times New Roman" w:eastAsia="宋体" w:cs="Times New Roman"/>
                <w:i w:val="0"/>
                <w:iCs w:val="0"/>
                <w:snapToGrid w:val="0"/>
                <w:color w:val="auto"/>
                <w:kern w:val="0"/>
                <w:sz w:val="21"/>
                <w:szCs w:val="21"/>
                <w:highlight w:val="none"/>
                <w:u w:val="none"/>
                <w:lang w:val="en-US" w:eastAsia="zh-CN" w:bidi="ar"/>
              </w:rPr>
              <w:t>1.1</w:t>
            </w:r>
            <w:bookmarkEnd w:id="1291"/>
          </w:p>
        </w:tc>
      </w:tr>
      <w:tr w14:paraId="0D3F84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61096322">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bookmarkStart w:id="1292" w:name="OLE_LINK446" w:colFirst="6" w:colLast="6"/>
          </w:p>
        </w:tc>
        <w:tc>
          <w:tcPr>
            <w:tcW w:w="405" w:type="pct"/>
            <w:shd w:val="clear" w:color="auto" w:fill="auto"/>
            <w:vAlign w:val="center"/>
          </w:tcPr>
          <w:p w14:paraId="23FA6E15">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782" w:type="pct"/>
            <w:shd w:val="clear" w:color="auto" w:fill="auto"/>
            <w:vAlign w:val="center"/>
          </w:tcPr>
          <w:p w14:paraId="2C02439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4.1</w:t>
            </w:r>
          </w:p>
        </w:tc>
        <w:tc>
          <w:tcPr>
            <w:tcW w:w="845" w:type="pct"/>
            <w:shd w:val="clear" w:color="auto" w:fill="auto"/>
            <w:vAlign w:val="center"/>
          </w:tcPr>
          <w:p w14:paraId="45429E0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103.0</w:t>
            </w:r>
          </w:p>
        </w:tc>
        <w:tc>
          <w:tcPr>
            <w:tcW w:w="1018" w:type="pct"/>
            <w:shd w:val="clear" w:color="auto" w:fill="auto"/>
            <w:vAlign w:val="center"/>
          </w:tcPr>
          <w:p w14:paraId="6FC9947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47.3</w:t>
            </w:r>
          </w:p>
        </w:tc>
        <w:tc>
          <w:tcPr>
            <w:tcW w:w="451" w:type="pct"/>
            <w:shd w:val="clear" w:color="auto" w:fill="auto"/>
            <w:vAlign w:val="center"/>
          </w:tcPr>
          <w:p w14:paraId="57F5AD3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16AC8C2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1.1</w:t>
            </w:r>
          </w:p>
        </w:tc>
      </w:tr>
      <w:tr w14:paraId="153C1E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208011DE">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192995C0">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782" w:type="pct"/>
            <w:shd w:val="clear" w:color="auto" w:fill="auto"/>
            <w:vAlign w:val="center"/>
          </w:tcPr>
          <w:p w14:paraId="3F9CDDC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3.9</w:t>
            </w:r>
          </w:p>
        </w:tc>
        <w:tc>
          <w:tcPr>
            <w:tcW w:w="845" w:type="pct"/>
            <w:shd w:val="clear" w:color="auto" w:fill="auto"/>
            <w:vAlign w:val="center"/>
          </w:tcPr>
          <w:p w14:paraId="57BCFAE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103.0</w:t>
            </w:r>
          </w:p>
        </w:tc>
        <w:tc>
          <w:tcPr>
            <w:tcW w:w="1018" w:type="pct"/>
            <w:shd w:val="clear" w:color="auto" w:fill="auto"/>
            <w:vAlign w:val="center"/>
          </w:tcPr>
          <w:p w14:paraId="09316529">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46.8</w:t>
            </w:r>
          </w:p>
        </w:tc>
        <w:tc>
          <w:tcPr>
            <w:tcW w:w="451" w:type="pct"/>
            <w:shd w:val="clear" w:color="auto" w:fill="auto"/>
            <w:vAlign w:val="center"/>
          </w:tcPr>
          <w:p w14:paraId="7156BD0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61E5C16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1.1</w:t>
            </w:r>
          </w:p>
        </w:tc>
      </w:tr>
      <w:tr w14:paraId="0F568F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1D5140B1">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3A403380">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782" w:type="pct"/>
            <w:shd w:val="clear" w:color="auto" w:fill="auto"/>
            <w:vAlign w:val="center"/>
          </w:tcPr>
          <w:p w14:paraId="18DF7A8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3.2</w:t>
            </w:r>
          </w:p>
        </w:tc>
        <w:tc>
          <w:tcPr>
            <w:tcW w:w="845" w:type="pct"/>
            <w:shd w:val="clear" w:color="auto" w:fill="auto"/>
            <w:vAlign w:val="center"/>
          </w:tcPr>
          <w:p w14:paraId="7403077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103.0</w:t>
            </w:r>
          </w:p>
        </w:tc>
        <w:tc>
          <w:tcPr>
            <w:tcW w:w="1018" w:type="pct"/>
            <w:shd w:val="clear" w:color="auto" w:fill="auto"/>
            <w:vAlign w:val="center"/>
          </w:tcPr>
          <w:p w14:paraId="435B1A1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52.9</w:t>
            </w:r>
          </w:p>
        </w:tc>
        <w:tc>
          <w:tcPr>
            <w:tcW w:w="451" w:type="pct"/>
            <w:shd w:val="clear" w:color="auto" w:fill="auto"/>
            <w:vAlign w:val="center"/>
          </w:tcPr>
          <w:p w14:paraId="2FF12089">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北</w:t>
            </w:r>
          </w:p>
        </w:tc>
        <w:tc>
          <w:tcPr>
            <w:tcW w:w="820" w:type="pct"/>
            <w:shd w:val="clear" w:color="auto" w:fill="auto"/>
            <w:vAlign w:val="center"/>
          </w:tcPr>
          <w:p w14:paraId="3294AC8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1.1</w:t>
            </w:r>
          </w:p>
        </w:tc>
      </w:tr>
      <w:bookmarkEnd w:id="1290"/>
      <w:bookmarkEnd w:id="1292"/>
      <w:tr w14:paraId="56EC62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6" w:hRule="atLeast"/>
          <w:jc w:val="center"/>
        </w:trPr>
        <w:tc>
          <w:tcPr>
            <w:tcW w:w="675" w:type="pct"/>
            <w:vMerge w:val="restart"/>
            <w:shd w:val="clear" w:color="auto" w:fill="auto"/>
            <w:vAlign w:val="center"/>
          </w:tcPr>
          <w:p w14:paraId="566714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2023.12.25</w:t>
            </w:r>
          </w:p>
        </w:tc>
        <w:tc>
          <w:tcPr>
            <w:tcW w:w="405" w:type="pct"/>
            <w:shd w:val="clear" w:color="auto" w:fill="auto"/>
            <w:vAlign w:val="center"/>
          </w:tcPr>
          <w:p w14:paraId="621CA5A9">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782" w:type="pct"/>
            <w:shd w:val="clear" w:color="auto" w:fill="auto"/>
            <w:vAlign w:val="center"/>
          </w:tcPr>
          <w:p w14:paraId="53268D8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-3.1</w:t>
            </w:r>
          </w:p>
        </w:tc>
        <w:tc>
          <w:tcPr>
            <w:tcW w:w="845" w:type="pct"/>
            <w:shd w:val="clear" w:color="auto" w:fill="auto"/>
            <w:vAlign w:val="center"/>
          </w:tcPr>
          <w:p w14:paraId="1B0B174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eastAsia" w:ascii="Times New Roman" w:hAnsi="Times New Roman" w:eastAsia="宋体" w:cs="Times New Roman"/>
                <w:b w:val="0"/>
                <w:bCs w:val="0"/>
                <w:snapToGrid w:val="0"/>
                <w:color w:val="auto"/>
                <w:kern w:val="2"/>
                <w:sz w:val="21"/>
                <w:szCs w:val="21"/>
                <w:highlight w:val="none"/>
                <w:lang w:val="en-US" w:eastAsia="zh-CN" w:bidi="ar-SA"/>
              </w:rPr>
              <w:t>103.4</w:t>
            </w:r>
          </w:p>
        </w:tc>
        <w:tc>
          <w:tcPr>
            <w:tcW w:w="1018" w:type="pct"/>
            <w:shd w:val="clear" w:color="auto" w:fill="auto"/>
            <w:vAlign w:val="center"/>
          </w:tcPr>
          <w:p w14:paraId="18BB9AB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64.8</w:t>
            </w:r>
          </w:p>
        </w:tc>
        <w:tc>
          <w:tcPr>
            <w:tcW w:w="451" w:type="pct"/>
            <w:shd w:val="clear" w:color="auto" w:fill="auto"/>
            <w:vAlign w:val="center"/>
          </w:tcPr>
          <w:p w14:paraId="473DAFC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bookmarkStart w:id="1293" w:name="OLE_LINK436"/>
            <w:r>
              <w:rPr>
                <w:rFonts w:hint="eastAsia" w:ascii="Times New Roman" w:hAnsi="Times New Roman" w:eastAsia="宋体" w:cs="Times New Roman"/>
                <w:snapToGrid w:val="0"/>
                <w:color w:val="auto"/>
                <w:kern w:val="0"/>
                <w:sz w:val="21"/>
                <w:szCs w:val="21"/>
                <w:highlight w:val="none"/>
                <w:lang w:val="en-US" w:eastAsia="zh-CN" w:bidi="ar-SA"/>
              </w:rPr>
              <w:t>南</w:t>
            </w:r>
            <w:bookmarkEnd w:id="1293"/>
          </w:p>
        </w:tc>
        <w:tc>
          <w:tcPr>
            <w:tcW w:w="820" w:type="pct"/>
            <w:shd w:val="clear" w:color="auto" w:fill="auto"/>
            <w:vAlign w:val="center"/>
          </w:tcPr>
          <w:p w14:paraId="6646A63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bookmarkStart w:id="1294" w:name="OLE_LINK447"/>
            <w:r>
              <w:rPr>
                <w:rFonts w:hint="eastAsia" w:ascii="Times New Roman" w:hAnsi="Times New Roman" w:eastAsia="宋体" w:cs="Times New Roman"/>
                <w:snapToGrid w:val="0"/>
                <w:color w:val="auto"/>
                <w:kern w:val="2"/>
                <w:sz w:val="21"/>
                <w:szCs w:val="21"/>
                <w:highlight w:val="none"/>
                <w:lang w:val="en-US" w:eastAsia="zh-CN" w:bidi="ar-SA"/>
              </w:rPr>
              <w:t>1.3</w:t>
            </w:r>
            <w:bookmarkEnd w:id="1294"/>
          </w:p>
        </w:tc>
      </w:tr>
      <w:tr w14:paraId="309615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60DE3860">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57766B6B">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782" w:type="pct"/>
            <w:shd w:val="clear" w:color="auto" w:fill="auto"/>
            <w:vAlign w:val="center"/>
          </w:tcPr>
          <w:p w14:paraId="5B7C29B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3.9</w:t>
            </w:r>
          </w:p>
        </w:tc>
        <w:tc>
          <w:tcPr>
            <w:tcW w:w="845" w:type="pct"/>
            <w:shd w:val="clear" w:color="auto" w:fill="auto"/>
            <w:vAlign w:val="center"/>
          </w:tcPr>
          <w:p w14:paraId="52DB11B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eastAsia" w:ascii="Times New Roman" w:hAnsi="Times New Roman" w:eastAsia="宋体" w:cs="Times New Roman"/>
                <w:b w:val="0"/>
                <w:bCs w:val="0"/>
                <w:snapToGrid w:val="0"/>
                <w:color w:val="auto"/>
                <w:kern w:val="2"/>
                <w:sz w:val="21"/>
                <w:szCs w:val="21"/>
                <w:highlight w:val="none"/>
                <w:lang w:val="en-US" w:eastAsia="zh-CN" w:bidi="ar-SA"/>
              </w:rPr>
              <w:t>103.0</w:t>
            </w:r>
          </w:p>
        </w:tc>
        <w:tc>
          <w:tcPr>
            <w:tcW w:w="1018" w:type="pct"/>
            <w:shd w:val="clear" w:color="auto" w:fill="auto"/>
            <w:vAlign w:val="center"/>
          </w:tcPr>
          <w:p w14:paraId="151E1B8D">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37.4</w:t>
            </w:r>
          </w:p>
        </w:tc>
        <w:tc>
          <w:tcPr>
            <w:tcW w:w="451" w:type="pct"/>
            <w:shd w:val="clear" w:color="auto" w:fill="auto"/>
            <w:vAlign w:val="center"/>
          </w:tcPr>
          <w:p w14:paraId="049A672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南</w:t>
            </w:r>
          </w:p>
        </w:tc>
        <w:tc>
          <w:tcPr>
            <w:tcW w:w="820" w:type="pct"/>
            <w:shd w:val="clear" w:color="auto" w:fill="auto"/>
            <w:vAlign w:val="center"/>
          </w:tcPr>
          <w:p w14:paraId="54E7186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1.3</w:t>
            </w:r>
          </w:p>
        </w:tc>
      </w:tr>
      <w:tr w14:paraId="708A7D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5679DF58">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72D8B5C7">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782" w:type="pct"/>
            <w:shd w:val="clear" w:color="auto" w:fill="auto"/>
            <w:vAlign w:val="center"/>
          </w:tcPr>
          <w:p w14:paraId="7763945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6.8</w:t>
            </w:r>
          </w:p>
        </w:tc>
        <w:tc>
          <w:tcPr>
            <w:tcW w:w="845" w:type="pct"/>
            <w:shd w:val="clear" w:color="auto" w:fill="auto"/>
            <w:vAlign w:val="center"/>
          </w:tcPr>
          <w:p w14:paraId="2B55498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eastAsia" w:ascii="Times New Roman" w:hAnsi="Times New Roman" w:eastAsia="宋体" w:cs="Times New Roman"/>
                <w:b w:val="0"/>
                <w:bCs w:val="0"/>
                <w:snapToGrid w:val="0"/>
                <w:color w:val="auto"/>
                <w:kern w:val="2"/>
                <w:sz w:val="21"/>
                <w:szCs w:val="21"/>
                <w:highlight w:val="none"/>
                <w:lang w:val="en-US" w:eastAsia="zh-CN" w:bidi="ar-SA"/>
              </w:rPr>
              <w:t>102.9</w:t>
            </w:r>
          </w:p>
        </w:tc>
        <w:tc>
          <w:tcPr>
            <w:tcW w:w="1018" w:type="pct"/>
            <w:shd w:val="clear" w:color="auto" w:fill="auto"/>
            <w:vAlign w:val="center"/>
          </w:tcPr>
          <w:p w14:paraId="35795BC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36.8</w:t>
            </w:r>
          </w:p>
        </w:tc>
        <w:tc>
          <w:tcPr>
            <w:tcW w:w="451" w:type="pct"/>
            <w:shd w:val="clear" w:color="auto" w:fill="auto"/>
            <w:vAlign w:val="center"/>
          </w:tcPr>
          <w:p w14:paraId="16F8D0B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南</w:t>
            </w:r>
          </w:p>
        </w:tc>
        <w:tc>
          <w:tcPr>
            <w:tcW w:w="820" w:type="pct"/>
            <w:shd w:val="clear" w:color="auto" w:fill="auto"/>
            <w:vAlign w:val="center"/>
          </w:tcPr>
          <w:p w14:paraId="463CFEB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1.3</w:t>
            </w:r>
          </w:p>
        </w:tc>
      </w:tr>
      <w:tr w14:paraId="391FF3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0AAA3402">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36CA3214">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782" w:type="pct"/>
            <w:shd w:val="clear" w:color="auto" w:fill="auto"/>
            <w:vAlign w:val="center"/>
          </w:tcPr>
          <w:p w14:paraId="55E3484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1.1</w:t>
            </w:r>
          </w:p>
        </w:tc>
        <w:tc>
          <w:tcPr>
            <w:tcW w:w="845" w:type="pct"/>
            <w:shd w:val="clear" w:color="auto" w:fill="auto"/>
            <w:vAlign w:val="center"/>
          </w:tcPr>
          <w:p w14:paraId="795E935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eastAsia" w:ascii="Times New Roman" w:hAnsi="Times New Roman" w:eastAsia="宋体" w:cs="Times New Roman"/>
                <w:b w:val="0"/>
                <w:bCs w:val="0"/>
                <w:snapToGrid w:val="0"/>
                <w:color w:val="auto"/>
                <w:kern w:val="2"/>
                <w:sz w:val="21"/>
                <w:szCs w:val="21"/>
                <w:highlight w:val="none"/>
                <w:lang w:val="en-US" w:eastAsia="zh-CN" w:bidi="ar-SA"/>
              </w:rPr>
              <w:t>103.0</w:t>
            </w:r>
          </w:p>
        </w:tc>
        <w:tc>
          <w:tcPr>
            <w:tcW w:w="1018" w:type="pct"/>
            <w:shd w:val="clear" w:color="auto" w:fill="auto"/>
            <w:vAlign w:val="center"/>
          </w:tcPr>
          <w:p w14:paraId="1F1146E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41.4</w:t>
            </w:r>
          </w:p>
        </w:tc>
        <w:tc>
          <w:tcPr>
            <w:tcW w:w="451" w:type="pct"/>
            <w:shd w:val="clear" w:color="auto" w:fill="auto"/>
            <w:vAlign w:val="center"/>
          </w:tcPr>
          <w:p w14:paraId="3413888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南</w:t>
            </w:r>
          </w:p>
        </w:tc>
        <w:tc>
          <w:tcPr>
            <w:tcW w:w="820" w:type="pct"/>
            <w:shd w:val="clear" w:color="auto" w:fill="auto"/>
            <w:vAlign w:val="center"/>
          </w:tcPr>
          <w:p w14:paraId="6142763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1.3</w:t>
            </w:r>
          </w:p>
        </w:tc>
      </w:tr>
      <w:tr w14:paraId="1BB821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restart"/>
            <w:shd w:val="clear" w:color="auto" w:fill="auto"/>
            <w:vAlign w:val="center"/>
          </w:tcPr>
          <w:p w14:paraId="1DB11B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2023.12.26</w:t>
            </w:r>
          </w:p>
        </w:tc>
        <w:tc>
          <w:tcPr>
            <w:tcW w:w="405" w:type="pct"/>
            <w:shd w:val="clear" w:color="auto" w:fill="auto"/>
            <w:vAlign w:val="center"/>
          </w:tcPr>
          <w:p w14:paraId="5C009A20">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782" w:type="pct"/>
            <w:shd w:val="clear" w:color="auto" w:fill="auto"/>
            <w:vAlign w:val="center"/>
          </w:tcPr>
          <w:p w14:paraId="19ECF1E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-1.1</w:t>
            </w:r>
          </w:p>
        </w:tc>
        <w:tc>
          <w:tcPr>
            <w:tcW w:w="845" w:type="pct"/>
            <w:shd w:val="clear" w:color="auto" w:fill="auto"/>
            <w:vAlign w:val="center"/>
          </w:tcPr>
          <w:p w14:paraId="2080BB6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eastAsia" w:ascii="Times New Roman" w:hAnsi="Times New Roman" w:eastAsia="宋体" w:cs="Times New Roman"/>
                <w:b w:val="0"/>
                <w:bCs w:val="0"/>
                <w:snapToGrid w:val="0"/>
                <w:color w:val="auto"/>
                <w:kern w:val="2"/>
                <w:sz w:val="21"/>
                <w:szCs w:val="21"/>
                <w:highlight w:val="none"/>
                <w:lang w:val="en-US" w:eastAsia="zh-CN" w:bidi="ar-SA"/>
              </w:rPr>
              <w:t>103.3</w:t>
            </w:r>
          </w:p>
        </w:tc>
        <w:tc>
          <w:tcPr>
            <w:tcW w:w="1018" w:type="pct"/>
            <w:shd w:val="clear" w:color="auto" w:fill="auto"/>
            <w:vAlign w:val="center"/>
          </w:tcPr>
          <w:p w14:paraId="126F54A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57.8</w:t>
            </w:r>
          </w:p>
        </w:tc>
        <w:tc>
          <w:tcPr>
            <w:tcW w:w="451" w:type="pct"/>
            <w:shd w:val="clear" w:color="auto" w:fill="auto"/>
            <w:vAlign w:val="center"/>
          </w:tcPr>
          <w:p w14:paraId="7C745DF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bookmarkStart w:id="1295" w:name="OLE_LINK437"/>
            <w:r>
              <w:rPr>
                <w:rFonts w:hint="eastAsia" w:ascii="Times New Roman" w:hAnsi="Times New Roman" w:eastAsia="宋体" w:cs="Times New Roman"/>
                <w:snapToGrid w:val="0"/>
                <w:color w:val="auto"/>
                <w:kern w:val="0"/>
                <w:sz w:val="21"/>
                <w:szCs w:val="21"/>
                <w:highlight w:val="none"/>
                <w:lang w:val="en-US" w:eastAsia="zh-CN" w:bidi="ar-SA"/>
              </w:rPr>
              <w:t>东南</w:t>
            </w:r>
            <w:bookmarkEnd w:id="1295"/>
          </w:p>
        </w:tc>
        <w:tc>
          <w:tcPr>
            <w:tcW w:w="820" w:type="pct"/>
            <w:shd w:val="clear" w:color="auto" w:fill="auto"/>
            <w:vAlign w:val="center"/>
          </w:tcPr>
          <w:p w14:paraId="023F137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bookmarkStart w:id="1296" w:name="OLE_LINK448"/>
            <w:r>
              <w:rPr>
                <w:rFonts w:hint="eastAsia" w:ascii="Times New Roman" w:hAnsi="Times New Roman" w:eastAsia="宋体" w:cs="Times New Roman"/>
                <w:snapToGrid w:val="0"/>
                <w:color w:val="auto"/>
                <w:kern w:val="2"/>
                <w:sz w:val="21"/>
                <w:szCs w:val="21"/>
                <w:highlight w:val="none"/>
                <w:lang w:val="en-US" w:eastAsia="zh-CN" w:bidi="ar-SA"/>
              </w:rPr>
              <w:t>1.2</w:t>
            </w:r>
            <w:bookmarkEnd w:id="1296"/>
          </w:p>
        </w:tc>
      </w:tr>
      <w:tr w14:paraId="30CFF1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0BD481F5">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bookmarkStart w:id="1297" w:name="OLE_LINK438" w:colFirst="5" w:colLast="5"/>
          </w:p>
        </w:tc>
        <w:tc>
          <w:tcPr>
            <w:tcW w:w="405" w:type="pct"/>
            <w:shd w:val="clear" w:color="auto" w:fill="auto"/>
            <w:vAlign w:val="center"/>
          </w:tcPr>
          <w:p w14:paraId="7C881779">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782" w:type="pct"/>
            <w:shd w:val="clear" w:color="auto" w:fill="auto"/>
            <w:vAlign w:val="center"/>
          </w:tcPr>
          <w:p w14:paraId="3FDC3E8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6.4</w:t>
            </w:r>
          </w:p>
        </w:tc>
        <w:tc>
          <w:tcPr>
            <w:tcW w:w="845" w:type="pct"/>
            <w:shd w:val="clear" w:color="auto" w:fill="auto"/>
            <w:vAlign w:val="center"/>
          </w:tcPr>
          <w:p w14:paraId="738AC09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eastAsia" w:ascii="Times New Roman" w:hAnsi="Times New Roman" w:eastAsia="宋体" w:cs="Times New Roman"/>
                <w:b w:val="0"/>
                <w:bCs w:val="0"/>
                <w:snapToGrid w:val="0"/>
                <w:color w:val="auto"/>
                <w:kern w:val="2"/>
                <w:sz w:val="21"/>
                <w:szCs w:val="21"/>
                <w:highlight w:val="none"/>
                <w:lang w:val="en-US" w:eastAsia="zh-CN" w:bidi="ar-SA"/>
              </w:rPr>
              <w:t>102.9</w:t>
            </w:r>
          </w:p>
        </w:tc>
        <w:tc>
          <w:tcPr>
            <w:tcW w:w="1018" w:type="pct"/>
            <w:shd w:val="clear" w:color="auto" w:fill="auto"/>
            <w:vAlign w:val="center"/>
          </w:tcPr>
          <w:p w14:paraId="6C3CE52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58.1</w:t>
            </w:r>
          </w:p>
        </w:tc>
        <w:tc>
          <w:tcPr>
            <w:tcW w:w="451" w:type="pct"/>
            <w:shd w:val="clear" w:color="auto" w:fill="auto"/>
            <w:vAlign w:val="center"/>
          </w:tcPr>
          <w:p w14:paraId="0B2087F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东南</w:t>
            </w:r>
          </w:p>
        </w:tc>
        <w:tc>
          <w:tcPr>
            <w:tcW w:w="820" w:type="pct"/>
            <w:shd w:val="clear" w:color="auto" w:fill="auto"/>
            <w:vAlign w:val="center"/>
          </w:tcPr>
          <w:p w14:paraId="06E5C11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1.2</w:t>
            </w:r>
          </w:p>
        </w:tc>
      </w:tr>
      <w:tr w14:paraId="6FB0BF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363379E4">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354007B8">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782" w:type="pct"/>
            <w:shd w:val="clear" w:color="auto" w:fill="auto"/>
            <w:vAlign w:val="center"/>
          </w:tcPr>
          <w:p w14:paraId="05A81DF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8.8</w:t>
            </w:r>
          </w:p>
        </w:tc>
        <w:tc>
          <w:tcPr>
            <w:tcW w:w="845" w:type="pct"/>
            <w:shd w:val="clear" w:color="auto" w:fill="auto"/>
            <w:vAlign w:val="center"/>
          </w:tcPr>
          <w:p w14:paraId="054D05D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eastAsia" w:ascii="Times New Roman" w:hAnsi="Times New Roman" w:eastAsia="宋体" w:cs="Times New Roman"/>
                <w:b w:val="0"/>
                <w:bCs w:val="0"/>
                <w:snapToGrid w:val="0"/>
                <w:color w:val="auto"/>
                <w:kern w:val="2"/>
                <w:sz w:val="21"/>
                <w:szCs w:val="21"/>
                <w:highlight w:val="none"/>
                <w:lang w:val="en-US" w:eastAsia="zh-CN" w:bidi="ar-SA"/>
              </w:rPr>
              <w:t>102.9</w:t>
            </w:r>
          </w:p>
        </w:tc>
        <w:tc>
          <w:tcPr>
            <w:tcW w:w="1018" w:type="pct"/>
            <w:shd w:val="clear" w:color="auto" w:fill="auto"/>
            <w:vAlign w:val="center"/>
          </w:tcPr>
          <w:p w14:paraId="2AD90E59">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49.2</w:t>
            </w:r>
          </w:p>
        </w:tc>
        <w:tc>
          <w:tcPr>
            <w:tcW w:w="451" w:type="pct"/>
            <w:shd w:val="clear" w:color="auto" w:fill="auto"/>
            <w:vAlign w:val="center"/>
          </w:tcPr>
          <w:p w14:paraId="2A506AE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东南</w:t>
            </w:r>
          </w:p>
        </w:tc>
        <w:tc>
          <w:tcPr>
            <w:tcW w:w="820" w:type="pct"/>
            <w:shd w:val="clear" w:color="auto" w:fill="auto"/>
            <w:vAlign w:val="center"/>
          </w:tcPr>
          <w:p w14:paraId="7FAE911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1.2</w:t>
            </w:r>
          </w:p>
        </w:tc>
      </w:tr>
      <w:tr w14:paraId="3594CC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710EB151">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26A6AE66">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782" w:type="pct"/>
            <w:shd w:val="clear" w:color="auto" w:fill="auto"/>
            <w:vAlign w:val="center"/>
          </w:tcPr>
          <w:p w14:paraId="69E87BA4">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1.9</w:t>
            </w:r>
          </w:p>
        </w:tc>
        <w:tc>
          <w:tcPr>
            <w:tcW w:w="845" w:type="pct"/>
            <w:shd w:val="clear" w:color="auto" w:fill="auto"/>
            <w:vAlign w:val="center"/>
          </w:tcPr>
          <w:p w14:paraId="2780E60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eastAsia" w:ascii="Times New Roman" w:hAnsi="Times New Roman" w:eastAsia="宋体" w:cs="Times New Roman"/>
                <w:b w:val="0"/>
                <w:bCs w:val="0"/>
                <w:snapToGrid w:val="0"/>
                <w:color w:val="auto"/>
                <w:kern w:val="2"/>
                <w:sz w:val="21"/>
                <w:szCs w:val="21"/>
                <w:highlight w:val="none"/>
                <w:lang w:val="en-US" w:eastAsia="zh-CN" w:bidi="ar-SA"/>
              </w:rPr>
              <w:t>103.1</w:t>
            </w:r>
          </w:p>
        </w:tc>
        <w:tc>
          <w:tcPr>
            <w:tcW w:w="1018" w:type="pct"/>
            <w:shd w:val="clear" w:color="auto" w:fill="auto"/>
            <w:vAlign w:val="center"/>
          </w:tcPr>
          <w:p w14:paraId="7551F19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60.4</w:t>
            </w:r>
          </w:p>
        </w:tc>
        <w:tc>
          <w:tcPr>
            <w:tcW w:w="451" w:type="pct"/>
            <w:shd w:val="clear" w:color="auto" w:fill="auto"/>
            <w:vAlign w:val="center"/>
          </w:tcPr>
          <w:p w14:paraId="5A81CBA4">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东南</w:t>
            </w:r>
          </w:p>
        </w:tc>
        <w:tc>
          <w:tcPr>
            <w:tcW w:w="820" w:type="pct"/>
            <w:shd w:val="clear" w:color="auto" w:fill="auto"/>
            <w:vAlign w:val="center"/>
          </w:tcPr>
          <w:p w14:paraId="29CBD6A9">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1.2</w:t>
            </w:r>
          </w:p>
        </w:tc>
      </w:tr>
      <w:bookmarkEnd w:id="1274"/>
      <w:bookmarkEnd w:id="1297"/>
    </w:tbl>
    <w:p w14:paraId="7666AF63">
      <w:pPr>
        <w:keepNext w:val="0"/>
        <w:keepLines w:val="0"/>
        <w:pageBreakBefore w:val="0"/>
        <w:widowControl/>
        <w:kinsoku w:val="0"/>
        <w:wordWrap/>
        <w:overflowPunct/>
        <w:topLinePunct w:val="0"/>
        <w:autoSpaceDE w:val="0"/>
        <w:autoSpaceDN w:val="0"/>
        <w:bidi w:val="0"/>
        <w:adjustRightInd w:val="0"/>
        <w:snapToGrid w:val="0"/>
        <w:spacing w:before="181" w:line="240" w:lineRule="auto"/>
        <w:ind w:left="2460"/>
        <w:textAlignment w:val="baseline"/>
        <w:rPr>
          <w:rFonts w:hint="eastAsia" w:eastAsia="宋体"/>
          <w:color w:val="auto"/>
          <w:highlight w:val="none"/>
          <w:lang w:eastAsia="zh-CN"/>
        </w:rPr>
      </w:pPr>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6.3-</w:t>
      </w:r>
      <w:r>
        <w:rPr>
          <w:rFonts w:hint="eastAsia" w:ascii="Times New Roman" w:hAnsi="Times New Roman" w:eastAsia="宋体" w:cs="Times New Roman"/>
          <w:b/>
          <w:bCs/>
          <w:color w:val="auto"/>
          <w:spacing w:val="-2"/>
          <w:sz w:val="24"/>
          <w:szCs w:val="24"/>
          <w:highlight w:val="none"/>
          <w:lang w:val="en-US" w:eastAsia="zh-CN"/>
        </w:rPr>
        <w:t xml:space="preserve">10  </w:t>
      </w:r>
      <w:r>
        <w:rPr>
          <w:rFonts w:ascii="宋体" w:hAnsi="宋体" w:eastAsia="宋体" w:cs="宋体"/>
          <w:b/>
          <w:bCs/>
          <w:color w:val="auto"/>
          <w:spacing w:val="-2"/>
          <w:sz w:val="24"/>
          <w:szCs w:val="24"/>
          <w:highlight w:val="none"/>
        </w:rPr>
        <w:t>环境空气现场气象</w:t>
      </w:r>
      <w:r>
        <w:rPr>
          <w:rFonts w:hint="eastAsia" w:ascii="宋体" w:hAnsi="宋体" w:eastAsia="宋体" w:cs="宋体"/>
          <w:b/>
          <w:bCs/>
          <w:color w:val="auto"/>
          <w:spacing w:val="-2"/>
          <w:sz w:val="24"/>
          <w:szCs w:val="24"/>
          <w:highlight w:val="none"/>
          <w:lang w:val="en-US" w:eastAsia="zh-CN"/>
        </w:rPr>
        <w:t>参数</w:t>
      </w:r>
      <w:bookmarkStart w:id="1298" w:name="pindex5443"/>
      <w:bookmarkEnd w:id="1298"/>
    </w:p>
    <w:tbl>
      <w:tblPr>
        <w:tblStyle w:val="19"/>
        <w:tblW w:w="5033"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66"/>
        <w:gridCol w:w="700"/>
        <w:gridCol w:w="1450"/>
        <w:gridCol w:w="1300"/>
        <w:gridCol w:w="1713"/>
        <w:gridCol w:w="886"/>
        <w:gridCol w:w="1417"/>
      </w:tblGrid>
      <w:tr w14:paraId="61918B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675" w:type="pct"/>
            <w:tcBorders>
              <w:tl2br w:val="nil"/>
              <w:tr2bl w:val="nil"/>
            </w:tcBorders>
            <w:noWrap w:val="0"/>
            <w:vAlign w:val="center"/>
          </w:tcPr>
          <w:p w14:paraId="3F45583B">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采样日期</w:t>
            </w:r>
          </w:p>
        </w:tc>
        <w:tc>
          <w:tcPr>
            <w:tcW w:w="405" w:type="pct"/>
            <w:tcBorders>
              <w:tl2br w:val="nil"/>
              <w:tr2bl w:val="nil"/>
            </w:tcBorders>
            <w:noWrap w:val="0"/>
            <w:vAlign w:val="center"/>
          </w:tcPr>
          <w:p w14:paraId="1523B352">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采样频次</w:t>
            </w:r>
          </w:p>
        </w:tc>
        <w:tc>
          <w:tcPr>
            <w:tcW w:w="839" w:type="pct"/>
            <w:tcBorders>
              <w:tl2br w:val="nil"/>
              <w:tr2bl w:val="nil"/>
            </w:tcBorders>
            <w:noWrap w:val="0"/>
            <w:vAlign w:val="center"/>
          </w:tcPr>
          <w:p w14:paraId="6E221E78">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气压</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kPa</w:t>
            </w:r>
            <w:r>
              <w:rPr>
                <w:rFonts w:hint="default" w:ascii="Times New Roman" w:hAnsi="Times New Roman" w:eastAsia="宋体" w:cs="Times New Roman"/>
                <w:b/>
                <w:bCs/>
                <w:color w:val="auto"/>
                <w:sz w:val="21"/>
                <w:szCs w:val="21"/>
                <w:highlight w:val="none"/>
                <w:lang w:eastAsia="zh-CN"/>
              </w:rPr>
              <w:t>）</w:t>
            </w:r>
          </w:p>
        </w:tc>
        <w:tc>
          <w:tcPr>
            <w:tcW w:w="753" w:type="pct"/>
            <w:tcBorders>
              <w:tl2br w:val="nil"/>
              <w:tr2bl w:val="nil"/>
            </w:tcBorders>
            <w:noWrap w:val="0"/>
            <w:vAlign w:val="center"/>
          </w:tcPr>
          <w:p w14:paraId="44CFAE23">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气温</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lang w:val="en-US" w:eastAsia="zh-CN"/>
              </w:rPr>
              <w:t>C</w:t>
            </w:r>
            <w:r>
              <w:rPr>
                <w:rFonts w:hint="default" w:ascii="Times New Roman" w:hAnsi="Times New Roman" w:eastAsia="宋体" w:cs="Times New Roman"/>
                <w:b/>
                <w:bCs/>
                <w:color w:val="auto"/>
                <w:sz w:val="21"/>
                <w:szCs w:val="21"/>
                <w:highlight w:val="none"/>
                <w:lang w:eastAsia="zh-CN"/>
              </w:rPr>
              <w:t>）</w:t>
            </w:r>
          </w:p>
        </w:tc>
        <w:tc>
          <w:tcPr>
            <w:tcW w:w="992" w:type="pct"/>
            <w:tcBorders>
              <w:tl2br w:val="nil"/>
              <w:tr2bl w:val="nil"/>
            </w:tcBorders>
            <w:noWrap w:val="0"/>
            <w:vAlign w:val="center"/>
          </w:tcPr>
          <w:p w14:paraId="2196A661">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相对湿度</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w:t>
            </w:r>
            <w:r>
              <w:rPr>
                <w:rFonts w:hint="default" w:ascii="Times New Roman" w:hAnsi="Times New Roman" w:eastAsia="宋体" w:cs="Times New Roman"/>
                <w:b/>
                <w:bCs/>
                <w:color w:val="auto"/>
                <w:sz w:val="21"/>
                <w:szCs w:val="21"/>
                <w:highlight w:val="none"/>
                <w:lang w:eastAsia="zh-CN"/>
              </w:rPr>
              <w:t>）</w:t>
            </w:r>
          </w:p>
        </w:tc>
        <w:tc>
          <w:tcPr>
            <w:tcW w:w="513" w:type="pct"/>
            <w:tcBorders>
              <w:tl2br w:val="nil"/>
              <w:tr2bl w:val="nil"/>
            </w:tcBorders>
            <w:noWrap w:val="0"/>
            <w:vAlign w:val="center"/>
          </w:tcPr>
          <w:p w14:paraId="35B97DA9">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风向</w:t>
            </w:r>
          </w:p>
        </w:tc>
        <w:tc>
          <w:tcPr>
            <w:tcW w:w="820" w:type="pct"/>
            <w:tcBorders>
              <w:tl2br w:val="nil"/>
              <w:tr2bl w:val="nil"/>
            </w:tcBorders>
            <w:noWrap w:val="0"/>
            <w:vAlign w:val="center"/>
          </w:tcPr>
          <w:p w14:paraId="135B9903">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风速</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m/s</w:t>
            </w:r>
            <w:r>
              <w:rPr>
                <w:rFonts w:hint="default" w:ascii="Times New Roman" w:hAnsi="Times New Roman" w:eastAsia="宋体" w:cs="Times New Roman"/>
                <w:b/>
                <w:bCs/>
                <w:color w:val="auto"/>
                <w:sz w:val="21"/>
                <w:szCs w:val="21"/>
                <w:highlight w:val="none"/>
                <w:lang w:eastAsia="zh-CN"/>
              </w:rPr>
              <w:t>）</w:t>
            </w:r>
          </w:p>
        </w:tc>
      </w:tr>
      <w:tr w14:paraId="7E7242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restart"/>
            <w:tcBorders>
              <w:tl2br w:val="nil"/>
              <w:tr2bl w:val="nil"/>
            </w:tcBorders>
            <w:noWrap w:val="0"/>
            <w:vAlign w:val="center"/>
          </w:tcPr>
          <w:p w14:paraId="2E8CEE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2024.8.5</w:t>
            </w:r>
          </w:p>
        </w:tc>
        <w:tc>
          <w:tcPr>
            <w:tcW w:w="405" w:type="pct"/>
            <w:tcBorders>
              <w:tl2br w:val="nil"/>
              <w:tr2bl w:val="nil"/>
            </w:tcBorders>
            <w:noWrap w:val="0"/>
            <w:vAlign w:val="center"/>
          </w:tcPr>
          <w:p w14:paraId="0CDD305D">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39" w:type="pct"/>
            <w:tcBorders>
              <w:tl2br w:val="nil"/>
              <w:tr2bl w:val="nil"/>
            </w:tcBorders>
            <w:noWrap w:val="0"/>
            <w:vAlign w:val="center"/>
          </w:tcPr>
          <w:p w14:paraId="4CE8B7D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100.0</w:t>
            </w:r>
          </w:p>
        </w:tc>
        <w:tc>
          <w:tcPr>
            <w:tcW w:w="753" w:type="pct"/>
            <w:tcBorders>
              <w:tl2br w:val="nil"/>
              <w:tr2bl w:val="nil"/>
            </w:tcBorders>
            <w:noWrap w:val="0"/>
            <w:vAlign w:val="center"/>
          </w:tcPr>
          <w:p w14:paraId="5175804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30.7</w:t>
            </w:r>
          </w:p>
        </w:tc>
        <w:tc>
          <w:tcPr>
            <w:tcW w:w="992" w:type="pct"/>
            <w:tcBorders>
              <w:tl2br w:val="nil"/>
              <w:tr2bl w:val="nil"/>
            </w:tcBorders>
            <w:noWrap w:val="0"/>
            <w:vAlign w:val="center"/>
          </w:tcPr>
          <w:p w14:paraId="72E86E5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60.3</w:t>
            </w:r>
          </w:p>
        </w:tc>
        <w:tc>
          <w:tcPr>
            <w:tcW w:w="513" w:type="pct"/>
            <w:tcBorders>
              <w:tl2br w:val="nil"/>
              <w:tr2bl w:val="nil"/>
            </w:tcBorders>
            <w:noWrap w:val="0"/>
            <w:vAlign w:val="center"/>
          </w:tcPr>
          <w:p w14:paraId="2DADD034">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23F9735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2.4</w:t>
            </w:r>
          </w:p>
        </w:tc>
      </w:tr>
      <w:tr w14:paraId="04C11D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90" w:hRule="atLeast"/>
          <w:jc w:val="center"/>
        </w:trPr>
        <w:tc>
          <w:tcPr>
            <w:tcW w:w="675" w:type="pct"/>
            <w:vMerge w:val="continue"/>
            <w:tcBorders>
              <w:tl2br w:val="nil"/>
              <w:tr2bl w:val="nil"/>
            </w:tcBorders>
            <w:noWrap w:val="0"/>
            <w:vAlign w:val="center"/>
          </w:tcPr>
          <w:p w14:paraId="05E191C8">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0C544DAC">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839" w:type="pct"/>
            <w:tcBorders>
              <w:tl2br w:val="nil"/>
              <w:tr2bl w:val="nil"/>
            </w:tcBorders>
            <w:noWrap w:val="0"/>
            <w:vAlign w:val="center"/>
          </w:tcPr>
          <w:p w14:paraId="7D45FE5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99.9</w:t>
            </w:r>
          </w:p>
        </w:tc>
        <w:tc>
          <w:tcPr>
            <w:tcW w:w="753" w:type="pct"/>
            <w:tcBorders>
              <w:tl2br w:val="nil"/>
              <w:tr2bl w:val="nil"/>
            </w:tcBorders>
            <w:noWrap w:val="0"/>
            <w:vAlign w:val="center"/>
          </w:tcPr>
          <w:p w14:paraId="3F1F341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39.2</w:t>
            </w:r>
          </w:p>
        </w:tc>
        <w:tc>
          <w:tcPr>
            <w:tcW w:w="992" w:type="pct"/>
            <w:tcBorders>
              <w:tl2br w:val="nil"/>
              <w:tr2bl w:val="nil"/>
            </w:tcBorders>
            <w:noWrap w:val="0"/>
            <w:vAlign w:val="center"/>
          </w:tcPr>
          <w:p w14:paraId="4D9CBD5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55.7</w:t>
            </w:r>
          </w:p>
        </w:tc>
        <w:tc>
          <w:tcPr>
            <w:tcW w:w="513" w:type="pct"/>
            <w:tcBorders>
              <w:tl2br w:val="nil"/>
              <w:tr2bl w:val="nil"/>
            </w:tcBorders>
            <w:noWrap w:val="0"/>
            <w:vAlign w:val="center"/>
          </w:tcPr>
          <w:p w14:paraId="6571DBFD">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1F68665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2.3</w:t>
            </w:r>
          </w:p>
        </w:tc>
      </w:tr>
      <w:tr w14:paraId="58188A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04621F96">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4A7F3DB2">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839" w:type="pct"/>
            <w:tcBorders>
              <w:tl2br w:val="nil"/>
              <w:tr2bl w:val="nil"/>
            </w:tcBorders>
            <w:noWrap w:val="0"/>
            <w:vAlign w:val="center"/>
          </w:tcPr>
          <w:p w14:paraId="635CE3D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99.8</w:t>
            </w:r>
          </w:p>
        </w:tc>
        <w:tc>
          <w:tcPr>
            <w:tcW w:w="753" w:type="pct"/>
            <w:tcBorders>
              <w:tl2br w:val="nil"/>
              <w:tr2bl w:val="nil"/>
            </w:tcBorders>
            <w:noWrap w:val="0"/>
            <w:vAlign w:val="center"/>
          </w:tcPr>
          <w:p w14:paraId="15D4DD6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39.6</w:t>
            </w:r>
          </w:p>
        </w:tc>
        <w:tc>
          <w:tcPr>
            <w:tcW w:w="992" w:type="pct"/>
            <w:tcBorders>
              <w:tl2br w:val="nil"/>
              <w:tr2bl w:val="nil"/>
            </w:tcBorders>
            <w:noWrap w:val="0"/>
            <w:vAlign w:val="center"/>
          </w:tcPr>
          <w:p w14:paraId="5D67E1B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52.4</w:t>
            </w:r>
          </w:p>
        </w:tc>
        <w:tc>
          <w:tcPr>
            <w:tcW w:w="513" w:type="pct"/>
            <w:tcBorders>
              <w:tl2br w:val="nil"/>
              <w:tr2bl w:val="nil"/>
            </w:tcBorders>
            <w:noWrap w:val="0"/>
            <w:vAlign w:val="center"/>
          </w:tcPr>
          <w:p w14:paraId="35FB8A7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764DD359">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2.2</w:t>
            </w:r>
          </w:p>
        </w:tc>
      </w:tr>
      <w:tr w14:paraId="41AEC5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613C92F1">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1534C540">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839" w:type="pct"/>
            <w:tcBorders>
              <w:tl2br w:val="nil"/>
              <w:tr2bl w:val="nil"/>
            </w:tcBorders>
            <w:noWrap w:val="0"/>
            <w:vAlign w:val="center"/>
          </w:tcPr>
          <w:p w14:paraId="11F5457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99.9</w:t>
            </w:r>
          </w:p>
        </w:tc>
        <w:tc>
          <w:tcPr>
            <w:tcW w:w="753" w:type="pct"/>
            <w:tcBorders>
              <w:tl2br w:val="nil"/>
              <w:tr2bl w:val="nil"/>
            </w:tcBorders>
            <w:noWrap w:val="0"/>
            <w:vAlign w:val="center"/>
          </w:tcPr>
          <w:p w14:paraId="23F383B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36.8</w:t>
            </w:r>
          </w:p>
        </w:tc>
        <w:tc>
          <w:tcPr>
            <w:tcW w:w="992" w:type="pct"/>
            <w:tcBorders>
              <w:tl2br w:val="nil"/>
              <w:tr2bl w:val="nil"/>
            </w:tcBorders>
            <w:noWrap w:val="0"/>
            <w:vAlign w:val="center"/>
          </w:tcPr>
          <w:p w14:paraId="3F0E10D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54.8</w:t>
            </w:r>
          </w:p>
        </w:tc>
        <w:tc>
          <w:tcPr>
            <w:tcW w:w="513" w:type="pct"/>
            <w:tcBorders>
              <w:tl2br w:val="nil"/>
              <w:tr2bl w:val="nil"/>
            </w:tcBorders>
            <w:noWrap w:val="0"/>
            <w:vAlign w:val="center"/>
          </w:tcPr>
          <w:p w14:paraId="73A021C4">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38639EC4">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2.3</w:t>
            </w:r>
          </w:p>
        </w:tc>
      </w:tr>
      <w:tr w14:paraId="5717FE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53" w:hRule="atLeast"/>
          <w:jc w:val="center"/>
        </w:trPr>
        <w:tc>
          <w:tcPr>
            <w:tcW w:w="675" w:type="pct"/>
            <w:vMerge w:val="restart"/>
            <w:tcBorders>
              <w:tl2br w:val="nil"/>
              <w:tr2bl w:val="nil"/>
            </w:tcBorders>
            <w:noWrap w:val="0"/>
            <w:vAlign w:val="center"/>
          </w:tcPr>
          <w:p w14:paraId="2FC5EF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2024.8.6</w:t>
            </w:r>
          </w:p>
        </w:tc>
        <w:tc>
          <w:tcPr>
            <w:tcW w:w="405" w:type="pct"/>
            <w:tcBorders>
              <w:tl2br w:val="nil"/>
              <w:tr2bl w:val="nil"/>
            </w:tcBorders>
            <w:noWrap w:val="0"/>
            <w:vAlign w:val="center"/>
          </w:tcPr>
          <w:p w14:paraId="558989C2">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39" w:type="pct"/>
            <w:tcBorders>
              <w:tl2br w:val="nil"/>
              <w:tr2bl w:val="nil"/>
            </w:tcBorders>
            <w:noWrap w:val="0"/>
            <w:vAlign w:val="center"/>
          </w:tcPr>
          <w:p w14:paraId="09517BF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100.0</w:t>
            </w:r>
          </w:p>
        </w:tc>
        <w:tc>
          <w:tcPr>
            <w:tcW w:w="753" w:type="pct"/>
            <w:tcBorders>
              <w:tl2br w:val="nil"/>
              <w:tr2bl w:val="nil"/>
            </w:tcBorders>
            <w:noWrap w:val="0"/>
            <w:vAlign w:val="center"/>
          </w:tcPr>
          <w:p w14:paraId="4B5F84F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30.2</w:t>
            </w:r>
          </w:p>
        </w:tc>
        <w:tc>
          <w:tcPr>
            <w:tcW w:w="992" w:type="pct"/>
            <w:tcBorders>
              <w:tl2br w:val="nil"/>
              <w:tr2bl w:val="nil"/>
            </w:tcBorders>
            <w:noWrap w:val="0"/>
            <w:vAlign w:val="center"/>
          </w:tcPr>
          <w:p w14:paraId="7CF8A8A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62.1</w:t>
            </w:r>
          </w:p>
        </w:tc>
        <w:tc>
          <w:tcPr>
            <w:tcW w:w="513" w:type="pct"/>
            <w:tcBorders>
              <w:tl2br w:val="nil"/>
              <w:tr2bl w:val="nil"/>
            </w:tcBorders>
            <w:noWrap w:val="0"/>
            <w:vAlign w:val="center"/>
          </w:tcPr>
          <w:p w14:paraId="16ABFC9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27159C9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2.4</w:t>
            </w:r>
          </w:p>
        </w:tc>
      </w:tr>
      <w:tr w14:paraId="2ED714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549A99AC">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0952770A">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839" w:type="pct"/>
            <w:tcBorders>
              <w:tl2br w:val="nil"/>
              <w:tr2bl w:val="nil"/>
            </w:tcBorders>
            <w:noWrap w:val="0"/>
            <w:vAlign w:val="center"/>
          </w:tcPr>
          <w:p w14:paraId="4105C58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99.9</w:t>
            </w:r>
          </w:p>
        </w:tc>
        <w:tc>
          <w:tcPr>
            <w:tcW w:w="753" w:type="pct"/>
            <w:tcBorders>
              <w:tl2br w:val="nil"/>
              <w:tr2bl w:val="nil"/>
            </w:tcBorders>
            <w:noWrap w:val="0"/>
            <w:vAlign w:val="center"/>
          </w:tcPr>
          <w:p w14:paraId="6E0EC03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34.7</w:t>
            </w:r>
          </w:p>
        </w:tc>
        <w:tc>
          <w:tcPr>
            <w:tcW w:w="992" w:type="pct"/>
            <w:tcBorders>
              <w:tl2br w:val="nil"/>
              <w:tr2bl w:val="nil"/>
            </w:tcBorders>
            <w:noWrap w:val="0"/>
            <w:vAlign w:val="center"/>
          </w:tcPr>
          <w:p w14:paraId="60780C3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56.3</w:t>
            </w:r>
          </w:p>
        </w:tc>
        <w:tc>
          <w:tcPr>
            <w:tcW w:w="513" w:type="pct"/>
            <w:tcBorders>
              <w:tl2br w:val="nil"/>
              <w:tr2bl w:val="nil"/>
            </w:tcBorders>
            <w:noWrap w:val="0"/>
            <w:vAlign w:val="center"/>
          </w:tcPr>
          <w:p w14:paraId="3B31BE5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788BAB9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2.2</w:t>
            </w:r>
          </w:p>
        </w:tc>
      </w:tr>
      <w:tr w14:paraId="02F078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7C354F6B">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011DD286">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839" w:type="pct"/>
            <w:tcBorders>
              <w:tl2br w:val="nil"/>
              <w:tr2bl w:val="nil"/>
            </w:tcBorders>
            <w:noWrap w:val="0"/>
            <w:vAlign w:val="center"/>
          </w:tcPr>
          <w:p w14:paraId="46CAB79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99.7</w:t>
            </w:r>
          </w:p>
        </w:tc>
        <w:tc>
          <w:tcPr>
            <w:tcW w:w="753" w:type="pct"/>
            <w:tcBorders>
              <w:tl2br w:val="nil"/>
              <w:tr2bl w:val="nil"/>
            </w:tcBorders>
            <w:noWrap w:val="0"/>
            <w:vAlign w:val="center"/>
          </w:tcPr>
          <w:p w14:paraId="4809084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38.8</w:t>
            </w:r>
          </w:p>
        </w:tc>
        <w:tc>
          <w:tcPr>
            <w:tcW w:w="992" w:type="pct"/>
            <w:tcBorders>
              <w:tl2br w:val="nil"/>
              <w:tr2bl w:val="nil"/>
            </w:tcBorders>
            <w:noWrap w:val="0"/>
            <w:vAlign w:val="center"/>
          </w:tcPr>
          <w:p w14:paraId="3A7D2ED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51.8</w:t>
            </w:r>
          </w:p>
        </w:tc>
        <w:tc>
          <w:tcPr>
            <w:tcW w:w="513" w:type="pct"/>
            <w:tcBorders>
              <w:tl2br w:val="nil"/>
              <w:tr2bl w:val="nil"/>
            </w:tcBorders>
            <w:noWrap w:val="0"/>
            <w:vAlign w:val="center"/>
          </w:tcPr>
          <w:p w14:paraId="4E96C2A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1DE273B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2.2</w:t>
            </w:r>
          </w:p>
        </w:tc>
      </w:tr>
      <w:tr w14:paraId="4E79AF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2EEBEA3B">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10E6A6F8">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839" w:type="pct"/>
            <w:tcBorders>
              <w:tl2br w:val="nil"/>
              <w:tr2bl w:val="nil"/>
            </w:tcBorders>
            <w:noWrap w:val="0"/>
            <w:vAlign w:val="center"/>
          </w:tcPr>
          <w:p w14:paraId="469C870D">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99.9</w:t>
            </w:r>
          </w:p>
        </w:tc>
        <w:tc>
          <w:tcPr>
            <w:tcW w:w="753" w:type="pct"/>
            <w:tcBorders>
              <w:tl2br w:val="nil"/>
              <w:tr2bl w:val="nil"/>
            </w:tcBorders>
            <w:noWrap w:val="0"/>
            <w:vAlign w:val="center"/>
          </w:tcPr>
          <w:p w14:paraId="7AE5C76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35.9</w:t>
            </w:r>
          </w:p>
        </w:tc>
        <w:tc>
          <w:tcPr>
            <w:tcW w:w="992" w:type="pct"/>
            <w:tcBorders>
              <w:tl2br w:val="nil"/>
              <w:tr2bl w:val="nil"/>
            </w:tcBorders>
            <w:noWrap w:val="0"/>
            <w:vAlign w:val="center"/>
          </w:tcPr>
          <w:p w14:paraId="64BC264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53.6</w:t>
            </w:r>
          </w:p>
        </w:tc>
        <w:tc>
          <w:tcPr>
            <w:tcW w:w="513" w:type="pct"/>
            <w:tcBorders>
              <w:tl2br w:val="nil"/>
              <w:tr2bl w:val="nil"/>
            </w:tcBorders>
            <w:noWrap w:val="0"/>
            <w:vAlign w:val="center"/>
          </w:tcPr>
          <w:p w14:paraId="38DDEC2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东南</w:t>
            </w:r>
          </w:p>
        </w:tc>
        <w:tc>
          <w:tcPr>
            <w:tcW w:w="820" w:type="pct"/>
            <w:tcBorders>
              <w:tl2br w:val="nil"/>
              <w:tr2bl w:val="nil"/>
            </w:tcBorders>
            <w:noWrap w:val="0"/>
            <w:vAlign w:val="center"/>
          </w:tcPr>
          <w:p w14:paraId="4FD270E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2.3</w:t>
            </w:r>
          </w:p>
        </w:tc>
      </w:tr>
      <w:tr w14:paraId="3A4DB5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restart"/>
            <w:tcBorders>
              <w:tl2br w:val="nil"/>
              <w:tr2bl w:val="nil"/>
            </w:tcBorders>
            <w:noWrap w:val="0"/>
            <w:vAlign w:val="center"/>
          </w:tcPr>
          <w:p w14:paraId="5C1FD8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2024.8.7</w:t>
            </w:r>
          </w:p>
        </w:tc>
        <w:tc>
          <w:tcPr>
            <w:tcW w:w="405" w:type="pct"/>
            <w:tcBorders>
              <w:tl2br w:val="nil"/>
              <w:tr2bl w:val="nil"/>
            </w:tcBorders>
            <w:noWrap w:val="0"/>
            <w:vAlign w:val="center"/>
          </w:tcPr>
          <w:p w14:paraId="56E48251">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39" w:type="pct"/>
            <w:tcBorders>
              <w:tl2br w:val="nil"/>
              <w:tr2bl w:val="nil"/>
            </w:tcBorders>
            <w:noWrap w:val="0"/>
            <w:vAlign w:val="center"/>
          </w:tcPr>
          <w:p w14:paraId="5003CEA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100.0</w:t>
            </w:r>
          </w:p>
        </w:tc>
        <w:tc>
          <w:tcPr>
            <w:tcW w:w="753" w:type="pct"/>
            <w:tcBorders>
              <w:tl2br w:val="nil"/>
              <w:tr2bl w:val="nil"/>
            </w:tcBorders>
            <w:noWrap w:val="0"/>
            <w:vAlign w:val="center"/>
          </w:tcPr>
          <w:p w14:paraId="16A258D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30.8</w:t>
            </w:r>
          </w:p>
        </w:tc>
        <w:tc>
          <w:tcPr>
            <w:tcW w:w="992" w:type="pct"/>
            <w:tcBorders>
              <w:tl2br w:val="nil"/>
              <w:tr2bl w:val="nil"/>
            </w:tcBorders>
            <w:noWrap w:val="0"/>
            <w:vAlign w:val="center"/>
          </w:tcPr>
          <w:p w14:paraId="23F4C30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61.7</w:t>
            </w:r>
          </w:p>
        </w:tc>
        <w:tc>
          <w:tcPr>
            <w:tcW w:w="513" w:type="pct"/>
            <w:tcBorders>
              <w:tl2br w:val="nil"/>
              <w:tr2bl w:val="nil"/>
            </w:tcBorders>
            <w:noWrap w:val="0"/>
            <w:vAlign w:val="center"/>
          </w:tcPr>
          <w:p w14:paraId="16F10F4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p>
        </w:tc>
        <w:tc>
          <w:tcPr>
            <w:tcW w:w="820" w:type="pct"/>
            <w:tcBorders>
              <w:tl2br w:val="nil"/>
              <w:tr2bl w:val="nil"/>
            </w:tcBorders>
            <w:noWrap w:val="0"/>
            <w:vAlign w:val="center"/>
          </w:tcPr>
          <w:p w14:paraId="303CEBC4">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2.4</w:t>
            </w:r>
          </w:p>
        </w:tc>
      </w:tr>
      <w:tr w14:paraId="6FCD22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50BAE3D3">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4DAF8E83">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839" w:type="pct"/>
            <w:tcBorders>
              <w:tl2br w:val="nil"/>
              <w:tr2bl w:val="nil"/>
            </w:tcBorders>
            <w:noWrap w:val="0"/>
            <w:vAlign w:val="center"/>
          </w:tcPr>
          <w:p w14:paraId="0A5ED5A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99.8</w:t>
            </w:r>
          </w:p>
        </w:tc>
        <w:tc>
          <w:tcPr>
            <w:tcW w:w="753" w:type="pct"/>
            <w:tcBorders>
              <w:tl2br w:val="nil"/>
              <w:tr2bl w:val="nil"/>
            </w:tcBorders>
            <w:noWrap w:val="0"/>
            <w:vAlign w:val="center"/>
          </w:tcPr>
          <w:p w14:paraId="2D805D3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35.7</w:t>
            </w:r>
          </w:p>
        </w:tc>
        <w:tc>
          <w:tcPr>
            <w:tcW w:w="992" w:type="pct"/>
            <w:tcBorders>
              <w:tl2br w:val="nil"/>
              <w:tr2bl w:val="nil"/>
            </w:tcBorders>
            <w:noWrap w:val="0"/>
            <w:vAlign w:val="center"/>
          </w:tcPr>
          <w:p w14:paraId="4EACF11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55.9</w:t>
            </w:r>
          </w:p>
        </w:tc>
        <w:tc>
          <w:tcPr>
            <w:tcW w:w="513" w:type="pct"/>
            <w:tcBorders>
              <w:tl2br w:val="nil"/>
              <w:tr2bl w:val="nil"/>
            </w:tcBorders>
            <w:noWrap w:val="0"/>
            <w:vAlign w:val="center"/>
          </w:tcPr>
          <w:p w14:paraId="4688A1F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p>
        </w:tc>
        <w:tc>
          <w:tcPr>
            <w:tcW w:w="820" w:type="pct"/>
            <w:tcBorders>
              <w:tl2br w:val="nil"/>
              <w:tr2bl w:val="nil"/>
            </w:tcBorders>
            <w:noWrap w:val="0"/>
            <w:vAlign w:val="center"/>
          </w:tcPr>
          <w:p w14:paraId="118BB4C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2.2</w:t>
            </w:r>
          </w:p>
        </w:tc>
      </w:tr>
      <w:tr w14:paraId="555019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5B9D5900">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62C13658">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839" w:type="pct"/>
            <w:tcBorders>
              <w:tl2br w:val="nil"/>
              <w:tr2bl w:val="nil"/>
            </w:tcBorders>
            <w:noWrap w:val="0"/>
            <w:vAlign w:val="center"/>
          </w:tcPr>
          <w:p w14:paraId="60F995D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99.7</w:t>
            </w:r>
          </w:p>
        </w:tc>
        <w:tc>
          <w:tcPr>
            <w:tcW w:w="753" w:type="pct"/>
            <w:tcBorders>
              <w:tl2br w:val="nil"/>
              <w:tr2bl w:val="nil"/>
            </w:tcBorders>
            <w:noWrap w:val="0"/>
            <w:vAlign w:val="center"/>
          </w:tcPr>
          <w:p w14:paraId="16ECBD29">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39.5</w:t>
            </w:r>
          </w:p>
        </w:tc>
        <w:tc>
          <w:tcPr>
            <w:tcW w:w="992" w:type="pct"/>
            <w:tcBorders>
              <w:tl2br w:val="nil"/>
              <w:tr2bl w:val="nil"/>
            </w:tcBorders>
            <w:noWrap w:val="0"/>
            <w:vAlign w:val="center"/>
          </w:tcPr>
          <w:p w14:paraId="1E9FE63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52.0</w:t>
            </w:r>
          </w:p>
        </w:tc>
        <w:tc>
          <w:tcPr>
            <w:tcW w:w="513" w:type="pct"/>
            <w:tcBorders>
              <w:tl2br w:val="nil"/>
              <w:tr2bl w:val="nil"/>
            </w:tcBorders>
            <w:noWrap w:val="0"/>
            <w:vAlign w:val="center"/>
          </w:tcPr>
          <w:p w14:paraId="2CC45F2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p>
        </w:tc>
        <w:tc>
          <w:tcPr>
            <w:tcW w:w="820" w:type="pct"/>
            <w:tcBorders>
              <w:tl2br w:val="nil"/>
              <w:tr2bl w:val="nil"/>
            </w:tcBorders>
            <w:noWrap w:val="0"/>
            <w:vAlign w:val="center"/>
          </w:tcPr>
          <w:p w14:paraId="78C9B8E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2.2</w:t>
            </w:r>
          </w:p>
        </w:tc>
      </w:tr>
      <w:tr w14:paraId="6FF9E1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107E2683">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30370419">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839" w:type="pct"/>
            <w:tcBorders>
              <w:tl2br w:val="nil"/>
              <w:tr2bl w:val="nil"/>
            </w:tcBorders>
            <w:noWrap w:val="0"/>
            <w:vAlign w:val="center"/>
          </w:tcPr>
          <w:p w14:paraId="0381D52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99.8</w:t>
            </w:r>
          </w:p>
        </w:tc>
        <w:tc>
          <w:tcPr>
            <w:tcW w:w="753" w:type="pct"/>
            <w:tcBorders>
              <w:tl2br w:val="nil"/>
              <w:tr2bl w:val="nil"/>
            </w:tcBorders>
            <w:noWrap w:val="0"/>
            <w:vAlign w:val="center"/>
          </w:tcPr>
          <w:p w14:paraId="68B6631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36.2</w:t>
            </w:r>
          </w:p>
        </w:tc>
        <w:tc>
          <w:tcPr>
            <w:tcW w:w="992" w:type="pct"/>
            <w:tcBorders>
              <w:tl2br w:val="nil"/>
              <w:tr2bl w:val="nil"/>
            </w:tcBorders>
            <w:noWrap w:val="0"/>
            <w:vAlign w:val="center"/>
          </w:tcPr>
          <w:p w14:paraId="6F61742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54.3</w:t>
            </w:r>
          </w:p>
        </w:tc>
        <w:tc>
          <w:tcPr>
            <w:tcW w:w="513" w:type="pct"/>
            <w:tcBorders>
              <w:tl2br w:val="nil"/>
              <w:tr2bl w:val="nil"/>
            </w:tcBorders>
            <w:noWrap w:val="0"/>
            <w:vAlign w:val="center"/>
          </w:tcPr>
          <w:p w14:paraId="057AC6B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p>
        </w:tc>
        <w:tc>
          <w:tcPr>
            <w:tcW w:w="820" w:type="pct"/>
            <w:tcBorders>
              <w:tl2br w:val="nil"/>
              <w:tr2bl w:val="nil"/>
            </w:tcBorders>
            <w:noWrap w:val="0"/>
            <w:vAlign w:val="center"/>
          </w:tcPr>
          <w:p w14:paraId="6068304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2.2</w:t>
            </w:r>
          </w:p>
        </w:tc>
      </w:tr>
      <w:tr w14:paraId="493FD7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restart"/>
            <w:tcBorders>
              <w:tl2br w:val="nil"/>
              <w:tr2bl w:val="nil"/>
            </w:tcBorders>
            <w:noWrap w:val="0"/>
            <w:vAlign w:val="center"/>
          </w:tcPr>
          <w:p w14:paraId="52872B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2024.8.8</w:t>
            </w:r>
          </w:p>
        </w:tc>
        <w:tc>
          <w:tcPr>
            <w:tcW w:w="405" w:type="pct"/>
            <w:tcBorders>
              <w:tl2br w:val="nil"/>
              <w:tr2bl w:val="nil"/>
            </w:tcBorders>
            <w:noWrap w:val="0"/>
            <w:vAlign w:val="center"/>
          </w:tcPr>
          <w:p w14:paraId="4B27D4B4">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39" w:type="pct"/>
            <w:tcBorders>
              <w:tl2br w:val="nil"/>
              <w:tr2bl w:val="nil"/>
            </w:tcBorders>
            <w:noWrap w:val="0"/>
            <w:vAlign w:val="center"/>
          </w:tcPr>
          <w:p w14:paraId="2226579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99.9</w:t>
            </w:r>
          </w:p>
        </w:tc>
        <w:tc>
          <w:tcPr>
            <w:tcW w:w="753" w:type="pct"/>
            <w:tcBorders>
              <w:tl2br w:val="nil"/>
              <w:tr2bl w:val="nil"/>
            </w:tcBorders>
            <w:noWrap w:val="0"/>
            <w:vAlign w:val="center"/>
          </w:tcPr>
          <w:p w14:paraId="1DF84B6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30.5</w:t>
            </w:r>
          </w:p>
        </w:tc>
        <w:tc>
          <w:tcPr>
            <w:tcW w:w="992" w:type="pct"/>
            <w:tcBorders>
              <w:tl2br w:val="nil"/>
              <w:tr2bl w:val="nil"/>
            </w:tcBorders>
            <w:noWrap w:val="0"/>
            <w:vAlign w:val="center"/>
          </w:tcPr>
          <w:p w14:paraId="74646B3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60.9</w:t>
            </w:r>
          </w:p>
        </w:tc>
        <w:tc>
          <w:tcPr>
            <w:tcW w:w="513" w:type="pct"/>
            <w:tcBorders>
              <w:tl2br w:val="nil"/>
              <w:tr2bl w:val="nil"/>
            </w:tcBorders>
            <w:noWrap w:val="0"/>
            <w:vAlign w:val="center"/>
          </w:tcPr>
          <w:p w14:paraId="624FD75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p>
        </w:tc>
        <w:tc>
          <w:tcPr>
            <w:tcW w:w="820" w:type="pct"/>
            <w:tcBorders>
              <w:tl2br w:val="nil"/>
              <w:tr2bl w:val="nil"/>
            </w:tcBorders>
            <w:noWrap w:val="0"/>
            <w:vAlign w:val="center"/>
          </w:tcPr>
          <w:p w14:paraId="6467432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2.6</w:t>
            </w:r>
          </w:p>
        </w:tc>
      </w:tr>
      <w:tr w14:paraId="2ACEC5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1765AD5D">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65E6AB4F">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839" w:type="pct"/>
            <w:tcBorders>
              <w:tl2br w:val="nil"/>
              <w:tr2bl w:val="nil"/>
            </w:tcBorders>
            <w:noWrap w:val="0"/>
            <w:vAlign w:val="center"/>
          </w:tcPr>
          <w:p w14:paraId="07C97A0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99.8</w:t>
            </w:r>
          </w:p>
        </w:tc>
        <w:tc>
          <w:tcPr>
            <w:tcW w:w="753" w:type="pct"/>
            <w:tcBorders>
              <w:tl2br w:val="nil"/>
              <w:tr2bl w:val="nil"/>
            </w:tcBorders>
            <w:noWrap w:val="0"/>
            <w:vAlign w:val="center"/>
          </w:tcPr>
          <w:p w14:paraId="7934237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35.1</w:t>
            </w:r>
          </w:p>
        </w:tc>
        <w:tc>
          <w:tcPr>
            <w:tcW w:w="992" w:type="pct"/>
            <w:tcBorders>
              <w:tl2br w:val="nil"/>
              <w:tr2bl w:val="nil"/>
            </w:tcBorders>
            <w:noWrap w:val="0"/>
            <w:vAlign w:val="center"/>
          </w:tcPr>
          <w:p w14:paraId="5809E15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55.2</w:t>
            </w:r>
          </w:p>
        </w:tc>
        <w:tc>
          <w:tcPr>
            <w:tcW w:w="513" w:type="pct"/>
            <w:tcBorders>
              <w:tl2br w:val="nil"/>
              <w:tr2bl w:val="nil"/>
            </w:tcBorders>
            <w:noWrap w:val="0"/>
            <w:vAlign w:val="center"/>
          </w:tcPr>
          <w:p w14:paraId="5F15767D">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p>
        </w:tc>
        <w:tc>
          <w:tcPr>
            <w:tcW w:w="820" w:type="pct"/>
            <w:tcBorders>
              <w:tl2br w:val="nil"/>
              <w:tr2bl w:val="nil"/>
            </w:tcBorders>
            <w:noWrap w:val="0"/>
            <w:vAlign w:val="center"/>
          </w:tcPr>
          <w:p w14:paraId="5B2F0D3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2.4</w:t>
            </w:r>
          </w:p>
        </w:tc>
      </w:tr>
      <w:tr w14:paraId="6C9628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692E4A89">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293C25C4">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839" w:type="pct"/>
            <w:tcBorders>
              <w:tl2br w:val="nil"/>
              <w:tr2bl w:val="nil"/>
            </w:tcBorders>
            <w:noWrap w:val="0"/>
            <w:vAlign w:val="center"/>
          </w:tcPr>
          <w:p w14:paraId="5DDC842D">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99.8</w:t>
            </w:r>
          </w:p>
        </w:tc>
        <w:tc>
          <w:tcPr>
            <w:tcW w:w="753" w:type="pct"/>
            <w:tcBorders>
              <w:tl2br w:val="nil"/>
              <w:tr2bl w:val="nil"/>
            </w:tcBorders>
            <w:noWrap w:val="0"/>
            <w:vAlign w:val="center"/>
          </w:tcPr>
          <w:p w14:paraId="129E655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38.9</w:t>
            </w:r>
          </w:p>
        </w:tc>
        <w:tc>
          <w:tcPr>
            <w:tcW w:w="992" w:type="pct"/>
            <w:tcBorders>
              <w:tl2br w:val="nil"/>
              <w:tr2bl w:val="nil"/>
            </w:tcBorders>
            <w:noWrap w:val="0"/>
            <w:vAlign w:val="center"/>
          </w:tcPr>
          <w:p w14:paraId="2EE1C83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51.3</w:t>
            </w:r>
          </w:p>
        </w:tc>
        <w:tc>
          <w:tcPr>
            <w:tcW w:w="513" w:type="pct"/>
            <w:tcBorders>
              <w:tl2br w:val="nil"/>
              <w:tr2bl w:val="nil"/>
            </w:tcBorders>
            <w:noWrap w:val="0"/>
            <w:vAlign w:val="center"/>
          </w:tcPr>
          <w:p w14:paraId="6EFF2C14">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p>
        </w:tc>
        <w:tc>
          <w:tcPr>
            <w:tcW w:w="820" w:type="pct"/>
            <w:tcBorders>
              <w:tl2br w:val="nil"/>
              <w:tr2bl w:val="nil"/>
            </w:tcBorders>
            <w:noWrap w:val="0"/>
            <w:vAlign w:val="center"/>
          </w:tcPr>
          <w:p w14:paraId="0FF90EF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2.3</w:t>
            </w:r>
          </w:p>
        </w:tc>
      </w:tr>
      <w:tr w14:paraId="14D333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Borders>
              <w:tl2br w:val="nil"/>
              <w:tr2bl w:val="nil"/>
            </w:tcBorders>
            <w:noWrap w:val="0"/>
            <w:vAlign w:val="center"/>
          </w:tcPr>
          <w:p w14:paraId="1E796642">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tcBorders>
              <w:tl2br w:val="nil"/>
              <w:tr2bl w:val="nil"/>
            </w:tcBorders>
            <w:noWrap w:val="0"/>
            <w:vAlign w:val="center"/>
          </w:tcPr>
          <w:p w14:paraId="520DA10D">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839" w:type="pct"/>
            <w:tcBorders>
              <w:tl2br w:val="nil"/>
              <w:tr2bl w:val="nil"/>
            </w:tcBorders>
            <w:noWrap w:val="0"/>
            <w:vAlign w:val="center"/>
          </w:tcPr>
          <w:p w14:paraId="13F3BD7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99.9</w:t>
            </w:r>
          </w:p>
        </w:tc>
        <w:tc>
          <w:tcPr>
            <w:tcW w:w="753" w:type="pct"/>
            <w:tcBorders>
              <w:tl2br w:val="nil"/>
              <w:tr2bl w:val="nil"/>
            </w:tcBorders>
            <w:noWrap w:val="0"/>
            <w:vAlign w:val="center"/>
          </w:tcPr>
          <w:p w14:paraId="3A8282ED">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36.0</w:t>
            </w:r>
          </w:p>
        </w:tc>
        <w:tc>
          <w:tcPr>
            <w:tcW w:w="992" w:type="pct"/>
            <w:tcBorders>
              <w:tl2br w:val="nil"/>
              <w:tr2bl w:val="nil"/>
            </w:tcBorders>
            <w:noWrap w:val="0"/>
            <w:vAlign w:val="center"/>
          </w:tcPr>
          <w:p w14:paraId="6D44CB4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52.9</w:t>
            </w:r>
          </w:p>
        </w:tc>
        <w:tc>
          <w:tcPr>
            <w:tcW w:w="513" w:type="pct"/>
            <w:tcBorders>
              <w:tl2br w:val="nil"/>
              <w:tr2bl w:val="nil"/>
            </w:tcBorders>
            <w:noWrap w:val="0"/>
            <w:vAlign w:val="center"/>
          </w:tcPr>
          <w:p w14:paraId="37D665B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w:t>
            </w:r>
          </w:p>
        </w:tc>
        <w:tc>
          <w:tcPr>
            <w:tcW w:w="820" w:type="pct"/>
            <w:tcBorders>
              <w:tl2br w:val="nil"/>
              <w:tr2bl w:val="nil"/>
            </w:tcBorders>
            <w:noWrap w:val="0"/>
            <w:vAlign w:val="center"/>
          </w:tcPr>
          <w:p w14:paraId="550F9E2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2.4</w:t>
            </w:r>
          </w:p>
        </w:tc>
      </w:tr>
      <w:tr w14:paraId="5B43D6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restart"/>
            <w:tcBorders>
              <w:tl2br w:val="nil"/>
              <w:tr2bl w:val="nil"/>
            </w:tcBorders>
            <w:shd w:val="clear" w:color="auto" w:fill="auto"/>
            <w:noWrap w:val="0"/>
            <w:vAlign w:val="center"/>
          </w:tcPr>
          <w:p w14:paraId="6911C77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2024.8.9</w:t>
            </w:r>
          </w:p>
        </w:tc>
        <w:tc>
          <w:tcPr>
            <w:tcW w:w="405" w:type="pct"/>
            <w:tcBorders>
              <w:tl2br w:val="nil"/>
              <w:tr2bl w:val="nil"/>
            </w:tcBorders>
            <w:shd w:val="clear" w:color="auto" w:fill="auto"/>
            <w:noWrap w:val="0"/>
            <w:vAlign w:val="center"/>
          </w:tcPr>
          <w:p w14:paraId="22EFE870">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839" w:type="pct"/>
            <w:tcBorders>
              <w:tl2br w:val="nil"/>
              <w:tr2bl w:val="nil"/>
            </w:tcBorders>
            <w:shd w:val="clear" w:color="auto" w:fill="auto"/>
            <w:noWrap w:val="0"/>
            <w:vAlign w:val="center"/>
          </w:tcPr>
          <w:p w14:paraId="6F21A70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100.0</w:t>
            </w:r>
          </w:p>
        </w:tc>
        <w:tc>
          <w:tcPr>
            <w:tcW w:w="753" w:type="pct"/>
            <w:tcBorders>
              <w:tl2br w:val="nil"/>
              <w:tr2bl w:val="nil"/>
            </w:tcBorders>
            <w:shd w:val="clear" w:color="auto" w:fill="auto"/>
            <w:noWrap w:val="0"/>
            <w:vAlign w:val="center"/>
          </w:tcPr>
          <w:p w14:paraId="578C0D24">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31.2</w:t>
            </w:r>
          </w:p>
        </w:tc>
        <w:tc>
          <w:tcPr>
            <w:tcW w:w="992" w:type="pct"/>
            <w:tcBorders>
              <w:tl2br w:val="nil"/>
              <w:tr2bl w:val="nil"/>
            </w:tcBorders>
            <w:shd w:val="clear" w:color="auto" w:fill="auto"/>
            <w:noWrap w:val="0"/>
            <w:vAlign w:val="center"/>
          </w:tcPr>
          <w:p w14:paraId="3F39A47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60.2</w:t>
            </w:r>
          </w:p>
        </w:tc>
        <w:tc>
          <w:tcPr>
            <w:tcW w:w="513" w:type="pct"/>
            <w:tcBorders>
              <w:tl2br w:val="nil"/>
              <w:tr2bl w:val="nil"/>
            </w:tcBorders>
            <w:shd w:val="clear" w:color="auto" w:fill="auto"/>
            <w:noWrap w:val="0"/>
            <w:vAlign w:val="center"/>
          </w:tcPr>
          <w:p w14:paraId="405B88B9">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西南</w:t>
            </w:r>
          </w:p>
        </w:tc>
        <w:tc>
          <w:tcPr>
            <w:tcW w:w="820" w:type="pct"/>
            <w:tcBorders>
              <w:tl2br w:val="nil"/>
              <w:tr2bl w:val="nil"/>
            </w:tcBorders>
            <w:shd w:val="clear" w:color="auto" w:fill="auto"/>
            <w:noWrap w:val="0"/>
            <w:vAlign w:val="center"/>
          </w:tcPr>
          <w:p w14:paraId="1095CFD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r>
      <w:tr w14:paraId="70E13C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193D3B3A">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bookmarkStart w:id="1299" w:name="OLE_LINK411" w:colFirst="2" w:colLast="2"/>
          </w:p>
        </w:tc>
        <w:tc>
          <w:tcPr>
            <w:tcW w:w="405" w:type="pct"/>
            <w:shd w:val="clear" w:color="auto" w:fill="auto"/>
            <w:vAlign w:val="center"/>
          </w:tcPr>
          <w:p w14:paraId="66886946">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839" w:type="pct"/>
            <w:shd w:val="clear" w:color="auto" w:fill="auto"/>
            <w:vAlign w:val="center"/>
          </w:tcPr>
          <w:p w14:paraId="44642D7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99.8</w:t>
            </w:r>
          </w:p>
        </w:tc>
        <w:tc>
          <w:tcPr>
            <w:tcW w:w="753" w:type="pct"/>
            <w:shd w:val="clear" w:color="auto" w:fill="auto"/>
            <w:vAlign w:val="center"/>
          </w:tcPr>
          <w:p w14:paraId="5F8F5FC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36.7</w:t>
            </w:r>
          </w:p>
        </w:tc>
        <w:tc>
          <w:tcPr>
            <w:tcW w:w="992" w:type="pct"/>
            <w:shd w:val="clear" w:color="auto" w:fill="auto"/>
            <w:vAlign w:val="center"/>
          </w:tcPr>
          <w:p w14:paraId="1BED969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54.7</w:t>
            </w:r>
          </w:p>
        </w:tc>
        <w:tc>
          <w:tcPr>
            <w:tcW w:w="513" w:type="pct"/>
            <w:shd w:val="clear" w:color="auto" w:fill="auto"/>
            <w:vAlign w:val="center"/>
          </w:tcPr>
          <w:p w14:paraId="3F9A34B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西南</w:t>
            </w:r>
          </w:p>
        </w:tc>
        <w:tc>
          <w:tcPr>
            <w:tcW w:w="820" w:type="pct"/>
            <w:shd w:val="clear" w:color="auto" w:fill="auto"/>
            <w:vAlign w:val="center"/>
          </w:tcPr>
          <w:p w14:paraId="7AB438C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r>
      <w:tr w14:paraId="26168F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573613E3">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26A43D5C">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839" w:type="pct"/>
            <w:shd w:val="clear" w:color="auto" w:fill="auto"/>
            <w:vAlign w:val="center"/>
          </w:tcPr>
          <w:p w14:paraId="297740A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99.7</w:t>
            </w:r>
          </w:p>
        </w:tc>
        <w:tc>
          <w:tcPr>
            <w:tcW w:w="753" w:type="pct"/>
            <w:shd w:val="clear" w:color="auto" w:fill="auto"/>
            <w:vAlign w:val="center"/>
          </w:tcPr>
          <w:p w14:paraId="696FC8B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40.2</w:t>
            </w:r>
          </w:p>
        </w:tc>
        <w:tc>
          <w:tcPr>
            <w:tcW w:w="992" w:type="pct"/>
            <w:shd w:val="clear" w:color="auto" w:fill="auto"/>
            <w:vAlign w:val="center"/>
          </w:tcPr>
          <w:p w14:paraId="2E47735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50.9</w:t>
            </w:r>
          </w:p>
        </w:tc>
        <w:tc>
          <w:tcPr>
            <w:tcW w:w="513" w:type="pct"/>
            <w:shd w:val="clear" w:color="auto" w:fill="auto"/>
            <w:vAlign w:val="center"/>
          </w:tcPr>
          <w:p w14:paraId="2878F66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西南</w:t>
            </w:r>
          </w:p>
        </w:tc>
        <w:tc>
          <w:tcPr>
            <w:tcW w:w="820" w:type="pct"/>
            <w:shd w:val="clear" w:color="auto" w:fill="auto"/>
            <w:vAlign w:val="center"/>
          </w:tcPr>
          <w:p w14:paraId="6374FD2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r>
      <w:bookmarkEnd w:id="1299"/>
      <w:tr w14:paraId="6B3711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1A36B7DA">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190E0E59">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839" w:type="pct"/>
            <w:shd w:val="clear" w:color="auto" w:fill="auto"/>
            <w:vAlign w:val="center"/>
          </w:tcPr>
          <w:p w14:paraId="703DB00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99.8</w:t>
            </w:r>
          </w:p>
        </w:tc>
        <w:tc>
          <w:tcPr>
            <w:tcW w:w="753" w:type="pct"/>
            <w:shd w:val="clear" w:color="auto" w:fill="auto"/>
            <w:vAlign w:val="center"/>
          </w:tcPr>
          <w:p w14:paraId="25358F4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37.9</w:t>
            </w:r>
          </w:p>
        </w:tc>
        <w:tc>
          <w:tcPr>
            <w:tcW w:w="992" w:type="pct"/>
            <w:shd w:val="clear" w:color="auto" w:fill="auto"/>
            <w:vAlign w:val="center"/>
          </w:tcPr>
          <w:p w14:paraId="0E0ACB5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52.8</w:t>
            </w:r>
          </w:p>
        </w:tc>
        <w:tc>
          <w:tcPr>
            <w:tcW w:w="513" w:type="pct"/>
            <w:shd w:val="clear" w:color="auto" w:fill="auto"/>
            <w:vAlign w:val="center"/>
          </w:tcPr>
          <w:p w14:paraId="652A838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西南</w:t>
            </w:r>
          </w:p>
        </w:tc>
        <w:tc>
          <w:tcPr>
            <w:tcW w:w="820" w:type="pct"/>
            <w:shd w:val="clear" w:color="auto" w:fill="auto"/>
            <w:vAlign w:val="center"/>
          </w:tcPr>
          <w:p w14:paraId="473E736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r>
      <w:tr w14:paraId="207274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6" w:hRule="atLeast"/>
          <w:jc w:val="center"/>
        </w:trPr>
        <w:tc>
          <w:tcPr>
            <w:tcW w:w="675" w:type="pct"/>
            <w:vMerge w:val="restart"/>
            <w:shd w:val="clear" w:color="auto" w:fill="auto"/>
            <w:vAlign w:val="center"/>
          </w:tcPr>
          <w:p w14:paraId="253372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2024.8.10</w:t>
            </w:r>
          </w:p>
        </w:tc>
        <w:tc>
          <w:tcPr>
            <w:tcW w:w="405" w:type="pct"/>
            <w:shd w:val="clear" w:color="auto" w:fill="auto"/>
            <w:vAlign w:val="center"/>
          </w:tcPr>
          <w:p w14:paraId="62CDD4B9">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839" w:type="pct"/>
            <w:shd w:val="clear" w:color="auto" w:fill="auto"/>
            <w:vAlign w:val="center"/>
          </w:tcPr>
          <w:p w14:paraId="75484A4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100.0</w:t>
            </w:r>
          </w:p>
        </w:tc>
        <w:tc>
          <w:tcPr>
            <w:tcW w:w="753" w:type="pct"/>
            <w:shd w:val="clear" w:color="auto" w:fill="auto"/>
            <w:vAlign w:val="center"/>
          </w:tcPr>
          <w:p w14:paraId="0BB5118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31.3</w:t>
            </w:r>
          </w:p>
        </w:tc>
        <w:tc>
          <w:tcPr>
            <w:tcW w:w="992" w:type="pct"/>
            <w:shd w:val="clear" w:color="auto" w:fill="auto"/>
            <w:vAlign w:val="center"/>
          </w:tcPr>
          <w:p w14:paraId="6E83954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60.0</w:t>
            </w:r>
          </w:p>
        </w:tc>
        <w:tc>
          <w:tcPr>
            <w:tcW w:w="513" w:type="pct"/>
            <w:shd w:val="clear" w:color="auto" w:fill="auto"/>
            <w:vAlign w:val="center"/>
          </w:tcPr>
          <w:p w14:paraId="10F3290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西南</w:t>
            </w:r>
          </w:p>
        </w:tc>
        <w:tc>
          <w:tcPr>
            <w:tcW w:w="820" w:type="pct"/>
            <w:shd w:val="clear" w:color="auto" w:fill="auto"/>
            <w:vAlign w:val="center"/>
          </w:tcPr>
          <w:p w14:paraId="0375E19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2.4</w:t>
            </w:r>
          </w:p>
        </w:tc>
      </w:tr>
      <w:tr w14:paraId="7BAFD1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4917918E">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57A7AF52">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839" w:type="pct"/>
            <w:shd w:val="clear" w:color="auto" w:fill="auto"/>
            <w:vAlign w:val="center"/>
          </w:tcPr>
          <w:p w14:paraId="1EB0DE2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99.8</w:t>
            </w:r>
          </w:p>
        </w:tc>
        <w:tc>
          <w:tcPr>
            <w:tcW w:w="753" w:type="pct"/>
            <w:shd w:val="clear" w:color="auto" w:fill="auto"/>
            <w:vAlign w:val="center"/>
          </w:tcPr>
          <w:p w14:paraId="47450A2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36.9</w:t>
            </w:r>
          </w:p>
        </w:tc>
        <w:tc>
          <w:tcPr>
            <w:tcW w:w="992" w:type="pct"/>
            <w:shd w:val="clear" w:color="auto" w:fill="auto"/>
            <w:vAlign w:val="center"/>
          </w:tcPr>
          <w:p w14:paraId="4392E81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56.3</w:t>
            </w:r>
          </w:p>
        </w:tc>
        <w:tc>
          <w:tcPr>
            <w:tcW w:w="513" w:type="pct"/>
            <w:shd w:val="clear" w:color="auto" w:fill="auto"/>
            <w:vAlign w:val="center"/>
          </w:tcPr>
          <w:p w14:paraId="5D1C926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西南</w:t>
            </w:r>
          </w:p>
        </w:tc>
        <w:tc>
          <w:tcPr>
            <w:tcW w:w="820" w:type="pct"/>
            <w:shd w:val="clear" w:color="auto" w:fill="auto"/>
            <w:vAlign w:val="center"/>
          </w:tcPr>
          <w:p w14:paraId="2964652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2.3</w:t>
            </w:r>
          </w:p>
        </w:tc>
      </w:tr>
      <w:tr w14:paraId="5D8552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44F8BB9F">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0D373140">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839" w:type="pct"/>
            <w:shd w:val="clear" w:color="auto" w:fill="auto"/>
            <w:vAlign w:val="center"/>
          </w:tcPr>
          <w:p w14:paraId="5E50CA5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99.7</w:t>
            </w:r>
          </w:p>
        </w:tc>
        <w:tc>
          <w:tcPr>
            <w:tcW w:w="753" w:type="pct"/>
            <w:shd w:val="clear" w:color="auto" w:fill="auto"/>
            <w:vAlign w:val="center"/>
          </w:tcPr>
          <w:p w14:paraId="538D586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40.4</w:t>
            </w:r>
          </w:p>
        </w:tc>
        <w:tc>
          <w:tcPr>
            <w:tcW w:w="992" w:type="pct"/>
            <w:shd w:val="clear" w:color="auto" w:fill="auto"/>
            <w:vAlign w:val="center"/>
          </w:tcPr>
          <w:p w14:paraId="41F802E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52.1</w:t>
            </w:r>
          </w:p>
        </w:tc>
        <w:tc>
          <w:tcPr>
            <w:tcW w:w="513" w:type="pct"/>
            <w:shd w:val="clear" w:color="auto" w:fill="auto"/>
            <w:vAlign w:val="center"/>
          </w:tcPr>
          <w:p w14:paraId="1C393576">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西南</w:t>
            </w:r>
          </w:p>
        </w:tc>
        <w:tc>
          <w:tcPr>
            <w:tcW w:w="820" w:type="pct"/>
            <w:shd w:val="clear" w:color="auto" w:fill="auto"/>
            <w:vAlign w:val="center"/>
          </w:tcPr>
          <w:p w14:paraId="7DDCCE32">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2.1</w:t>
            </w:r>
          </w:p>
        </w:tc>
      </w:tr>
      <w:tr w14:paraId="5DD413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4A5269EB">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0A551441">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839" w:type="pct"/>
            <w:shd w:val="clear" w:color="auto" w:fill="auto"/>
            <w:vAlign w:val="center"/>
          </w:tcPr>
          <w:p w14:paraId="48DC5AF7">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99.8</w:t>
            </w:r>
          </w:p>
        </w:tc>
        <w:tc>
          <w:tcPr>
            <w:tcW w:w="753" w:type="pct"/>
            <w:shd w:val="clear" w:color="auto" w:fill="auto"/>
            <w:vAlign w:val="center"/>
          </w:tcPr>
          <w:p w14:paraId="21DEBE19">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37.8</w:t>
            </w:r>
          </w:p>
        </w:tc>
        <w:tc>
          <w:tcPr>
            <w:tcW w:w="992" w:type="pct"/>
            <w:shd w:val="clear" w:color="auto" w:fill="auto"/>
            <w:vAlign w:val="center"/>
          </w:tcPr>
          <w:p w14:paraId="073BA9C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54.3</w:t>
            </w:r>
          </w:p>
        </w:tc>
        <w:tc>
          <w:tcPr>
            <w:tcW w:w="513" w:type="pct"/>
            <w:shd w:val="clear" w:color="auto" w:fill="auto"/>
            <w:vAlign w:val="center"/>
          </w:tcPr>
          <w:p w14:paraId="7AE388F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西南</w:t>
            </w:r>
          </w:p>
        </w:tc>
        <w:tc>
          <w:tcPr>
            <w:tcW w:w="820" w:type="pct"/>
            <w:shd w:val="clear" w:color="auto" w:fill="auto"/>
            <w:vAlign w:val="center"/>
          </w:tcPr>
          <w:p w14:paraId="3105B1C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2.2</w:t>
            </w:r>
          </w:p>
        </w:tc>
      </w:tr>
      <w:tr w14:paraId="68EC17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restart"/>
            <w:shd w:val="clear" w:color="auto" w:fill="auto"/>
            <w:vAlign w:val="center"/>
          </w:tcPr>
          <w:p w14:paraId="41FBC9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2024.8.11</w:t>
            </w:r>
          </w:p>
        </w:tc>
        <w:tc>
          <w:tcPr>
            <w:tcW w:w="405" w:type="pct"/>
            <w:shd w:val="clear" w:color="auto" w:fill="auto"/>
            <w:vAlign w:val="center"/>
          </w:tcPr>
          <w:p w14:paraId="1B3729D3">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839" w:type="pct"/>
            <w:shd w:val="clear" w:color="auto" w:fill="auto"/>
            <w:vAlign w:val="center"/>
          </w:tcPr>
          <w:p w14:paraId="41BEB57E">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100.1</w:t>
            </w:r>
          </w:p>
        </w:tc>
        <w:tc>
          <w:tcPr>
            <w:tcW w:w="753" w:type="pct"/>
            <w:shd w:val="clear" w:color="auto" w:fill="auto"/>
            <w:vAlign w:val="center"/>
          </w:tcPr>
          <w:p w14:paraId="35C1645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30.7</w:t>
            </w:r>
          </w:p>
        </w:tc>
        <w:tc>
          <w:tcPr>
            <w:tcW w:w="992" w:type="pct"/>
            <w:shd w:val="clear" w:color="auto" w:fill="auto"/>
            <w:vAlign w:val="center"/>
          </w:tcPr>
          <w:p w14:paraId="51E5C989">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60.8</w:t>
            </w:r>
          </w:p>
        </w:tc>
        <w:tc>
          <w:tcPr>
            <w:tcW w:w="513" w:type="pct"/>
            <w:shd w:val="clear" w:color="auto" w:fill="auto"/>
            <w:vAlign w:val="center"/>
          </w:tcPr>
          <w:p w14:paraId="6AD113B3">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w:t>
            </w:r>
          </w:p>
        </w:tc>
        <w:tc>
          <w:tcPr>
            <w:tcW w:w="820" w:type="pct"/>
            <w:shd w:val="clear" w:color="auto" w:fill="auto"/>
            <w:vAlign w:val="center"/>
          </w:tcPr>
          <w:p w14:paraId="606F698C">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w:t>
            </w:r>
          </w:p>
        </w:tc>
      </w:tr>
      <w:tr w14:paraId="0AAFC9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31D34A52">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295BFEC7">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839" w:type="pct"/>
            <w:shd w:val="clear" w:color="auto" w:fill="auto"/>
            <w:vAlign w:val="center"/>
          </w:tcPr>
          <w:p w14:paraId="2276C27B">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99.9</w:t>
            </w:r>
          </w:p>
        </w:tc>
        <w:tc>
          <w:tcPr>
            <w:tcW w:w="753" w:type="pct"/>
            <w:shd w:val="clear" w:color="auto" w:fill="auto"/>
            <w:vAlign w:val="center"/>
          </w:tcPr>
          <w:p w14:paraId="69800868">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35.9</w:t>
            </w:r>
          </w:p>
        </w:tc>
        <w:tc>
          <w:tcPr>
            <w:tcW w:w="992" w:type="pct"/>
            <w:shd w:val="clear" w:color="auto" w:fill="auto"/>
            <w:vAlign w:val="center"/>
          </w:tcPr>
          <w:p w14:paraId="653A270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56.1</w:t>
            </w:r>
          </w:p>
        </w:tc>
        <w:tc>
          <w:tcPr>
            <w:tcW w:w="513" w:type="pct"/>
            <w:shd w:val="clear" w:color="auto" w:fill="auto"/>
            <w:vAlign w:val="center"/>
          </w:tcPr>
          <w:p w14:paraId="7EE041C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w:t>
            </w:r>
          </w:p>
        </w:tc>
        <w:tc>
          <w:tcPr>
            <w:tcW w:w="820" w:type="pct"/>
            <w:shd w:val="clear" w:color="auto" w:fill="auto"/>
            <w:vAlign w:val="center"/>
          </w:tcPr>
          <w:p w14:paraId="0A7DC6E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2.4</w:t>
            </w:r>
          </w:p>
        </w:tc>
      </w:tr>
      <w:tr w14:paraId="454BD1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3516CC23">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4BF2CBD2">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839" w:type="pct"/>
            <w:shd w:val="clear" w:color="auto" w:fill="auto"/>
            <w:vAlign w:val="center"/>
          </w:tcPr>
          <w:p w14:paraId="70F23960">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99.8</w:t>
            </w:r>
          </w:p>
        </w:tc>
        <w:tc>
          <w:tcPr>
            <w:tcW w:w="753" w:type="pct"/>
            <w:shd w:val="clear" w:color="auto" w:fill="auto"/>
            <w:vAlign w:val="center"/>
          </w:tcPr>
          <w:p w14:paraId="2FF12934">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38.8</w:t>
            </w:r>
          </w:p>
        </w:tc>
        <w:tc>
          <w:tcPr>
            <w:tcW w:w="992" w:type="pct"/>
            <w:shd w:val="clear" w:color="auto" w:fill="auto"/>
            <w:vAlign w:val="center"/>
          </w:tcPr>
          <w:p w14:paraId="235DF041">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52.2</w:t>
            </w:r>
          </w:p>
        </w:tc>
        <w:tc>
          <w:tcPr>
            <w:tcW w:w="513" w:type="pct"/>
            <w:shd w:val="clear" w:color="auto" w:fill="auto"/>
            <w:vAlign w:val="center"/>
          </w:tcPr>
          <w:p w14:paraId="5C452CCF">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w:t>
            </w:r>
          </w:p>
        </w:tc>
        <w:tc>
          <w:tcPr>
            <w:tcW w:w="820" w:type="pct"/>
            <w:shd w:val="clear" w:color="auto" w:fill="auto"/>
            <w:vAlign w:val="center"/>
          </w:tcPr>
          <w:p w14:paraId="138EF4E9">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2.3</w:t>
            </w:r>
          </w:p>
        </w:tc>
      </w:tr>
      <w:tr w14:paraId="51BBAB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75" w:type="pct"/>
            <w:vMerge w:val="continue"/>
          </w:tcPr>
          <w:p w14:paraId="787D7435">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lang w:val="en-US" w:eastAsia="zh-CN" w:bidi="ar-SA"/>
              </w:rPr>
            </w:pPr>
          </w:p>
        </w:tc>
        <w:tc>
          <w:tcPr>
            <w:tcW w:w="405" w:type="pct"/>
            <w:shd w:val="clear" w:color="auto" w:fill="auto"/>
            <w:vAlign w:val="center"/>
          </w:tcPr>
          <w:p w14:paraId="6ED64B28">
            <w:pPr>
              <w:keepNext w:val="0"/>
              <w:keepLines w:val="0"/>
              <w:pageBreakBefore w:val="0"/>
              <w:widowControl/>
              <w:wordWrap/>
              <w:overflowPunct/>
              <w:topLinePunct w:val="0"/>
              <w:bidi w:val="0"/>
              <w:adjustRightIn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839" w:type="pct"/>
            <w:shd w:val="clear" w:color="auto" w:fill="auto"/>
            <w:vAlign w:val="center"/>
          </w:tcPr>
          <w:p w14:paraId="1A0481B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99.9</w:t>
            </w:r>
          </w:p>
        </w:tc>
        <w:tc>
          <w:tcPr>
            <w:tcW w:w="753" w:type="pct"/>
            <w:shd w:val="clear" w:color="auto" w:fill="auto"/>
            <w:vAlign w:val="center"/>
          </w:tcPr>
          <w:p w14:paraId="56EFDE1A">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37.0</w:t>
            </w:r>
          </w:p>
        </w:tc>
        <w:tc>
          <w:tcPr>
            <w:tcW w:w="992" w:type="pct"/>
            <w:shd w:val="clear" w:color="auto" w:fill="auto"/>
            <w:vAlign w:val="center"/>
          </w:tcPr>
          <w:p w14:paraId="3C8902B4">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53.7</w:t>
            </w:r>
          </w:p>
        </w:tc>
        <w:tc>
          <w:tcPr>
            <w:tcW w:w="513" w:type="pct"/>
            <w:shd w:val="clear" w:color="auto" w:fill="auto"/>
            <w:vAlign w:val="center"/>
          </w:tcPr>
          <w:p w14:paraId="3D2CB27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w:t>
            </w:r>
          </w:p>
        </w:tc>
        <w:tc>
          <w:tcPr>
            <w:tcW w:w="820" w:type="pct"/>
            <w:shd w:val="clear" w:color="auto" w:fill="auto"/>
            <w:vAlign w:val="center"/>
          </w:tcPr>
          <w:p w14:paraId="4655A015">
            <w:pPr>
              <w:keepNext w:val="0"/>
              <w:keepLines w:val="0"/>
              <w:pageBreakBefore w:val="0"/>
              <w:widowControl/>
              <w:suppressLineNumbers w:val="0"/>
              <w:wordWrap/>
              <w:overflowPunct/>
              <w:topLinePunct w:val="0"/>
              <w:bidi w:val="0"/>
              <w:adjustRightInd w:val="0"/>
              <w:spacing w:line="240" w:lineRule="auto"/>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2.4</w:t>
            </w:r>
          </w:p>
        </w:tc>
      </w:tr>
      <w:bookmarkEnd w:id="1271"/>
    </w:tbl>
    <w:p w14:paraId="586AEEAD">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6" w:line="360" w:lineRule="auto"/>
        <w:ind w:left="0" w:leftChars="0" w:firstLine="472" w:firstLineChars="200"/>
        <w:textAlignment w:val="baseline"/>
        <w:rPr>
          <w:rFonts w:ascii="宋体" w:hAnsi="宋体" w:eastAsia="宋体" w:cs="宋体"/>
          <w:color w:val="auto"/>
          <w:spacing w:val="-2"/>
          <w:sz w:val="24"/>
          <w:szCs w:val="24"/>
          <w:highlight w:val="none"/>
        </w:rPr>
      </w:pPr>
      <w:r>
        <w:rPr>
          <w:rFonts w:hint="default" w:ascii="Times New Roman" w:hAnsi="Times New Roman" w:eastAsia="宋体" w:cs="Times New Roman"/>
          <w:snapToGrid w:val="0"/>
          <w:color w:val="auto"/>
          <w:spacing w:val="-2"/>
          <w:kern w:val="0"/>
          <w:sz w:val="24"/>
          <w:szCs w:val="24"/>
          <w:highlight w:val="none"/>
          <w:lang w:val="en-US" w:eastAsia="en-US" w:bidi="ar-SA"/>
        </w:rPr>
        <w:t>（</w:t>
      </w:r>
      <w:r>
        <w:rPr>
          <w:rFonts w:hint="eastAsia" w:ascii="Times New Roman" w:hAnsi="Times New Roman" w:eastAsia="宋体" w:cs="Times New Roman"/>
          <w:snapToGrid w:val="0"/>
          <w:color w:val="auto"/>
          <w:spacing w:val="-2"/>
          <w:kern w:val="0"/>
          <w:sz w:val="24"/>
          <w:szCs w:val="24"/>
          <w:highlight w:val="none"/>
          <w:lang w:val="en-US" w:eastAsia="zh-CN" w:bidi="ar-SA"/>
        </w:rPr>
        <w:t>6</w:t>
      </w:r>
      <w:r>
        <w:rPr>
          <w:rFonts w:hint="default" w:ascii="Times New Roman" w:hAnsi="Times New Roman" w:eastAsia="宋体" w:cs="Times New Roman"/>
          <w:snapToGrid w:val="0"/>
          <w:color w:val="auto"/>
          <w:spacing w:val="-2"/>
          <w:kern w:val="0"/>
          <w:sz w:val="24"/>
          <w:szCs w:val="24"/>
          <w:highlight w:val="none"/>
          <w:lang w:val="en-US" w:eastAsia="en-US" w:bidi="ar-SA"/>
        </w:rPr>
        <w:t>）</w:t>
      </w:r>
      <w:r>
        <w:rPr>
          <w:rFonts w:ascii="宋体" w:hAnsi="宋体" w:eastAsia="宋体" w:cs="宋体"/>
          <w:color w:val="auto"/>
          <w:spacing w:val="-2"/>
          <w:sz w:val="24"/>
          <w:szCs w:val="24"/>
          <w:highlight w:val="none"/>
        </w:rPr>
        <w:t>监测结果评价</w:t>
      </w:r>
      <w:bookmarkStart w:id="1300" w:name="pindex5647"/>
      <w:bookmarkEnd w:id="1300"/>
    </w:p>
    <w:p w14:paraId="4E922637">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6" w:line="360" w:lineRule="auto"/>
        <w:ind w:left="0" w:leftChars="0" w:firstLine="476" w:firstLineChars="200"/>
        <w:textAlignment w:val="baseline"/>
        <w:rPr>
          <w:rFonts w:ascii="宋体" w:hAnsi="宋体" w:eastAsia="宋体" w:cs="宋体"/>
          <w:color w:val="auto"/>
          <w:spacing w:val="-1"/>
          <w:sz w:val="24"/>
          <w:szCs w:val="24"/>
          <w:highlight w:val="none"/>
        </w:rPr>
      </w:pPr>
      <w:r>
        <w:rPr>
          <w:rFonts w:ascii="宋体" w:hAnsi="宋体" w:eastAsia="宋体" w:cs="宋体"/>
          <w:color w:val="auto"/>
          <w:spacing w:val="-1"/>
          <w:sz w:val="24"/>
          <w:szCs w:val="24"/>
          <w:highlight w:val="none"/>
        </w:rPr>
        <w:t>①评价方法及评价标准</w:t>
      </w:r>
      <w:bookmarkStart w:id="1301" w:name="pindex5648"/>
      <w:bookmarkEnd w:id="1301"/>
    </w:p>
    <w:p w14:paraId="46291B49">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6" w:line="360" w:lineRule="auto"/>
        <w:ind w:left="0" w:leftChars="0" w:firstLine="464" w:firstLineChars="200"/>
        <w:textAlignment w:val="baseline"/>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环境空气质量现状评价采用单因子指数法进行。评价标准按《环境空气质量</w:t>
      </w:r>
      <w:r>
        <w:rPr>
          <w:rFonts w:ascii="宋体" w:hAnsi="宋体" w:eastAsia="宋体" w:cs="宋体"/>
          <w:color w:val="auto"/>
          <w:spacing w:val="-2"/>
          <w:sz w:val="24"/>
          <w:szCs w:val="24"/>
          <w:highlight w:val="none"/>
        </w:rPr>
        <w:t>标准》（</w:t>
      </w:r>
      <w:r>
        <w:rPr>
          <w:rFonts w:ascii="Times New Roman" w:hAnsi="Times New Roman" w:eastAsia="Times New Roman" w:cs="Times New Roman"/>
          <w:color w:val="auto"/>
          <w:spacing w:val="-2"/>
          <w:sz w:val="24"/>
          <w:szCs w:val="24"/>
          <w:highlight w:val="none"/>
        </w:rPr>
        <w:t>GB3095-2012</w:t>
      </w:r>
      <w:r>
        <w:rPr>
          <w:rFonts w:ascii="宋体" w:hAnsi="宋体" w:eastAsia="宋体" w:cs="宋体"/>
          <w:color w:val="auto"/>
          <w:spacing w:val="-2"/>
          <w:sz w:val="24"/>
          <w:szCs w:val="24"/>
          <w:highlight w:val="none"/>
        </w:rPr>
        <w:t>）中二级标准执行。单因子指数计算公式为：</w:t>
      </w:r>
    </w:p>
    <w:p w14:paraId="220BA000">
      <w:pPr>
        <w:keepNext w:val="0"/>
        <w:keepLines w:val="0"/>
        <w:pageBreakBefore w:val="0"/>
        <w:widowControl/>
        <w:kinsoku w:val="0"/>
        <w:wordWrap/>
        <w:overflowPunct/>
        <w:topLinePunct w:val="0"/>
        <w:autoSpaceDE w:val="0"/>
        <w:autoSpaceDN w:val="0"/>
        <w:bidi w:val="0"/>
        <w:adjustRightInd w:val="0"/>
        <w:snapToGrid w:val="0"/>
        <w:spacing w:before="83" w:line="360" w:lineRule="auto"/>
        <w:ind w:left="4014"/>
        <w:textAlignment w:val="baseline"/>
        <w:rPr>
          <w:color w:val="auto"/>
          <w:highlight w:val="none"/>
        </w:rPr>
      </w:pPr>
      <w:r>
        <w:rPr>
          <w:color w:val="auto"/>
          <w:position w:val="-12"/>
          <w:highlight w:val="none"/>
        </w:rPr>
        <w:drawing>
          <wp:inline distT="0" distB="0" distL="0" distR="0">
            <wp:extent cx="497840" cy="391795"/>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46"/>
                    <a:stretch>
                      <a:fillRect/>
                    </a:stretch>
                  </pic:blipFill>
                  <pic:spPr>
                    <a:xfrm>
                      <a:off x="0" y="0"/>
                      <a:ext cx="498200" cy="392155"/>
                    </a:xfrm>
                    <a:prstGeom prst="rect">
                      <a:avLst/>
                    </a:prstGeom>
                  </pic:spPr>
                </pic:pic>
              </a:graphicData>
            </a:graphic>
          </wp:inline>
        </w:drawing>
      </w:r>
    </w:p>
    <w:p w14:paraId="2D548CFC">
      <w:pPr>
        <w:keepNext w:val="0"/>
        <w:keepLines w:val="0"/>
        <w:pageBreakBefore w:val="0"/>
        <w:widowControl/>
        <w:kinsoku w:val="0"/>
        <w:wordWrap/>
        <w:overflowPunct/>
        <w:topLinePunct w:val="0"/>
        <w:autoSpaceDE w:val="0"/>
        <w:autoSpaceDN w:val="0"/>
        <w:bidi w:val="0"/>
        <w:adjustRightInd w:val="0"/>
        <w:snapToGrid w:val="0"/>
        <w:spacing w:before="192" w:line="360" w:lineRule="auto"/>
        <w:ind w:left="522"/>
        <w:textAlignment w:val="baseline"/>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式中：</w:t>
      </w:r>
      <w:r>
        <w:rPr>
          <w:rFonts w:ascii="Times New Roman" w:hAnsi="Times New Roman" w:eastAsia="Times New Roman" w:cs="Times New Roman"/>
          <w:color w:val="auto"/>
          <w:spacing w:val="-4"/>
          <w:sz w:val="24"/>
          <w:szCs w:val="24"/>
          <w:highlight w:val="none"/>
        </w:rPr>
        <w:t>Ⅱ——</w:t>
      </w:r>
      <w:r>
        <w:rPr>
          <w:rFonts w:ascii="宋体" w:hAnsi="宋体" w:eastAsia="宋体" w:cs="宋体"/>
          <w:color w:val="auto"/>
          <w:spacing w:val="-4"/>
          <w:sz w:val="24"/>
          <w:szCs w:val="24"/>
          <w:highlight w:val="none"/>
        </w:rPr>
        <w:t>第</w:t>
      </w:r>
      <w:r>
        <w:rPr>
          <w:rFonts w:ascii="Times New Roman" w:hAnsi="Times New Roman" w:eastAsia="Times New Roman" w:cs="Times New Roman"/>
          <w:color w:val="auto"/>
          <w:spacing w:val="-4"/>
          <w:sz w:val="24"/>
          <w:szCs w:val="24"/>
          <w:highlight w:val="none"/>
        </w:rPr>
        <w:t>i</w:t>
      </w:r>
      <w:r>
        <w:rPr>
          <w:rFonts w:ascii="宋体" w:hAnsi="宋体" w:eastAsia="宋体" w:cs="宋体"/>
          <w:color w:val="auto"/>
          <w:spacing w:val="-4"/>
          <w:sz w:val="24"/>
          <w:szCs w:val="24"/>
          <w:highlight w:val="none"/>
        </w:rPr>
        <w:t>种污染物的单因子污染指数；</w:t>
      </w:r>
    </w:p>
    <w:p w14:paraId="01BE2F40">
      <w:pPr>
        <w:keepNext w:val="0"/>
        <w:keepLines w:val="0"/>
        <w:pageBreakBefore w:val="0"/>
        <w:widowControl/>
        <w:kinsoku w:val="0"/>
        <w:wordWrap/>
        <w:overflowPunct/>
        <w:topLinePunct w:val="0"/>
        <w:autoSpaceDE w:val="0"/>
        <w:autoSpaceDN w:val="0"/>
        <w:bidi w:val="0"/>
        <w:adjustRightInd w:val="0"/>
        <w:snapToGrid w:val="0"/>
        <w:spacing w:before="165" w:line="360" w:lineRule="auto"/>
        <w:ind w:left="1237" w:right="2449"/>
        <w:textAlignment w:val="baseline"/>
        <w:rPr>
          <w:rFonts w:ascii="宋体" w:hAnsi="宋体" w:eastAsia="宋体" w:cs="宋体"/>
          <w:color w:val="auto"/>
          <w:sz w:val="24"/>
          <w:szCs w:val="24"/>
          <w:highlight w:val="none"/>
        </w:rPr>
      </w:pPr>
      <w:r>
        <w:rPr>
          <w:rFonts w:ascii="Times New Roman" w:hAnsi="Times New Roman" w:eastAsia="Times New Roman" w:cs="Times New Roman"/>
          <w:color w:val="auto"/>
          <w:spacing w:val="-1"/>
          <w:sz w:val="24"/>
          <w:szCs w:val="24"/>
          <w:highlight w:val="none"/>
        </w:rPr>
        <w:t>C</w:t>
      </w:r>
      <w:r>
        <w:rPr>
          <w:rFonts w:ascii="Times New Roman" w:hAnsi="Times New Roman" w:eastAsia="Times New Roman" w:cs="Times New Roman"/>
          <w:color w:val="auto"/>
          <w:spacing w:val="-1"/>
          <w:position w:val="-1"/>
          <w:sz w:val="16"/>
          <w:szCs w:val="16"/>
          <w:highlight w:val="none"/>
        </w:rPr>
        <w:t>i</w:t>
      </w:r>
      <w:r>
        <w:rPr>
          <w:rFonts w:ascii="Times New Roman" w:hAnsi="Times New Roman" w:eastAsia="Times New Roman" w:cs="Times New Roman"/>
          <w:color w:val="auto"/>
          <w:spacing w:val="-1"/>
          <w:sz w:val="24"/>
          <w:szCs w:val="24"/>
          <w:highlight w:val="none"/>
        </w:rPr>
        <w:t>——</w:t>
      </w:r>
      <w:r>
        <w:rPr>
          <w:rFonts w:ascii="宋体" w:hAnsi="宋体" w:eastAsia="宋体" w:cs="宋体"/>
          <w:color w:val="auto"/>
          <w:spacing w:val="-1"/>
          <w:sz w:val="24"/>
          <w:szCs w:val="24"/>
          <w:highlight w:val="none"/>
        </w:rPr>
        <w:t>第</w:t>
      </w:r>
      <w:r>
        <w:rPr>
          <w:rFonts w:ascii="Times New Roman" w:hAnsi="Times New Roman" w:eastAsia="Times New Roman" w:cs="Times New Roman"/>
          <w:color w:val="auto"/>
          <w:spacing w:val="-1"/>
          <w:sz w:val="24"/>
          <w:szCs w:val="24"/>
          <w:highlight w:val="none"/>
        </w:rPr>
        <w:t>i</w:t>
      </w:r>
      <w:r>
        <w:rPr>
          <w:rFonts w:ascii="宋体" w:hAnsi="宋体" w:eastAsia="宋体" w:cs="宋体"/>
          <w:color w:val="auto"/>
          <w:spacing w:val="-1"/>
          <w:sz w:val="24"/>
          <w:szCs w:val="24"/>
          <w:highlight w:val="none"/>
        </w:rPr>
        <w:t>种污染物的实测浓度（</w:t>
      </w:r>
      <w:r>
        <w:rPr>
          <w:rFonts w:ascii="Times New Roman" w:hAnsi="Times New Roman" w:eastAsia="Times New Roman" w:cs="Times New Roman"/>
          <w:color w:val="auto"/>
          <w:spacing w:val="-1"/>
          <w:sz w:val="24"/>
          <w:szCs w:val="24"/>
          <w:highlight w:val="none"/>
        </w:rPr>
        <w:t>mg/m</w:t>
      </w:r>
      <w:r>
        <w:rPr>
          <w:rFonts w:ascii="Times New Roman" w:hAnsi="Times New Roman" w:eastAsia="Times New Roman" w:cs="Times New Roman"/>
          <w:color w:val="auto"/>
          <w:spacing w:val="-1"/>
          <w:position w:val="9"/>
          <w:sz w:val="16"/>
          <w:szCs w:val="16"/>
          <w:highlight w:val="none"/>
        </w:rPr>
        <w:t>3</w:t>
      </w:r>
      <w:r>
        <w:rPr>
          <w:rFonts w:ascii="宋体" w:hAnsi="宋体" w:eastAsia="宋体" w:cs="宋体"/>
          <w:color w:val="auto"/>
          <w:spacing w:val="4"/>
          <w:sz w:val="24"/>
          <w:szCs w:val="24"/>
          <w:highlight w:val="none"/>
        </w:rPr>
        <w:t>）；</w:t>
      </w:r>
      <w:r>
        <w:rPr>
          <w:rFonts w:ascii="Times New Roman" w:hAnsi="Times New Roman" w:eastAsia="Times New Roman" w:cs="Times New Roman"/>
          <w:color w:val="auto"/>
          <w:spacing w:val="-2"/>
          <w:sz w:val="24"/>
          <w:szCs w:val="24"/>
          <w:highlight w:val="none"/>
        </w:rPr>
        <w:t>C</w:t>
      </w:r>
      <w:r>
        <w:rPr>
          <w:rFonts w:ascii="Times New Roman" w:hAnsi="Times New Roman" w:eastAsia="Times New Roman" w:cs="Times New Roman"/>
          <w:color w:val="auto"/>
          <w:spacing w:val="-2"/>
          <w:position w:val="-1"/>
          <w:sz w:val="16"/>
          <w:szCs w:val="16"/>
          <w:highlight w:val="none"/>
        </w:rPr>
        <w:t>oi</w:t>
      </w:r>
      <w:r>
        <w:rPr>
          <w:rFonts w:ascii="Times New Roman" w:hAnsi="Times New Roman" w:eastAsia="Times New Roman" w:cs="Times New Roman"/>
          <w:color w:val="auto"/>
          <w:spacing w:val="-2"/>
          <w:sz w:val="24"/>
          <w:szCs w:val="24"/>
          <w:highlight w:val="none"/>
        </w:rPr>
        <w:t>——</w:t>
      </w:r>
      <w:r>
        <w:rPr>
          <w:rFonts w:ascii="宋体" w:hAnsi="宋体" w:eastAsia="宋体" w:cs="宋体"/>
          <w:color w:val="auto"/>
          <w:spacing w:val="-2"/>
          <w:sz w:val="24"/>
          <w:szCs w:val="24"/>
          <w:highlight w:val="none"/>
        </w:rPr>
        <w:t>第</w:t>
      </w:r>
      <w:r>
        <w:rPr>
          <w:rFonts w:ascii="Times New Roman" w:hAnsi="Times New Roman" w:eastAsia="Times New Roman" w:cs="Times New Roman"/>
          <w:color w:val="auto"/>
          <w:spacing w:val="-2"/>
          <w:sz w:val="24"/>
          <w:szCs w:val="24"/>
          <w:highlight w:val="none"/>
        </w:rPr>
        <w:t>i</w:t>
      </w:r>
      <w:r>
        <w:rPr>
          <w:rFonts w:ascii="宋体" w:hAnsi="宋体" w:eastAsia="宋体" w:cs="宋体"/>
          <w:color w:val="auto"/>
          <w:spacing w:val="-2"/>
          <w:sz w:val="24"/>
          <w:szCs w:val="24"/>
          <w:highlight w:val="none"/>
        </w:rPr>
        <w:t>种污染物的评价标准（</w:t>
      </w:r>
      <w:r>
        <w:rPr>
          <w:rFonts w:ascii="Times New Roman" w:hAnsi="Times New Roman" w:eastAsia="Times New Roman" w:cs="Times New Roman"/>
          <w:color w:val="auto"/>
          <w:spacing w:val="-2"/>
          <w:sz w:val="24"/>
          <w:szCs w:val="24"/>
          <w:highlight w:val="none"/>
        </w:rPr>
        <w:t>mg/m</w:t>
      </w:r>
      <w:r>
        <w:rPr>
          <w:rFonts w:ascii="Times New Roman" w:hAnsi="Times New Roman" w:eastAsia="Times New Roman" w:cs="Times New Roman"/>
          <w:color w:val="auto"/>
          <w:spacing w:val="-2"/>
          <w:position w:val="9"/>
          <w:sz w:val="16"/>
          <w:szCs w:val="16"/>
          <w:highlight w:val="none"/>
        </w:rPr>
        <w:t>3</w:t>
      </w:r>
      <w:r>
        <w:rPr>
          <w:rFonts w:ascii="宋体" w:hAnsi="宋体" w:eastAsia="宋体" w:cs="宋体"/>
          <w:color w:val="auto"/>
          <w:spacing w:val="-2"/>
          <w:sz w:val="24"/>
          <w:szCs w:val="24"/>
          <w:highlight w:val="none"/>
        </w:rPr>
        <w:t>）。</w:t>
      </w:r>
    </w:p>
    <w:p w14:paraId="706A12B7">
      <w:pPr>
        <w:spacing w:before="70" w:line="218" w:lineRule="auto"/>
        <w:ind w:left="524"/>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w:t>
      </w:r>
      <w:r>
        <w:rPr>
          <w:rFonts w:hint="eastAsia" w:ascii="Times New Roman" w:hAnsi="Times New Roman" w:eastAsia="宋体" w:cs="Times New Roman"/>
          <w:color w:val="auto"/>
          <w:spacing w:val="-4"/>
          <w:sz w:val="24"/>
          <w:szCs w:val="24"/>
          <w:highlight w:val="none"/>
          <w:lang w:val="en-US" w:eastAsia="zh-CN"/>
        </w:rPr>
        <w:t>7</w:t>
      </w:r>
      <w:r>
        <w:rPr>
          <w:rFonts w:ascii="宋体" w:hAnsi="宋体" w:eastAsia="宋体" w:cs="宋体"/>
          <w:color w:val="auto"/>
          <w:spacing w:val="-4"/>
          <w:sz w:val="24"/>
          <w:szCs w:val="24"/>
          <w:highlight w:val="none"/>
        </w:rPr>
        <w:t>）评价结果</w:t>
      </w:r>
      <w:bookmarkStart w:id="1302" w:name="pindex5653"/>
      <w:bookmarkEnd w:id="1302"/>
    </w:p>
    <w:p w14:paraId="2F37740C">
      <w:pPr>
        <w:spacing w:before="182" w:line="218" w:lineRule="auto"/>
        <w:ind w:left="518"/>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环境空气质量现状监测结果、各测点的单因子指数评价结果见表</w:t>
      </w:r>
      <w:r>
        <w:rPr>
          <w:rFonts w:ascii="Times New Roman" w:hAnsi="Times New Roman" w:eastAsia="Times New Roman" w:cs="Times New Roman"/>
          <w:color w:val="auto"/>
          <w:spacing w:val="-1"/>
          <w:sz w:val="24"/>
          <w:szCs w:val="24"/>
          <w:highlight w:val="none"/>
        </w:rPr>
        <w:t>6.3-</w:t>
      </w:r>
      <w:r>
        <w:rPr>
          <w:rFonts w:hint="eastAsia" w:ascii="Times New Roman" w:hAnsi="Times New Roman" w:eastAsia="宋体" w:cs="Times New Roman"/>
          <w:color w:val="auto"/>
          <w:spacing w:val="-1"/>
          <w:sz w:val="24"/>
          <w:szCs w:val="24"/>
          <w:highlight w:val="none"/>
          <w:lang w:val="en-US" w:eastAsia="zh-CN"/>
        </w:rPr>
        <w:t>11</w:t>
      </w:r>
      <w:r>
        <w:rPr>
          <w:rFonts w:ascii="宋体" w:hAnsi="宋体" w:eastAsia="宋体" w:cs="宋体"/>
          <w:color w:val="auto"/>
          <w:spacing w:val="-1"/>
          <w:sz w:val="24"/>
          <w:szCs w:val="24"/>
          <w:highlight w:val="none"/>
        </w:rPr>
        <w:t>。</w:t>
      </w:r>
    </w:p>
    <w:p w14:paraId="72BD6D55">
      <w:pPr>
        <w:keepNext w:val="0"/>
        <w:keepLines w:val="0"/>
        <w:pageBreakBefore w:val="0"/>
        <w:widowControl/>
        <w:kinsoku w:val="0"/>
        <w:wordWrap/>
        <w:overflowPunct/>
        <w:topLinePunct w:val="0"/>
        <w:autoSpaceDE w:val="0"/>
        <w:autoSpaceDN w:val="0"/>
        <w:bidi w:val="0"/>
        <w:adjustRightInd w:val="0"/>
        <w:snapToGrid w:val="0"/>
        <w:spacing w:before="184" w:line="240" w:lineRule="auto"/>
        <w:jc w:val="center"/>
        <w:textAlignment w:val="baseline"/>
        <w:rPr>
          <w:color w:val="auto"/>
          <w:highlight w:val="none"/>
        </w:rPr>
      </w:pPr>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6.3-</w:t>
      </w:r>
      <w:r>
        <w:rPr>
          <w:rFonts w:hint="eastAsia" w:ascii="Times New Roman" w:hAnsi="Times New Roman" w:eastAsia="宋体" w:cs="Times New Roman"/>
          <w:b/>
          <w:bCs/>
          <w:color w:val="auto"/>
          <w:spacing w:val="-2"/>
          <w:sz w:val="24"/>
          <w:szCs w:val="24"/>
          <w:highlight w:val="none"/>
          <w:lang w:val="en-US" w:eastAsia="zh-CN"/>
        </w:rPr>
        <w:t xml:space="preserve">11  </w:t>
      </w:r>
      <w:r>
        <w:rPr>
          <w:rFonts w:ascii="宋体" w:hAnsi="宋体" w:eastAsia="宋体" w:cs="宋体"/>
          <w:b/>
          <w:bCs/>
          <w:color w:val="auto"/>
          <w:spacing w:val="-2"/>
          <w:sz w:val="24"/>
          <w:szCs w:val="24"/>
          <w:highlight w:val="none"/>
        </w:rPr>
        <w:t>环境空气质量现状监测结果</w:t>
      </w:r>
      <w:bookmarkStart w:id="1303" w:name="pindex5655"/>
      <w:bookmarkEnd w:id="1303"/>
    </w:p>
    <w:tbl>
      <w:tblPr>
        <w:tblStyle w:val="26"/>
        <w:tblW w:w="8319" w:type="dxa"/>
        <w:tblInd w:w="28" w:type="dxa"/>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0" w:type="dxa"/>
          <w:bottom w:w="0" w:type="dxa"/>
          <w:right w:w="0" w:type="dxa"/>
        </w:tblCellMar>
      </w:tblPr>
      <w:tblGrid>
        <w:gridCol w:w="1640"/>
        <w:gridCol w:w="1732"/>
        <w:gridCol w:w="1309"/>
        <w:gridCol w:w="1309"/>
        <w:gridCol w:w="1377"/>
        <w:gridCol w:w="952"/>
      </w:tblGrid>
      <w:tr w14:paraId="58CC5CF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85" w:hRule="atLeast"/>
        </w:trPr>
        <w:tc>
          <w:tcPr>
            <w:tcW w:w="1640" w:type="dxa"/>
            <w:vMerge w:val="restart"/>
            <w:tcBorders>
              <w:tl2br w:val="nil"/>
              <w:tr2bl w:val="nil"/>
            </w:tcBorders>
            <w:vAlign w:val="center"/>
          </w:tcPr>
          <w:p w14:paraId="1385FDC1">
            <w:pPr>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w:t>
            </w:r>
          </w:p>
        </w:tc>
        <w:tc>
          <w:tcPr>
            <w:tcW w:w="1732" w:type="dxa"/>
            <w:vMerge w:val="restart"/>
            <w:tcBorders>
              <w:tl2br w:val="nil"/>
              <w:tr2bl w:val="nil"/>
            </w:tcBorders>
            <w:vAlign w:val="center"/>
          </w:tcPr>
          <w:p w14:paraId="053B5C4D">
            <w:pPr>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测点号</w:t>
            </w:r>
          </w:p>
        </w:tc>
        <w:tc>
          <w:tcPr>
            <w:tcW w:w="3995" w:type="dxa"/>
            <w:gridSpan w:val="3"/>
            <w:tcBorders>
              <w:tl2br w:val="nil"/>
              <w:tr2bl w:val="nil"/>
            </w:tcBorders>
            <w:vAlign w:val="center"/>
          </w:tcPr>
          <w:p w14:paraId="0757F49E">
            <w:pPr>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小时浓度</w:t>
            </w:r>
          </w:p>
        </w:tc>
        <w:tc>
          <w:tcPr>
            <w:tcW w:w="952" w:type="dxa"/>
            <w:vMerge w:val="restart"/>
            <w:tcBorders>
              <w:tl2br w:val="nil"/>
              <w:tr2bl w:val="nil"/>
            </w:tcBorders>
            <w:vAlign w:val="center"/>
          </w:tcPr>
          <w:p w14:paraId="43840435">
            <w:pPr>
              <w:bidi w:val="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达标情况</w:t>
            </w:r>
          </w:p>
        </w:tc>
      </w:tr>
      <w:tr w14:paraId="1D407EF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61" w:hRule="atLeast"/>
        </w:trPr>
        <w:tc>
          <w:tcPr>
            <w:tcW w:w="1640" w:type="dxa"/>
            <w:vMerge w:val="continue"/>
            <w:tcBorders>
              <w:tl2br w:val="nil"/>
              <w:tr2bl w:val="nil"/>
            </w:tcBorders>
            <w:vAlign w:val="center"/>
          </w:tcPr>
          <w:p w14:paraId="35BD4FD9">
            <w:pPr>
              <w:bidi w:val="0"/>
              <w:jc w:val="center"/>
              <w:rPr>
                <w:rFonts w:hint="default" w:ascii="Times New Roman" w:hAnsi="Times New Roman" w:cs="Times New Roman"/>
                <w:b/>
                <w:bCs/>
                <w:color w:val="auto"/>
                <w:sz w:val="21"/>
                <w:szCs w:val="21"/>
                <w:highlight w:val="none"/>
              </w:rPr>
            </w:pPr>
          </w:p>
        </w:tc>
        <w:tc>
          <w:tcPr>
            <w:tcW w:w="1732" w:type="dxa"/>
            <w:vMerge w:val="continue"/>
            <w:tcBorders>
              <w:tl2br w:val="nil"/>
              <w:tr2bl w:val="nil"/>
            </w:tcBorders>
            <w:vAlign w:val="center"/>
          </w:tcPr>
          <w:p w14:paraId="6462323A">
            <w:pPr>
              <w:bidi w:val="0"/>
              <w:jc w:val="center"/>
              <w:rPr>
                <w:rFonts w:hint="default" w:ascii="Times New Roman" w:hAnsi="Times New Roman" w:cs="Times New Roman"/>
                <w:b/>
                <w:bCs/>
                <w:color w:val="auto"/>
                <w:sz w:val="21"/>
                <w:szCs w:val="21"/>
                <w:highlight w:val="none"/>
              </w:rPr>
            </w:pPr>
          </w:p>
        </w:tc>
        <w:tc>
          <w:tcPr>
            <w:tcW w:w="1309" w:type="dxa"/>
            <w:tcBorders>
              <w:tl2br w:val="nil"/>
              <w:tr2bl w:val="nil"/>
            </w:tcBorders>
            <w:vAlign w:val="center"/>
          </w:tcPr>
          <w:p w14:paraId="6D5D06A3">
            <w:pPr>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浓度范围</w:t>
            </w:r>
          </w:p>
        </w:tc>
        <w:tc>
          <w:tcPr>
            <w:tcW w:w="1309" w:type="dxa"/>
            <w:tcBorders>
              <w:tl2br w:val="nil"/>
              <w:tr2bl w:val="nil"/>
            </w:tcBorders>
            <w:vAlign w:val="center"/>
          </w:tcPr>
          <w:p w14:paraId="3FB90C7C">
            <w:pPr>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标准值</w:t>
            </w:r>
          </w:p>
        </w:tc>
        <w:tc>
          <w:tcPr>
            <w:tcW w:w="1377" w:type="dxa"/>
            <w:tcBorders>
              <w:tl2br w:val="nil"/>
              <w:tr2bl w:val="nil"/>
            </w:tcBorders>
            <w:vAlign w:val="center"/>
          </w:tcPr>
          <w:p w14:paraId="69021378">
            <w:pPr>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最大占标率%</w:t>
            </w:r>
          </w:p>
        </w:tc>
        <w:tc>
          <w:tcPr>
            <w:tcW w:w="952" w:type="dxa"/>
            <w:vMerge w:val="continue"/>
            <w:tcBorders>
              <w:tl2br w:val="nil"/>
              <w:tr2bl w:val="nil"/>
            </w:tcBorders>
            <w:vAlign w:val="center"/>
          </w:tcPr>
          <w:p w14:paraId="078322D2">
            <w:pPr>
              <w:bidi w:val="0"/>
              <w:jc w:val="center"/>
              <w:rPr>
                <w:rFonts w:hint="eastAsia" w:ascii="Times New Roman" w:hAnsi="Times New Roman" w:eastAsia="宋体" w:cs="Times New Roman"/>
                <w:b/>
                <w:bCs/>
                <w:color w:val="auto"/>
                <w:sz w:val="21"/>
                <w:szCs w:val="21"/>
                <w:highlight w:val="none"/>
                <w:lang w:val="en-US" w:eastAsia="zh-CN"/>
              </w:rPr>
            </w:pPr>
          </w:p>
        </w:tc>
      </w:tr>
      <w:tr w14:paraId="5BDED1A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restart"/>
            <w:tcBorders>
              <w:tl2br w:val="nil"/>
              <w:tr2bl w:val="nil"/>
            </w:tcBorders>
            <w:vAlign w:val="center"/>
          </w:tcPr>
          <w:p w14:paraId="72620F3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总悬浮颗粒物</w:t>
            </w:r>
          </w:p>
          <w:p w14:paraId="65964191">
            <w:pPr>
              <w:bidi w:val="0"/>
              <w:jc w:val="center"/>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（日均值）</w:t>
            </w:r>
          </w:p>
          <w:p w14:paraId="28C7AAB3">
            <w:pPr>
              <w:bidi w:val="0"/>
              <w:jc w:val="center"/>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lang w:eastAsia="zh-CN"/>
              </w:rPr>
              <w:t>）</w:t>
            </w:r>
          </w:p>
        </w:tc>
        <w:tc>
          <w:tcPr>
            <w:tcW w:w="1732" w:type="dxa"/>
            <w:tcBorders>
              <w:tl2br w:val="nil"/>
              <w:tr2bl w:val="nil"/>
            </w:tcBorders>
            <w:vAlign w:val="center"/>
          </w:tcPr>
          <w:p w14:paraId="48D13DB2">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G1</w:t>
            </w:r>
          </w:p>
        </w:tc>
        <w:tc>
          <w:tcPr>
            <w:tcW w:w="1309" w:type="dxa"/>
            <w:tcBorders>
              <w:tl2br w:val="nil"/>
              <w:tr2bl w:val="nil"/>
            </w:tcBorders>
            <w:vAlign w:val="center"/>
          </w:tcPr>
          <w:p w14:paraId="3F826D59">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0.162-0.183</w:t>
            </w:r>
          </w:p>
        </w:tc>
        <w:tc>
          <w:tcPr>
            <w:tcW w:w="1309" w:type="dxa"/>
            <w:tcBorders>
              <w:tl2br w:val="nil"/>
              <w:tr2bl w:val="nil"/>
            </w:tcBorders>
            <w:vAlign w:val="center"/>
          </w:tcPr>
          <w:p w14:paraId="44DA639F">
            <w:pPr>
              <w:bidi w:val="0"/>
              <w:jc w:val="center"/>
              <w:rPr>
                <w:rFonts w:hint="default" w:ascii="Times New Roman" w:hAnsi="Times New Roman" w:eastAsia="宋体" w:cs="Times New Roman"/>
                <w:color w:val="auto"/>
                <w:sz w:val="21"/>
                <w:szCs w:val="21"/>
                <w:highlight w:val="none"/>
                <w:lang w:val="en-US" w:eastAsia="zh-CN"/>
              </w:rPr>
            </w:pPr>
            <w:bookmarkStart w:id="1304" w:name="OLE_LINK412"/>
            <w:r>
              <w:rPr>
                <w:rFonts w:hint="eastAsia" w:ascii="Times New Roman" w:hAnsi="Times New Roman" w:eastAsia="宋体" w:cs="Times New Roman"/>
                <w:color w:val="auto"/>
                <w:sz w:val="21"/>
                <w:szCs w:val="21"/>
                <w:highlight w:val="none"/>
                <w:lang w:val="en-US" w:eastAsia="zh-CN"/>
              </w:rPr>
              <w:t>0.3</w:t>
            </w:r>
            <w:bookmarkEnd w:id="1304"/>
          </w:p>
        </w:tc>
        <w:tc>
          <w:tcPr>
            <w:tcW w:w="1377" w:type="dxa"/>
            <w:tcBorders>
              <w:tl2br w:val="nil"/>
              <w:tr2bl w:val="nil"/>
            </w:tcBorders>
            <w:vAlign w:val="center"/>
          </w:tcPr>
          <w:p w14:paraId="69076491">
            <w:pPr>
              <w:bidi w:val="0"/>
              <w:jc w:val="center"/>
              <w:rPr>
                <w:rFonts w:hint="default" w:ascii="Times New Roman" w:hAnsi="Times New Roman" w:eastAsia="宋体" w:cs="Times New Roman"/>
                <w:color w:val="auto"/>
                <w:sz w:val="21"/>
                <w:szCs w:val="21"/>
                <w:highlight w:val="none"/>
                <w:lang w:val="en-US" w:eastAsia="zh-CN"/>
              </w:rPr>
            </w:pPr>
            <w:bookmarkStart w:id="1305" w:name="OLE_LINK413"/>
            <w:r>
              <w:rPr>
                <w:rFonts w:hint="eastAsia" w:ascii="Times New Roman" w:hAnsi="Times New Roman" w:eastAsia="宋体" w:cs="Times New Roman"/>
                <w:color w:val="auto"/>
                <w:sz w:val="21"/>
                <w:szCs w:val="21"/>
                <w:highlight w:val="none"/>
                <w:lang w:val="en-US" w:eastAsia="zh-CN"/>
              </w:rPr>
              <w:t>61</w:t>
            </w:r>
            <w:bookmarkEnd w:id="1305"/>
          </w:p>
        </w:tc>
        <w:tc>
          <w:tcPr>
            <w:tcW w:w="952" w:type="dxa"/>
            <w:tcBorders>
              <w:tl2br w:val="nil"/>
              <w:tr2bl w:val="nil"/>
            </w:tcBorders>
            <w:vAlign w:val="center"/>
          </w:tcPr>
          <w:p w14:paraId="6591202D">
            <w:pPr>
              <w:bidi w:val="0"/>
              <w:jc w:val="center"/>
              <w:rPr>
                <w:rFonts w:hint="default" w:ascii="Times New Roman" w:hAnsi="Times New Roman" w:eastAsia="宋体" w:cs="Times New Roman"/>
                <w:color w:val="auto"/>
                <w:sz w:val="21"/>
                <w:szCs w:val="21"/>
                <w:highlight w:val="none"/>
                <w:lang w:val="en-US" w:eastAsia="zh-CN"/>
              </w:rPr>
            </w:pPr>
            <w:bookmarkStart w:id="1306" w:name="OLE_LINK450"/>
            <w:r>
              <w:rPr>
                <w:rFonts w:hint="eastAsia" w:ascii="Times New Roman" w:hAnsi="Times New Roman" w:eastAsia="宋体" w:cs="Times New Roman"/>
                <w:color w:val="auto"/>
                <w:sz w:val="21"/>
                <w:szCs w:val="21"/>
                <w:highlight w:val="none"/>
                <w:lang w:val="en-US" w:eastAsia="zh-CN"/>
              </w:rPr>
              <w:t>达标</w:t>
            </w:r>
            <w:bookmarkEnd w:id="1306"/>
          </w:p>
        </w:tc>
      </w:tr>
      <w:tr w14:paraId="68F9774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74" w:hRule="atLeast"/>
        </w:trPr>
        <w:tc>
          <w:tcPr>
            <w:tcW w:w="1640" w:type="dxa"/>
            <w:vMerge w:val="continue"/>
            <w:tcBorders>
              <w:tl2br w:val="nil"/>
              <w:tr2bl w:val="nil"/>
            </w:tcBorders>
            <w:vAlign w:val="center"/>
          </w:tcPr>
          <w:p w14:paraId="017E4557">
            <w:pPr>
              <w:bidi w:val="0"/>
              <w:jc w:val="center"/>
              <w:rPr>
                <w:rFonts w:hint="default" w:ascii="Times New Roman" w:hAnsi="Times New Roman" w:cs="Times New Roman"/>
                <w:color w:val="auto"/>
                <w:sz w:val="21"/>
                <w:szCs w:val="21"/>
                <w:highlight w:val="none"/>
              </w:rPr>
            </w:pPr>
            <w:bookmarkStart w:id="1307" w:name="OLE_LINK451" w:colFirst="5" w:colLast="5"/>
          </w:p>
        </w:tc>
        <w:tc>
          <w:tcPr>
            <w:tcW w:w="1732" w:type="dxa"/>
            <w:tcBorders>
              <w:tl2br w:val="nil"/>
              <w:tr2bl w:val="nil"/>
            </w:tcBorders>
            <w:vAlign w:val="center"/>
          </w:tcPr>
          <w:p w14:paraId="146A9B67">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G2</w:t>
            </w:r>
          </w:p>
        </w:tc>
        <w:tc>
          <w:tcPr>
            <w:tcW w:w="1309" w:type="dxa"/>
            <w:tcBorders>
              <w:tl2br w:val="nil"/>
              <w:tr2bl w:val="nil"/>
            </w:tcBorders>
            <w:vAlign w:val="center"/>
          </w:tcPr>
          <w:p w14:paraId="198AEA24">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0.166-0.184</w:t>
            </w:r>
          </w:p>
        </w:tc>
        <w:tc>
          <w:tcPr>
            <w:tcW w:w="1309" w:type="dxa"/>
            <w:tcBorders>
              <w:tl2br w:val="nil"/>
              <w:tr2bl w:val="nil"/>
            </w:tcBorders>
            <w:vAlign w:val="center"/>
          </w:tcPr>
          <w:p w14:paraId="1200A922">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1377" w:type="dxa"/>
            <w:tcBorders>
              <w:tl2br w:val="nil"/>
              <w:tr2bl w:val="nil"/>
            </w:tcBorders>
            <w:vAlign w:val="center"/>
          </w:tcPr>
          <w:p w14:paraId="563F0BA5">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w:t>
            </w:r>
          </w:p>
        </w:tc>
        <w:tc>
          <w:tcPr>
            <w:tcW w:w="952" w:type="dxa"/>
            <w:tcBorders>
              <w:tl2br w:val="nil"/>
              <w:tr2bl w:val="nil"/>
            </w:tcBorders>
            <w:vAlign w:val="center"/>
          </w:tcPr>
          <w:p w14:paraId="0068D5FD">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7DC6769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06" w:hRule="atLeast"/>
        </w:trPr>
        <w:tc>
          <w:tcPr>
            <w:tcW w:w="1640" w:type="dxa"/>
            <w:vMerge w:val="continue"/>
            <w:tcBorders>
              <w:tl2br w:val="nil"/>
              <w:tr2bl w:val="nil"/>
            </w:tcBorders>
            <w:vAlign w:val="center"/>
          </w:tcPr>
          <w:p w14:paraId="27AEDAE7">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vAlign w:val="center"/>
          </w:tcPr>
          <w:p w14:paraId="37D234E0">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G3</w:t>
            </w:r>
          </w:p>
        </w:tc>
        <w:tc>
          <w:tcPr>
            <w:tcW w:w="1309" w:type="dxa"/>
            <w:tcBorders>
              <w:tl2br w:val="nil"/>
              <w:tr2bl w:val="nil"/>
            </w:tcBorders>
            <w:vAlign w:val="center"/>
          </w:tcPr>
          <w:p w14:paraId="16BE0121">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0.168-0.183</w:t>
            </w:r>
          </w:p>
        </w:tc>
        <w:tc>
          <w:tcPr>
            <w:tcW w:w="1309" w:type="dxa"/>
            <w:tcBorders>
              <w:tl2br w:val="nil"/>
              <w:tr2bl w:val="nil"/>
            </w:tcBorders>
            <w:vAlign w:val="center"/>
          </w:tcPr>
          <w:p w14:paraId="16028A77">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1377" w:type="dxa"/>
            <w:tcBorders>
              <w:tl2br w:val="nil"/>
              <w:tr2bl w:val="nil"/>
            </w:tcBorders>
            <w:vAlign w:val="center"/>
          </w:tcPr>
          <w:p w14:paraId="55B7C2E7">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w:t>
            </w:r>
          </w:p>
        </w:tc>
        <w:tc>
          <w:tcPr>
            <w:tcW w:w="952" w:type="dxa"/>
            <w:tcBorders>
              <w:tl2br w:val="nil"/>
              <w:tr2bl w:val="nil"/>
            </w:tcBorders>
            <w:vAlign w:val="center"/>
          </w:tcPr>
          <w:p w14:paraId="57745E5B">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123E726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38" w:hRule="atLeast"/>
        </w:trPr>
        <w:tc>
          <w:tcPr>
            <w:tcW w:w="1640" w:type="dxa"/>
            <w:vMerge w:val="continue"/>
            <w:tcBorders>
              <w:tl2br w:val="nil"/>
              <w:tr2bl w:val="nil"/>
            </w:tcBorders>
            <w:vAlign w:val="center"/>
          </w:tcPr>
          <w:p w14:paraId="4FAFE618">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vAlign w:val="center"/>
          </w:tcPr>
          <w:p w14:paraId="35D954D7">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G4</w:t>
            </w:r>
          </w:p>
        </w:tc>
        <w:tc>
          <w:tcPr>
            <w:tcW w:w="1309" w:type="dxa"/>
            <w:tcBorders>
              <w:tl2br w:val="nil"/>
              <w:tr2bl w:val="nil"/>
            </w:tcBorders>
            <w:vAlign w:val="center"/>
          </w:tcPr>
          <w:p w14:paraId="65B94AAA">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bookmarkStart w:id="1308" w:name="OLE_LINK902"/>
            <w:r>
              <w:rPr>
                <w:rFonts w:hint="eastAsia" w:ascii="Times New Roman" w:hAnsi="Times New Roman" w:eastAsia="宋体" w:cs="Times New Roman"/>
                <w:color w:val="auto"/>
                <w:sz w:val="21"/>
                <w:szCs w:val="21"/>
                <w:highlight w:val="none"/>
                <w:lang w:val="en-US" w:eastAsia="zh-CN"/>
              </w:rPr>
              <w:t>166-0.183</w:t>
            </w:r>
            <w:bookmarkEnd w:id="1308"/>
          </w:p>
        </w:tc>
        <w:tc>
          <w:tcPr>
            <w:tcW w:w="1309" w:type="dxa"/>
            <w:tcBorders>
              <w:tl2br w:val="nil"/>
              <w:tr2bl w:val="nil"/>
            </w:tcBorders>
            <w:vAlign w:val="center"/>
          </w:tcPr>
          <w:p w14:paraId="05ED42F2">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1377" w:type="dxa"/>
            <w:tcBorders>
              <w:tl2br w:val="nil"/>
              <w:tr2bl w:val="nil"/>
            </w:tcBorders>
            <w:vAlign w:val="center"/>
          </w:tcPr>
          <w:p w14:paraId="5F872135">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w:t>
            </w:r>
          </w:p>
        </w:tc>
        <w:tc>
          <w:tcPr>
            <w:tcW w:w="952" w:type="dxa"/>
            <w:tcBorders>
              <w:tl2br w:val="nil"/>
              <w:tr2bl w:val="nil"/>
            </w:tcBorders>
            <w:vAlign w:val="center"/>
          </w:tcPr>
          <w:p w14:paraId="79D61C01">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0F73B7F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06" w:hRule="atLeast"/>
        </w:trPr>
        <w:tc>
          <w:tcPr>
            <w:tcW w:w="1640" w:type="dxa"/>
            <w:vMerge w:val="continue"/>
            <w:tcBorders>
              <w:tl2br w:val="nil"/>
              <w:tr2bl w:val="nil"/>
            </w:tcBorders>
            <w:vAlign w:val="center"/>
          </w:tcPr>
          <w:p w14:paraId="10275088">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vAlign w:val="center"/>
          </w:tcPr>
          <w:p w14:paraId="6CAE72BE">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G5</w:t>
            </w:r>
          </w:p>
        </w:tc>
        <w:tc>
          <w:tcPr>
            <w:tcW w:w="1309" w:type="dxa"/>
            <w:tcBorders>
              <w:tl2br w:val="nil"/>
              <w:tr2bl w:val="nil"/>
            </w:tcBorders>
            <w:vAlign w:val="center"/>
          </w:tcPr>
          <w:p w14:paraId="593EE057">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0.167-0.181</w:t>
            </w:r>
          </w:p>
        </w:tc>
        <w:tc>
          <w:tcPr>
            <w:tcW w:w="1309" w:type="dxa"/>
            <w:tcBorders>
              <w:tl2br w:val="nil"/>
              <w:tr2bl w:val="nil"/>
            </w:tcBorders>
            <w:vAlign w:val="center"/>
          </w:tcPr>
          <w:p w14:paraId="5D7FB0D3">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1377" w:type="dxa"/>
            <w:tcBorders>
              <w:tl2br w:val="nil"/>
              <w:tr2bl w:val="nil"/>
            </w:tcBorders>
            <w:vAlign w:val="center"/>
          </w:tcPr>
          <w:p w14:paraId="2F8AEC3D">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952" w:type="dxa"/>
            <w:tcBorders>
              <w:tl2br w:val="nil"/>
              <w:tr2bl w:val="nil"/>
            </w:tcBorders>
            <w:vAlign w:val="center"/>
          </w:tcPr>
          <w:p w14:paraId="6FF8F74A">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625A654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65" w:hRule="atLeast"/>
        </w:trPr>
        <w:tc>
          <w:tcPr>
            <w:tcW w:w="1640" w:type="dxa"/>
            <w:vMerge w:val="continue"/>
            <w:tcBorders>
              <w:tl2br w:val="nil"/>
              <w:tr2bl w:val="nil"/>
            </w:tcBorders>
            <w:vAlign w:val="center"/>
          </w:tcPr>
          <w:p w14:paraId="71294552">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vAlign w:val="center"/>
          </w:tcPr>
          <w:p w14:paraId="12C5D27A">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G6</w:t>
            </w:r>
          </w:p>
        </w:tc>
        <w:tc>
          <w:tcPr>
            <w:tcW w:w="1309" w:type="dxa"/>
            <w:tcBorders>
              <w:tl2br w:val="nil"/>
              <w:tr2bl w:val="nil"/>
            </w:tcBorders>
            <w:vAlign w:val="center"/>
          </w:tcPr>
          <w:p w14:paraId="63A42E79">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0.167-0.184</w:t>
            </w:r>
          </w:p>
        </w:tc>
        <w:tc>
          <w:tcPr>
            <w:tcW w:w="1309" w:type="dxa"/>
            <w:tcBorders>
              <w:tl2br w:val="nil"/>
              <w:tr2bl w:val="nil"/>
            </w:tcBorders>
            <w:vAlign w:val="center"/>
          </w:tcPr>
          <w:p w14:paraId="0CCC27EC">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1377" w:type="dxa"/>
            <w:tcBorders>
              <w:tl2br w:val="nil"/>
              <w:tr2bl w:val="nil"/>
            </w:tcBorders>
            <w:vAlign w:val="center"/>
          </w:tcPr>
          <w:p w14:paraId="4FFE837B">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w:t>
            </w:r>
          </w:p>
        </w:tc>
        <w:tc>
          <w:tcPr>
            <w:tcW w:w="952" w:type="dxa"/>
            <w:tcBorders>
              <w:tl2br w:val="nil"/>
              <w:tr2bl w:val="nil"/>
            </w:tcBorders>
            <w:vAlign w:val="center"/>
          </w:tcPr>
          <w:p w14:paraId="37D06AD5">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bookmarkEnd w:id="1307"/>
      <w:tr w14:paraId="763355D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restart"/>
            <w:tcBorders>
              <w:tl2br w:val="nil"/>
              <w:tr2bl w:val="nil"/>
            </w:tcBorders>
            <w:vAlign w:val="center"/>
          </w:tcPr>
          <w:p w14:paraId="129FA845">
            <w:pPr>
              <w:bidi w:val="0"/>
              <w:jc w:val="center"/>
              <w:rPr>
                <w:rFonts w:hint="default" w:ascii="Times New Roman" w:hAnsi="Times New Roman" w:cs="Times New Roman"/>
                <w:color w:val="auto"/>
                <w:sz w:val="21"/>
                <w:szCs w:val="21"/>
                <w:highlight w:val="none"/>
              </w:rPr>
            </w:pPr>
            <w:bookmarkStart w:id="1309" w:name="OLE_LINK452" w:colFirst="5" w:colLast="5"/>
            <w:r>
              <w:rPr>
                <w:rFonts w:hint="eastAsia" w:ascii="Times New Roman" w:hAnsi="Times New Roman" w:eastAsia="宋体" w:cs="Times New Roman"/>
                <w:color w:val="auto"/>
                <w:sz w:val="21"/>
                <w:szCs w:val="21"/>
                <w:highlight w:val="none"/>
                <w:lang w:val="en-US" w:eastAsia="zh-CN"/>
              </w:rPr>
              <w:t>氮氧化物</w:t>
            </w:r>
          </w:p>
          <w:p w14:paraId="11A0C14B">
            <w:pPr>
              <w:bidi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lang w:eastAsia="zh-CN"/>
              </w:rPr>
              <w:t>）</w:t>
            </w:r>
          </w:p>
        </w:tc>
        <w:tc>
          <w:tcPr>
            <w:tcW w:w="1732" w:type="dxa"/>
            <w:tcBorders>
              <w:tl2br w:val="nil"/>
              <w:tr2bl w:val="nil"/>
            </w:tcBorders>
            <w:vAlign w:val="center"/>
          </w:tcPr>
          <w:p w14:paraId="22E3A27F">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G1</w:t>
            </w:r>
          </w:p>
        </w:tc>
        <w:tc>
          <w:tcPr>
            <w:tcW w:w="1309" w:type="dxa"/>
            <w:tcBorders>
              <w:tl2br w:val="nil"/>
              <w:tr2bl w:val="nil"/>
            </w:tcBorders>
            <w:vAlign w:val="center"/>
          </w:tcPr>
          <w:p w14:paraId="252E0D4B">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0.012-0.018</w:t>
            </w:r>
          </w:p>
        </w:tc>
        <w:tc>
          <w:tcPr>
            <w:tcW w:w="1309" w:type="dxa"/>
            <w:tcBorders>
              <w:tl2br w:val="nil"/>
              <w:tr2bl w:val="nil"/>
            </w:tcBorders>
            <w:vAlign w:val="center"/>
          </w:tcPr>
          <w:p w14:paraId="32694023">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0.25</w:t>
            </w:r>
          </w:p>
        </w:tc>
        <w:tc>
          <w:tcPr>
            <w:tcW w:w="1377" w:type="dxa"/>
            <w:tcBorders>
              <w:tl2br w:val="nil"/>
              <w:tr2bl w:val="nil"/>
            </w:tcBorders>
            <w:vAlign w:val="center"/>
          </w:tcPr>
          <w:p w14:paraId="5FF61BC5">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7.2</w:t>
            </w:r>
          </w:p>
        </w:tc>
        <w:tc>
          <w:tcPr>
            <w:tcW w:w="952" w:type="dxa"/>
            <w:tcBorders>
              <w:tl2br w:val="nil"/>
              <w:tr2bl w:val="nil"/>
            </w:tcBorders>
            <w:vAlign w:val="center"/>
          </w:tcPr>
          <w:p w14:paraId="545C7FA9">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达标</w:t>
            </w:r>
          </w:p>
        </w:tc>
      </w:tr>
      <w:tr w14:paraId="0CB602D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tcBorders>
              <w:tl2br w:val="nil"/>
              <w:tr2bl w:val="nil"/>
            </w:tcBorders>
            <w:vAlign w:val="center"/>
          </w:tcPr>
          <w:p w14:paraId="2A7A69C0">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vAlign w:val="center"/>
          </w:tcPr>
          <w:p w14:paraId="1F064AC1">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G2</w:t>
            </w:r>
          </w:p>
        </w:tc>
        <w:tc>
          <w:tcPr>
            <w:tcW w:w="1309" w:type="dxa"/>
            <w:tcBorders>
              <w:tl2br w:val="nil"/>
              <w:tr2bl w:val="nil"/>
            </w:tcBorders>
            <w:vAlign w:val="center"/>
          </w:tcPr>
          <w:p w14:paraId="491E282D">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0.011-0.021</w:t>
            </w:r>
          </w:p>
        </w:tc>
        <w:tc>
          <w:tcPr>
            <w:tcW w:w="1309" w:type="dxa"/>
            <w:tcBorders>
              <w:tl2br w:val="nil"/>
              <w:tr2bl w:val="nil"/>
            </w:tcBorders>
            <w:vAlign w:val="center"/>
          </w:tcPr>
          <w:p w14:paraId="16310419">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0.25</w:t>
            </w:r>
          </w:p>
        </w:tc>
        <w:tc>
          <w:tcPr>
            <w:tcW w:w="1377" w:type="dxa"/>
            <w:tcBorders>
              <w:tl2br w:val="nil"/>
              <w:tr2bl w:val="nil"/>
            </w:tcBorders>
            <w:vAlign w:val="center"/>
          </w:tcPr>
          <w:p w14:paraId="3F71CD54">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8.4</w:t>
            </w:r>
          </w:p>
        </w:tc>
        <w:tc>
          <w:tcPr>
            <w:tcW w:w="952" w:type="dxa"/>
            <w:tcBorders>
              <w:tl2br w:val="nil"/>
              <w:tr2bl w:val="nil"/>
            </w:tcBorders>
            <w:vAlign w:val="center"/>
          </w:tcPr>
          <w:p w14:paraId="0810C3B9">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达标</w:t>
            </w:r>
          </w:p>
        </w:tc>
      </w:tr>
      <w:tr w14:paraId="6C4DC07B">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tcBorders>
              <w:tl2br w:val="nil"/>
              <w:tr2bl w:val="nil"/>
            </w:tcBorders>
            <w:vAlign w:val="center"/>
          </w:tcPr>
          <w:p w14:paraId="011829C5">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vAlign w:val="center"/>
          </w:tcPr>
          <w:p w14:paraId="364A0128">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G3</w:t>
            </w:r>
          </w:p>
        </w:tc>
        <w:tc>
          <w:tcPr>
            <w:tcW w:w="1309" w:type="dxa"/>
            <w:tcBorders>
              <w:tl2br w:val="nil"/>
              <w:tr2bl w:val="nil"/>
            </w:tcBorders>
            <w:vAlign w:val="center"/>
          </w:tcPr>
          <w:p w14:paraId="1FC78523">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0.006-0.017</w:t>
            </w:r>
          </w:p>
        </w:tc>
        <w:tc>
          <w:tcPr>
            <w:tcW w:w="1309" w:type="dxa"/>
            <w:tcBorders>
              <w:tl2br w:val="nil"/>
              <w:tr2bl w:val="nil"/>
            </w:tcBorders>
            <w:vAlign w:val="center"/>
          </w:tcPr>
          <w:p w14:paraId="3FFA17B3">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0.25</w:t>
            </w:r>
          </w:p>
        </w:tc>
        <w:tc>
          <w:tcPr>
            <w:tcW w:w="1377" w:type="dxa"/>
            <w:tcBorders>
              <w:tl2br w:val="nil"/>
              <w:tr2bl w:val="nil"/>
            </w:tcBorders>
            <w:vAlign w:val="center"/>
          </w:tcPr>
          <w:p w14:paraId="1323AB80">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6.8</w:t>
            </w:r>
          </w:p>
        </w:tc>
        <w:tc>
          <w:tcPr>
            <w:tcW w:w="952" w:type="dxa"/>
            <w:tcBorders>
              <w:tl2br w:val="nil"/>
              <w:tr2bl w:val="nil"/>
            </w:tcBorders>
            <w:vAlign w:val="center"/>
          </w:tcPr>
          <w:p w14:paraId="1F4275E2">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达标</w:t>
            </w:r>
          </w:p>
        </w:tc>
      </w:tr>
      <w:tr w14:paraId="6538809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18" w:hRule="atLeast"/>
        </w:trPr>
        <w:tc>
          <w:tcPr>
            <w:tcW w:w="1640" w:type="dxa"/>
            <w:vMerge w:val="continue"/>
            <w:tcBorders>
              <w:tl2br w:val="nil"/>
              <w:tr2bl w:val="nil"/>
            </w:tcBorders>
            <w:vAlign w:val="center"/>
          </w:tcPr>
          <w:p w14:paraId="3E8C544D">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vAlign w:val="center"/>
          </w:tcPr>
          <w:p w14:paraId="4E070EA4">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G4</w:t>
            </w:r>
          </w:p>
        </w:tc>
        <w:tc>
          <w:tcPr>
            <w:tcW w:w="1309" w:type="dxa"/>
            <w:tcBorders>
              <w:tl2br w:val="nil"/>
              <w:tr2bl w:val="nil"/>
            </w:tcBorders>
            <w:vAlign w:val="center"/>
          </w:tcPr>
          <w:p w14:paraId="4135AB6C">
            <w:pPr>
              <w:bidi w:val="0"/>
              <w:jc w:val="center"/>
              <w:rPr>
                <w:rFonts w:hint="default" w:ascii="Times New Roman" w:hAnsi="Times New Roman" w:eastAsia="宋体" w:cs="Times New Roman"/>
                <w:color w:val="auto"/>
                <w:sz w:val="21"/>
                <w:szCs w:val="21"/>
                <w:highlight w:val="none"/>
                <w:lang w:val="en-US" w:eastAsia="zh-CN"/>
              </w:rPr>
            </w:pPr>
            <w:bookmarkStart w:id="1310" w:name="OLE_LINK903"/>
            <w:r>
              <w:rPr>
                <w:rFonts w:hint="eastAsia" w:ascii="Times New Roman" w:hAnsi="Times New Roman" w:eastAsia="宋体" w:cs="Times New Roman"/>
                <w:color w:val="auto"/>
                <w:sz w:val="21"/>
                <w:szCs w:val="21"/>
                <w:highlight w:val="none"/>
                <w:lang w:val="en-US" w:eastAsia="zh-CN"/>
              </w:rPr>
              <w:t>0.009-0.019</w:t>
            </w:r>
            <w:bookmarkEnd w:id="1310"/>
          </w:p>
        </w:tc>
        <w:tc>
          <w:tcPr>
            <w:tcW w:w="1309" w:type="dxa"/>
            <w:tcBorders>
              <w:tl2br w:val="nil"/>
              <w:tr2bl w:val="nil"/>
            </w:tcBorders>
            <w:vAlign w:val="center"/>
          </w:tcPr>
          <w:p w14:paraId="758518D5">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0.25</w:t>
            </w:r>
          </w:p>
        </w:tc>
        <w:tc>
          <w:tcPr>
            <w:tcW w:w="1377" w:type="dxa"/>
            <w:tcBorders>
              <w:tl2br w:val="nil"/>
              <w:tr2bl w:val="nil"/>
            </w:tcBorders>
            <w:vAlign w:val="center"/>
          </w:tcPr>
          <w:p w14:paraId="3F6D887E">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7.6</w:t>
            </w:r>
          </w:p>
        </w:tc>
        <w:tc>
          <w:tcPr>
            <w:tcW w:w="952" w:type="dxa"/>
            <w:tcBorders>
              <w:tl2br w:val="nil"/>
              <w:tr2bl w:val="nil"/>
            </w:tcBorders>
            <w:vAlign w:val="center"/>
          </w:tcPr>
          <w:p w14:paraId="4F459D6B">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达标</w:t>
            </w:r>
          </w:p>
        </w:tc>
      </w:tr>
      <w:tr w14:paraId="3861EF9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tcBorders>
              <w:tl2br w:val="nil"/>
              <w:tr2bl w:val="nil"/>
            </w:tcBorders>
            <w:vAlign w:val="center"/>
          </w:tcPr>
          <w:p w14:paraId="54416C38">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vAlign w:val="center"/>
          </w:tcPr>
          <w:p w14:paraId="32A8AE57">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G5</w:t>
            </w:r>
          </w:p>
        </w:tc>
        <w:tc>
          <w:tcPr>
            <w:tcW w:w="1309" w:type="dxa"/>
            <w:tcBorders>
              <w:tl2br w:val="nil"/>
              <w:tr2bl w:val="nil"/>
            </w:tcBorders>
            <w:vAlign w:val="center"/>
          </w:tcPr>
          <w:p w14:paraId="3F34E0B8">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0.011-0.020</w:t>
            </w:r>
          </w:p>
        </w:tc>
        <w:tc>
          <w:tcPr>
            <w:tcW w:w="1309" w:type="dxa"/>
            <w:tcBorders>
              <w:tl2br w:val="nil"/>
              <w:tr2bl w:val="nil"/>
            </w:tcBorders>
            <w:vAlign w:val="center"/>
          </w:tcPr>
          <w:p w14:paraId="1702EFEC">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0.25</w:t>
            </w:r>
          </w:p>
        </w:tc>
        <w:tc>
          <w:tcPr>
            <w:tcW w:w="1377" w:type="dxa"/>
            <w:tcBorders>
              <w:tl2br w:val="nil"/>
              <w:tr2bl w:val="nil"/>
            </w:tcBorders>
            <w:vAlign w:val="center"/>
          </w:tcPr>
          <w:p w14:paraId="54187B84">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8</w:t>
            </w:r>
          </w:p>
        </w:tc>
        <w:tc>
          <w:tcPr>
            <w:tcW w:w="952" w:type="dxa"/>
            <w:tcBorders>
              <w:tl2br w:val="nil"/>
              <w:tr2bl w:val="nil"/>
            </w:tcBorders>
            <w:vAlign w:val="center"/>
          </w:tcPr>
          <w:p w14:paraId="2D7D0CAA">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达标</w:t>
            </w:r>
          </w:p>
        </w:tc>
      </w:tr>
      <w:tr w14:paraId="78DFD483">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21" w:hRule="atLeast"/>
        </w:trPr>
        <w:tc>
          <w:tcPr>
            <w:tcW w:w="1640" w:type="dxa"/>
            <w:vMerge w:val="continue"/>
            <w:tcBorders>
              <w:tl2br w:val="nil"/>
              <w:tr2bl w:val="nil"/>
            </w:tcBorders>
            <w:vAlign w:val="center"/>
          </w:tcPr>
          <w:p w14:paraId="0B8D1693">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vAlign w:val="center"/>
          </w:tcPr>
          <w:p w14:paraId="069EB2B1">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G6</w:t>
            </w:r>
          </w:p>
        </w:tc>
        <w:tc>
          <w:tcPr>
            <w:tcW w:w="1309" w:type="dxa"/>
            <w:tcBorders>
              <w:tl2br w:val="nil"/>
              <w:tr2bl w:val="nil"/>
            </w:tcBorders>
            <w:vAlign w:val="center"/>
          </w:tcPr>
          <w:p w14:paraId="5C7A9596">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0.011-0.019</w:t>
            </w:r>
          </w:p>
        </w:tc>
        <w:tc>
          <w:tcPr>
            <w:tcW w:w="1309" w:type="dxa"/>
            <w:tcBorders>
              <w:tl2br w:val="nil"/>
              <w:tr2bl w:val="nil"/>
            </w:tcBorders>
            <w:vAlign w:val="center"/>
          </w:tcPr>
          <w:p w14:paraId="4409B5D4">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0.25</w:t>
            </w:r>
          </w:p>
        </w:tc>
        <w:tc>
          <w:tcPr>
            <w:tcW w:w="1377" w:type="dxa"/>
            <w:tcBorders>
              <w:tl2br w:val="nil"/>
              <w:tr2bl w:val="nil"/>
            </w:tcBorders>
            <w:vAlign w:val="center"/>
          </w:tcPr>
          <w:p w14:paraId="15B1046B">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7.6</w:t>
            </w:r>
          </w:p>
        </w:tc>
        <w:tc>
          <w:tcPr>
            <w:tcW w:w="952" w:type="dxa"/>
            <w:tcBorders>
              <w:tl2br w:val="nil"/>
              <w:tr2bl w:val="nil"/>
            </w:tcBorders>
            <w:vAlign w:val="center"/>
          </w:tcPr>
          <w:p w14:paraId="5495710A">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达标</w:t>
            </w:r>
          </w:p>
        </w:tc>
      </w:tr>
      <w:bookmarkEnd w:id="1309"/>
      <w:tr w14:paraId="65EC43A7">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21" w:hRule="atLeast"/>
        </w:trPr>
        <w:tc>
          <w:tcPr>
            <w:tcW w:w="1640" w:type="dxa"/>
            <w:vMerge w:val="restart"/>
            <w:tcBorders>
              <w:tl2br w:val="nil"/>
              <w:tr2bl w:val="nil"/>
            </w:tcBorders>
            <w:shd w:val="clear" w:color="auto" w:fill="auto"/>
            <w:vAlign w:val="center"/>
          </w:tcPr>
          <w:p w14:paraId="43C8F914">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氟化物</w:t>
            </w:r>
          </w:p>
          <w:p w14:paraId="6B2D2438">
            <w:pPr>
              <w:bidi w:val="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eastAsia="zh-CN"/>
              </w:rPr>
              <w:t>）</w:t>
            </w:r>
          </w:p>
        </w:tc>
        <w:tc>
          <w:tcPr>
            <w:tcW w:w="1732" w:type="dxa"/>
            <w:tcBorders>
              <w:tl2br w:val="nil"/>
              <w:tr2bl w:val="nil"/>
            </w:tcBorders>
            <w:shd w:val="clear" w:color="auto" w:fill="auto"/>
            <w:vAlign w:val="center"/>
          </w:tcPr>
          <w:p w14:paraId="32D2B1C7">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G1</w:t>
            </w:r>
          </w:p>
        </w:tc>
        <w:tc>
          <w:tcPr>
            <w:tcW w:w="1309" w:type="dxa"/>
            <w:tcBorders>
              <w:tl2br w:val="nil"/>
              <w:tr2bl w:val="nil"/>
            </w:tcBorders>
            <w:vAlign w:val="center"/>
          </w:tcPr>
          <w:p w14:paraId="4D30EF0A">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tcBorders>
              <w:tl2br w:val="nil"/>
              <w:tr2bl w:val="nil"/>
            </w:tcBorders>
            <w:vAlign w:val="center"/>
          </w:tcPr>
          <w:p w14:paraId="32DAF5B1">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0.02</w:t>
            </w:r>
          </w:p>
        </w:tc>
        <w:tc>
          <w:tcPr>
            <w:tcW w:w="1377" w:type="dxa"/>
            <w:tcBorders>
              <w:tl2br w:val="nil"/>
              <w:tr2bl w:val="nil"/>
            </w:tcBorders>
            <w:vAlign w:val="center"/>
          </w:tcPr>
          <w:p w14:paraId="41B38A5D">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tcBorders>
              <w:tl2br w:val="nil"/>
              <w:tr2bl w:val="nil"/>
            </w:tcBorders>
            <w:vAlign w:val="center"/>
          </w:tcPr>
          <w:p w14:paraId="260FB06F">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382B890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67" w:hRule="atLeast"/>
        </w:trPr>
        <w:tc>
          <w:tcPr>
            <w:tcW w:w="1640" w:type="dxa"/>
            <w:vMerge w:val="continue"/>
            <w:tcBorders>
              <w:tl2br w:val="nil"/>
              <w:tr2bl w:val="nil"/>
            </w:tcBorders>
            <w:vAlign w:val="center"/>
          </w:tcPr>
          <w:p w14:paraId="21596CBF">
            <w:pPr>
              <w:bidi w:val="0"/>
              <w:jc w:val="center"/>
              <w:rPr>
                <w:rFonts w:hint="default" w:ascii="Times New Roman" w:hAnsi="Times New Roman" w:cs="Times New Roman"/>
                <w:color w:val="auto"/>
                <w:sz w:val="21"/>
                <w:szCs w:val="21"/>
                <w:highlight w:val="none"/>
              </w:rPr>
            </w:pPr>
            <w:bookmarkStart w:id="1311" w:name="OLE_LINK453" w:colFirst="5" w:colLast="5"/>
          </w:p>
        </w:tc>
        <w:tc>
          <w:tcPr>
            <w:tcW w:w="1732" w:type="dxa"/>
            <w:tcBorders>
              <w:tl2br w:val="nil"/>
              <w:tr2bl w:val="nil"/>
            </w:tcBorders>
            <w:shd w:val="clear" w:color="auto" w:fill="auto"/>
            <w:vAlign w:val="center"/>
          </w:tcPr>
          <w:p w14:paraId="32AB4128">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G2</w:t>
            </w:r>
          </w:p>
        </w:tc>
        <w:tc>
          <w:tcPr>
            <w:tcW w:w="1309" w:type="dxa"/>
            <w:tcBorders>
              <w:tl2br w:val="nil"/>
              <w:tr2bl w:val="nil"/>
            </w:tcBorders>
            <w:vAlign w:val="center"/>
          </w:tcPr>
          <w:p w14:paraId="291ED5DF">
            <w:pPr>
              <w:bidi w:val="0"/>
              <w:jc w:val="center"/>
              <w:rPr>
                <w:rFonts w:hint="default" w:ascii="Times New Roman" w:hAnsi="Times New Roman" w:eastAsia="宋体" w:cs="Times New Roman"/>
                <w:color w:val="auto"/>
                <w:sz w:val="21"/>
                <w:szCs w:val="21"/>
                <w:highlight w:val="none"/>
                <w:lang w:val="en-US" w:eastAsia="zh-CN"/>
              </w:rPr>
            </w:pPr>
            <w:bookmarkStart w:id="1312" w:name="OLE_LINK415"/>
            <w:r>
              <w:rPr>
                <w:rFonts w:hint="eastAsia" w:ascii="Times New Roman" w:hAnsi="Times New Roman" w:eastAsia="宋体" w:cs="Times New Roman"/>
                <w:color w:val="auto"/>
                <w:sz w:val="21"/>
                <w:szCs w:val="21"/>
                <w:highlight w:val="none"/>
                <w:lang w:val="en-US" w:eastAsia="zh-CN"/>
              </w:rPr>
              <w:t>0.000272-0.000</w:t>
            </w:r>
            <w:bookmarkEnd w:id="1312"/>
            <w:r>
              <w:rPr>
                <w:rFonts w:hint="eastAsia" w:ascii="Times New Roman" w:hAnsi="Times New Roman" w:eastAsia="宋体" w:cs="Times New Roman"/>
                <w:color w:val="auto"/>
                <w:sz w:val="21"/>
                <w:szCs w:val="21"/>
                <w:highlight w:val="none"/>
                <w:lang w:val="en-US" w:eastAsia="zh-CN"/>
              </w:rPr>
              <w:t>645</w:t>
            </w:r>
          </w:p>
        </w:tc>
        <w:tc>
          <w:tcPr>
            <w:tcW w:w="1309" w:type="dxa"/>
            <w:tcBorders>
              <w:tl2br w:val="nil"/>
              <w:tr2bl w:val="nil"/>
            </w:tcBorders>
            <w:vAlign w:val="center"/>
          </w:tcPr>
          <w:p w14:paraId="4443D542">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0.02</w:t>
            </w:r>
          </w:p>
        </w:tc>
        <w:tc>
          <w:tcPr>
            <w:tcW w:w="1377" w:type="dxa"/>
            <w:tcBorders>
              <w:tl2br w:val="nil"/>
              <w:tr2bl w:val="nil"/>
            </w:tcBorders>
            <w:vAlign w:val="center"/>
          </w:tcPr>
          <w:p w14:paraId="1F1A31BE">
            <w:pPr>
              <w:bidi w:val="0"/>
              <w:jc w:val="center"/>
              <w:rPr>
                <w:rFonts w:hint="default" w:ascii="Times New Roman" w:hAnsi="Times New Roman"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3.2</w:t>
            </w:r>
          </w:p>
        </w:tc>
        <w:tc>
          <w:tcPr>
            <w:tcW w:w="952" w:type="dxa"/>
            <w:tcBorders>
              <w:tl2br w:val="nil"/>
              <w:tr2bl w:val="nil"/>
            </w:tcBorders>
            <w:vAlign w:val="center"/>
          </w:tcPr>
          <w:p w14:paraId="138F882C">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006EEA2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21" w:hRule="atLeast"/>
        </w:trPr>
        <w:tc>
          <w:tcPr>
            <w:tcW w:w="1640" w:type="dxa"/>
            <w:vMerge w:val="continue"/>
            <w:tcBorders>
              <w:tl2br w:val="nil"/>
              <w:tr2bl w:val="nil"/>
            </w:tcBorders>
            <w:vAlign w:val="center"/>
          </w:tcPr>
          <w:p w14:paraId="5303F814">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shd w:val="clear" w:color="auto" w:fill="auto"/>
            <w:vAlign w:val="center"/>
          </w:tcPr>
          <w:p w14:paraId="680A7FDC">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G3</w:t>
            </w:r>
          </w:p>
        </w:tc>
        <w:tc>
          <w:tcPr>
            <w:tcW w:w="1309" w:type="dxa"/>
            <w:tcBorders>
              <w:tl2br w:val="nil"/>
              <w:tr2bl w:val="nil"/>
            </w:tcBorders>
            <w:vAlign w:val="center"/>
          </w:tcPr>
          <w:p w14:paraId="3071A501">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tcBorders>
              <w:tl2br w:val="nil"/>
              <w:tr2bl w:val="nil"/>
            </w:tcBorders>
            <w:vAlign w:val="center"/>
          </w:tcPr>
          <w:p w14:paraId="5C678CB1">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0.02</w:t>
            </w:r>
          </w:p>
        </w:tc>
        <w:tc>
          <w:tcPr>
            <w:tcW w:w="1377" w:type="dxa"/>
            <w:tcBorders>
              <w:tl2br w:val="nil"/>
              <w:tr2bl w:val="nil"/>
            </w:tcBorders>
            <w:vAlign w:val="center"/>
          </w:tcPr>
          <w:p w14:paraId="12B47B61">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tcBorders>
              <w:tl2br w:val="nil"/>
              <w:tr2bl w:val="nil"/>
            </w:tcBorders>
            <w:vAlign w:val="center"/>
          </w:tcPr>
          <w:p w14:paraId="455A84E3">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14DAFD5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21" w:hRule="atLeast"/>
        </w:trPr>
        <w:tc>
          <w:tcPr>
            <w:tcW w:w="1640" w:type="dxa"/>
            <w:vMerge w:val="continue"/>
            <w:tcBorders>
              <w:tl2br w:val="nil"/>
              <w:tr2bl w:val="nil"/>
            </w:tcBorders>
            <w:vAlign w:val="center"/>
          </w:tcPr>
          <w:p w14:paraId="63DFFD25">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shd w:val="clear" w:color="auto" w:fill="auto"/>
            <w:vAlign w:val="center"/>
          </w:tcPr>
          <w:p w14:paraId="7A7BFD8E">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G4</w:t>
            </w:r>
          </w:p>
        </w:tc>
        <w:tc>
          <w:tcPr>
            <w:tcW w:w="1309" w:type="dxa"/>
            <w:tcBorders>
              <w:tl2br w:val="nil"/>
              <w:tr2bl w:val="nil"/>
            </w:tcBorders>
            <w:vAlign w:val="center"/>
          </w:tcPr>
          <w:p w14:paraId="6213DC5C">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tcBorders>
              <w:tl2br w:val="nil"/>
              <w:tr2bl w:val="nil"/>
            </w:tcBorders>
            <w:vAlign w:val="center"/>
          </w:tcPr>
          <w:p w14:paraId="0E4DFFD8">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0.02</w:t>
            </w:r>
          </w:p>
        </w:tc>
        <w:tc>
          <w:tcPr>
            <w:tcW w:w="1377" w:type="dxa"/>
            <w:tcBorders>
              <w:tl2br w:val="nil"/>
              <w:tr2bl w:val="nil"/>
            </w:tcBorders>
            <w:vAlign w:val="center"/>
          </w:tcPr>
          <w:p w14:paraId="7D71C89E">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tcBorders>
              <w:tl2br w:val="nil"/>
              <w:tr2bl w:val="nil"/>
            </w:tcBorders>
            <w:vAlign w:val="center"/>
          </w:tcPr>
          <w:p w14:paraId="5D88473E">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6AE17D5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tcBorders>
              <w:tl2br w:val="nil"/>
              <w:tr2bl w:val="nil"/>
            </w:tcBorders>
            <w:vAlign w:val="center"/>
          </w:tcPr>
          <w:p w14:paraId="15FF91E8">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shd w:val="clear" w:color="auto" w:fill="auto"/>
            <w:vAlign w:val="center"/>
          </w:tcPr>
          <w:p w14:paraId="7B91D220">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G5</w:t>
            </w:r>
          </w:p>
        </w:tc>
        <w:tc>
          <w:tcPr>
            <w:tcW w:w="1309" w:type="dxa"/>
            <w:tcBorders>
              <w:tl2br w:val="nil"/>
              <w:tr2bl w:val="nil"/>
            </w:tcBorders>
            <w:vAlign w:val="center"/>
          </w:tcPr>
          <w:p w14:paraId="52859B9D">
            <w:pPr>
              <w:bidi w:val="0"/>
              <w:jc w:val="center"/>
              <w:rPr>
                <w:rFonts w:hint="default" w:ascii="Times New Roman" w:hAnsi="Times New Roman" w:cs="Times New Roman"/>
                <w:color w:val="auto"/>
                <w:sz w:val="21"/>
                <w:szCs w:val="21"/>
                <w:highlight w:val="none"/>
              </w:rPr>
            </w:pPr>
            <w:bookmarkStart w:id="1313" w:name="OLE_LINK419"/>
            <w:r>
              <w:rPr>
                <w:rFonts w:hint="eastAsia" w:ascii="Times New Roman" w:hAnsi="Times New Roman" w:eastAsia="宋体" w:cs="Times New Roman"/>
                <w:color w:val="auto"/>
                <w:sz w:val="21"/>
                <w:szCs w:val="21"/>
                <w:highlight w:val="none"/>
                <w:lang w:val="en-US" w:eastAsia="zh-CN"/>
              </w:rPr>
              <w:t>ND</w:t>
            </w:r>
            <w:bookmarkEnd w:id="1313"/>
          </w:p>
        </w:tc>
        <w:tc>
          <w:tcPr>
            <w:tcW w:w="1309" w:type="dxa"/>
            <w:tcBorders>
              <w:tl2br w:val="nil"/>
              <w:tr2bl w:val="nil"/>
            </w:tcBorders>
            <w:vAlign w:val="center"/>
          </w:tcPr>
          <w:p w14:paraId="52E64164">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0.02</w:t>
            </w:r>
          </w:p>
        </w:tc>
        <w:tc>
          <w:tcPr>
            <w:tcW w:w="1377" w:type="dxa"/>
            <w:tcBorders>
              <w:tl2br w:val="nil"/>
              <w:tr2bl w:val="nil"/>
            </w:tcBorders>
            <w:vAlign w:val="center"/>
          </w:tcPr>
          <w:p w14:paraId="13621EEA">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tcBorders>
              <w:tl2br w:val="nil"/>
              <w:tr2bl w:val="nil"/>
            </w:tcBorders>
            <w:vAlign w:val="center"/>
          </w:tcPr>
          <w:p w14:paraId="7609EA1B">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29EB9C2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51" w:hRule="atLeast"/>
        </w:trPr>
        <w:tc>
          <w:tcPr>
            <w:tcW w:w="1640" w:type="dxa"/>
            <w:vMerge w:val="continue"/>
            <w:tcBorders>
              <w:tl2br w:val="nil"/>
              <w:tr2bl w:val="nil"/>
            </w:tcBorders>
            <w:vAlign w:val="center"/>
          </w:tcPr>
          <w:p w14:paraId="4000806C">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shd w:val="clear" w:color="auto" w:fill="auto"/>
            <w:vAlign w:val="center"/>
          </w:tcPr>
          <w:p w14:paraId="0524EB44">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G6</w:t>
            </w:r>
          </w:p>
        </w:tc>
        <w:tc>
          <w:tcPr>
            <w:tcW w:w="1309" w:type="dxa"/>
            <w:tcBorders>
              <w:tl2br w:val="nil"/>
              <w:tr2bl w:val="nil"/>
            </w:tcBorders>
            <w:shd w:val="clear" w:color="auto" w:fill="auto"/>
            <w:vAlign w:val="center"/>
          </w:tcPr>
          <w:p w14:paraId="1AFA0408">
            <w:pPr>
              <w:bidi w:val="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ND</w:t>
            </w:r>
          </w:p>
        </w:tc>
        <w:tc>
          <w:tcPr>
            <w:tcW w:w="1309" w:type="dxa"/>
            <w:tcBorders>
              <w:tl2br w:val="nil"/>
              <w:tr2bl w:val="nil"/>
            </w:tcBorders>
            <w:shd w:val="clear" w:color="auto" w:fill="auto"/>
            <w:vAlign w:val="center"/>
          </w:tcPr>
          <w:p w14:paraId="2AA44A38">
            <w:pPr>
              <w:bidi w:val="0"/>
              <w:jc w:val="center"/>
              <w:rPr>
                <w:rFonts w:hint="eastAsia"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0.02</w:t>
            </w:r>
          </w:p>
        </w:tc>
        <w:tc>
          <w:tcPr>
            <w:tcW w:w="1377" w:type="dxa"/>
            <w:tcBorders>
              <w:tl2br w:val="nil"/>
              <w:tr2bl w:val="nil"/>
            </w:tcBorders>
            <w:shd w:val="clear" w:color="auto" w:fill="auto"/>
            <w:vAlign w:val="center"/>
          </w:tcPr>
          <w:p w14:paraId="010DCBD3">
            <w:pPr>
              <w:bidi w:val="0"/>
              <w:jc w:val="center"/>
              <w:rPr>
                <w:rFonts w:hint="eastAsia" w:ascii="Times New Roman" w:hAnsi="Times New Roman" w:eastAsia="Arial" w:cs="Times New Roman"/>
                <w:snapToGrid w:val="0"/>
                <w:color w:val="auto"/>
                <w:kern w:val="0"/>
                <w:sz w:val="21"/>
                <w:szCs w:val="21"/>
                <w:highlight w:val="none"/>
                <w:lang w:val="en-US" w:eastAsia="zh-CN" w:bidi="ar-SA"/>
              </w:rPr>
            </w:pPr>
            <w:bookmarkStart w:id="1314" w:name="OLE_LINK449"/>
            <w:r>
              <w:rPr>
                <w:rFonts w:hint="eastAsia" w:ascii="Times New Roman" w:hAnsi="Times New Roman" w:eastAsia="宋体" w:cs="Times New Roman"/>
                <w:color w:val="auto"/>
                <w:sz w:val="21"/>
                <w:szCs w:val="21"/>
                <w:highlight w:val="none"/>
                <w:lang w:val="en-US" w:eastAsia="zh-CN"/>
              </w:rPr>
              <w:t>/</w:t>
            </w:r>
            <w:bookmarkEnd w:id="1314"/>
          </w:p>
        </w:tc>
        <w:tc>
          <w:tcPr>
            <w:tcW w:w="952" w:type="dxa"/>
            <w:tcBorders>
              <w:tl2br w:val="nil"/>
              <w:tr2bl w:val="nil"/>
            </w:tcBorders>
            <w:vAlign w:val="center"/>
          </w:tcPr>
          <w:p w14:paraId="31FE1D94">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21CAEE7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81" w:hRule="atLeast"/>
        </w:trPr>
        <w:tc>
          <w:tcPr>
            <w:tcW w:w="1640" w:type="dxa"/>
            <w:vMerge w:val="continue"/>
            <w:tcBorders>
              <w:tl2br w:val="nil"/>
              <w:tr2bl w:val="nil"/>
            </w:tcBorders>
            <w:vAlign w:val="center"/>
          </w:tcPr>
          <w:p w14:paraId="52B2C485">
            <w:pPr>
              <w:bidi w:val="0"/>
              <w:jc w:val="center"/>
              <w:rPr>
                <w:rFonts w:hint="default" w:ascii="Times New Roman" w:hAnsi="Times New Roman" w:cs="Times New Roman"/>
                <w:color w:val="auto"/>
                <w:sz w:val="21"/>
                <w:szCs w:val="21"/>
                <w:highlight w:val="none"/>
              </w:rPr>
            </w:pPr>
            <w:bookmarkStart w:id="1315" w:name="OLE_LINK417" w:colFirst="1" w:colLast="1"/>
          </w:p>
        </w:tc>
        <w:tc>
          <w:tcPr>
            <w:tcW w:w="1732" w:type="dxa"/>
            <w:tcBorders>
              <w:tl2br w:val="nil"/>
              <w:tr2bl w:val="nil"/>
            </w:tcBorders>
            <w:shd w:val="clear" w:color="auto" w:fill="auto"/>
            <w:vAlign w:val="center"/>
          </w:tcPr>
          <w:p w14:paraId="7D8BE1E7">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QH1</w:t>
            </w:r>
          </w:p>
        </w:tc>
        <w:tc>
          <w:tcPr>
            <w:tcW w:w="1309" w:type="dxa"/>
            <w:tcBorders>
              <w:tl2br w:val="nil"/>
              <w:tr2bl w:val="nil"/>
            </w:tcBorders>
            <w:shd w:val="clear" w:color="auto" w:fill="auto"/>
            <w:vAlign w:val="center"/>
          </w:tcPr>
          <w:p w14:paraId="7FBD7181">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ND</w:t>
            </w:r>
          </w:p>
        </w:tc>
        <w:tc>
          <w:tcPr>
            <w:tcW w:w="1309" w:type="dxa"/>
            <w:tcBorders>
              <w:tl2br w:val="nil"/>
              <w:tr2bl w:val="nil"/>
            </w:tcBorders>
            <w:shd w:val="clear" w:color="auto" w:fill="auto"/>
            <w:vAlign w:val="center"/>
          </w:tcPr>
          <w:p w14:paraId="7622F035">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0.02</w:t>
            </w:r>
          </w:p>
        </w:tc>
        <w:tc>
          <w:tcPr>
            <w:tcW w:w="1377" w:type="dxa"/>
            <w:tcBorders>
              <w:tl2br w:val="nil"/>
              <w:tr2bl w:val="nil"/>
            </w:tcBorders>
            <w:shd w:val="clear" w:color="auto" w:fill="auto"/>
            <w:vAlign w:val="center"/>
          </w:tcPr>
          <w:p w14:paraId="0BE69A0E">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52" w:type="dxa"/>
            <w:tcBorders>
              <w:tl2br w:val="nil"/>
              <w:tr2bl w:val="nil"/>
            </w:tcBorders>
            <w:vAlign w:val="center"/>
          </w:tcPr>
          <w:p w14:paraId="34D1D78E">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0D580213">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tcBorders>
              <w:tl2br w:val="nil"/>
              <w:tr2bl w:val="nil"/>
            </w:tcBorders>
            <w:vAlign w:val="center"/>
          </w:tcPr>
          <w:p w14:paraId="5A6216E9">
            <w:pPr>
              <w:bidi w:val="0"/>
              <w:jc w:val="center"/>
              <w:rPr>
                <w:rFonts w:hint="default" w:ascii="Times New Roman" w:hAnsi="Times New Roman" w:cs="Times New Roman"/>
                <w:color w:val="auto"/>
                <w:sz w:val="21"/>
                <w:szCs w:val="21"/>
                <w:highlight w:val="none"/>
              </w:rPr>
            </w:pPr>
          </w:p>
        </w:tc>
        <w:tc>
          <w:tcPr>
            <w:tcW w:w="1732" w:type="dxa"/>
            <w:tcBorders>
              <w:tl2br w:val="nil"/>
              <w:tr2bl w:val="nil"/>
            </w:tcBorders>
            <w:shd w:val="clear" w:color="auto" w:fill="auto"/>
            <w:vAlign w:val="center"/>
          </w:tcPr>
          <w:p w14:paraId="05BE624E">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QH2</w:t>
            </w:r>
          </w:p>
        </w:tc>
        <w:tc>
          <w:tcPr>
            <w:tcW w:w="1309" w:type="dxa"/>
            <w:tcBorders>
              <w:tl2br w:val="nil"/>
              <w:tr2bl w:val="nil"/>
            </w:tcBorders>
            <w:vAlign w:val="center"/>
          </w:tcPr>
          <w:p w14:paraId="5AD452A2">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ND</w:t>
            </w:r>
          </w:p>
        </w:tc>
        <w:tc>
          <w:tcPr>
            <w:tcW w:w="1309" w:type="dxa"/>
            <w:tcBorders>
              <w:tl2br w:val="nil"/>
              <w:tr2bl w:val="nil"/>
            </w:tcBorders>
            <w:vAlign w:val="center"/>
          </w:tcPr>
          <w:p w14:paraId="7732241C">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0.02</w:t>
            </w:r>
          </w:p>
        </w:tc>
        <w:tc>
          <w:tcPr>
            <w:tcW w:w="1377" w:type="dxa"/>
            <w:tcBorders>
              <w:tl2br w:val="nil"/>
              <w:tr2bl w:val="nil"/>
            </w:tcBorders>
            <w:vAlign w:val="center"/>
          </w:tcPr>
          <w:p w14:paraId="77109216">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tcBorders>
              <w:tl2br w:val="nil"/>
              <w:tr2bl w:val="nil"/>
            </w:tcBorders>
            <w:vAlign w:val="center"/>
          </w:tcPr>
          <w:p w14:paraId="20E6C69F">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bookmarkEnd w:id="1311"/>
      <w:bookmarkEnd w:id="1315"/>
      <w:tr w14:paraId="7ABEE36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96" w:hRule="atLeast"/>
        </w:trPr>
        <w:tc>
          <w:tcPr>
            <w:tcW w:w="1640" w:type="dxa"/>
            <w:vMerge w:val="restart"/>
            <w:tcBorders>
              <w:tl2br w:val="nil"/>
              <w:tr2bl w:val="nil"/>
            </w:tcBorders>
            <w:shd w:val="clear" w:color="auto" w:fill="auto"/>
            <w:vAlign w:val="center"/>
          </w:tcPr>
          <w:p w14:paraId="3079E0DC">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氨</w:t>
            </w:r>
          </w:p>
          <w:p w14:paraId="1F5865D0">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lang w:eastAsia="zh-CN"/>
              </w:rPr>
              <w:t>）</w:t>
            </w:r>
          </w:p>
        </w:tc>
        <w:tc>
          <w:tcPr>
            <w:tcW w:w="1732" w:type="dxa"/>
            <w:tcBorders>
              <w:tl2br w:val="nil"/>
              <w:tr2bl w:val="nil"/>
            </w:tcBorders>
            <w:shd w:val="clear" w:color="auto" w:fill="auto"/>
            <w:vAlign w:val="center"/>
          </w:tcPr>
          <w:p w14:paraId="1732E525">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G1</w:t>
            </w:r>
          </w:p>
        </w:tc>
        <w:tc>
          <w:tcPr>
            <w:tcW w:w="1309" w:type="dxa"/>
            <w:tcBorders>
              <w:tl2br w:val="nil"/>
              <w:tr2bl w:val="nil"/>
            </w:tcBorders>
            <w:vAlign w:val="center"/>
          </w:tcPr>
          <w:p w14:paraId="0FA32469">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0.02-0.05</w:t>
            </w:r>
          </w:p>
        </w:tc>
        <w:tc>
          <w:tcPr>
            <w:tcW w:w="1309" w:type="dxa"/>
            <w:tcBorders>
              <w:tl2br w:val="nil"/>
              <w:tr2bl w:val="nil"/>
            </w:tcBorders>
            <w:vAlign w:val="center"/>
          </w:tcPr>
          <w:p w14:paraId="55D77E46">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1377" w:type="dxa"/>
            <w:tcBorders>
              <w:tl2br w:val="nil"/>
              <w:tr2bl w:val="nil"/>
            </w:tcBorders>
            <w:vAlign w:val="center"/>
          </w:tcPr>
          <w:p w14:paraId="7ED4318B">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c>
          <w:tcPr>
            <w:tcW w:w="952" w:type="dxa"/>
            <w:tcBorders>
              <w:tl2br w:val="nil"/>
              <w:tr2bl w:val="nil"/>
            </w:tcBorders>
            <w:vAlign w:val="center"/>
          </w:tcPr>
          <w:p w14:paraId="0689C971">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641B20B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3864D137">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554F7C2A">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G3</w:t>
            </w:r>
          </w:p>
        </w:tc>
        <w:tc>
          <w:tcPr>
            <w:tcW w:w="1309" w:type="dxa"/>
            <w:vAlign w:val="center"/>
          </w:tcPr>
          <w:p w14:paraId="61E2BC21">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0.02-0.04</w:t>
            </w:r>
          </w:p>
        </w:tc>
        <w:tc>
          <w:tcPr>
            <w:tcW w:w="1309" w:type="dxa"/>
            <w:vAlign w:val="center"/>
          </w:tcPr>
          <w:p w14:paraId="1D92CAED">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0.2</w:t>
            </w:r>
          </w:p>
        </w:tc>
        <w:tc>
          <w:tcPr>
            <w:tcW w:w="1377" w:type="dxa"/>
            <w:vAlign w:val="center"/>
          </w:tcPr>
          <w:p w14:paraId="631DC45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952" w:type="dxa"/>
            <w:vAlign w:val="center"/>
          </w:tcPr>
          <w:p w14:paraId="4C92EF4E">
            <w:pPr>
              <w:bidi w:val="0"/>
              <w:jc w:val="center"/>
              <w:rPr>
                <w:rFonts w:hint="eastAsia" w:ascii="Times New Roman" w:hAnsi="Times New Roman" w:eastAsia="宋体" w:cs="Times New Roman"/>
                <w:color w:val="auto"/>
                <w:sz w:val="21"/>
                <w:szCs w:val="21"/>
                <w:highlight w:val="none"/>
                <w:lang w:val="en-US" w:eastAsia="zh-CN"/>
              </w:rPr>
            </w:pPr>
            <w:bookmarkStart w:id="1316" w:name="OLE_LINK455"/>
            <w:r>
              <w:rPr>
                <w:rFonts w:hint="eastAsia" w:ascii="Times New Roman" w:hAnsi="Times New Roman" w:eastAsia="宋体" w:cs="Times New Roman"/>
                <w:color w:val="auto"/>
                <w:sz w:val="21"/>
                <w:szCs w:val="21"/>
                <w:highlight w:val="none"/>
                <w:lang w:val="en-US" w:eastAsia="zh-CN"/>
              </w:rPr>
              <w:t>达标</w:t>
            </w:r>
            <w:bookmarkEnd w:id="1316"/>
          </w:p>
        </w:tc>
      </w:tr>
      <w:tr w14:paraId="6F851F02">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1" w:hRule="atLeast"/>
        </w:trPr>
        <w:tc>
          <w:tcPr>
            <w:tcW w:w="1640" w:type="dxa"/>
            <w:vMerge w:val="continue"/>
            <w:vAlign w:val="center"/>
          </w:tcPr>
          <w:p w14:paraId="67437C5B">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7172C6C7">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G4</w:t>
            </w:r>
          </w:p>
        </w:tc>
        <w:tc>
          <w:tcPr>
            <w:tcW w:w="1309" w:type="dxa"/>
            <w:vAlign w:val="center"/>
          </w:tcPr>
          <w:p w14:paraId="1D1F71C1">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ND-0.03</w:t>
            </w:r>
          </w:p>
        </w:tc>
        <w:tc>
          <w:tcPr>
            <w:tcW w:w="1309" w:type="dxa"/>
            <w:vAlign w:val="center"/>
          </w:tcPr>
          <w:p w14:paraId="2D1538B3">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0.2</w:t>
            </w:r>
          </w:p>
        </w:tc>
        <w:tc>
          <w:tcPr>
            <w:tcW w:w="1377" w:type="dxa"/>
            <w:vAlign w:val="center"/>
          </w:tcPr>
          <w:p w14:paraId="6EDF9AE9">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952" w:type="dxa"/>
            <w:vAlign w:val="center"/>
          </w:tcPr>
          <w:p w14:paraId="13256D44">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33F301E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24064C30">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16E3C42E">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G5</w:t>
            </w:r>
          </w:p>
        </w:tc>
        <w:tc>
          <w:tcPr>
            <w:tcW w:w="1309" w:type="dxa"/>
            <w:vAlign w:val="center"/>
          </w:tcPr>
          <w:p w14:paraId="5B4D17CD">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0.01-0.04</w:t>
            </w:r>
          </w:p>
        </w:tc>
        <w:tc>
          <w:tcPr>
            <w:tcW w:w="1309" w:type="dxa"/>
            <w:vAlign w:val="center"/>
          </w:tcPr>
          <w:p w14:paraId="31849073">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0.2</w:t>
            </w:r>
          </w:p>
        </w:tc>
        <w:tc>
          <w:tcPr>
            <w:tcW w:w="1377" w:type="dxa"/>
            <w:vAlign w:val="center"/>
          </w:tcPr>
          <w:p w14:paraId="4C6662EB">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952" w:type="dxa"/>
            <w:vAlign w:val="center"/>
          </w:tcPr>
          <w:p w14:paraId="38239B64">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0180127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60B014BA">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439F0EDC">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G6</w:t>
            </w:r>
          </w:p>
        </w:tc>
        <w:tc>
          <w:tcPr>
            <w:tcW w:w="1309" w:type="dxa"/>
            <w:shd w:val="clear" w:color="auto" w:fill="auto"/>
            <w:vAlign w:val="center"/>
          </w:tcPr>
          <w:p w14:paraId="23D57438">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0.03-0.08</w:t>
            </w:r>
          </w:p>
        </w:tc>
        <w:tc>
          <w:tcPr>
            <w:tcW w:w="1309" w:type="dxa"/>
            <w:shd w:val="clear" w:color="auto" w:fill="auto"/>
            <w:vAlign w:val="center"/>
          </w:tcPr>
          <w:p w14:paraId="3CD976C8">
            <w:pPr>
              <w:bidi w:val="0"/>
              <w:jc w:val="center"/>
              <w:rPr>
                <w:rFonts w:hint="eastAsia"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0.2</w:t>
            </w:r>
          </w:p>
        </w:tc>
        <w:tc>
          <w:tcPr>
            <w:tcW w:w="1377" w:type="dxa"/>
            <w:shd w:val="clear" w:color="auto" w:fill="auto"/>
            <w:vAlign w:val="center"/>
          </w:tcPr>
          <w:p w14:paraId="0BB2E4E2">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40</w:t>
            </w:r>
          </w:p>
        </w:tc>
        <w:tc>
          <w:tcPr>
            <w:tcW w:w="952" w:type="dxa"/>
            <w:vAlign w:val="center"/>
          </w:tcPr>
          <w:p w14:paraId="0A96317E">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1F6A81CC">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51" w:hRule="atLeast"/>
        </w:trPr>
        <w:tc>
          <w:tcPr>
            <w:tcW w:w="1640" w:type="dxa"/>
            <w:vMerge w:val="continue"/>
            <w:vAlign w:val="center"/>
          </w:tcPr>
          <w:p w14:paraId="1EA0077E">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67006F79">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QH1</w:t>
            </w:r>
          </w:p>
        </w:tc>
        <w:tc>
          <w:tcPr>
            <w:tcW w:w="1309" w:type="dxa"/>
            <w:vAlign w:val="center"/>
          </w:tcPr>
          <w:p w14:paraId="277DADB8">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0.02-0.04</w:t>
            </w:r>
          </w:p>
        </w:tc>
        <w:tc>
          <w:tcPr>
            <w:tcW w:w="1309" w:type="dxa"/>
            <w:vAlign w:val="center"/>
          </w:tcPr>
          <w:p w14:paraId="2652179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1377" w:type="dxa"/>
            <w:vAlign w:val="center"/>
          </w:tcPr>
          <w:p w14:paraId="1906D0E0">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952" w:type="dxa"/>
            <w:vAlign w:val="center"/>
          </w:tcPr>
          <w:p w14:paraId="388E31D5">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1F94009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81" w:hRule="atLeast"/>
        </w:trPr>
        <w:tc>
          <w:tcPr>
            <w:tcW w:w="1640" w:type="dxa"/>
            <w:vMerge w:val="continue"/>
            <w:vAlign w:val="center"/>
          </w:tcPr>
          <w:p w14:paraId="15507ED4">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4C9FF914">
            <w:pPr>
              <w:bidi w:val="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snapToGrid w:val="0"/>
                <w:color w:val="auto"/>
                <w:kern w:val="0"/>
                <w:sz w:val="21"/>
                <w:szCs w:val="21"/>
                <w:highlight w:val="none"/>
                <w:lang w:val="en-US" w:eastAsia="zh-CN" w:bidi="ar-SA"/>
              </w:rPr>
              <w:t>QH2</w:t>
            </w:r>
          </w:p>
        </w:tc>
        <w:tc>
          <w:tcPr>
            <w:tcW w:w="1309" w:type="dxa"/>
            <w:vAlign w:val="center"/>
          </w:tcPr>
          <w:p w14:paraId="64B82A5A">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0.03-0.05</w:t>
            </w:r>
          </w:p>
        </w:tc>
        <w:tc>
          <w:tcPr>
            <w:tcW w:w="1309" w:type="dxa"/>
            <w:vAlign w:val="center"/>
          </w:tcPr>
          <w:p w14:paraId="3E740052">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1377" w:type="dxa"/>
            <w:vAlign w:val="center"/>
          </w:tcPr>
          <w:p w14:paraId="5037A61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c>
          <w:tcPr>
            <w:tcW w:w="952" w:type="dxa"/>
            <w:vAlign w:val="center"/>
          </w:tcPr>
          <w:p w14:paraId="0866C844">
            <w:pPr>
              <w:bidi w:val="0"/>
              <w:jc w:val="center"/>
              <w:rPr>
                <w:rFonts w:hint="eastAsia" w:ascii="Times New Roman" w:hAnsi="Times New Roman" w:eastAsia="宋体" w:cs="Times New Roman"/>
                <w:color w:val="auto"/>
                <w:sz w:val="21"/>
                <w:szCs w:val="21"/>
                <w:highlight w:val="none"/>
                <w:lang w:val="en-US" w:eastAsia="zh-CN"/>
              </w:rPr>
            </w:pPr>
            <w:bookmarkStart w:id="1317" w:name="OLE_LINK456"/>
            <w:r>
              <w:rPr>
                <w:rFonts w:hint="eastAsia" w:ascii="Times New Roman" w:hAnsi="Times New Roman" w:eastAsia="宋体" w:cs="Times New Roman"/>
                <w:color w:val="auto"/>
                <w:sz w:val="21"/>
                <w:szCs w:val="21"/>
                <w:highlight w:val="none"/>
                <w:lang w:val="en-US" w:eastAsia="zh-CN"/>
              </w:rPr>
              <w:t>达标</w:t>
            </w:r>
            <w:bookmarkEnd w:id="1317"/>
          </w:p>
        </w:tc>
      </w:tr>
      <w:tr w14:paraId="7D8C5F8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06" w:hRule="atLeast"/>
        </w:trPr>
        <w:tc>
          <w:tcPr>
            <w:tcW w:w="1640" w:type="dxa"/>
            <w:vMerge w:val="restart"/>
            <w:shd w:val="clear" w:color="auto" w:fill="auto"/>
            <w:vAlign w:val="center"/>
          </w:tcPr>
          <w:p w14:paraId="42509787">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硫化氢</w:t>
            </w:r>
          </w:p>
          <w:p w14:paraId="4F23E470">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lang w:eastAsia="zh-CN"/>
              </w:rPr>
              <w:t>）</w:t>
            </w:r>
          </w:p>
        </w:tc>
        <w:tc>
          <w:tcPr>
            <w:tcW w:w="1732" w:type="dxa"/>
            <w:shd w:val="clear" w:color="auto" w:fill="auto"/>
            <w:vAlign w:val="center"/>
          </w:tcPr>
          <w:p w14:paraId="66532858">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G1</w:t>
            </w:r>
          </w:p>
        </w:tc>
        <w:tc>
          <w:tcPr>
            <w:tcW w:w="1309" w:type="dxa"/>
            <w:vAlign w:val="center"/>
          </w:tcPr>
          <w:p w14:paraId="42D472E4">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332743B1">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w:t>
            </w:r>
          </w:p>
        </w:tc>
        <w:tc>
          <w:tcPr>
            <w:tcW w:w="1377" w:type="dxa"/>
            <w:vAlign w:val="center"/>
          </w:tcPr>
          <w:p w14:paraId="38FAAA39">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2C825F57">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6E15A00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555FC2CD">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00F358A7">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G2</w:t>
            </w:r>
          </w:p>
        </w:tc>
        <w:tc>
          <w:tcPr>
            <w:tcW w:w="1309" w:type="dxa"/>
            <w:vAlign w:val="center"/>
          </w:tcPr>
          <w:p w14:paraId="7C4EADA5">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3D526DBC">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0.01</w:t>
            </w:r>
          </w:p>
        </w:tc>
        <w:tc>
          <w:tcPr>
            <w:tcW w:w="1377" w:type="dxa"/>
            <w:vAlign w:val="center"/>
          </w:tcPr>
          <w:p w14:paraId="7A04A4AF">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01460540">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0352C38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06" w:hRule="atLeast"/>
        </w:trPr>
        <w:tc>
          <w:tcPr>
            <w:tcW w:w="1640" w:type="dxa"/>
            <w:vMerge w:val="continue"/>
            <w:vAlign w:val="center"/>
          </w:tcPr>
          <w:p w14:paraId="7B9C4425">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60CAAAC3">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G3</w:t>
            </w:r>
          </w:p>
        </w:tc>
        <w:tc>
          <w:tcPr>
            <w:tcW w:w="1309" w:type="dxa"/>
            <w:vAlign w:val="center"/>
          </w:tcPr>
          <w:p w14:paraId="69007EF5">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583A634F">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0.01</w:t>
            </w:r>
          </w:p>
        </w:tc>
        <w:tc>
          <w:tcPr>
            <w:tcW w:w="1377" w:type="dxa"/>
            <w:vAlign w:val="center"/>
          </w:tcPr>
          <w:p w14:paraId="3413E93A">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12355375">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48D4E26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1F452CB7">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05283285">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G4</w:t>
            </w:r>
          </w:p>
        </w:tc>
        <w:tc>
          <w:tcPr>
            <w:tcW w:w="1309" w:type="dxa"/>
            <w:vAlign w:val="center"/>
          </w:tcPr>
          <w:p w14:paraId="4598B358">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3A2B81F1">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0.01</w:t>
            </w:r>
          </w:p>
        </w:tc>
        <w:tc>
          <w:tcPr>
            <w:tcW w:w="1377" w:type="dxa"/>
            <w:vAlign w:val="center"/>
          </w:tcPr>
          <w:p w14:paraId="68BA1DB7">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47F4034E">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70B6B67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81" w:hRule="atLeast"/>
        </w:trPr>
        <w:tc>
          <w:tcPr>
            <w:tcW w:w="1640" w:type="dxa"/>
            <w:vMerge w:val="continue"/>
            <w:vAlign w:val="center"/>
          </w:tcPr>
          <w:p w14:paraId="5F61BDB2">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137C59CF">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G5</w:t>
            </w:r>
          </w:p>
        </w:tc>
        <w:tc>
          <w:tcPr>
            <w:tcW w:w="1309" w:type="dxa"/>
            <w:vAlign w:val="center"/>
          </w:tcPr>
          <w:p w14:paraId="3CEF6196">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7DD09384">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0.01</w:t>
            </w:r>
          </w:p>
        </w:tc>
        <w:tc>
          <w:tcPr>
            <w:tcW w:w="1377" w:type="dxa"/>
            <w:vAlign w:val="center"/>
          </w:tcPr>
          <w:p w14:paraId="1D222A56">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6244523E">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706D199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4DABFECD">
            <w:pPr>
              <w:bidi w:val="0"/>
              <w:jc w:val="center"/>
              <w:rPr>
                <w:rFonts w:hint="default" w:ascii="Times New Roman" w:hAnsi="Times New Roman" w:cs="Times New Roman"/>
                <w:color w:val="auto"/>
                <w:sz w:val="21"/>
                <w:szCs w:val="21"/>
                <w:highlight w:val="none"/>
              </w:rPr>
            </w:pPr>
            <w:bookmarkStart w:id="1318" w:name="OLE_LINK421" w:colFirst="2" w:colLast="3"/>
          </w:p>
        </w:tc>
        <w:tc>
          <w:tcPr>
            <w:tcW w:w="1732" w:type="dxa"/>
            <w:shd w:val="clear" w:color="auto" w:fill="auto"/>
            <w:vAlign w:val="center"/>
          </w:tcPr>
          <w:p w14:paraId="5F555963">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G6</w:t>
            </w:r>
          </w:p>
        </w:tc>
        <w:tc>
          <w:tcPr>
            <w:tcW w:w="1309" w:type="dxa"/>
            <w:shd w:val="clear" w:color="auto" w:fill="auto"/>
            <w:vAlign w:val="center"/>
          </w:tcPr>
          <w:p w14:paraId="612DABC7">
            <w:pPr>
              <w:bidi w:val="0"/>
              <w:jc w:val="center"/>
              <w:rPr>
                <w:rFonts w:hint="eastAsia"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ND</w:t>
            </w:r>
          </w:p>
        </w:tc>
        <w:tc>
          <w:tcPr>
            <w:tcW w:w="1309" w:type="dxa"/>
            <w:shd w:val="clear" w:color="auto" w:fill="auto"/>
            <w:vAlign w:val="center"/>
          </w:tcPr>
          <w:p w14:paraId="6AE0C429">
            <w:pPr>
              <w:bidi w:val="0"/>
              <w:jc w:val="center"/>
              <w:rPr>
                <w:rFonts w:hint="eastAsia"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0.01</w:t>
            </w:r>
          </w:p>
        </w:tc>
        <w:tc>
          <w:tcPr>
            <w:tcW w:w="1377" w:type="dxa"/>
            <w:shd w:val="clear" w:color="auto" w:fill="auto"/>
            <w:vAlign w:val="center"/>
          </w:tcPr>
          <w:p w14:paraId="581EE8C2">
            <w:pPr>
              <w:bidi w:val="0"/>
              <w:jc w:val="center"/>
              <w:rPr>
                <w:rFonts w:hint="eastAsia"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952" w:type="dxa"/>
            <w:shd w:val="clear" w:color="auto" w:fill="auto"/>
            <w:vAlign w:val="center"/>
          </w:tcPr>
          <w:p w14:paraId="66A48732">
            <w:pPr>
              <w:bidi w:val="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达标</w:t>
            </w:r>
          </w:p>
        </w:tc>
      </w:tr>
      <w:bookmarkEnd w:id="1318"/>
      <w:tr w14:paraId="75C5DFD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51" w:hRule="atLeast"/>
        </w:trPr>
        <w:tc>
          <w:tcPr>
            <w:tcW w:w="1640" w:type="dxa"/>
            <w:vMerge w:val="continue"/>
            <w:vAlign w:val="center"/>
          </w:tcPr>
          <w:p w14:paraId="489DB0C1">
            <w:pPr>
              <w:bidi w:val="0"/>
              <w:jc w:val="center"/>
              <w:rPr>
                <w:rFonts w:hint="default" w:ascii="Times New Roman" w:hAnsi="Times New Roman" w:cs="Times New Roman"/>
                <w:color w:val="auto"/>
                <w:sz w:val="21"/>
                <w:szCs w:val="21"/>
                <w:highlight w:val="none"/>
              </w:rPr>
            </w:pPr>
            <w:bookmarkStart w:id="1319" w:name="OLE_LINK422" w:colFirst="2" w:colLast="4"/>
          </w:p>
        </w:tc>
        <w:tc>
          <w:tcPr>
            <w:tcW w:w="1732" w:type="dxa"/>
            <w:shd w:val="clear" w:color="auto" w:fill="auto"/>
            <w:vAlign w:val="center"/>
          </w:tcPr>
          <w:p w14:paraId="226DAE40">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eastAsia" w:ascii="Times New Roman" w:hAnsi="Times New Roman" w:eastAsia="宋体" w:cs="Times New Roman"/>
                <w:snapToGrid w:val="0"/>
                <w:color w:val="auto"/>
                <w:kern w:val="0"/>
                <w:sz w:val="21"/>
                <w:szCs w:val="21"/>
                <w:highlight w:val="none"/>
                <w:lang w:val="en-US" w:eastAsia="zh-CN" w:bidi="ar-SA"/>
              </w:rPr>
              <w:t>QH2</w:t>
            </w:r>
          </w:p>
        </w:tc>
        <w:tc>
          <w:tcPr>
            <w:tcW w:w="1309" w:type="dxa"/>
            <w:vAlign w:val="center"/>
          </w:tcPr>
          <w:p w14:paraId="707F8F1F">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3B870472">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0.01</w:t>
            </w:r>
          </w:p>
        </w:tc>
        <w:tc>
          <w:tcPr>
            <w:tcW w:w="1377" w:type="dxa"/>
            <w:vAlign w:val="center"/>
          </w:tcPr>
          <w:p w14:paraId="693ACEBD">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0C7FC317">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bookmarkEnd w:id="1319"/>
      <w:tr w14:paraId="007250B7">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62" w:hRule="atLeast"/>
        </w:trPr>
        <w:tc>
          <w:tcPr>
            <w:tcW w:w="1640" w:type="dxa"/>
            <w:vMerge w:val="restart"/>
            <w:shd w:val="clear" w:color="auto" w:fill="auto"/>
            <w:vAlign w:val="center"/>
          </w:tcPr>
          <w:p w14:paraId="69676514">
            <w:pPr>
              <w:bidi w:val="0"/>
              <w:jc w:val="center"/>
              <w:rPr>
                <w:rFonts w:hint="eastAsia" w:ascii="Times New Roman" w:hAnsi="Times New Roman" w:eastAsia="宋体" w:cs="Times New Roman"/>
                <w:color w:val="auto"/>
                <w:sz w:val="21"/>
                <w:szCs w:val="21"/>
                <w:highlight w:val="none"/>
                <w:lang w:val="en-US" w:eastAsia="zh-CN"/>
              </w:rPr>
            </w:pPr>
            <w:bookmarkStart w:id="1320" w:name="OLE_LINK458" w:colFirst="5" w:colLast="5"/>
            <w:r>
              <w:rPr>
                <w:rFonts w:hint="eastAsia" w:ascii="Times New Roman" w:hAnsi="Times New Roman" w:eastAsia="宋体" w:cs="Times New Roman"/>
                <w:color w:val="auto"/>
                <w:sz w:val="21"/>
                <w:szCs w:val="21"/>
                <w:highlight w:val="none"/>
                <w:lang w:val="en-US" w:eastAsia="zh-CN"/>
              </w:rPr>
              <w:t>氯化氢</w:t>
            </w:r>
          </w:p>
          <w:p w14:paraId="43206354">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lang w:eastAsia="zh-CN"/>
              </w:rPr>
              <w:t>）</w:t>
            </w:r>
          </w:p>
        </w:tc>
        <w:tc>
          <w:tcPr>
            <w:tcW w:w="1732" w:type="dxa"/>
            <w:shd w:val="clear" w:color="auto" w:fill="auto"/>
            <w:vAlign w:val="center"/>
          </w:tcPr>
          <w:p w14:paraId="4F84176B">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G1</w:t>
            </w:r>
          </w:p>
        </w:tc>
        <w:tc>
          <w:tcPr>
            <w:tcW w:w="1309" w:type="dxa"/>
            <w:vAlign w:val="center"/>
          </w:tcPr>
          <w:p w14:paraId="32C86130">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21FBCFE5">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0.05</w:t>
            </w:r>
          </w:p>
        </w:tc>
        <w:tc>
          <w:tcPr>
            <w:tcW w:w="1377" w:type="dxa"/>
            <w:vAlign w:val="center"/>
          </w:tcPr>
          <w:p w14:paraId="31A0A086">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25F12B01">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4D46519B">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587832A6">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0C33D1FD">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G3</w:t>
            </w:r>
          </w:p>
        </w:tc>
        <w:tc>
          <w:tcPr>
            <w:tcW w:w="1309" w:type="dxa"/>
            <w:vAlign w:val="center"/>
          </w:tcPr>
          <w:p w14:paraId="22567F67">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7781F42E">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0.05</w:t>
            </w:r>
          </w:p>
        </w:tc>
        <w:tc>
          <w:tcPr>
            <w:tcW w:w="1377" w:type="dxa"/>
            <w:vAlign w:val="center"/>
          </w:tcPr>
          <w:p w14:paraId="343987ED">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6CE4579A">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27DB6E0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3962B087">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2EF4F9DB">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G4</w:t>
            </w:r>
          </w:p>
        </w:tc>
        <w:tc>
          <w:tcPr>
            <w:tcW w:w="1309" w:type="dxa"/>
            <w:vAlign w:val="center"/>
          </w:tcPr>
          <w:p w14:paraId="6C7DF50D">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27552E6A">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0.05</w:t>
            </w:r>
          </w:p>
        </w:tc>
        <w:tc>
          <w:tcPr>
            <w:tcW w:w="1377" w:type="dxa"/>
            <w:vAlign w:val="center"/>
          </w:tcPr>
          <w:p w14:paraId="6925EE57">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5DDD28AD">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3354C9E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5A32BE02">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6260E613">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G5</w:t>
            </w:r>
          </w:p>
        </w:tc>
        <w:tc>
          <w:tcPr>
            <w:tcW w:w="1309" w:type="dxa"/>
            <w:vAlign w:val="center"/>
          </w:tcPr>
          <w:p w14:paraId="6382A7B4">
            <w:pPr>
              <w:bidi w:val="0"/>
              <w:jc w:val="center"/>
              <w:rPr>
                <w:rFonts w:hint="default" w:ascii="Times New Roman" w:hAnsi="Times New Roman" w:cs="Times New Roman"/>
                <w:color w:val="auto"/>
                <w:sz w:val="21"/>
                <w:szCs w:val="21"/>
                <w:highlight w:val="none"/>
              </w:rPr>
            </w:pPr>
            <w:bookmarkStart w:id="1321" w:name="OLE_LINK423"/>
            <w:r>
              <w:rPr>
                <w:rFonts w:hint="eastAsia" w:ascii="Times New Roman" w:hAnsi="Times New Roman" w:eastAsia="宋体" w:cs="Times New Roman"/>
                <w:color w:val="auto"/>
                <w:sz w:val="21"/>
                <w:szCs w:val="21"/>
                <w:highlight w:val="none"/>
                <w:lang w:val="en-US" w:eastAsia="zh-CN"/>
              </w:rPr>
              <w:t>ND</w:t>
            </w:r>
            <w:bookmarkEnd w:id="1321"/>
          </w:p>
        </w:tc>
        <w:tc>
          <w:tcPr>
            <w:tcW w:w="1309" w:type="dxa"/>
            <w:vAlign w:val="center"/>
          </w:tcPr>
          <w:p w14:paraId="2CAC47F8">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0.05</w:t>
            </w:r>
          </w:p>
        </w:tc>
        <w:tc>
          <w:tcPr>
            <w:tcW w:w="1377" w:type="dxa"/>
            <w:vAlign w:val="center"/>
          </w:tcPr>
          <w:p w14:paraId="67FDD0BB">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7E1EE725">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522981C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6D342E80">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4D7F17BD">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G6</w:t>
            </w:r>
          </w:p>
        </w:tc>
        <w:tc>
          <w:tcPr>
            <w:tcW w:w="1309" w:type="dxa"/>
            <w:shd w:val="clear" w:color="auto" w:fill="auto"/>
            <w:vAlign w:val="center"/>
          </w:tcPr>
          <w:p w14:paraId="268D0396">
            <w:pPr>
              <w:bidi w:val="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ND</w:t>
            </w:r>
          </w:p>
        </w:tc>
        <w:tc>
          <w:tcPr>
            <w:tcW w:w="1309" w:type="dxa"/>
            <w:shd w:val="clear" w:color="auto" w:fill="auto"/>
            <w:vAlign w:val="center"/>
          </w:tcPr>
          <w:p w14:paraId="182F6C30">
            <w:pPr>
              <w:bidi w:val="0"/>
              <w:jc w:val="center"/>
              <w:rPr>
                <w:rFonts w:hint="eastAsia"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0.05</w:t>
            </w:r>
          </w:p>
        </w:tc>
        <w:tc>
          <w:tcPr>
            <w:tcW w:w="1377" w:type="dxa"/>
            <w:shd w:val="clear" w:color="auto" w:fill="auto"/>
            <w:vAlign w:val="center"/>
          </w:tcPr>
          <w:p w14:paraId="60B9D9A6">
            <w:pPr>
              <w:bidi w:val="0"/>
              <w:jc w:val="center"/>
              <w:rPr>
                <w:rFonts w:hint="eastAsia"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49BE18F9">
            <w:pPr>
              <w:bidi w:val="0"/>
              <w:jc w:val="center"/>
              <w:rPr>
                <w:rFonts w:hint="eastAsia" w:ascii="Times New Roman" w:hAnsi="Times New Roman" w:eastAsia="宋体" w:cs="Times New Roman"/>
                <w:color w:val="auto"/>
                <w:sz w:val="21"/>
                <w:szCs w:val="21"/>
                <w:highlight w:val="none"/>
                <w:lang w:val="en-US" w:eastAsia="zh-CN"/>
              </w:rPr>
            </w:pPr>
            <w:bookmarkStart w:id="1322" w:name="OLE_LINK460"/>
            <w:r>
              <w:rPr>
                <w:rFonts w:hint="eastAsia" w:ascii="Times New Roman" w:hAnsi="Times New Roman" w:eastAsia="宋体" w:cs="Times New Roman"/>
                <w:color w:val="auto"/>
                <w:sz w:val="21"/>
                <w:szCs w:val="21"/>
                <w:highlight w:val="none"/>
                <w:lang w:val="en-US" w:eastAsia="zh-CN"/>
              </w:rPr>
              <w:t>达标</w:t>
            </w:r>
            <w:bookmarkEnd w:id="1322"/>
          </w:p>
        </w:tc>
      </w:tr>
      <w:bookmarkEnd w:id="1320"/>
      <w:tr w14:paraId="4AE5FF9B">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3AA3F9BE">
            <w:pPr>
              <w:bidi w:val="0"/>
              <w:jc w:val="center"/>
              <w:rPr>
                <w:rFonts w:hint="default" w:ascii="Times New Roman" w:hAnsi="Times New Roman" w:cs="Times New Roman"/>
                <w:color w:val="auto"/>
                <w:sz w:val="21"/>
                <w:szCs w:val="21"/>
                <w:highlight w:val="none"/>
              </w:rPr>
            </w:pPr>
            <w:bookmarkStart w:id="1323" w:name="OLE_LINK418" w:colFirst="1" w:colLast="1"/>
          </w:p>
        </w:tc>
        <w:tc>
          <w:tcPr>
            <w:tcW w:w="1732" w:type="dxa"/>
            <w:shd w:val="clear" w:color="auto" w:fill="auto"/>
            <w:vAlign w:val="center"/>
          </w:tcPr>
          <w:p w14:paraId="2A3D401A">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QH1</w:t>
            </w:r>
          </w:p>
        </w:tc>
        <w:tc>
          <w:tcPr>
            <w:tcW w:w="1309" w:type="dxa"/>
            <w:vAlign w:val="center"/>
          </w:tcPr>
          <w:p w14:paraId="7E19BDFE">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0.002-0.011</w:t>
            </w:r>
          </w:p>
        </w:tc>
        <w:tc>
          <w:tcPr>
            <w:tcW w:w="1309" w:type="dxa"/>
            <w:vAlign w:val="center"/>
          </w:tcPr>
          <w:p w14:paraId="58AD6CB8">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0.05</w:t>
            </w:r>
          </w:p>
        </w:tc>
        <w:tc>
          <w:tcPr>
            <w:tcW w:w="1377" w:type="dxa"/>
            <w:vAlign w:val="center"/>
          </w:tcPr>
          <w:p w14:paraId="72D7AE12">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w:t>
            </w:r>
          </w:p>
        </w:tc>
        <w:tc>
          <w:tcPr>
            <w:tcW w:w="952" w:type="dxa"/>
            <w:vAlign w:val="center"/>
          </w:tcPr>
          <w:p w14:paraId="1359EA64">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269CE6B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20FFBAEE">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13E4A540">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eastAsia" w:ascii="Times New Roman" w:hAnsi="Times New Roman" w:eastAsia="宋体" w:cs="Times New Roman"/>
                <w:snapToGrid w:val="0"/>
                <w:color w:val="auto"/>
                <w:kern w:val="0"/>
                <w:sz w:val="21"/>
                <w:szCs w:val="21"/>
                <w:highlight w:val="none"/>
                <w:lang w:val="en-US" w:eastAsia="zh-CN" w:bidi="ar-SA"/>
              </w:rPr>
              <w:t>QH2</w:t>
            </w:r>
          </w:p>
        </w:tc>
        <w:tc>
          <w:tcPr>
            <w:tcW w:w="1309" w:type="dxa"/>
            <w:vAlign w:val="center"/>
          </w:tcPr>
          <w:p w14:paraId="1D5154E4">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0.002-0.007</w:t>
            </w:r>
          </w:p>
        </w:tc>
        <w:tc>
          <w:tcPr>
            <w:tcW w:w="1309" w:type="dxa"/>
            <w:vAlign w:val="center"/>
          </w:tcPr>
          <w:p w14:paraId="003CA5CC">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0.05</w:t>
            </w:r>
          </w:p>
        </w:tc>
        <w:tc>
          <w:tcPr>
            <w:tcW w:w="1377" w:type="dxa"/>
            <w:vAlign w:val="center"/>
          </w:tcPr>
          <w:p w14:paraId="27FFDA4A">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w:t>
            </w:r>
          </w:p>
        </w:tc>
        <w:tc>
          <w:tcPr>
            <w:tcW w:w="952" w:type="dxa"/>
            <w:vAlign w:val="center"/>
          </w:tcPr>
          <w:p w14:paraId="71292107">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bookmarkEnd w:id="1323"/>
      <w:tr w14:paraId="7D9DFA8C">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restart"/>
            <w:shd w:val="clear" w:color="auto" w:fill="auto"/>
            <w:vAlign w:val="center"/>
          </w:tcPr>
          <w:p w14:paraId="3B2ACA21">
            <w:pPr>
              <w:bidi w:val="0"/>
              <w:jc w:val="center"/>
              <w:rPr>
                <w:rFonts w:hint="eastAsia" w:ascii="Times New Roman" w:hAnsi="Times New Roman" w:eastAsia="宋体" w:cs="Times New Roman"/>
                <w:color w:val="auto"/>
                <w:sz w:val="21"/>
                <w:szCs w:val="21"/>
                <w:highlight w:val="none"/>
                <w:lang w:val="en-US" w:eastAsia="zh-CN"/>
              </w:rPr>
            </w:pPr>
            <w:bookmarkStart w:id="1324" w:name="OLE_LINK831"/>
            <w:bookmarkStart w:id="1325" w:name="OLE_LINK832" w:colFirst="1" w:colLast="1"/>
            <w:bookmarkStart w:id="1326" w:name="OLE_LINK461" w:colFirst="5" w:colLast="5"/>
            <w:r>
              <w:rPr>
                <w:rFonts w:hint="eastAsia" w:ascii="Times New Roman" w:hAnsi="Times New Roman" w:eastAsia="宋体" w:cs="Times New Roman"/>
                <w:color w:val="auto"/>
                <w:sz w:val="21"/>
                <w:szCs w:val="21"/>
                <w:highlight w:val="none"/>
                <w:lang w:val="en-US" w:eastAsia="zh-CN"/>
              </w:rPr>
              <w:t>苯</w:t>
            </w:r>
          </w:p>
          <w:bookmarkEnd w:id="1324"/>
          <w:p w14:paraId="79259A2B">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lang w:eastAsia="zh-CN"/>
              </w:rPr>
              <w:t>）</w:t>
            </w:r>
          </w:p>
        </w:tc>
        <w:tc>
          <w:tcPr>
            <w:tcW w:w="1732" w:type="dxa"/>
            <w:shd w:val="clear" w:color="auto" w:fill="auto"/>
            <w:vAlign w:val="center"/>
          </w:tcPr>
          <w:p w14:paraId="12858EA9">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G1</w:t>
            </w:r>
          </w:p>
        </w:tc>
        <w:tc>
          <w:tcPr>
            <w:tcW w:w="1309" w:type="dxa"/>
            <w:vAlign w:val="center"/>
          </w:tcPr>
          <w:p w14:paraId="4CEA95C0">
            <w:pPr>
              <w:bidi w:val="0"/>
              <w:jc w:val="center"/>
              <w:rPr>
                <w:rFonts w:hint="default" w:ascii="Times New Roman" w:hAnsi="Times New Roman" w:cs="Times New Roman"/>
                <w:color w:val="auto"/>
                <w:sz w:val="21"/>
                <w:szCs w:val="21"/>
                <w:highlight w:val="none"/>
              </w:rPr>
            </w:pPr>
            <w:bookmarkStart w:id="1327" w:name="OLE_LINK834"/>
            <w:r>
              <w:rPr>
                <w:rFonts w:hint="eastAsia" w:ascii="Times New Roman" w:hAnsi="Times New Roman" w:eastAsia="宋体" w:cs="Times New Roman"/>
                <w:color w:val="auto"/>
                <w:sz w:val="21"/>
                <w:szCs w:val="21"/>
                <w:highlight w:val="none"/>
                <w:lang w:val="en-US" w:eastAsia="zh-CN"/>
              </w:rPr>
              <w:t>ND</w:t>
            </w:r>
            <w:bookmarkEnd w:id="1327"/>
          </w:p>
        </w:tc>
        <w:tc>
          <w:tcPr>
            <w:tcW w:w="1309" w:type="dxa"/>
            <w:vAlign w:val="center"/>
          </w:tcPr>
          <w:p w14:paraId="6AA47AD0">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0.11</w:t>
            </w:r>
          </w:p>
        </w:tc>
        <w:tc>
          <w:tcPr>
            <w:tcW w:w="1377" w:type="dxa"/>
            <w:vAlign w:val="center"/>
          </w:tcPr>
          <w:p w14:paraId="0B10B7B9">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14CA1024">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6F6B081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21" w:hRule="atLeast"/>
        </w:trPr>
        <w:tc>
          <w:tcPr>
            <w:tcW w:w="1640" w:type="dxa"/>
            <w:vMerge w:val="continue"/>
            <w:vAlign w:val="center"/>
          </w:tcPr>
          <w:p w14:paraId="40ABE5E9">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54A3C4A1">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G2</w:t>
            </w:r>
          </w:p>
        </w:tc>
        <w:tc>
          <w:tcPr>
            <w:tcW w:w="1309" w:type="dxa"/>
            <w:vAlign w:val="center"/>
          </w:tcPr>
          <w:p w14:paraId="181C5789">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18212830">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0.11</w:t>
            </w:r>
          </w:p>
        </w:tc>
        <w:tc>
          <w:tcPr>
            <w:tcW w:w="1377" w:type="dxa"/>
            <w:vAlign w:val="center"/>
          </w:tcPr>
          <w:p w14:paraId="050C97C7">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34CE7BB4">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4BB8E36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99" w:hRule="atLeast"/>
        </w:trPr>
        <w:tc>
          <w:tcPr>
            <w:tcW w:w="1640" w:type="dxa"/>
            <w:vMerge w:val="continue"/>
            <w:vAlign w:val="center"/>
          </w:tcPr>
          <w:p w14:paraId="73DAE077">
            <w:pPr>
              <w:bidi w:val="0"/>
              <w:jc w:val="center"/>
              <w:rPr>
                <w:rFonts w:hint="default" w:ascii="Times New Roman" w:hAnsi="Times New Roman" w:cs="Times New Roman"/>
                <w:color w:val="auto"/>
                <w:sz w:val="21"/>
                <w:szCs w:val="21"/>
                <w:highlight w:val="none"/>
              </w:rPr>
            </w:pPr>
            <w:bookmarkStart w:id="1328" w:name="OLE_LINK833" w:colFirst="1" w:colLast="1"/>
          </w:p>
        </w:tc>
        <w:tc>
          <w:tcPr>
            <w:tcW w:w="1732" w:type="dxa"/>
            <w:shd w:val="clear" w:color="auto" w:fill="auto"/>
            <w:vAlign w:val="center"/>
          </w:tcPr>
          <w:p w14:paraId="28FC8BFE">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G3</w:t>
            </w:r>
          </w:p>
        </w:tc>
        <w:tc>
          <w:tcPr>
            <w:tcW w:w="1309" w:type="dxa"/>
            <w:vAlign w:val="center"/>
          </w:tcPr>
          <w:p w14:paraId="2BE6FEF0">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2B49F5E7">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0.11</w:t>
            </w:r>
          </w:p>
        </w:tc>
        <w:tc>
          <w:tcPr>
            <w:tcW w:w="1377" w:type="dxa"/>
            <w:vAlign w:val="center"/>
          </w:tcPr>
          <w:p w14:paraId="05621F47">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5C6DEF05">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213A39D3">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26" w:hRule="atLeast"/>
        </w:trPr>
        <w:tc>
          <w:tcPr>
            <w:tcW w:w="1640" w:type="dxa"/>
            <w:vMerge w:val="continue"/>
            <w:vAlign w:val="center"/>
          </w:tcPr>
          <w:p w14:paraId="2C91BCF5">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014C88C8">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G4</w:t>
            </w:r>
          </w:p>
        </w:tc>
        <w:tc>
          <w:tcPr>
            <w:tcW w:w="1309" w:type="dxa"/>
            <w:vAlign w:val="center"/>
          </w:tcPr>
          <w:p w14:paraId="3DD477D4">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52291C3A">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0.11</w:t>
            </w:r>
          </w:p>
        </w:tc>
        <w:tc>
          <w:tcPr>
            <w:tcW w:w="1377" w:type="dxa"/>
            <w:vAlign w:val="center"/>
          </w:tcPr>
          <w:p w14:paraId="68FE7F07">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73F989CC">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bookmarkEnd w:id="1325"/>
      <w:bookmarkEnd w:id="1328"/>
      <w:tr w14:paraId="554932C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56" w:hRule="atLeast"/>
        </w:trPr>
        <w:tc>
          <w:tcPr>
            <w:tcW w:w="1640" w:type="dxa"/>
            <w:vMerge w:val="continue"/>
            <w:vAlign w:val="center"/>
          </w:tcPr>
          <w:p w14:paraId="04E63B31">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28A83B70">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G5</w:t>
            </w:r>
          </w:p>
        </w:tc>
        <w:tc>
          <w:tcPr>
            <w:tcW w:w="1309" w:type="dxa"/>
            <w:vAlign w:val="center"/>
          </w:tcPr>
          <w:p w14:paraId="2FCF7109">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5EF11885">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0.11</w:t>
            </w:r>
          </w:p>
        </w:tc>
        <w:tc>
          <w:tcPr>
            <w:tcW w:w="1377" w:type="dxa"/>
            <w:vAlign w:val="center"/>
          </w:tcPr>
          <w:p w14:paraId="4FDD2E7E">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5D708F92">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73133CF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02" w:hRule="atLeast"/>
        </w:trPr>
        <w:tc>
          <w:tcPr>
            <w:tcW w:w="1640" w:type="dxa"/>
            <w:vMerge w:val="continue"/>
            <w:vAlign w:val="center"/>
          </w:tcPr>
          <w:p w14:paraId="42CADDAE">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2352C6F0">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G6</w:t>
            </w:r>
          </w:p>
        </w:tc>
        <w:tc>
          <w:tcPr>
            <w:tcW w:w="1309" w:type="dxa"/>
            <w:shd w:val="clear" w:color="auto" w:fill="auto"/>
            <w:vAlign w:val="center"/>
          </w:tcPr>
          <w:p w14:paraId="58474355">
            <w:pPr>
              <w:bidi w:val="0"/>
              <w:jc w:val="center"/>
              <w:rPr>
                <w:rFonts w:hint="eastAsia"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ND</w:t>
            </w:r>
          </w:p>
        </w:tc>
        <w:tc>
          <w:tcPr>
            <w:tcW w:w="1309" w:type="dxa"/>
            <w:shd w:val="clear" w:color="auto" w:fill="auto"/>
            <w:vAlign w:val="center"/>
          </w:tcPr>
          <w:p w14:paraId="13A2E244">
            <w:pPr>
              <w:bidi w:val="0"/>
              <w:jc w:val="center"/>
              <w:rPr>
                <w:rFonts w:hint="eastAsia" w:ascii="Times New Roman" w:hAnsi="Times New Roman" w:eastAsia="Arial" w:cs="Times New Roman"/>
                <w:snapToGrid w:val="0"/>
                <w:color w:val="auto"/>
                <w:kern w:val="0"/>
                <w:sz w:val="21"/>
                <w:szCs w:val="21"/>
                <w:highlight w:val="none"/>
                <w:lang w:val="en-US" w:eastAsia="zh-CN" w:bidi="ar-SA"/>
              </w:rPr>
            </w:pPr>
            <w:bookmarkStart w:id="1329" w:name="OLE_LINK462"/>
            <w:r>
              <w:rPr>
                <w:rFonts w:hint="eastAsia" w:ascii="Times New Roman" w:hAnsi="Times New Roman" w:eastAsia="宋体" w:cs="Times New Roman"/>
                <w:color w:val="auto"/>
                <w:sz w:val="21"/>
                <w:szCs w:val="21"/>
                <w:highlight w:val="none"/>
                <w:lang w:val="en-US" w:eastAsia="zh-CN"/>
              </w:rPr>
              <w:t>0.11</w:t>
            </w:r>
            <w:bookmarkEnd w:id="1329"/>
          </w:p>
        </w:tc>
        <w:tc>
          <w:tcPr>
            <w:tcW w:w="1377" w:type="dxa"/>
            <w:shd w:val="clear" w:color="auto" w:fill="auto"/>
            <w:vAlign w:val="center"/>
          </w:tcPr>
          <w:p w14:paraId="2F33B8C6">
            <w:pPr>
              <w:bidi w:val="0"/>
              <w:jc w:val="center"/>
              <w:rPr>
                <w:rFonts w:hint="eastAsia"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952" w:type="dxa"/>
            <w:shd w:val="clear" w:color="auto" w:fill="auto"/>
            <w:vAlign w:val="center"/>
          </w:tcPr>
          <w:p w14:paraId="04FD6B6C">
            <w:pPr>
              <w:bidi w:val="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达标</w:t>
            </w:r>
          </w:p>
        </w:tc>
      </w:tr>
      <w:tr w14:paraId="28ABDF2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1C59A184">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4BB8ECB0">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eastAsia" w:ascii="Times New Roman" w:hAnsi="Times New Roman" w:eastAsia="宋体" w:cs="Times New Roman"/>
                <w:snapToGrid w:val="0"/>
                <w:color w:val="auto"/>
                <w:kern w:val="0"/>
                <w:sz w:val="21"/>
                <w:szCs w:val="21"/>
                <w:highlight w:val="none"/>
                <w:lang w:val="en-US" w:eastAsia="zh-CN" w:bidi="ar-SA"/>
              </w:rPr>
              <w:t>QH2</w:t>
            </w:r>
          </w:p>
        </w:tc>
        <w:tc>
          <w:tcPr>
            <w:tcW w:w="1309" w:type="dxa"/>
            <w:vAlign w:val="center"/>
          </w:tcPr>
          <w:p w14:paraId="137A8992">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ND-0.0535</w:t>
            </w:r>
          </w:p>
        </w:tc>
        <w:tc>
          <w:tcPr>
            <w:tcW w:w="1309" w:type="dxa"/>
            <w:vAlign w:val="center"/>
          </w:tcPr>
          <w:p w14:paraId="5DDA1A5B">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0.11</w:t>
            </w:r>
          </w:p>
        </w:tc>
        <w:tc>
          <w:tcPr>
            <w:tcW w:w="1377" w:type="dxa"/>
            <w:vAlign w:val="center"/>
          </w:tcPr>
          <w:p w14:paraId="6AB5F45A">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w:t>
            </w:r>
          </w:p>
        </w:tc>
        <w:tc>
          <w:tcPr>
            <w:tcW w:w="952" w:type="dxa"/>
            <w:vAlign w:val="center"/>
          </w:tcPr>
          <w:p w14:paraId="739FEC6A">
            <w:pPr>
              <w:bidi w:val="0"/>
              <w:jc w:val="center"/>
              <w:rPr>
                <w:rFonts w:hint="eastAsia" w:ascii="Times New Roman" w:hAnsi="Times New Roman" w:eastAsia="宋体" w:cs="Times New Roman"/>
                <w:color w:val="auto"/>
                <w:sz w:val="21"/>
                <w:szCs w:val="21"/>
                <w:highlight w:val="none"/>
                <w:lang w:val="en-US" w:eastAsia="zh-CN"/>
              </w:rPr>
            </w:pPr>
            <w:bookmarkStart w:id="1330" w:name="OLE_LINK464"/>
            <w:r>
              <w:rPr>
                <w:rFonts w:hint="eastAsia" w:ascii="Times New Roman" w:hAnsi="Times New Roman" w:eastAsia="宋体" w:cs="Times New Roman"/>
                <w:color w:val="auto"/>
                <w:sz w:val="21"/>
                <w:szCs w:val="21"/>
                <w:highlight w:val="none"/>
                <w:lang w:val="en-US" w:eastAsia="zh-CN"/>
              </w:rPr>
              <w:t>达标</w:t>
            </w:r>
            <w:bookmarkEnd w:id="1330"/>
          </w:p>
        </w:tc>
      </w:tr>
      <w:bookmarkEnd w:id="1326"/>
      <w:tr w14:paraId="134710F3">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restart"/>
            <w:shd w:val="clear" w:color="auto" w:fill="auto"/>
            <w:vAlign w:val="center"/>
          </w:tcPr>
          <w:p w14:paraId="6776ED3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lang w:val="en-US" w:eastAsia="zh-CN"/>
              </w:rPr>
            </w:pPr>
            <w:bookmarkStart w:id="1331" w:name="OLE_LINK465" w:colFirst="5" w:colLast="5"/>
            <w:r>
              <w:rPr>
                <w:rFonts w:hint="eastAsia" w:ascii="Times New Roman" w:hAnsi="Times New Roman" w:eastAsia="宋体" w:cs="Times New Roman"/>
                <w:color w:val="auto"/>
                <w:sz w:val="21"/>
                <w:szCs w:val="21"/>
                <w:highlight w:val="none"/>
                <w:lang w:val="en-US" w:eastAsia="zh-CN"/>
              </w:rPr>
              <w:t>非甲烷总烃</w:t>
            </w:r>
          </w:p>
          <w:p w14:paraId="5DA1B1D2">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lang w:eastAsia="zh-CN"/>
              </w:rPr>
              <w:t>）</w:t>
            </w:r>
          </w:p>
        </w:tc>
        <w:tc>
          <w:tcPr>
            <w:tcW w:w="1732" w:type="dxa"/>
            <w:shd w:val="clear" w:color="auto" w:fill="auto"/>
            <w:vAlign w:val="center"/>
          </w:tcPr>
          <w:p w14:paraId="1127EBFC">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G1</w:t>
            </w:r>
          </w:p>
        </w:tc>
        <w:tc>
          <w:tcPr>
            <w:tcW w:w="1309" w:type="dxa"/>
            <w:vAlign w:val="center"/>
          </w:tcPr>
          <w:p w14:paraId="7E99DCD8">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0.53-0.91</w:t>
            </w:r>
          </w:p>
        </w:tc>
        <w:tc>
          <w:tcPr>
            <w:tcW w:w="1309" w:type="dxa"/>
            <w:vAlign w:val="center"/>
          </w:tcPr>
          <w:p w14:paraId="7BDC44D8">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377" w:type="dxa"/>
            <w:vAlign w:val="center"/>
          </w:tcPr>
          <w:p w14:paraId="23E733A6">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4</w:t>
            </w:r>
            <w:r>
              <w:rPr>
                <w:rFonts w:hint="eastAsia" w:ascii="Times New Roman" w:hAnsi="Times New Roman" w:eastAsia="宋体" w:cs="Times New Roman"/>
                <w:i w:val="0"/>
                <w:iCs w:val="0"/>
                <w:snapToGrid w:val="0"/>
                <w:color w:val="auto"/>
                <w:kern w:val="0"/>
                <w:sz w:val="21"/>
                <w:szCs w:val="21"/>
                <w:highlight w:val="none"/>
                <w:u w:val="none"/>
                <w:lang w:val="en-US" w:eastAsia="zh-CN" w:bidi="ar"/>
              </w:rPr>
              <w:t>5</w:t>
            </w:r>
          </w:p>
        </w:tc>
        <w:tc>
          <w:tcPr>
            <w:tcW w:w="952" w:type="dxa"/>
            <w:vAlign w:val="center"/>
          </w:tcPr>
          <w:p w14:paraId="0C6EC678">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达标</w:t>
            </w:r>
          </w:p>
        </w:tc>
      </w:tr>
      <w:tr w14:paraId="516C4F0C">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3A167526">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39F3118D">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G2</w:t>
            </w:r>
          </w:p>
        </w:tc>
        <w:tc>
          <w:tcPr>
            <w:tcW w:w="1309" w:type="dxa"/>
            <w:vAlign w:val="center"/>
          </w:tcPr>
          <w:p w14:paraId="6CC2C558">
            <w:pPr>
              <w:bidi w:val="0"/>
              <w:jc w:val="center"/>
              <w:rPr>
                <w:rFonts w:hint="default" w:ascii="Times New Roman" w:hAnsi="Times New Roman" w:eastAsia="宋体" w:cs="Times New Roman"/>
                <w:color w:val="auto"/>
                <w:sz w:val="21"/>
                <w:szCs w:val="21"/>
                <w:highlight w:val="none"/>
                <w:lang w:val="en-US" w:eastAsia="zh-CN"/>
              </w:rPr>
            </w:pPr>
            <w:bookmarkStart w:id="1332" w:name="OLE_LINK416"/>
            <w:r>
              <w:rPr>
                <w:rFonts w:hint="eastAsia" w:ascii="Times New Roman" w:hAnsi="Times New Roman" w:eastAsia="宋体" w:cs="Times New Roman"/>
                <w:color w:val="auto"/>
                <w:sz w:val="21"/>
                <w:szCs w:val="21"/>
                <w:highlight w:val="none"/>
                <w:lang w:val="en-US" w:eastAsia="zh-CN"/>
              </w:rPr>
              <w:t>0.57-0.77</w:t>
            </w:r>
            <w:bookmarkEnd w:id="1332"/>
          </w:p>
        </w:tc>
        <w:tc>
          <w:tcPr>
            <w:tcW w:w="1309" w:type="dxa"/>
            <w:vAlign w:val="center"/>
          </w:tcPr>
          <w:p w14:paraId="33B141C9">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w:t>
            </w:r>
          </w:p>
        </w:tc>
        <w:tc>
          <w:tcPr>
            <w:tcW w:w="1377" w:type="dxa"/>
            <w:vAlign w:val="center"/>
          </w:tcPr>
          <w:p w14:paraId="3C94A3F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38</w:t>
            </w:r>
          </w:p>
        </w:tc>
        <w:tc>
          <w:tcPr>
            <w:tcW w:w="952" w:type="dxa"/>
            <w:vAlign w:val="center"/>
          </w:tcPr>
          <w:p w14:paraId="5DCDEFF1">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2F0C0857">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1CFDDF1F">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50C79BF2">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G3</w:t>
            </w:r>
          </w:p>
        </w:tc>
        <w:tc>
          <w:tcPr>
            <w:tcW w:w="1309" w:type="dxa"/>
            <w:vAlign w:val="center"/>
          </w:tcPr>
          <w:p w14:paraId="00B4346D">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0.54-0.89</w:t>
            </w:r>
          </w:p>
        </w:tc>
        <w:tc>
          <w:tcPr>
            <w:tcW w:w="1309" w:type="dxa"/>
            <w:vAlign w:val="center"/>
          </w:tcPr>
          <w:p w14:paraId="1117C762">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w:t>
            </w:r>
          </w:p>
        </w:tc>
        <w:tc>
          <w:tcPr>
            <w:tcW w:w="1377" w:type="dxa"/>
            <w:vAlign w:val="center"/>
          </w:tcPr>
          <w:p w14:paraId="45B867D1">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4</w:t>
            </w:r>
            <w:r>
              <w:rPr>
                <w:rFonts w:hint="eastAsia" w:ascii="Times New Roman" w:hAnsi="Times New Roman" w:eastAsia="宋体" w:cs="Times New Roman"/>
                <w:i w:val="0"/>
                <w:iCs w:val="0"/>
                <w:snapToGrid w:val="0"/>
                <w:color w:val="auto"/>
                <w:kern w:val="0"/>
                <w:sz w:val="21"/>
                <w:szCs w:val="21"/>
                <w:highlight w:val="none"/>
                <w:u w:val="none"/>
                <w:lang w:val="en-US" w:eastAsia="zh-CN" w:bidi="ar"/>
              </w:rPr>
              <w:t>4</w:t>
            </w:r>
          </w:p>
        </w:tc>
        <w:tc>
          <w:tcPr>
            <w:tcW w:w="952" w:type="dxa"/>
            <w:vAlign w:val="center"/>
          </w:tcPr>
          <w:p w14:paraId="3A5631DF">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达标</w:t>
            </w:r>
          </w:p>
        </w:tc>
      </w:tr>
      <w:tr w14:paraId="0DA1168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1" w:hRule="atLeast"/>
        </w:trPr>
        <w:tc>
          <w:tcPr>
            <w:tcW w:w="1640" w:type="dxa"/>
            <w:vMerge w:val="continue"/>
            <w:vAlign w:val="center"/>
          </w:tcPr>
          <w:p w14:paraId="41D81AF9">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5BEC93C1">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G4</w:t>
            </w:r>
          </w:p>
        </w:tc>
        <w:tc>
          <w:tcPr>
            <w:tcW w:w="1309" w:type="dxa"/>
            <w:vAlign w:val="center"/>
          </w:tcPr>
          <w:p w14:paraId="4049F6C1">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0.55-0.89</w:t>
            </w:r>
          </w:p>
        </w:tc>
        <w:tc>
          <w:tcPr>
            <w:tcW w:w="1309" w:type="dxa"/>
            <w:vAlign w:val="center"/>
          </w:tcPr>
          <w:p w14:paraId="358C8B88">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w:t>
            </w:r>
          </w:p>
        </w:tc>
        <w:tc>
          <w:tcPr>
            <w:tcW w:w="1377" w:type="dxa"/>
            <w:vAlign w:val="center"/>
          </w:tcPr>
          <w:p w14:paraId="0139BA00">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44</w:t>
            </w:r>
          </w:p>
        </w:tc>
        <w:tc>
          <w:tcPr>
            <w:tcW w:w="952" w:type="dxa"/>
            <w:vAlign w:val="center"/>
          </w:tcPr>
          <w:p w14:paraId="2677D30E">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达标</w:t>
            </w:r>
          </w:p>
        </w:tc>
      </w:tr>
      <w:tr w14:paraId="0F126BA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171EAF74">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787C38CE">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G5</w:t>
            </w:r>
          </w:p>
        </w:tc>
        <w:tc>
          <w:tcPr>
            <w:tcW w:w="1309" w:type="dxa"/>
            <w:vAlign w:val="center"/>
          </w:tcPr>
          <w:p w14:paraId="0905EBA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0.57-0.87</w:t>
            </w:r>
          </w:p>
        </w:tc>
        <w:tc>
          <w:tcPr>
            <w:tcW w:w="1309" w:type="dxa"/>
            <w:vAlign w:val="center"/>
          </w:tcPr>
          <w:p w14:paraId="31E83968">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w:t>
            </w:r>
          </w:p>
        </w:tc>
        <w:tc>
          <w:tcPr>
            <w:tcW w:w="1377" w:type="dxa"/>
            <w:vAlign w:val="center"/>
          </w:tcPr>
          <w:p w14:paraId="189E4E77">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43</w:t>
            </w:r>
          </w:p>
        </w:tc>
        <w:tc>
          <w:tcPr>
            <w:tcW w:w="952" w:type="dxa"/>
            <w:vAlign w:val="center"/>
          </w:tcPr>
          <w:p w14:paraId="57BB816D">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达标</w:t>
            </w:r>
          </w:p>
        </w:tc>
      </w:tr>
      <w:tr w14:paraId="5ACA5C9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65E3CB11">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7487389F">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G6</w:t>
            </w:r>
          </w:p>
        </w:tc>
        <w:tc>
          <w:tcPr>
            <w:tcW w:w="1309" w:type="dxa"/>
            <w:shd w:val="clear" w:color="auto" w:fill="auto"/>
            <w:vAlign w:val="center"/>
          </w:tcPr>
          <w:p w14:paraId="7039A62C">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0.50-0.66</w:t>
            </w:r>
          </w:p>
        </w:tc>
        <w:tc>
          <w:tcPr>
            <w:tcW w:w="1309" w:type="dxa"/>
            <w:shd w:val="clear" w:color="auto" w:fill="auto"/>
            <w:vAlign w:val="center"/>
          </w:tcPr>
          <w:p w14:paraId="7CC24772">
            <w:pPr>
              <w:bidi w:val="0"/>
              <w:jc w:val="center"/>
              <w:rPr>
                <w:rFonts w:hint="eastAsia"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w:t>
            </w:r>
          </w:p>
        </w:tc>
        <w:tc>
          <w:tcPr>
            <w:tcW w:w="1377" w:type="dxa"/>
            <w:shd w:val="clear" w:color="auto" w:fill="auto"/>
            <w:vAlign w:val="center"/>
          </w:tcPr>
          <w:p w14:paraId="0BE4538D">
            <w:pPr>
              <w:keepNext w:val="0"/>
              <w:keepLines w:val="0"/>
              <w:widowControl/>
              <w:suppressLineNumbers w:val="0"/>
              <w:jc w:val="center"/>
              <w:textAlignment w:val="center"/>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33</w:t>
            </w:r>
          </w:p>
        </w:tc>
        <w:tc>
          <w:tcPr>
            <w:tcW w:w="952" w:type="dxa"/>
            <w:shd w:val="clear" w:color="auto" w:fill="auto"/>
            <w:vAlign w:val="center"/>
          </w:tcPr>
          <w:p w14:paraId="768AE2E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bookmarkStart w:id="1333" w:name="OLE_LINK836"/>
            <w:r>
              <w:rPr>
                <w:rFonts w:hint="eastAsia" w:ascii="Times New Roman" w:hAnsi="Times New Roman" w:eastAsia="宋体" w:cs="Times New Roman"/>
                <w:color w:val="auto"/>
                <w:sz w:val="21"/>
                <w:szCs w:val="21"/>
                <w:highlight w:val="none"/>
                <w:lang w:val="en-US" w:eastAsia="zh-CN"/>
              </w:rPr>
              <w:t>达标</w:t>
            </w:r>
            <w:bookmarkEnd w:id="1333"/>
          </w:p>
        </w:tc>
      </w:tr>
      <w:tr w14:paraId="5D3C165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restart"/>
            <w:vAlign w:val="center"/>
          </w:tcPr>
          <w:p w14:paraId="002ECCCB">
            <w:pPr>
              <w:bidi w:val="0"/>
              <w:jc w:val="center"/>
              <w:rPr>
                <w:rFonts w:hint="eastAsia" w:ascii="Times New Roman" w:hAnsi="Times New Roman" w:eastAsia="宋体" w:cs="Times New Roman"/>
                <w:color w:val="auto"/>
                <w:sz w:val="21"/>
                <w:szCs w:val="21"/>
                <w:highlight w:val="none"/>
                <w:lang w:val="en-US" w:eastAsia="zh-CN"/>
              </w:rPr>
            </w:pPr>
            <w:bookmarkStart w:id="1334" w:name="OLE_LINK835" w:colFirst="2" w:colLast="2"/>
            <w:bookmarkStart w:id="1335" w:name="OLE_LINK837" w:colFirst="5" w:colLast="5"/>
            <w:r>
              <w:rPr>
                <w:rFonts w:hint="eastAsia" w:ascii="Times New Roman" w:hAnsi="Times New Roman" w:eastAsia="宋体" w:cs="Times New Roman"/>
                <w:color w:val="auto"/>
                <w:sz w:val="21"/>
                <w:szCs w:val="21"/>
                <w:highlight w:val="none"/>
                <w:lang w:val="en-US" w:eastAsia="zh-CN"/>
              </w:rPr>
              <w:t>硫酸雾</w:t>
            </w:r>
          </w:p>
          <w:p w14:paraId="3964AC91">
            <w:pPr>
              <w:bidi w:val="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lang w:eastAsia="zh-CN"/>
              </w:rPr>
              <w:t>）</w:t>
            </w:r>
          </w:p>
        </w:tc>
        <w:tc>
          <w:tcPr>
            <w:tcW w:w="1732" w:type="dxa"/>
            <w:shd w:val="clear" w:color="auto" w:fill="auto"/>
            <w:vAlign w:val="center"/>
          </w:tcPr>
          <w:p w14:paraId="16455676">
            <w:pPr>
              <w:bidi w:val="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G1</w:t>
            </w:r>
          </w:p>
        </w:tc>
        <w:tc>
          <w:tcPr>
            <w:tcW w:w="1309" w:type="dxa"/>
            <w:vAlign w:val="center"/>
          </w:tcPr>
          <w:p w14:paraId="742B6A19">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2BC0BD1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0.30</w:t>
            </w:r>
          </w:p>
        </w:tc>
        <w:tc>
          <w:tcPr>
            <w:tcW w:w="1377" w:type="dxa"/>
            <w:vAlign w:val="center"/>
          </w:tcPr>
          <w:p w14:paraId="6825B191">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300AF900">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663F4F0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5CFDAA99">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7601E574">
            <w:pPr>
              <w:bidi w:val="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G3</w:t>
            </w:r>
          </w:p>
        </w:tc>
        <w:tc>
          <w:tcPr>
            <w:tcW w:w="1309" w:type="dxa"/>
            <w:vAlign w:val="center"/>
          </w:tcPr>
          <w:p w14:paraId="389456E0">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697726FF">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0.30</w:t>
            </w:r>
          </w:p>
        </w:tc>
        <w:tc>
          <w:tcPr>
            <w:tcW w:w="1377" w:type="dxa"/>
            <w:vAlign w:val="center"/>
          </w:tcPr>
          <w:p w14:paraId="4630BD59">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0E88AD6D">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3CEB729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640" w:type="dxa"/>
            <w:vMerge w:val="continue"/>
            <w:vAlign w:val="center"/>
          </w:tcPr>
          <w:p w14:paraId="1A220F36">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74123852">
            <w:pPr>
              <w:bidi w:val="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G4</w:t>
            </w:r>
          </w:p>
        </w:tc>
        <w:tc>
          <w:tcPr>
            <w:tcW w:w="1309" w:type="dxa"/>
            <w:vAlign w:val="center"/>
          </w:tcPr>
          <w:p w14:paraId="69918C3E">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1A1C0E3E">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0.30</w:t>
            </w:r>
          </w:p>
        </w:tc>
        <w:tc>
          <w:tcPr>
            <w:tcW w:w="1377" w:type="dxa"/>
            <w:vAlign w:val="center"/>
          </w:tcPr>
          <w:p w14:paraId="0BADA96D">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291BD51B">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06D8654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09" w:hRule="atLeast"/>
        </w:trPr>
        <w:tc>
          <w:tcPr>
            <w:tcW w:w="1640" w:type="dxa"/>
            <w:vMerge w:val="continue"/>
            <w:vAlign w:val="center"/>
          </w:tcPr>
          <w:p w14:paraId="47DEB71E">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56743F6D">
            <w:pPr>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G5</w:t>
            </w:r>
          </w:p>
        </w:tc>
        <w:tc>
          <w:tcPr>
            <w:tcW w:w="1309" w:type="dxa"/>
            <w:vAlign w:val="center"/>
          </w:tcPr>
          <w:p w14:paraId="09333B28">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ND</w:t>
            </w:r>
          </w:p>
        </w:tc>
        <w:tc>
          <w:tcPr>
            <w:tcW w:w="1309" w:type="dxa"/>
            <w:vAlign w:val="center"/>
          </w:tcPr>
          <w:p w14:paraId="4B7101DD">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0.30</w:t>
            </w:r>
          </w:p>
        </w:tc>
        <w:tc>
          <w:tcPr>
            <w:tcW w:w="1377" w:type="dxa"/>
            <w:vAlign w:val="center"/>
          </w:tcPr>
          <w:p w14:paraId="15780D9E">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52" w:type="dxa"/>
            <w:vAlign w:val="center"/>
          </w:tcPr>
          <w:p w14:paraId="28B1AA78">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698EDF3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09" w:hRule="atLeast"/>
        </w:trPr>
        <w:tc>
          <w:tcPr>
            <w:tcW w:w="1640" w:type="dxa"/>
            <w:vMerge w:val="continue"/>
            <w:vAlign w:val="center"/>
          </w:tcPr>
          <w:p w14:paraId="31845021">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43F32287">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eastAsia" w:ascii="Times New Roman" w:hAnsi="Times New Roman" w:eastAsia="宋体" w:cs="Times New Roman"/>
                <w:color w:val="auto"/>
                <w:sz w:val="21"/>
                <w:szCs w:val="21"/>
                <w:highlight w:val="none"/>
                <w:lang w:val="en-US" w:eastAsia="zh-CN"/>
              </w:rPr>
              <w:t>QH1</w:t>
            </w:r>
          </w:p>
        </w:tc>
        <w:tc>
          <w:tcPr>
            <w:tcW w:w="1309" w:type="dxa"/>
            <w:vAlign w:val="center"/>
          </w:tcPr>
          <w:p w14:paraId="451BC5F9">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0.005-0.022</w:t>
            </w:r>
          </w:p>
        </w:tc>
        <w:tc>
          <w:tcPr>
            <w:tcW w:w="1309" w:type="dxa"/>
            <w:vAlign w:val="center"/>
          </w:tcPr>
          <w:p w14:paraId="1A72DB76">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0.30</w:t>
            </w:r>
          </w:p>
        </w:tc>
        <w:tc>
          <w:tcPr>
            <w:tcW w:w="1377" w:type="dxa"/>
            <w:shd w:val="clear" w:color="auto" w:fill="auto"/>
            <w:vAlign w:val="center"/>
          </w:tcPr>
          <w:p w14:paraId="2D5B45F0">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952" w:type="dxa"/>
            <w:shd w:val="clear" w:color="auto" w:fill="auto"/>
            <w:vAlign w:val="center"/>
          </w:tcPr>
          <w:p w14:paraId="6CBD362A">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达标</w:t>
            </w:r>
          </w:p>
        </w:tc>
      </w:tr>
      <w:tr w14:paraId="31AC367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09" w:hRule="atLeast"/>
        </w:trPr>
        <w:tc>
          <w:tcPr>
            <w:tcW w:w="1640" w:type="dxa"/>
            <w:vMerge w:val="continue"/>
            <w:vAlign w:val="center"/>
          </w:tcPr>
          <w:p w14:paraId="5A143161">
            <w:pPr>
              <w:bidi w:val="0"/>
              <w:jc w:val="center"/>
              <w:rPr>
                <w:rFonts w:hint="default" w:ascii="Times New Roman" w:hAnsi="Times New Roman" w:cs="Times New Roman"/>
                <w:color w:val="auto"/>
                <w:sz w:val="21"/>
                <w:szCs w:val="21"/>
                <w:highlight w:val="none"/>
              </w:rPr>
            </w:pPr>
          </w:p>
        </w:tc>
        <w:tc>
          <w:tcPr>
            <w:tcW w:w="1732" w:type="dxa"/>
            <w:shd w:val="clear" w:color="auto" w:fill="auto"/>
            <w:vAlign w:val="center"/>
          </w:tcPr>
          <w:p w14:paraId="7C7D2671">
            <w:pPr>
              <w:bidi w:val="0"/>
              <w:jc w:val="center"/>
              <w:rPr>
                <w:rFonts w:hint="default" w:ascii="Times New Roman" w:hAnsi="Times New Roman" w:eastAsia="Arial" w:cs="Times New Roman"/>
                <w:snapToGrid w:val="0"/>
                <w:color w:val="auto"/>
                <w:kern w:val="0"/>
                <w:sz w:val="21"/>
                <w:szCs w:val="21"/>
                <w:highlight w:val="none"/>
                <w:lang w:val="en-US" w:eastAsia="en-US" w:bidi="ar-SA"/>
              </w:rPr>
            </w:pPr>
            <w:r>
              <w:rPr>
                <w:rFonts w:hint="eastAsia" w:ascii="Times New Roman" w:hAnsi="Times New Roman" w:eastAsia="宋体" w:cs="Times New Roman"/>
                <w:snapToGrid w:val="0"/>
                <w:color w:val="auto"/>
                <w:kern w:val="0"/>
                <w:sz w:val="21"/>
                <w:szCs w:val="21"/>
                <w:highlight w:val="none"/>
                <w:lang w:val="en-US" w:eastAsia="zh-CN" w:bidi="ar-SA"/>
              </w:rPr>
              <w:t>QH2</w:t>
            </w:r>
          </w:p>
        </w:tc>
        <w:tc>
          <w:tcPr>
            <w:tcW w:w="1309" w:type="dxa"/>
            <w:vAlign w:val="center"/>
          </w:tcPr>
          <w:p w14:paraId="0633F0B9">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0.004-0.021</w:t>
            </w:r>
          </w:p>
        </w:tc>
        <w:tc>
          <w:tcPr>
            <w:tcW w:w="1309" w:type="dxa"/>
            <w:vAlign w:val="center"/>
          </w:tcPr>
          <w:p w14:paraId="030E952C">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0.30</w:t>
            </w:r>
          </w:p>
        </w:tc>
        <w:tc>
          <w:tcPr>
            <w:tcW w:w="1377" w:type="dxa"/>
            <w:shd w:val="clear" w:color="auto" w:fill="auto"/>
            <w:vAlign w:val="center"/>
          </w:tcPr>
          <w:p w14:paraId="5CA896DB">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952" w:type="dxa"/>
            <w:shd w:val="clear" w:color="auto" w:fill="auto"/>
            <w:vAlign w:val="center"/>
          </w:tcPr>
          <w:p w14:paraId="537EAA7C">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达标</w:t>
            </w:r>
          </w:p>
        </w:tc>
      </w:tr>
      <w:bookmarkEnd w:id="1331"/>
      <w:bookmarkEnd w:id="1334"/>
      <w:bookmarkEnd w:id="1335"/>
    </w:tbl>
    <w:p w14:paraId="51F1CFFC">
      <w:pPr>
        <w:spacing w:before="30" w:line="347" w:lineRule="auto"/>
        <w:ind w:left="35" w:right="33" w:firstLine="421"/>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注：</w:t>
      </w:r>
      <w:r>
        <w:rPr>
          <w:rFonts w:ascii="Times New Roman" w:hAnsi="Times New Roman" w:eastAsia="Times New Roman" w:cs="Times New Roman"/>
          <w:color w:val="auto"/>
          <w:spacing w:val="-3"/>
          <w:sz w:val="21"/>
          <w:szCs w:val="21"/>
          <w:highlight w:val="none"/>
        </w:rPr>
        <w:t>“ND”</w:t>
      </w:r>
      <w:r>
        <w:rPr>
          <w:rFonts w:ascii="宋体" w:hAnsi="宋体" w:eastAsia="宋体" w:cs="宋体"/>
          <w:color w:val="auto"/>
          <w:spacing w:val="-3"/>
          <w:sz w:val="21"/>
          <w:szCs w:val="21"/>
          <w:highlight w:val="none"/>
        </w:rPr>
        <w:t>表示未检出</w:t>
      </w:r>
      <w:r>
        <w:rPr>
          <w:rFonts w:hint="eastAsia" w:ascii="宋体" w:hAnsi="宋体" w:eastAsia="宋体" w:cs="宋体"/>
          <w:color w:val="auto"/>
          <w:spacing w:val="-3"/>
          <w:sz w:val="21"/>
          <w:szCs w:val="21"/>
          <w:highlight w:val="none"/>
          <w:lang w:eastAsia="zh-CN"/>
        </w:rPr>
        <w:t>，涉及</w:t>
      </w:r>
      <w:r>
        <w:rPr>
          <w:rFonts w:hint="eastAsia" w:ascii="宋体" w:hAnsi="宋体" w:eastAsia="宋体" w:cs="宋体"/>
          <w:color w:val="auto"/>
          <w:spacing w:val="-3"/>
          <w:sz w:val="21"/>
          <w:szCs w:val="21"/>
          <w:highlight w:val="none"/>
          <w:lang w:val="en-US" w:eastAsia="zh-CN"/>
        </w:rPr>
        <w:t>因子检出限：氟化物</w:t>
      </w:r>
      <w:r>
        <w:rPr>
          <w:rFonts w:hint="default" w:ascii="Times New Roman" w:hAnsi="Times New Roman" w:cs="Times New Roman"/>
          <w:color w:val="auto"/>
          <w:sz w:val="21"/>
          <w:szCs w:val="21"/>
          <w:highlight w:val="none"/>
          <w:lang w:val="en-US" w:eastAsia="zh-CN"/>
        </w:rPr>
        <w:t>0.5μ</w:t>
      </w:r>
      <w:r>
        <w:rPr>
          <w:rFonts w:hint="default" w:ascii="Times New Roman" w:hAnsi="Times New Roman" w:eastAsia="宋体" w:cs="Times New Roman"/>
          <w:i w:val="0"/>
          <w:color w:val="auto"/>
          <w:kern w:val="0"/>
          <w:sz w:val="21"/>
          <w:szCs w:val="21"/>
          <w:highlight w:val="none"/>
          <w:u w:val="none"/>
          <w:lang w:val="en-US" w:eastAsia="zh-CN" w:bidi="ar"/>
        </w:rPr>
        <w:t>g/m</w:t>
      </w:r>
      <w:r>
        <w:rPr>
          <w:rStyle w:val="32"/>
          <w:rFonts w:hint="default" w:ascii="Times New Roman" w:hAnsi="Times New Roman" w:eastAsia="宋体" w:cs="Times New Roman"/>
          <w:color w:val="auto"/>
          <w:sz w:val="21"/>
          <w:szCs w:val="21"/>
          <w:highlight w:val="none"/>
          <w:vertAlign w:val="superscript"/>
          <w:lang w:val="en-US" w:eastAsia="zh-CN" w:bidi="ar"/>
        </w:rPr>
        <w:t>3</w:t>
      </w:r>
      <w:r>
        <w:rPr>
          <w:rStyle w:val="32"/>
          <w:rFonts w:hint="eastAsia" w:ascii="Times New Roman" w:hAnsi="Times New Roman" w:eastAsia="宋体" w:cs="Times New Roman"/>
          <w:color w:val="auto"/>
          <w:sz w:val="21"/>
          <w:szCs w:val="21"/>
          <w:highlight w:val="none"/>
          <w:vertAlign w:val="baseline"/>
          <w:lang w:val="en-US" w:eastAsia="zh-CN" w:bidi="ar"/>
        </w:rPr>
        <w:t>、</w:t>
      </w:r>
      <w:r>
        <w:rPr>
          <w:rFonts w:hint="eastAsia" w:ascii="宋体" w:hAnsi="宋体" w:eastAsia="宋体" w:cs="宋体"/>
          <w:color w:val="auto"/>
          <w:spacing w:val="-3"/>
          <w:sz w:val="21"/>
          <w:szCs w:val="21"/>
          <w:highlight w:val="none"/>
          <w:lang w:val="en-US" w:eastAsia="zh-CN"/>
        </w:rPr>
        <w:t>硫化氢</w:t>
      </w:r>
      <w:r>
        <w:rPr>
          <w:rFonts w:hint="eastAsia" w:ascii="Times New Roman" w:hAnsi="Times New Roman" w:eastAsia="宋体" w:cs="Times New Roman"/>
          <w:color w:val="auto"/>
          <w:kern w:val="2"/>
          <w:sz w:val="21"/>
          <w:szCs w:val="21"/>
          <w:highlight w:val="none"/>
          <w:lang w:val="en-US" w:eastAsia="zh-CN" w:bidi="ar-SA"/>
        </w:rPr>
        <w:t>0.001</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r>
        <w:rPr>
          <w:rFonts w:hint="eastAsia" w:ascii="宋体" w:hAnsi="宋体" w:eastAsia="宋体" w:cs="宋体"/>
          <w:color w:val="auto"/>
          <w:spacing w:val="-3"/>
          <w:sz w:val="21"/>
          <w:szCs w:val="21"/>
          <w:highlight w:val="none"/>
          <w:lang w:val="en-US" w:eastAsia="zh-CN"/>
        </w:rPr>
        <w:t>、氯化氢</w:t>
      </w:r>
      <w:r>
        <w:rPr>
          <w:rFonts w:hint="eastAsia" w:ascii="Times New Roman" w:hAnsi="Times New Roman" w:cs="Times New Roman"/>
          <w:color w:val="auto"/>
          <w:kern w:val="2"/>
          <w:sz w:val="21"/>
          <w:szCs w:val="21"/>
          <w:highlight w:val="none"/>
          <w:lang w:val="en-US" w:eastAsia="zh-CN" w:bidi="ar-SA"/>
        </w:rPr>
        <w:t>0.02</w:t>
      </w:r>
      <w:r>
        <w:rPr>
          <w:rFonts w:hint="default" w:ascii="Times New Roman" w:hAnsi="Times New Roman" w:eastAsia="宋体" w:cs="Times New Roman"/>
          <w:color w:val="auto"/>
          <w:szCs w:val="21"/>
          <w:highlight w:val="none"/>
          <w:lang w:val="en-US" w:eastAsia="zh-CN"/>
        </w:rPr>
        <w:t>mg/m</w:t>
      </w:r>
      <w:r>
        <w:rPr>
          <w:rFonts w:hint="default" w:ascii="Times New Roman" w:hAnsi="Times New Roman" w:eastAsia="宋体" w:cs="Times New Roman"/>
          <w:color w:val="auto"/>
          <w:szCs w:val="21"/>
          <w:highlight w:val="none"/>
          <w:vertAlign w:val="superscript"/>
          <w:lang w:val="en-US" w:eastAsia="zh-CN"/>
        </w:rPr>
        <w:t>3</w:t>
      </w:r>
      <w:r>
        <w:rPr>
          <w:rFonts w:hint="eastAsia" w:ascii="宋体" w:hAnsi="宋体" w:eastAsia="宋体" w:cs="宋体"/>
          <w:color w:val="auto"/>
          <w:spacing w:val="-3"/>
          <w:sz w:val="21"/>
          <w:szCs w:val="21"/>
          <w:highlight w:val="none"/>
          <w:lang w:val="en-US" w:eastAsia="zh-CN"/>
        </w:rPr>
        <w:t>、</w:t>
      </w:r>
      <w:bookmarkStart w:id="1336" w:name="OLE_LINK838"/>
      <w:r>
        <w:rPr>
          <w:rFonts w:hint="eastAsia" w:ascii="宋体" w:hAnsi="宋体" w:eastAsia="宋体" w:cs="宋体"/>
          <w:color w:val="auto"/>
          <w:spacing w:val="-3"/>
          <w:sz w:val="21"/>
          <w:szCs w:val="21"/>
          <w:highlight w:val="none"/>
          <w:lang w:val="en-US" w:eastAsia="zh-CN"/>
        </w:rPr>
        <w:t>苯</w:t>
      </w:r>
      <w:r>
        <w:rPr>
          <w:rFonts w:hint="eastAsia" w:ascii="Times New Roman" w:hAnsi="Times New Roman" w:cs="Times New Roman"/>
          <w:color w:val="auto"/>
          <w:sz w:val="21"/>
          <w:szCs w:val="21"/>
          <w:highlight w:val="none"/>
          <w:lang w:val="en-US" w:eastAsia="zh-CN"/>
        </w:rPr>
        <w:t>0.0015</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bookmarkEnd w:id="1336"/>
      <w:r>
        <w:rPr>
          <w:rFonts w:hint="eastAsia" w:ascii="Times New Roman" w:hAnsi="Times New Roman" w:eastAsia="宋体" w:cs="Times New Roman"/>
          <w:color w:val="auto"/>
          <w:sz w:val="21"/>
          <w:szCs w:val="21"/>
          <w:highlight w:val="none"/>
          <w:vertAlign w:val="baseline"/>
          <w:lang w:val="en-US" w:eastAsia="zh-CN"/>
        </w:rPr>
        <w:t>、硫酸雾</w:t>
      </w:r>
      <w:r>
        <w:rPr>
          <w:rFonts w:hint="eastAsia" w:ascii="Times New Roman" w:hAnsi="Times New Roman" w:cs="Times New Roman"/>
          <w:color w:val="auto"/>
          <w:sz w:val="21"/>
          <w:szCs w:val="21"/>
          <w:highlight w:val="none"/>
          <w:lang w:val="en-US" w:eastAsia="zh-CN"/>
        </w:rPr>
        <w:t>0.005</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vertAlign w:val="baseline"/>
          <w:lang w:val="en-US" w:eastAsia="zh-CN"/>
        </w:rPr>
        <w:t>。</w:t>
      </w:r>
    </w:p>
    <w:p w14:paraId="43DD6BBB">
      <w:pPr>
        <w:spacing w:before="47" w:line="355" w:lineRule="auto"/>
        <w:ind w:left="32" w:right="39" w:firstLine="485"/>
        <w:rPr>
          <w:rFonts w:hint="eastAsia" w:ascii="宋体" w:hAnsi="宋体" w:eastAsia="宋体" w:cs="宋体"/>
          <w:color w:val="auto"/>
          <w:sz w:val="24"/>
          <w:szCs w:val="24"/>
          <w:highlight w:val="none"/>
          <w:lang w:eastAsia="zh-CN"/>
        </w:rPr>
        <w:sectPr>
          <w:footerReference r:id="rId19" w:type="default"/>
          <w:pgSz w:w="11907" w:h="16839"/>
          <w:pgMar w:top="1175" w:right="1774" w:bottom="1621" w:left="1774" w:header="862" w:footer="1445" w:gutter="0"/>
          <w:pgBorders>
            <w:top w:val="none" w:sz="0" w:space="0"/>
            <w:left w:val="none" w:sz="0" w:space="0"/>
            <w:bottom w:val="none" w:sz="0" w:space="0"/>
            <w:right w:val="none" w:sz="0" w:space="0"/>
          </w:pgBorders>
          <w:pgNumType w:fmt="decimal"/>
          <w:cols w:space="720" w:num="1"/>
        </w:sectPr>
      </w:pPr>
      <w:r>
        <w:rPr>
          <w:rFonts w:hint="default" w:ascii="Times New Roman" w:hAnsi="Times New Roman" w:eastAsia="宋体" w:cs="Times New Roman"/>
          <w:color w:val="auto"/>
          <w:spacing w:val="-1"/>
          <w:sz w:val="24"/>
          <w:szCs w:val="24"/>
          <w:highlight w:val="none"/>
        </w:rPr>
        <w:t>根据表</w:t>
      </w:r>
      <w:r>
        <w:rPr>
          <w:rFonts w:hint="default" w:ascii="Times New Roman" w:hAnsi="Times New Roman" w:eastAsia="Times New Roman" w:cs="Times New Roman"/>
          <w:color w:val="auto"/>
          <w:spacing w:val="-1"/>
          <w:sz w:val="24"/>
          <w:szCs w:val="24"/>
          <w:highlight w:val="none"/>
        </w:rPr>
        <w:t>6.3-</w:t>
      </w:r>
      <w:r>
        <w:rPr>
          <w:rFonts w:hint="eastAsia" w:ascii="Times New Roman" w:hAnsi="Times New Roman" w:eastAsia="宋体" w:cs="Times New Roman"/>
          <w:color w:val="auto"/>
          <w:spacing w:val="-1"/>
          <w:sz w:val="24"/>
          <w:szCs w:val="24"/>
          <w:highlight w:val="none"/>
          <w:lang w:val="en-US" w:eastAsia="zh-CN"/>
        </w:rPr>
        <w:t>11</w:t>
      </w:r>
      <w:r>
        <w:rPr>
          <w:rFonts w:hint="default" w:ascii="Times New Roman" w:hAnsi="Times New Roman" w:eastAsia="宋体" w:cs="Times New Roman"/>
          <w:color w:val="auto"/>
          <w:spacing w:val="-1"/>
          <w:sz w:val="24"/>
          <w:szCs w:val="24"/>
          <w:highlight w:val="none"/>
        </w:rPr>
        <w:t>，</w:t>
      </w:r>
      <w:bookmarkStart w:id="1337" w:name="OLE_LINK90"/>
      <w:bookmarkStart w:id="1338" w:name="OLE_LINK727"/>
      <w:r>
        <w:rPr>
          <w:rFonts w:hint="default" w:ascii="Times New Roman" w:hAnsi="Times New Roman" w:eastAsia="宋体" w:cs="Times New Roman"/>
          <w:color w:val="auto"/>
          <w:spacing w:val="-1"/>
          <w:sz w:val="24"/>
          <w:szCs w:val="24"/>
          <w:highlight w:val="none"/>
        </w:rPr>
        <w:t>NO</w:t>
      </w:r>
      <w:r>
        <w:rPr>
          <w:rFonts w:hint="eastAsia" w:ascii="Times New Roman" w:hAnsi="Times New Roman" w:eastAsia="宋体" w:cs="Times New Roman"/>
          <w:color w:val="auto"/>
          <w:spacing w:val="-1"/>
          <w:sz w:val="24"/>
          <w:szCs w:val="24"/>
          <w:highlight w:val="none"/>
          <w:vertAlign w:val="subscript"/>
          <w:lang w:val="en-US" w:eastAsia="zh-CN"/>
        </w:rPr>
        <w:t>x</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1"/>
          <w:sz w:val="24"/>
          <w:szCs w:val="24"/>
          <w:highlight w:val="none"/>
          <w:lang w:val="en-US" w:eastAsia="zh-CN"/>
        </w:rPr>
        <w:t>TSP、</w:t>
      </w:r>
      <w:r>
        <w:rPr>
          <w:rFonts w:hint="default" w:ascii="Times New Roman" w:hAnsi="Times New Roman" w:eastAsia="宋体" w:cs="Times New Roman"/>
          <w:color w:val="auto"/>
          <w:spacing w:val="-1"/>
          <w:sz w:val="24"/>
          <w:szCs w:val="24"/>
          <w:highlight w:val="none"/>
        </w:rPr>
        <w:t>氟化物</w:t>
      </w:r>
      <w:bookmarkStart w:id="1339" w:name="OLE_LINK89"/>
      <w:r>
        <w:rPr>
          <w:rFonts w:hint="eastAsia" w:ascii="Times New Roman" w:hAnsi="Times New Roman" w:eastAsia="宋体" w:cs="Times New Roman"/>
          <w:color w:val="auto"/>
          <w:spacing w:val="-1"/>
          <w:sz w:val="24"/>
          <w:szCs w:val="24"/>
          <w:highlight w:val="none"/>
          <w:lang w:val="en-US" w:eastAsia="zh-CN"/>
        </w:rPr>
        <w:t>浓度符合</w:t>
      </w:r>
      <w:bookmarkEnd w:id="1339"/>
      <w:r>
        <w:rPr>
          <w:rFonts w:hint="default" w:ascii="Times New Roman" w:hAnsi="Times New Roman" w:eastAsia="宋体" w:cs="Times New Roman"/>
          <w:color w:val="auto"/>
          <w:spacing w:val="-1"/>
          <w:sz w:val="24"/>
          <w:szCs w:val="24"/>
          <w:highlight w:val="none"/>
        </w:rPr>
        <w:t>《环境空气质量标准》（GB3095-2012）二级标准</w:t>
      </w:r>
      <w:r>
        <w:rPr>
          <w:rFonts w:hint="eastAsia" w:ascii="Times New Roman" w:hAnsi="Times New Roman" w:eastAsia="宋体" w:cs="Times New Roman"/>
          <w:color w:val="auto"/>
          <w:spacing w:val="-1"/>
          <w:sz w:val="24"/>
          <w:szCs w:val="24"/>
          <w:highlight w:val="none"/>
          <w:lang w:val="en-US" w:eastAsia="zh-CN"/>
        </w:rPr>
        <w:t>要求</w:t>
      </w:r>
      <w:r>
        <w:rPr>
          <w:rFonts w:hint="default" w:ascii="Times New Roman" w:hAnsi="Times New Roman" w:eastAsia="宋体" w:cs="Times New Roman"/>
          <w:color w:val="auto"/>
          <w:spacing w:val="-1"/>
          <w:sz w:val="24"/>
          <w:szCs w:val="24"/>
          <w:highlight w:val="none"/>
        </w:rPr>
        <w:t>；</w:t>
      </w:r>
      <w:bookmarkStart w:id="1340" w:name="OLE_LINK904"/>
      <w:bookmarkStart w:id="1341" w:name="sys60375566"/>
      <w:r>
        <w:rPr>
          <w:rFonts w:hint="default" w:ascii="Times New Roman" w:hAnsi="Times New Roman" w:eastAsia="宋体" w:cs="Times New Roman"/>
          <w:color w:val="auto"/>
          <w:spacing w:val="-1"/>
          <w:sz w:val="24"/>
          <w:szCs w:val="24"/>
          <w:highlight w:val="none"/>
        </w:rPr>
        <w:t>氨、</w:t>
      </w:r>
      <w:bookmarkStart w:id="1342" w:name="OLE_LINK86"/>
      <w:bookmarkStart w:id="1343" w:name="OLE_LINK85"/>
      <w:r>
        <w:rPr>
          <w:rFonts w:hint="eastAsia" w:ascii="Times New Roman" w:hAnsi="Times New Roman" w:eastAsia="宋体" w:cs="Times New Roman"/>
          <w:color w:val="auto"/>
          <w:spacing w:val="-1"/>
          <w:sz w:val="24"/>
          <w:szCs w:val="24"/>
          <w:highlight w:val="none"/>
          <w:lang w:val="en-US" w:eastAsia="zh-CN"/>
        </w:rPr>
        <w:t>苯</w:t>
      </w:r>
      <w:r>
        <w:rPr>
          <w:rFonts w:hint="default" w:ascii="Times New Roman" w:hAnsi="Times New Roman" w:eastAsia="宋体" w:cs="Times New Roman"/>
          <w:color w:val="auto"/>
          <w:spacing w:val="-1"/>
          <w:sz w:val="24"/>
          <w:szCs w:val="24"/>
          <w:highlight w:val="none"/>
        </w:rPr>
        <w:t>、</w:t>
      </w:r>
      <w:bookmarkEnd w:id="1342"/>
      <w:r>
        <w:rPr>
          <w:rFonts w:hint="default" w:ascii="Times New Roman" w:hAnsi="Times New Roman" w:eastAsia="宋体" w:cs="Times New Roman"/>
          <w:color w:val="auto"/>
          <w:spacing w:val="-1"/>
          <w:sz w:val="24"/>
          <w:szCs w:val="24"/>
          <w:highlight w:val="none"/>
        </w:rPr>
        <w:t>氯</w:t>
      </w:r>
      <w:bookmarkEnd w:id="1343"/>
      <w:r>
        <w:rPr>
          <w:rFonts w:hint="default" w:ascii="Times New Roman" w:hAnsi="Times New Roman" w:eastAsia="宋体" w:cs="Times New Roman"/>
          <w:color w:val="auto"/>
          <w:spacing w:val="-1"/>
          <w:sz w:val="24"/>
          <w:szCs w:val="24"/>
          <w:highlight w:val="none"/>
        </w:rPr>
        <w:t>化氢、硫化氢</w:t>
      </w:r>
      <w:r>
        <w:rPr>
          <w:rFonts w:hint="eastAsia" w:ascii="Times New Roman" w:hAnsi="Times New Roman" w:eastAsia="宋体" w:cs="Times New Roman"/>
          <w:color w:val="auto"/>
          <w:spacing w:val="-1"/>
          <w:sz w:val="24"/>
          <w:szCs w:val="24"/>
          <w:highlight w:val="none"/>
          <w:lang w:eastAsia="zh-CN"/>
        </w:rPr>
        <w:t>、</w:t>
      </w:r>
      <w:r>
        <w:rPr>
          <w:rFonts w:hint="eastAsia" w:ascii="Times New Roman" w:hAnsi="Times New Roman" w:eastAsia="宋体" w:cs="Times New Roman"/>
          <w:color w:val="auto"/>
          <w:spacing w:val="-1"/>
          <w:sz w:val="24"/>
          <w:szCs w:val="24"/>
          <w:highlight w:val="none"/>
          <w:lang w:val="en-US" w:eastAsia="zh-CN"/>
        </w:rPr>
        <w:t>硫酸</w:t>
      </w:r>
      <w:sdt>
        <w:sdtPr>
          <w:rPr>
            <w:color w:val="auto"/>
            <w:highlight w:val="none"/>
          </w:rPr>
          <w:alias w:val="易错词检查"/>
          <w:tag w:val="auto"/>
          <w:id w:val="1080626"/>
        </w:sdtPr>
        <w:sdtEndPr>
          <w:rPr>
            <w:color w:val="auto"/>
            <w:highlight w:val="none"/>
          </w:rPr>
        </w:sdtEndPr>
        <w:sdtContent>
          <w:bookmarkStart w:id="1344" w:name="bkReivew1080626"/>
          <w:r>
            <w:rPr>
              <w:rFonts w:hint="eastAsia" w:ascii="Times New Roman" w:hAnsi="Times New Roman" w:eastAsia="宋体" w:cs="Times New Roman"/>
              <w:color w:val="auto"/>
              <w:spacing w:val="-1"/>
              <w:sz w:val="24"/>
              <w:szCs w:val="24"/>
              <w:highlight w:val="none"/>
              <w:lang w:val="en-US" w:eastAsia="zh-CN"/>
            </w:rPr>
            <w:t>雾</w:t>
          </w:r>
          <w:bookmarkEnd w:id="1344"/>
        </w:sdtContent>
      </w:sdt>
      <w:r>
        <w:rPr>
          <w:rFonts w:hint="eastAsia" w:ascii="Times New Roman" w:hAnsi="Times New Roman" w:eastAsia="宋体" w:cs="Times New Roman"/>
          <w:color w:val="auto"/>
          <w:spacing w:val="-1"/>
          <w:sz w:val="24"/>
          <w:szCs w:val="24"/>
          <w:highlight w:val="none"/>
          <w:lang w:val="en-US" w:eastAsia="zh-CN"/>
        </w:rPr>
        <w:t>浓度</w:t>
      </w:r>
      <w:bookmarkEnd w:id="1340"/>
      <w:r>
        <w:rPr>
          <w:rFonts w:hint="eastAsia" w:ascii="Times New Roman" w:hAnsi="Times New Roman" w:eastAsia="宋体" w:cs="Times New Roman"/>
          <w:color w:val="auto"/>
          <w:spacing w:val="-1"/>
          <w:sz w:val="24"/>
          <w:szCs w:val="24"/>
          <w:highlight w:val="none"/>
          <w:lang w:val="en-US" w:eastAsia="zh-CN"/>
        </w:rPr>
        <w:t>符合</w:t>
      </w:r>
      <w:r>
        <w:rPr>
          <w:rFonts w:hint="default" w:ascii="Times New Roman" w:hAnsi="Times New Roman" w:eastAsia="宋体" w:cs="Times New Roman"/>
          <w:color w:val="auto"/>
          <w:spacing w:val="-1"/>
          <w:sz w:val="24"/>
          <w:szCs w:val="24"/>
          <w:highlight w:val="none"/>
        </w:rPr>
        <w:t>《环境影响评价技术导则 大气环境》（HJ2.2</w:t>
      </w:r>
      <w:r>
        <w:rPr>
          <w:rFonts w:hint="eastAsia" w:ascii="Times New Roman" w:hAnsi="Times New Roman" w:eastAsia="宋体" w:cs="Times New Roman"/>
          <w:color w:val="auto"/>
          <w:spacing w:val="-1"/>
          <w:sz w:val="24"/>
          <w:szCs w:val="24"/>
          <w:highlight w:val="none"/>
          <w:lang w:val="en-US" w:eastAsia="zh-CN"/>
        </w:rPr>
        <w:t>-</w:t>
      </w:r>
      <w:r>
        <w:rPr>
          <w:rFonts w:hint="default" w:ascii="Times New Roman" w:hAnsi="Times New Roman" w:eastAsia="宋体" w:cs="Times New Roman"/>
          <w:color w:val="auto"/>
          <w:spacing w:val="-1"/>
          <w:sz w:val="24"/>
          <w:szCs w:val="24"/>
          <w:highlight w:val="none"/>
        </w:rPr>
        <w:t>2018）附录D 其他污染物空气质量浓度限值；</w:t>
      </w:r>
      <w:bookmarkEnd w:id="1341"/>
      <w:bookmarkStart w:id="1345" w:name="OLE_LINK88"/>
      <w:bookmarkStart w:id="1346" w:name="sys603712135"/>
      <w:r>
        <w:rPr>
          <w:rFonts w:hint="default" w:ascii="Times New Roman" w:hAnsi="Times New Roman" w:eastAsia="宋体" w:cs="Times New Roman"/>
          <w:color w:val="auto"/>
          <w:spacing w:val="-1"/>
          <w:sz w:val="24"/>
          <w:szCs w:val="24"/>
          <w:highlight w:val="none"/>
        </w:rPr>
        <w:t>非甲烷总烃</w:t>
      </w:r>
      <w:r>
        <w:rPr>
          <w:rFonts w:hint="eastAsia" w:ascii="Times New Roman" w:hAnsi="Times New Roman" w:eastAsia="宋体" w:cs="Times New Roman"/>
          <w:color w:val="auto"/>
          <w:spacing w:val="-1"/>
          <w:sz w:val="24"/>
          <w:szCs w:val="24"/>
          <w:highlight w:val="none"/>
          <w:lang w:val="en-US" w:eastAsia="zh-CN"/>
        </w:rPr>
        <w:t>浓度符合</w:t>
      </w:r>
      <w:r>
        <w:rPr>
          <w:rFonts w:hint="default" w:ascii="Times New Roman" w:hAnsi="Times New Roman" w:eastAsia="宋体" w:cs="Times New Roman"/>
          <w:color w:val="auto"/>
          <w:spacing w:val="-1"/>
          <w:sz w:val="24"/>
          <w:szCs w:val="24"/>
          <w:highlight w:val="none"/>
        </w:rPr>
        <w:t>《大气污染物综合排放标准详解》中的环境质量标准</w:t>
      </w:r>
      <w:r>
        <w:rPr>
          <w:rFonts w:hint="eastAsia" w:ascii="Times New Roman" w:hAnsi="Times New Roman" w:eastAsia="宋体" w:cs="Times New Roman"/>
          <w:color w:val="auto"/>
          <w:spacing w:val="-1"/>
          <w:sz w:val="24"/>
          <w:szCs w:val="24"/>
          <w:highlight w:val="none"/>
          <w:lang w:val="en-US" w:eastAsia="zh-CN"/>
        </w:rPr>
        <w:t>限值</w:t>
      </w:r>
      <w:bookmarkEnd w:id="1337"/>
      <w:bookmarkEnd w:id="1345"/>
      <w:r>
        <w:rPr>
          <w:rFonts w:hint="eastAsia" w:ascii="Times New Roman" w:hAnsi="Times New Roman" w:eastAsia="宋体" w:cs="Times New Roman"/>
          <w:color w:val="auto"/>
          <w:spacing w:val="-1"/>
          <w:sz w:val="24"/>
          <w:szCs w:val="24"/>
          <w:highlight w:val="none"/>
          <w:lang w:eastAsia="zh-CN"/>
        </w:rPr>
        <w:t>。</w:t>
      </w:r>
      <w:bookmarkEnd w:id="1338"/>
      <w:bookmarkEnd w:id="1346"/>
    </w:p>
    <w:p w14:paraId="36E05222">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ascii="宋体" w:hAnsi="宋体" w:eastAsia="宋体" w:cs="宋体"/>
          <w:b/>
          <w:bCs/>
          <w:color w:val="auto"/>
          <w:spacing w:val="-2"/>
          <w:sz w:val="24"/>
          <w:szCs w:val="24"/>
          <w:highlight w:val="none"/>
        </w:rPr>
      </w:pPr>
      <w:r>
        <w:rPr>
          <w:color w:val="auto"/>
          <w:highlight w:val="none"/>
        </w:rPr>
        <w:fldChar w:fldCharType="begin"/>
      </w:r>
      <w:r>
        <w:rPr>
          <w:color w:val="auto"/>
          <w:highlight w:val="none"/>
        </w:rPr>
        <w:instrText xml:space="preserve"> HYPERLINK "6.3.1.4" </w:instrText>
      </w:r>
      <w:r>
        <w:rPr>
          <w:color w:val="auto"/>
          <w:highlight w:val="none"/>
        </w:rPr>
        <w:fldChar w:fldCharType="separate"/>
      </w:r>
      <w:r>
        <w:rPr>
          <w:rFonts w:ascii="Times New Roman" w:hAnsi="Times New Roman" w:eastAsia="Times New Roman" w:cs="Times New Roman"/>
          <w:b/>
          <w:bCs/>
          <w:color w:val="auto"/>
          <w:spacing w:val="-2"/>
          <w:sz w:val="24"/>
          <w:szCs w:val="24"/>
          <w:highlight w:val="none"/>
        </w:rPr>
        <w:t>6.3.1.</w:t>
      </w:r>
      <w:r>
        <w:rPr>
          <w:rFonts w:hint="eastAsia" w:ascii="Times New Roman" w:hAnsi="Times New Roman" w:eastAsia="宋体" w:cs="Times New Roman"/>
          <w:b/>
          <w:bCs/>
          <w:color w:val="auto"/>
          <w:spacing w:val="-2"/>
          <w:sz w:val="24"/>
          <w:szCs w:val="24"/>
          <w:highlight w:val="none"/>
          <w:lang w:val="en-US" w:eastAsia="zh-CN"/>
        </w:rPr>
        <w:t>3</w:t>
      </w:r>
      <w:r>
        <w:rPr>
          <w:rFonts w:ascii="Times New Roman" w:hAnsi="Times New Roman" w:eastAsia="Times New Roman" w:cs="Times New Roman"/>
          <w:b/>
          <w:bCs/>
          <w:color w:val="auto"/>
          <w:spacing w:val="-2"/>
          <w:sz w:val="24"/>
          <w:szCs w:val="24"/>
          <w:highlight w:val="none"/>
        </w:rPr>
        <w:fldChar w:fldCharType="end"/>
      </w:r>
      <w:r>
        <w:rPr>
          <w:rFonts w:ascii="宋体" w:hAnsi="宋体" w:eastAsia="宋体" w:cs="宋体"/>
          <w:b/>
          <w:bCs/>
          <w:color w:val="auto"/>
          <w:spacing w:val="-2"/>
          <w:sz w:val="24"/>
          <w:szCs w:val="24"/>
          <w:highlight w:val="none"/>
        </w:rPr>
        <w:t>大气环境质量现状评价结论</w:t>
      </w:r>
      <w:bookmarkStart w:id="1347" w:name="pindex6038"/>
      <w:bookmarkEnd w:id="1347"/>
    </w:p>
    <w:p w14:paraId="68CCBA32">
      <w:pPr>
        <w:keepNext w:val="0"/>
        <w:keepLines w:val="0"/>
        <w:pageBreakBefore w:val="0"/>
        <w:widowControl/>
        <w:kinsoku w:val="0"/>
        <w:wordWrap/>
        <w:overflowPunct/>
        <w:topLinePunct w:val="0"/>
        <w:autoSpaceDE w:val="0"/>
        <w:autoSpaceDN w:val="0"/>
        <w:bidi w:val="0"/>
        <w:adjustRightInd w:val="0"/>
        <w:snapToGrid w:val="0"/>
        <w:spacing w:line="360" w:lineRule="auto"/>
        <w:ind w:firstLine="460" w:firstLineChars="200"/>
        <w:textAlignment w:val="baseline"/>
        <w:rPr>
          <w:rFonts w:ascii="宋体" w:hAnsi="宋体" w:eastAsia="宋体" w:cs="宋体"/>
          <w:color w:val="auto"/>
          <w:sz w:val="24"/>
          <w:szCs w:val="24"/>
          <w:highlight w:val="none"/>
        </w:rPr>
      </w:pPr>
      <w:r>
        <w:rPr>
          <w:rFonts w:ascii="宋体" w:hAnsi="宋体" w:eastAsia="宋体" w:cs="宋体"/>
          <w:color w:val="auto"/>
          <w:spacing w:val="-5"/>
          <w:sz w:val="24"/>
          <w:szCs w:val="24"/>
          <w:highlight w:val="none"/>
        </w:rPr>
        <w:t>根据《</w:t>
      </w:r>
      <w:r>
        <w:rPr>
          <w:rFonts w:ascii="Times New Roman" w:hAnsi="Times New Roman" w:eastAsia="Times New Roman" w:cs="Times New Roman"/>
          <w:color w:val="auto"/>
          <w:spacing w:val="-5"/>
          <w:sz w:val="24"/>
          <w:szCs w:val="24"/>
          <w:highlight w:val="none"/>
        </w:rPr>
        <w:t>202</w:t>
      </w:r>
      <w:r>
        <w:rPr>
          <w:rFonts w:hint="eastAsia" w:ascii="Times New Roman" w:hAnsi="Times New Roman" w:eastAsia="宋体" w:cs="Times New Roman"/>
          <w:color w:val="auto"/>
          <w:spacing w:val="-5"/>
          <w:sz w:val="24"/>
          <w:szCs w:val="24"/>
          <w:highlight w:val="none"/>
          <w:lang w:val="en-US" w:eastAsia="zh-CN"/>
        </w:rPr>
        <w:t>3</w:t>
      </w:r>
      <w:r>
        <w:rPr>
          <w:rFonts w:ascii="宋体" w:hAnsi="宋体" w:eastAsia="宋体" w:cs="宋体"/>
          <w:color w:val="auto"/>
          <w:spacing w:val="-5"/>
          <w:sz w:val="24"/>
          <w:szCs w:val="24"/>
          <w:highlight w:val="none"/>
        </w:rPr>
        <w:t>年南京市环境状况公报》，南京</w:t>
      </w:r>
      <w:r>
        <w:rPr>
          <w:rFonts w:hint="eastAsia" w:ascii="宋体" w:hAnsi="宋体" w:eastAsia="宋体" w:cs="宋体"/>
          <w:color w:val="auto"/>
          <w:spacing w:val="-5"/>
          <w:sz w:val="24"/>
          <w:szCs w:val="24"/>
          <w:highlight w:val="none"/>
          <w:lang w:val="en-US" w:eastAsia="zh-CN"/>
        </w:rPr>
        <w:t>江宁经济技术开发区</w:t>
      </w:r>
      <w:r>
        <w:rPr>
          <w:rFonts w:ascii="宋体" w:hAnsi="宋体" w:eastAsia="宋体" w:cs="宋体"/>
          <w:color w:val="auto"/>
          <w:spacing w:val="-5"/>
          <w:sz w:val="24"/>
          <w:szCs w:val="24"/>
          <w:highlight w:val="none"/>
        </w:rPr>
        <w:t>所在区为环境空</w:t>
      </w:r>
      <w:r>
        <w:rPr>
          <w:rFonts w:ascii="宋体" w:hAnsi="宋体" w:eastAsia="宋体" w:cs="宋体"/>
          <w:color w:val="auto"/>
          <w:spacing w:val="-10"/>
          <w:sz w:val="24"/>
          <w:szCs w:val="24"/>
          <w:highlight w:val="none"/>
        </w:rPr>
        <w:t>气质量不达标区域，超标因子为</w:t>
      </w:r>
      <w:r>
        <w:rPr>
          <w:rFonts w:ascii="Times New Roman" w:hAnsi="Times New Roman" w:eastAsia="Times New Roman" w:cs="Times New Roman"/>
          <w:color w:val="auto"/>
          <w:spacing w:val="-10"/>
          <w:sz w:val="24"/>
          <w:szCs w:val="24"/>
          <w:highlight w:val="none"/>
        </w:rPr>
        <w:t>O</w:t>
      </w:r>
      <w:r>
        <w:rPr>
          <w:rFonts w:ascii="Times New Roman" w:hAnsi="Times New Roman" w:eastAsia="Times New Roman" w:cs="Times New Roman"/>
          <w:color w:val="auto"/>
          <w:spacing w:val="-10"/>
          <w:position w:val="-1"/>
          <w:sz w:val="16"/>
          <w:szCs w:val="16"/>
          <w:highlight w:val="none"/>
        </w:rPr>
        <w:t>3</w:t>
      </w:r>
      <w:r>
        <w:rPr>
          <w:rFonts w:ascii="宋体" w:hAnsi="宋体" w:eastAsia="宋体" w:cs="宋体"/>
          <w:color w:val="auto"/>
          <w:spacing w:val="-10"/>
          <w:sz w:val="24"/>
          <w:szCs w:val="24"/>
          <w:highlight w:val="none"/>
        </w:rPr>
        <w:t>，达标因子</w:t>
      </w:r>
      <w:r>
        <w:rPr>
          <w:rFonts w:ascii="宋体" w:hAnsi="宋体" w:eastAsia="宋体" w:cs="宋体"/>
          <w:color w:val="auto"/>
          <w:spacing w:val="-11"/>
          <w:sz w:val="24"/>
          <w:szCs w:val="24"/>
          <w:highlight w:val="none"/>
        </w:rPr>
        <w:t>为</w:t>
      </w:r>
      <w:r>
        <w:rPr>
          <w:rFonts w:ascii="Times New Roman" w:hAnsi="Times New Roman" w:eastAsia="Times New Roman" w:cs="Times New Roman"/>
          <w:color w:val="auto"/>
          <w:spacing w:val="-11"/>
          <w:sz w:val="24"/>
          <w:szCs w:val="24"/>
          <w:highlight w:val="none"/>
        </w:rPr>
        <w:t>SO</w:t>
      </w:r>
      <w:r>
        <w:rPr>
          <w:rFonts w:ascii="Times New Roman" w:hAnsi="Times New Roman" w:eastAsia="Times New Roman" w:cs="Times New Roman"/>
          <w:color w:val="auto"/>
          <w:spacing w:val="-11"/>
          <w:position w:val="-1"/>
          <w:sz w:val="16"/>
          <w:szCs w:val="16"/>
          <w:highlight w:val="none"/>
        </w:rPr>
        <w:t>2</w:t>
      </w:r>
      <w:r>
        <w:rPr>
          <w:rFonts w:ascii="宋体" w:hAnsi="宋体" w:eastAsia="宋体" w:cs="宋体"/>
          <w:color w:val="auto"/>
          <w:spacing w:val="-11"/>
          <w:position w:val="-1"/>
          <w:sz w:val="24"/>
          <w:szCs w:val="24"/>
          <w:highlight w:val="none"/>
        </w:rPr>
        <w:t>、</w:t>
      </w:r>
      <w:r>
        <w:rPr>
          <w:rFonts w:ascii="Times New Roman" w:hAnsi="Times New Roman" w:eastAsia="Times New Roman" w:cs="Times New Roman"/>
          <w:color w:val="auto"/>
          <w:spacing w:val="-11"/>
          <w:sz w:val="24"/>
          <w:szCs w:val="24"/>
          <w:highlight w:val="none"/>
        </w:rPr>
        <w:t>NO</w:t>
      </w:r>
      <w:r>
        <w:rPr>
          <w:rFonts w:ascii="Times New Roman" w:hAnsi="Times New Roman" w:eastAsia="Times New Roman" w:cs="Times New Roman"/>
          <w:color w:val="auto"/>
          <w:spacing w:val="-11"/>
          <w:position w:val="-1"/>
          <w:sz w:val="16"/>
          <w:szCs w:val="16"/>
          <w:highlight w:val="none"/>
        </w:rPr>
        <w:t>2</w:t>
      </w:r>
      <w:r>
        <w:rPr>
          <w:rFonts w:ascii="宋体" w:hAnsi="宋体" w:eastAsia="宋体" w:cs="宋体"/>
          <w:color w:val="auto"/>
          <w:spacing w:val="-11"/>
          <w:position w:val="-1"/>
          <w:sz w:val="24"/>
          <w:szCs w:val="24"/>
          <w:highlight w:val="none"/>
        </w:rPr>
        <w:t>、</w:t>
      </w:r>
      <w:r>
        <w:rPr>
          <w:rFonts w:ascii="Times New Roman" w:hAnsi="Times New Roman" w:eastAsia="Times New Roman" w:cs="Times New Roman"/>
          <w:color w:val="auto"/>
          <w:spacing w:val="-11"/>
          <w:sz w:val="24"/>
          <w:szCs w:val="24"/>
          <w:highlight w:val="none"/>
        </w:rPr>
        <w:t>PM</w:t>
      </w:r>
      <w:r>
        <w:rPr>
          <w:rFonts w:ascii="Times New Roman" w:hAnsi="Times New Roman" w:eastAsia="Times New Roman" w:cs="Times New Roman"/>
          <w:color w:val="auto"/>
          <w:spacing w:val="-11"/>
          <w:position w:val="-1"/>
          <w:sz w:val="16"/>
          <w:szCs w:val="16"/>
          <w:highlight w:val="none"/>
        </w:rPr>
        <w:t>10</w:t>
      </w:r>
      <w:r>
        <w:rPr>
          <w:rFonts w:ascii="宋体" w:hAnsi="宋体" w:eastAsia="宋体" w:cs="宋体"/>
          <w:color w:val="auto"/>
          <w:spacing w:val="-11"/>
          <w:position w:val="-1"/>
          <w:sz w:val="24"/>
          <w:szCs w:val="24"/>
          <w:highlight w:val="none"/>
        </w:rPr>
        <w:t>、</w:t>
      </w:r>
      <w:r>
        <w:rPr>
          <w:rFonts w:ascii="Times New Roman" w:hAnsi="Times New Roman" w:eastAsia="Times New Roman" w:cs="Times New Roman"/>
          <w:color w:val="auto"/>
          <w:spacing w:val="-11"/>
          <w:sz w:val="24"/>
          <w:szCs w:val="24"/>
          <w:highlight w:val="none"/>
        </w:rPr>
        <w:t>PM</w:t>
      </w:r>
      <w:r>
        <w:rPr>
          <w:rFonts w:ascii="Times New Roman" w:hAnsi="Times New Roman" w:eastAsia="Times New Roman" w:cs="Times New Roman"/>
          <w:color w:val="auto"/>
          <w:spacing w:val="-11"/>
          <w:position w:val="-1"/>
          <w:sz w:val="16"/>
          <w:szCs w:val="16"/>
          <w:highlight w:val="none"/>
        </w:rPr>
        <w:t>2.5</w:t>
      </w:r>
      <w:r>
        <w:rPr>
          <w:rFonts w:ascii="宋体" w:hAnsi="宋体" w:eastAsia="宋体" w:cs="宋体"/>
          <w:color w:val="auto"/>
          <w:spacing w:val="-11"/>
          <w:sz w:val="24"/>
          <w:szCs w:val="24"/>
          <w:highlight w:val="none"/>
        </w:rPr>
        <w:t>和</w:t>
      </w:r>
      <w:r>
        <w:rPr>
          <w:rFonts w:ascii="Times New Roman" w:hAnsi="Times New Roman" w:eastAsia="Times New Roman" w:cs="Times New Roman"/>
          <w:color w:val="auto"/>
          <w:spacing w:val="-11"/>
          <w:sz w:val="24"/>
          <w:szCs w:val="24"/>
          <w:highlight w:val="none"/>
        </w:rPr>
        <w:t>CO</w:t>
      </w:r>
      <w:r>
        <w:rPr>
          <w:rFonts w:ascii="宋体" w:hAnsi="宋体" w:eastAsia="宋体" w:cs="宋体"/>
          <w:color w:val="auto"/>
          <w:spacing w:val="-11"/>
          <w:sz w:val="24"/>
          <w:szCs w:val="24"/>
          <w:highlight w:val="none"/>
        </w:rPr>
        <w:t>。</w:t>
      </w:r>
    </w:p>
    <w:p w14:paraId="64B1CC29">
      <w:pPr>
        <w:keepNext w:val="0"/>
        <w:keepLines w:val="0"/>
        <w:pageBreakBefore w:val="0"/>
        <w:widowControl/>
        <w:kinsoku/>
        <w:wordWrap/>
        <w:overflowPunct/>
        <w:topLinePunct w:val="0"/>
        <w:autoSpaceDE w:val="0"/>
        <w:autoSpaceDN w:val="0"/>
        <w:bidi w:val="0"/>
        <w:adjustRightInd w:val="0"/>
        <w:snapToGrid w:val="0"/>
        <w:spacing w:before="25" w:line="351" w:lineRule="auto"/>
        <w:ind w:left="40" w:firstLine="482"/>
        <w:textAlignment w:val="baseline"/>
        <w:rPr>
          <w:rFonts w:hint="default" w:ascii="Times New Roman" w:hAnsi="Times New Roman" w:eastAsia="宋体" w:cs="Times New Roman"/>
          <w:color w:val="auto"/>
          <w:spacing w:val="-2"/>
          <w:sz w:val="24"/>
          <w:szCs w:val="24"/>
          <w:highlight w:val="none"/>
        </w:rPr>
      </w:pPr>
      <w:bookmarkStart w:id="1348" w:name="sys6040041"/>
      <w:r>
        <w:rPr>
          <w:rFonts w:ascii="宋体" w:hAnsi="宋体" w:eastAsia="宋体" w:cs="宋体"/>
          <w:color w:val="auto"/>
          <w:spacing w:val="-4"/>
          <w:sz w:val="24"/>
          <w:szCs w:val="24"/>
          <w:highlight w:val="none"/>
        </w:rPr>
        <w:t>各项污染物指标监测结果：</w:t>
      </w: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2.5</w:t>
      </w:r>
      <w:r>
        <w:rPr>
          <w:rFonts w:hint="default" w:ascii="Times New Roman" w:hAnsi="Times New Roman" w:eastAsia="宋体" w:cs="Times New Roman"/>
          <w:color w:val="auto"/>
          <w:sz w:val="24"/>
          <w:szCs w:val="24"/>
          <w:highlight w:val="none"/>
        </w:rPr>
        <w:t>年均值为29μg/m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，达标，同比上升3.6%；</w:t>
      </w:r>
      <w:bookmarkEnd w:id="1348"/>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10</w:t>
      </w:r>
      <w:r>
        <w:rPr>
          <w:rFonts w:hint="default" w:ascii="Times New Roman" w:hAnsi="Times New Roman" w:eastAsia="宋体" w:cs="Times New Roman"/>
          <w:color w:val="auto"/>
          <w:sz w:val="24"/>
          <w:szCs w:val="24"/>
          <w:highlight w:val="none"/>
        </w:rPr>
        <w:t>年均值为52μg/m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，达标，同比上升2.0%；NO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年均值为27μg/m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，达标，同比持平；SO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年均值为6μg/m³，达标，同比上升20.0%；</w:t>
      </w:r>
      <w:bookmarkStart w:id="1349" w:name="sys604011931"/>
      <w:r>
        <w:rPr>
          <w:rFonts w:hint="default" w:ascii="Times New Roman" w:hAnsi="Times New Roman" w:eastAsia="宋体" w:cs="Times New Roman"/>
          <w:color w:val="auto"/>
          <w:sz w:val="24"/>
          <w:szCs w:val="24"/>
          <w:highlight w:val="none"/>
        </w:rPr>
        <w:t>CO日均浓度第95百分位数为0.9mg/m³，达标，同比持平；</w:t>
      </w:r>
      <w:bookmarkEnd w:id="1349"/>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日最大8小时浓度第90百分位数为170μg/m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，超标0.06倍，同比持平，超标天数49天，同比减少5天。</w:t>
      </w:r>
    </w:p>
    <w:p w14:paraId="6220F52B">
      <w:pPr>
        <w:spacing w:before="47" w:line="345" w:lineRule="auto"/>
        <w:ind w:left="39" w:right="111" w:firstLine="478"/>
        <w:rPr>
          <w:rFonts w:ascii="宋体" w:hAnsi="宋体" w:eastAsia="宋体" w:cs="宋体"/>
          <w:color w:val="auto"/>
          <w:sz w:val="24"/>
          <w:szCs w:val="24"/>
          <w:highlight w:val="none"/>
        </w:rPr>
      </w:pPr>
      <w:bookmarkStart w:id="1350" w:name="OLE_LINK414"/>
      <w:bookmarkStart w:id="1351" w:name="OLE_LINK466"/>
      <w:r>
        <w:rPr>
          <w:rFonts w:hint="eastAsia" w:ascii="宋体" w:hAnsi="宋体" w:eastAsia="宋体" w:cs="宋体"/>
          <w:color w:val="auto"/>
          <w:spacing w:val="-3"/>
          <w:sz w:val="24"/>
          <w:szCs w:val="24"/>
          <w:highlight w:val="none"/>
          <w:lang w:val="en-US" w:eastAsia="zh-CN"/>
        </w:rPr>
        <w:t>根据监测数据，</w:t>
      </w:r>
      <w:r>
        <w:rPr>
          <w:rFonts w:hint="default" w:ascii="Times New Roman" w:hAnsi="Times New Roman" w:eastAsia="宋体" w:cs="Times New Roman"/>
          <w:color w:val="auto"/>
          <w:spacing w:val="-3"/>
          <w:sz w:val="24"/>
          <w:szCs w:val="24"/>
          <w:highlight w:val="none"/>
          <w:lang w:val="en-US" w:eastAsia="zh-CN"/>
        </w:rPr>
        <w:t>TSP、NOx、氟</w:t>
      </w:r>
      <w:bookmarkEnd w:id="1350"/>
      <w:r>
        <w:rPr>
          <w:rFonts w:hint="eastAsia" w:ascii="宋体" w:hAnsi="宋体" w:eastAsia="宋体" w:cs="宋体"/>
          <w:color w:val="auto"/>
          <w:spacing w:val="-3"/>
          <w:sz w:val="24"/>
          <w:szCs w:val="24"/>
          <w:highlight w:val="none"/>
          <w:lang w:val="en-US" w:eastAsia="zh-CN"/>
        </w:rPr>
        <w:t>化物、</w:t>
      </w:r>
      <w:r>
        <w:rPr>
          <w:rFonts w:ascii="宋体" w:hAnsi="宋体" w:eastAsia="宋体" w:cs="宋体"/>
          <w:color w:val="auto"/>
          <w:spacing w:val="-3"/>
          <w:sz w:val="24"/>
          <w:szCs w:val="24"/>
          <w:highlight w:val="none"/>
        </w:rPr>
        <w:t>苯、非甲烷总烃、</w:t>
      </w:r>
      <w:r>
        <w:rPr>
          <w:rFonts w:ascii="宋体" w:hAnsi="宋体" w:eastAsia="宋体" w:cs="宋体"/>
          <w:color w:val="auto"/>
          <w:spacing w:val="-4"/>
          <w:sz w:val="24"/>
          <w:szCs w:val="24"/>
          <w:highlight w:val="none"/>
        </w:rPr>
        <w:t>氯化氢、氨、硫化氢</w:t>
      </w:r>
      <w:bookmarkEnd w:id="1351"/>
      <w:r>
        <w:rPr>
          <w:rFonts w:hint="eastAsia" w:ascii="宋体" w:hAnsi="宋体" w:eastAsia="宋体" w:cs="宋体"/>
          <w:color w:val="auto"/>
          <w:spacing w:val="-4"/>
          <w:sz w:val="24"/>
          <w:szCs w:val="24"/>
          <w:highlight w:val="none"/>
          <w:lang w:eastAsia="zh-CN"/>
        </w:rPr>
        <w:t>、</w:t>
      </w:r>
      <w:r>
        <w:rPr>
          <w:rFonts w:hint="eastAsia" w:ascii="宋体" w:hAnsi="宋体" w:eastAsia="宋体" w:cs="宋体"/>
          <w:color w:val="auto"/>
          <w:spacing w:val="-4"/>
          <w:sz w:val="24"/>
          <w:szCs w:val="24"/>
          <w:highlight w:val="none"/>
          <w:lang w:val="en-US" w:eastAsia="zh-CN"/>
        </w:rPr>
        <w:t>硫酸</w:t>
      </w:r>
      <w:sdt>
        <w:sdtPr>
          <w:rPr>
            <w:color w:val="auto"/>
            <w:highlight w:val="none"/>
          </w:rPr>
          <w:alias w:val="易错词检查"/>
          <w:tag w:val="auto"/>
          <w:id w:val="1183846"/>
        </w:sdtPr>
        <w:sdtEndPr>
          <w:rPr>
            <w:color w:val="auto"/>
            <w:highlight w:val="none"/>
          </w:rPr>
        </w:sdtEndPr>
        <w:sdtContent>
          <w:bookmarkStart w:id="1352" w:name="bkReivew1183846"/>
          <w:r>
            <w:rPr>
              <w:rFonts w:hint="eastAsia" w:ascii="宋体" w:hAnsi="宋体" w:eastAsia="宋体" w:cs="宋体"/>
              <w:color w:val="auto"/>
              <w:spacing w:val="-4"/>
              <w:sz w:val="24"/>
              <w:szCs w:val="24"/>
              <w:highlight w:val="none"/>
              <w:lang w:val="en-US" w:eastAsia="zh-CN"/>
            </w:rPr>
            <w:t>雾</w:t>
          </w:r>
          <w:bookmarkEnd w:id="1352"/>
        </w:sdtContent>
      </w:sdt>
      <w:r>
        <w:rPr>
          <w:rFonts w:ascii="宋体" w:hAnsi="宋体" w:eastAsia="宋体" w:cs="宋体"/>
          <w:color w:val="auto"/>
          <w:spacing w:val="-2"/>
          <w:sz w:val="24"/>
          <w:szCs w:val="24"/>
          <w:highlight w:val="none"/>
        </w:rPr>
        <w:t>等浓度均满足相关环境质量标准。</w:t>
      </w:r>
    </w:p>
    <w:p w14:paraId="10BD3FA0">
      <w:pPr>
        <w:spacing w:before="37" w:line="218" w:lineRule="auto"/>
        <w:ind w:left="30"/>
        <w:outlineLvl w:val="2"/>
        <w:rPr>
          <w:rFonts w:ascii="宋体" w:hAnsi="宋体" w:eastAsia="宋体" w:cs="宋体"/>
          <w:color w:val="auto"/>
          <w:sz w:val="24"/>
          <w:szCs w:val="24"/>
          <w:highlight w:val="none"/>
        </w:rPr>
      </w:pPr>
      <w:bookmarkStart w:id="1353" w:name="_Toc25623"/>
      <w:bookmarkStart w:id="1354" w:name="OLE_LINK467"/>
      <w:r>
        <w:rPr>
          <w:rFonts w:ascii="Times New Roman" w:hAnsi="Times New Roman" w:eastAsia="Times New Roman" w:cs="Times New Roman"/>
          <w:b/>
          <w:bCs/>
          <w:color w:val="auto"/>
          <w:spacing w:val="-2"/>
          <w:sz w:val="24"/>
          <w:szCs w:val="24"/>
          <w:highlight w:val="none"/>
        </w:rPr>
        <w:t>6.3.2</w:t>
      </w:r>
      <w:r>
        <w:rPr>
          <w:rFonts w:ascii="宋体" w:hAnsi="宋体" w:eastAsia="宋体" w:cs="宋体"/>
          <w:b/>
          <w:bCs/>
          <w:color w:val="auto"/>
          <w:spacing w:val="-2"/>
          <w:sz w:val="24"/>
          <w:szCs w:val="24"/>
          <w:highlight w:val="none"/>
        </w:rPr>
        <w:t>地表水质量现状监测与评价</w:t>
      </w:r>
      <w:bookmarkEnd w:id="1353"/>
      <w:bookmarkStart w:id="1355" w:name="pindex6042"/>
      <w:bookmarkEnd w:id="1355"/>
    </w:p>
    <w:bookmarkEnd w:id="1354"/>
    <w:p w14:paraId="27F71526">
      <w:pPr>
        <w:keepNext w:val="0"/>
        <w:keepLines w:val="0"/>
        <w:pageBreakBefore w:val="0"/>
        <w:widowControl/>
        <w:kinsoku w:val="0"/>
        <w:wordWrap/>
        <w:overflowPunct/>
        <w:topLinePunct w:val="0"/>
        <w:autoSpaceDE w:val="0"/>
        <w:autoSpaceDN w:val="0"/>
        <w:bidi w:val="0"/>
        <w:adjustRightInd w:val="0"/>
        <w:snapToGrid w:val="0"/>
        <w:spacing w:before="182" w:line="360" w:lineRule="auto"/>
        <w:ind w:left="40"/>
        <w:textAlignment w:val="baseline"/>
        <w:rPr>
          <w:rFonts w:hint="eastAsia" w:ascii="宋体" w:hAnsi="宋体" w:eastAsia="宋体" w:cs="宋体"/>
          <w:color w:val="auto"/>
          <w:sz w:val="24"/>
          <w:szCs w:val="24"/>
          <w:highlight w:val="none"/>
          <w:lang w:val="en-US" w:eastAsia="zh-CN"/>
        </w:rPr>
      </w:pPr>
      <w:r>
        <w:rPr>
          <w:color w:val="auto"/>
          <w:highlight w:val="none"/>
        </w:rPr>
        <w:fldChar w:fldCharType="begin"/>
      </w:r>
      <w:r>
        <w:rPr>
          <w:color w:val="auto"/>
          <w:highlight w:val="none"/>
        </w:rPr>
        <w:instrText xml:space="preserve"> HYPERLINK "6.3.2.1" </w:instrText>
      </w:r>
      <w:r>
        <w:rPr>
          <w:color w:val="auto"/>
          <w:highlight w:val="none"/>
        </w:rPr>
        <w:fldChar w:fldCharType="separate"/>
      </w:r>
      <w:r>
        <w:rPr>
          <w:rFonts w:ascii="Times New Roman" w:hAnsi="Times New Roman" w:eastAsia="Times New Roman" w:cs="Times New Roman"/>
          <w:b/>
          <w:bCs/>
          <w:color w:val="auto"/>
          <w:spacing w:val="-3"/>
          <w:sz w:val="24"/>
          <w:szCs w:val="24"/>
          <w:highlight w:val="none"/>
        </w:rPr>
        <w:t>6.3.2.1</w:t>
      </w:r>
      <w:r>
        <w:rPr>
          <w:rFonts w:ascii="Times New Roman" w:hAnsi="Times New Roman" w:eastAsia="Times New Roman" w:cs="Times New Roman"/>
          <w:b/>
          <w:bCs/>
          <w:color w:val="auto"/>
          <w:spacing w:val="-3"/>
          <w:sz w:val="24"/>
          <w:szCs w:val="24"/>
          <w:highlight w:val="none"/>
        </w:rPr>
        <w:fldChar w:fldCharType="end"/>
      </w:r>
      <w:r>
        <w:rPr>
          <w:rFonts w:ascii="宋体" w:hAnsi="宋体" w:eastAsia="宋体" w:cs="宋体"/>
          <w:b/>
          <w:bCs/>
          <w:color w:val="auto"/>
          <w:spacing w:val="-3"/>
          <w:sz w:val="24"/>
          <w:szCs w:val="24"/>
          <w:highlight w:val="none"/>
        </w:rPr>
        <w:t>区域</w:t>
      </w:r>
      <w:r>
        <w:rPr>
          <w:rFonts w:hint="eastAsia" w:ascii="宋体" w:hAnsi="宋体" w:eastAsia="宋体" w:cs="宋体"/>
          <w:b/>
          <w:bCs/>
          <w:color w:val="auto"/>
          <w:spacing w:val="-3"/>
          <w:sz w:val="24"/>
          <w:szCs w:val="24"/>
          <w:highlight w:val="none"/>
          <w:lang w:val="en-US" w:eastAsia="zh-CN"/>
        </w:rPr>
        <w:t>水自动监测站</w:t>
      </w:r>
      <w:r>
        <w:rPr>
          <w:rFonts w:ascii="宋体" w:hAnsi="宋体" w:eastAsia="宋体" w:cs="宋体"/>
          <w:b/>
          <w:bCs/>
          <w:color w:val="auto"/>
          <w:spacing w:val="-3"/>
          <w:sz w:val="24"/>
          <w:szCs w:val="24"/>
          <w:highlight w:val="none"/>
        </w:rPr>
        <w:t>现状</w:t>
      </w:r>
      <w:bookmarkStart w:id="1356" w:name="pindex6043"/>
      <w:bookmarkEnd w:id="1356"/>
    </w:p>
    <w:p w14:paraId="73737CA1">
      <w:pPr>
        <w:keepNext w:val="0"/>
        <w:keepLines w:val="0"/>
        <w:pageBreakBefore w:val="0"/>
        <w:widowControl/>
        <w:kinsoku w:val="0"/>
        <w:wordWrap/>
        <w:overflowPunct/>
        <w:topLinePunct w:val="0"/>
        <w:autoSpaceDE w:val="0"/>
        <w:autoSpaceDN w:val="0"/>
        <w:bidi w:val="0"/>
        <w:adjustRightInd w:val="0"/>
        <w:snapToGrid w:val="0"/>
        <w:spacing w:before="36" w:line="360" w:lineRule="auto"/>
        <w:ind w:firstLine="496" w:firstLineChars="200"/>
        <w:textAlignment w:val="baseline"/>
        <w:outlineLvl w:val="9"/>
        <w:rPr>
          <w:rFonts w:hint="eastAsia" w:ascii="Times New Roman" w:hAnsi="Times New Roman" w:eastAsia="宋体" w:cs="Times New Roman"/>
          <w:color w:val="auto"/>
          <w:spacing w:val="4"/>
          <w:sz w:val="24"/>
          <w:szCs w:val="24"/>
          <w:highlight w:val="none"/>
          <w:lang w:val="en-US" w:eastAsia="zh-CN"/>
        </w:rPr>
      </w:pPr>
      <w:r>
        <w:rPr>
          <w:rFonts w:hint="default" w:ascii="Times New Roman" w:hAnsi="Times New Roman" w:eastAsia="宋体" w:cs="Times New Roman"/>
          <w:color w:val="auto"/>
          <w:spacing w:val="4"/>
          <w:sz w:val="24"/>
          <w:szCs w:val="24"/>
          <w:highlight w:val="none"/>
          <w:lang w:val="en-US" w:eastAsia="zh-CN"/>
        </w:rPr>
        <w:t>评估范围内设置</w:t>
      </w:r>
      <w:r>
        <w:rPr>
          <w:rFonts w:hint="eastAsia" w:ascii="Times New Roman" w:hAnsi="Times New Roman" w:eastAsia="宋体" w:cs="Times New Roman"/>
          <w:color w:val="auto"/>
          <w:spacing w:val="4"/>
          <w:sz w:val="24"/>
          <w:szCs w:val="24"/>
          <w:highlight w:val="none"/>
          <w:lang w:val="en-US" w:eastAsia="zh-CN"/>
        </w:rPr>
        <w:t>2</w:t>
      </w:r>
      <w:r>
        <w:rPr>
          <w:rFonts w:hint="default" w:ascii="Times New Roman" w:hAnsi="Times New Roman" w:eastAsia="宋体" w:cs="Times New Roman"/>
          <w:color w:val="auto"/>
          <w:spacing w:val="4"/>
          <w:sz w:val="24"/>
          <w:szCs w:val="24"/>
          <w:highlight w:val="none"/>
          <w:lang w:val="en-US" w:eastAsia="zh-CN"/>
        </w:rPr>
        <w:t>座</w:t>
      </w:r>
      <w:r>
        <w:rPr>
          <w:rFonts w:hint="eastAsia" w:ascii="Times New Roman" w:hAnsi="Times New Roman" w:eastAsia="宋体" w:cs="Times New Roman"/>
          <w:color w:val="auto"/>
          <w:spacing w:val="4"/>
          <w:sz w:val="24"/>
          <w:szCs w:val="24"/>
          <w:highlight w:val="none"/>
          <w:lang w:val="en-US" w:eastAsia="zh-CN"/>
        </w:rPr>
        <w:t>水</w:t>
      </w:r>
      <w:r>
        <w:rPr>
          <w:rFonts w:hint="default" w:ascii="Times New Roman" w:hAnsi="Times New Roman" w:eastAsia="宋体" w:cs="Times New Roman"/>
          <w:color w:val="auto"/>
          <w:spacing w:val="4"/>
          <w:sz w:val="24"/>
          <w:szCs w:val="24"/>
          <w:highlight w:val="none"/>
          <w:lang w:val="en-US" w:eastAsia="zh-CN"/>
        </w:rPr>
        <w:t>自动监测站（</w:t>
      </w:r>
      <w:r>
        <w:rPr>
          <w:rFonts w:hint="eastAsia" w:ascii="Times New Roman" w:hAnsi="Times New Roman" w:eastAsia="宋体" w:cs="Times New Roman"/>
          <w:color w:val="auto"/>
          <w:spacing w:val="4"/>
          <w:sz w:val="24"/>
          <w:szCs w:val="24"/>
          <w:highlight w:val="none"/>
          <w:lang w:val="en-US" w:eastAsia="zh-CN"/>
        </w:rPr>
        <w:t>石马新寓站及水月秦淮</w:t>
      </w:r>
      <w:r>
        <w:rPr>
          <w:rFonts w:hint="default" w:ascii="Times New Roman" w:hAnsi="Times New Roman" w:eastAsia="宋体" w:cs="Times New Roman"/>
          <w:color w:val="auto"/>
          <w:spacing w:val="4"/>
          <w:sz w:val="24"/>
          <w:szCs w:val="24"/>
          <w:highlight w:val="none"/>
          <w:lang w:val="en-US" w:eastAsia="zh-CN"/>
        </w:rPr>
        <w:t>站）</w:t>
      </w:r>
      <w:r>
        <w:rPr>
          <w:rFonts w:hint="eastAsia" w:ascii="Times New Roman" w:hAnsi="Times New Roman" w:eastAsia="宋体" w:cs="Times New Roman"/>
          <w:color w:val="auto"/>
          <w:spacing w:val="4"/>
          <w:sz w:val="24"/>
          <w:szCs w:val="24"/>
          <w:highlight w:val="none"/>
          <w:lang w:val="en-US" w:eastAsia="zh-CN"/>
        </w:rPr>
        <w:t>，近期水自动监测站数据情况如下：</w:t>
      </w:r>
    </w:p>
    <w:p w14:paraId="1BA1A40F">
      <w:pPr>
        <w:keepNext w:val="0"/>
        <w:keepLines w:val="0"/>
        <w:pageBreakBefore w:val="0"/>
        <w:widowControl/>
        <w:kinsoku w:val="0"/>
        <w:wordWrap/>
        <w:overflowPunct/>
        <w:topLinePunct w:val="0"/>
        <w:autoSpaceDE w:val="0"/>
        <w:autoSpaceDN w:val="0"/>
        <w:bidi w:val="0"/>
        <w:adjustRightInd w:val="0"/>
        <w:snapToGrid w:val="0"/>
        <w:spacing w:before="36" w:line="240" w:lineRule="auto"/>
        <w:jc w:val="center"/>
        <w:textAlignment w:val="baseline"/>
        <w:outlineLvl w:val="9"/>
        <w:rPr>
          <w:rFonts w:hint="eastAsia" w:ascii="Times New Roman" w:hAnsi="Times New Roman" w:eastAsia="宋体" w:cs="Times New Roman"/>
          <w:b/>
          <w:bCs/>
          <w:color w:val="auto"/>
          <w:spacing w:val="4"/>
          <w:sz w:val="24"/>
          <w:szCs w:val="24"/>
          <w:highlight w:val="none"/>
          <w:lang w:val="en-US" w:eastAsia="zh-CN"/>
        </w:rPr>
      </w:pPr>
      <w:r>
        <w:rPr>
          <w:rFonts w:hint="eastAsia" w:ascii="Times New Roman" w:hAnsi="Times New Roman" w:eastAsia="宋体" w:cs="Times New Roman"/>
          <w:b/>
          <w:bCs/>
          <w:color w:val="auto"/>
          <w:spacing w:val="4"/>
          <w:sz w:val="24"/>
          <w:szCs w:val="24"/>
          <w:highlight w:val="none"/>
          <w:lang w:val="en-US" w:eastAsia="zh-CN"/>
        </w:rPr>
        <w:t>表6.3-12  水自动监测站季度均值数据情况（2024年1月-9月）</w:t>
      </w:r>
      <w:bookmarkStart w:id="1357" w:name="pindex6045"/>
      <w:bookmarkEnd w:id="1357"/>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6"/>
        <w:gridCol w:w="1161"/>
        <w:gridCol w:w="1059"/>
        <w:gridCol w:w="1095"/>
        <w:gridCol w:w="1095"/>
        <w:gridCol w:w="1080"/>
        <w:gridCol w:w="1093"/>
        <w:gridCol w:w="857"/>
      </w:tblGrid>
      <w:tr w14:paraId="3B1AE5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1216" w:type="dxa"/>
            <w:tcBorders>
              <w:tl2br w:val="nil"/>
              <w:tr2bl w:val="nil"/>
            </w:tcBorders>
            <w:vAlign w:val="center"/>
          </w:tcPr>
          <w:p w14:paraId="7629138B">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水站</w:t>
            </w:r>
          </w:p>
        </w:tc>
        <w:tc>
          <w:tcPr>
            <w:tcW w:w="3315" w:type="dxa"/>
            <w:gridSpan w:val="3"/>
            <w:tcBorders>
              <w:tl2br w:val="nil"/>
              <w:tr2bl w:val="nil"/>
            </w:tcBorders>
            <w:vAlign w:val="center"/>
          </w:tcPr>
          <w:p w14:paraId="47AB00C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石马新寓站</w:t>
            </w:r>
          </w:p>
        </w:tc>
        <w:tc>
          <w:tcPr>
            <w:tcW w:w="3268" w:type="dxa"/>
            <w:gridSpan w:val="3"/>
            <w:tcBorders>
              <w:tl2br w:val="nil"/>
              <w:tr2bl w:val="nil"/>
            </w:tcBorders>
            <w:vAlign w:val="center"/>
          </w:tcPr>
          <w:p w14:paraId="3678369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水月秦淮站</w:t>
            </w:r>
          </w:p>
        </w:tc>
        <w:tc>
          <w:tcPr>
            <w:tcW w:w="0" w:type="auto"/>
            <w:tcBorders>
              <w:tl2br w:val="nil"/>
              <w:tr2bl w:val="nil"/>
            </w:tcBorders>
            <w:vAlign w:val="center"/>
          </w:tcPr>
          <w:p w14:paraId="5B32932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水质标准</w:t>
            </w:r>
          </w:p>
        </w:tc>
      </w:tr>
      <w:tr w14:paraId="1EAEDB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216" w:type="dxa"/>
            <w:tcBorders>
              <w:tl2br w:val="nil"/>
              <w:tr2bl w:val="nil"/>
            </w:tcBorders>
            <w:vAlign w:val="center"/>
          </w:tcPr>
          <w:p w14:paraId="3510DB2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监测月份</w:t>
            </w:r>
          </w:p>
        </w:tc>
        <w:tc>
          <w:tcPr>
            <w:tcW w:w="1161" w:type="dxa"/>
            <w:tcBorders>
              <w:tl2br w:val="nil"/>
              <w:tr2bl w:val="nil"/>
            </w:tcBorders>
            <w:vAlign w:val="center"/>
          </w:tcPr>
          <w:p w14:paraId="3777B4C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第一季度</w:t>
            </w:r>
          </w:p>
        </w:tc>
        <w:tc>
          <w:tcPr>
            <w:tcW w:w="1059" w:type="dxa"/>
            <w:tcBorders>
              <w:tl2br w:val="nil"/>
              <w:tr2bl w:val="nil"/>
            </w:tcBorders>
            <w:vAlign w:val="center"/>
          </w:tcPr>
          <w:p w14:paraId="563299A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第二季度</w:t>
            </w:r>
          </w:p>
        </w:tc>
        <w:tc>
          <w:tcPr>
            <w:tcW w:w="1095" w:type="dxa"/>
            <w:tcBorders>
              <w:tl2br w:val="nil"/>
              <w:tr2bl w:val="nil"/>
            </w:tcBorders>
            <w:vAlign w:val="center"/>
          </w:tcPr>
          <w:p w14:paraId="7FC40BC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第三季度</w:t>
            </w:r>
          </w:p>
        </w:tc>
        <w:tc>
          <w:tcPr>
            <w:tcW w:w="1095" w:type="dxa"/>
            <w:tcBorders>
              <w:tl2br w:val="nil"/>
              <w:tr2bl w:val="nil"/>
            </w:tcBorders>
            <w:vAlign w:val="center"/>
          </w:tcPr>
          <w:p w14:paraId="553FE583">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第一季度</w:t>
            </w:r>
          </w:p>
        </w:tc>
        <w:tc>
          <w:tcPr>
            <w:tcW w:w="1080" w:type="dxa"/>
            <w:tcBorders>
              <w:tl2br w:val="nil"/>
              <w:tr2bl w:val="nil"/>
            </w:tcBorders>
            <w:vAlign w:val="center"/>
          </w:tcPr>
          <w:p w14:paraId="7B3E8C8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第二季度</w:t>
            </w:r>
          </w:p>
        </w:tc>
        <w:tc>
          <w:tcPr>
            <w:tcW w:w="1093" w:type="dxa"/>
            <w:tcBorders>
              <w:tl2br w:val="nil"/>
              <w:tr2bl w:val="nil"/>
            </w:tcBorders>
            <w:vAlign w:val="center"/>
          </w:tcPr>
          <w:p w14:paraId="0D0DE958">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第三季度</w:t>
            </w:r>
          </w:p>
        </w:tc>
        <w:tc>
          <w:tcPr>
            <w:tcW w:w="0" w:type="auto"/>
            <w:tcBorders>
              <w:tl2br w:val="nil"/>
              <w:tr2bl w:val="nil"/>
            </w:tcBorders>
            <w:vAlign w:val="center"/>
          </w:tcPr>
          <w:p w14:paraId="4AD24528">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Ⅲ类标准</w:t>
            </w:r>
          </w:p>
        </w:tc>
      </w:tr>
      <w:tr w14:paraId="1648A9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216" w:type="dxa"/>
            <w:tcBorders>
              <w:tl2br w:val="nil"/>
              <w:tr2bl w:val="nil"/>
            </w:tcBorders>
            <w:vAlign w:val="center"/>
          </w:tcPr>
          <w:p w14:paraId="01D7F948">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水温°C</w:t>
            </w:r>
          </w:p>
        </w:tc>
        <w:tc>
          <w:tcPr>
            <w:tcW w:w="1161" w:type="dxa"/>
            <w:tcBorders>
              <w:tl2br w:val="nil"/>
              <w:tr2bl w:val="nil"/>
            </w:tcBorders>
            <w:shd w:val="clear" w:color="auto" w:fill="auto"/>
            <w:vAlign w:val="center"/>
          </w:tcPr>
          <w:p w14:paraId="25373DE1">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9.73</w:t>
            </w:r>
          </w:p>
        </w:tc>
        <w:tc>
          <w:tcPr>
            <w:tcW w:w="1059" w:type="dxa"/>
            <w:tcBorders>
              <w:tl2br w:val="nil"/>
              <w:tr2bl w:val="nil"/>
            </w:tcBorders>
            <w:shd w:val="clear" w:color="auto" w:fill="auto"/>
            <w:vAlign w:val="center"/>
          </w:tcPr>
          <w:p w14:paraId="04AA4F2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25.81</w:t>
            </w:r>
          </w:p>
        </w:tc>
        <w:tc>
          <w:tcPr>
            <w:tcW w:w="1095" w:type="dxa"/>
            <w:tcBorders>
              <w:tl2br w:val="nil"/>
              <w:tr2bl w:val="nil"/>
            </w:tcBorders>
            <w:shd w:val="clear" w:color="auto" w:fill="auto"/>
            <w:vAlign w:val="center"/>
          </w:tcPr>
          <w:p w14:paraId="5D691A3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31.32</w:t>
            </w:r>
          </w:p>
        </w:tc>
        <w:tc>
          <w:tcPr>
            <w:tcW w:w="1095" w:type="dxa"/>
            <w:tcBorders>
              <w:tl2br w:val="nil"/>
              <w:tr2bl w:val="nil"/>
            </w:tcBorders>
            <w:shd w:val="clear" w:color="auto" w:fill="auto"/>
            <w:vAlign w:val="center"/>
          </w:tcPr>
          <w:p w14:paraId="1F7D332C">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9.82</w:t>
            </w:r>
          </w:p>
        </w:tc>
        <w:tc>
          <w:tcPr>
            <w:tcW w:w="1080" w:type="dxa"/>
            <w:tcBorders>
              <w:tl2br w:val="nil"/>
              <w:tr2bl w:val="nil"/>
            </w:tcBorders>
            <w:shd w:val="clear" w:color="auto" w:fill="auto"/>
            <w:vAlign w:val="center"/>
          </w:tcPr>
          <w:p w14:paraId="48DF4B93">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22.66</w:t>
            </w:r>
          </w:p>
        </w:tc>
        <w:tc>
          <w:tcPr>
            <w:tcW w:w="1093" w:type="dxa"/>
            <w:tcBorders>
              <w:tl2br w:val="nil"/>
              <w:tr2bl w:val="nil"/>
            </w:tcBorders>
            <w:shd w:val="clear" w:color="auto" w:fill="auto"/>
            <w:vAlign w:val="center"/>
          </w:tcPr>
          <w:p w14:paraId="5874245C">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29.60</w:t>
            </w:r>
          </w:p>
        </w:tc>
        <w:tc>
          <w:tcPr>
            <w:tcW w:w="0" w:type="auto"/>
            <w:tcBorders>
              <w:tl2br w:val="nil"/>
              <w:tr2bl w:val="nil"/>
            </w:tcBorders>
            <w:shd w:val="clear" w:color="auto" w:fill="auto"/>
            <w:vAlign w:val="center"/>
          </w:tcPr>
          <w:p w14:paraId="56E990EE">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w:t>
            </w:r>
          </w:p>
        </w:tc>
      </w:tr>
      <w:tr w14:paraId="64A1AC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16" w:type="dxa"/>
            <w:tcBorders>
              <w:tl2br w:val="nil"/>
              <w:tr2bl w:val="nil"/>
            </w:tcBorders>
            <w:vAlign w:val="center"/>
          </w:tcPr>
          <w:p w14:paraId="1545025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pH</w:t>
            </w:r>
          </w:p>
        </w:tc>
        <w:tc>
          <w:tcPr>
            <w:tcW w:w="1161" w:type="dxa"/>
            <w:tcBorders>
              <w:tl2br w:val="nil"/>
              <w:tr2bl w:val="nil"/>
            </w:tcBorders>
            <w:shd w:val="clear" w:color="auto" w:fill="auto"/>
            <w:vAlign w:val="center"/>
          </w:tcPr>
          <w:p w14:paraId="0A34091E">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7.67</w:t>
            </w:r>
          </w:p>
        </w:tc>
        <w:tc>
          <w:tcPr>
            <w:tcW w:w="1059" w:type="dxa"/>
            <w:tcBorders>
              <w:tl2br w:val="nil"/>
              <w:tr2bl w:val="nil"/>
            </w:tcBorders>
            <w:shd w:val="clear" w:color="auto" w:fill="auto"/>
            <w:vAlign w:val="center"/>
          </w:tcPr>
          <w:p w14:paraId="0A992C01">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7.57</w:t>
            </w:r>
          </w:p>
        </w:tc>
        <w:tc>
          <w:tcPr>
            <w:tcW w:w="1095" w:type="dxa"/>
            <w:tcBorders>
              <w:tl2br w:val="nil"/>
              <w:tr2bl w:val="nil"/>
            </w:tcBorders>
            <w:shd w:val="clear" w:color="auto" w:fill="auto"/>
            <w:vAlign w:val="center"/>
          </w:tcPr>
          <w:p w14:paraId="3B676E5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7.46</w:t>
            </w:r>
          </w:p>
        </w:tc>
        <w:tc>
          <w:tcPr>
            <w:tcW w:w="1095" w:type="dxa"/>
            <w:tcBorders>
              <w:tl2br w:val="nil"/>
              <w:tr2bl w:val="nil"/>
            </w:tcBorders>
            <w:shd w:val="clear" w:color="auto" w:fill="auto"/>
            <w:vAlign w:val="center"/>
          </w:tcPr>
          <w:p w14:paraId="13F29BA2">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7.37</w:t>
            </w:r>
          </w:p>
        </w:tc>
        <w:tc>
          <w:tcPr>
            <w:tcW w:w="1080" w:type="dxa"/>
            <w:tcBorders>
              <w:tl2br w:val="nil"/>
              <w:tr2bl w:val="nil"/>
            </w:tcBorders>
            <w:shd w:val="clear" w:color="auto" w:fill="auto"/>
            <w:vAlign w:val="center"/>
          </w:tcPr>
          <w:p w14:paraId="2AD71CFA">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7.16</w:t>
            </w:r>
          </w:p>
        </w:tc>
        <w:tc>
          <w:tcPr>
            <w:tcW w:w="1093" w:type="dxa"/>
            <w:tcBorders>
              <w:tl2br w:val="nil"/>
              <w:tr2bl w:val="nil"/>
            </w:tcBorders>
            <w:shd w:val="clear" w:color="auto" w:fill="auto"/>
            <w:vAlign w:val="center"/>
          </w:tcPr>
          <w:p w14:paraId="4968835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7.13</w:t>
            </w:r>
          </w:p>
        </w:tc>
        <w:tc>
          <w:tcPr>
            <w:tcW w:w="0" w:type="auto"/>
            <w:tcBorders>
              <w:tl2br w:val="nil"/>
              <w:tr2bl w:val="nil"/>
            </w:tcBorders>
            <w:shd w:val="clear" w:color="auto" w:fill="auto"/>
            <w:vAlign w:val="center"/>
          </w:tcPr>
          <w:p w14:paraId="6BF44476">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6-9</w:t>
            </w:r>
          </w:p>
        </w:tc>
      </w:tr>
      <w:tr w14:paraId="5D6075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216" w:type="dxa"/>
            <w:tcBorders>
              <w:tl2br w:val="nil"/>
              <w:tr2bl w:val="nil"/>
            </w:tcBorders>
            <w:vAlign w:val="center"/>
          </w:tcPr>
          <w:p w14:paraId="0982B12D">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溶解氧mg/L</w:t>
            </w:r>
          </w:p>
        </w:tc>
        <w:tc>
          <w:tcPr>
            <w:tcW w:w="1161" w:type="dxa"/>
            <w:tcBorders>
              <w:tl2br w:val="nil"/>
              <w:tr2bl w:val="nil"/>
            </w:tcBorders>
            <w:shd w:val="clear" w:color="auto" w:fill="auto"/>
            <w:vAlign w:val="center"/>
          </w:tcPr>
          <w:p w14:paraId="7ABDDF6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9.88</w:t>
            </w:r>
          </w:p>
        </w:tc>
        <w:tc>
          <w:tcPr>
            <w:tcW w:w="1059" w:type="dxa"/>
            <w:tcBorders>
              <w:tl2br w:val="nil"/>
              <w:tr2bl w:val="nil"/>
            </w:tcBorders>
            <w:shd w:val="clear" w:color="auto" w:fill="auto"/>
            <w:vAlign w:val="center"/>
          </w:tcPr>
          <w:p w14:paraId="0E52BD7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10.31</w:t>
            </w:r>
          </w:p>
        </w:tc>
        <w:tc>
          <w:tcPr>
            <w:tcW w:w="1095" w:type="dxa"/>
            <w:tcBorders>
              <w:tl2br w:val="nil"/>
              <w:tr2bl w:val="nil"/>
            </w:tcBorders>
            <w:shd w:val="clear" w:color="auto" w:fill="auto"/>
            <w:vAlign w:val="center"/>
          </w:tcPr>
          <w:p w14:paraId="4889ED8C">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10.15</w:t>
            </w:r>
          </w:p>
        </w:tc>
        <w:tc>
          <w:tcPr>
            <w:tcW w:w="1095" w:type="dxa"/>
            <w:tcBorders>
              <w:tl2br w:val="nil"/>
              <w:tr2bl w:val="nil"/>
            </w:tcBorders>
            <w:shd w:val="clear" w:color="auto" w:fill="auto"/>
            <w:vAlign w:val="center"/>
          </w:tcPr>
          <w:p w14:paraId="2A64AC12">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8.54</w:t>
            </w:r>
          </w:p>
        </w:tc>
        <w:tc>
          <w:tcPr>
            <w:tcW w:w="1080" w:type="dxa"/>
            <w:tcBorders>
              <w:tl2br w:val="nil"/>
              <w:tr2bl w:val="nil"/>
            </w:tcBorders>
            <w:shd w:val="clear" w:color="auto" w:fill="auto"/>
            <w:vAlign w:val="center"/>
          </w:tcPr>
          <w:p w14:paraId="6A9A54DA">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10.24</w:t>
            </w:r>
          </w:p>
        </w:tc>
        <w:tc>
          <w:tcPr>
            <w:tcW w:w="1093" w:type="dxa"/>
            <w:tcBorders>
              <w:tl2br w:val="nil"/>
              <w:tr2bl w:val="nil"/>
            </w:tcBorders>
            <w:shd w:val="clear" w:color="auto" w:fill="auto"/>
            <w:vAlign w:val="center"/>
          </w:tcPr>
          <w:p w14:paraId="5BAFBC37">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10.09</w:t>
            </w:r>
          </w:p>
        </w:tc>
        <w:tc>
          <w:tcPr>
            <w:tcW w:w="0" w:type="auto"/>
            <w:tcBorders>
              <w:tl2br w:val="nil"/>
              <w:tr2bl w:val="nil"/>
            </w:tcBorders>
            <w:shd w:val="clear" w:color="auto" w:fill="auto"/>
            <w:vAlign w:val="center"/>
          </w:tcPr>
          <w:p w14:paraId="42860AA3">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5</w:t>
            </w:r>
          </w:p>
        </w:tc>
      </w:tr>
      <w:tr w14:paraId="55D849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1216" w:type="dxa"/>
            <w:tcBorders>
              <w:tl2br w:val="nil"/>
              <w:tr2bl w:val="nil"/>
            </w:tcBorders>
            <w:vAlign w:val="center"/>
          </w:tcPr>
          <w:p w14:paraId="2388957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总氮mg/L</w:t>
            </w:r>
          </w:p>
        </w:tc>
        <w:tc>
          <w:tcPr>
            <w:tcW w:w="1161" w:type="dxa"/>
            <w:tcBorders>
              <w:tl2br w:val="nil"/>
              <w:tr2bl w:val="nil"/>
            </w:tcBorders>
            <w:shd w:val="clear" w:color="auto" w:fill="auto"/>
            <w:vAlign w:val="center"/>
          </w:tcPr>
          <w:p w14:paraId="55772DBE">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0.62</w:t>
            </w:r>
          </w:p>
        </w:tc>
        <w:tc>
          <w:tcPr>
            <w:tcW w:w="1059" w:type="dxa"/>
            <w:tcBorders>
              <w:tl2br w:val="nil"/>
              <w:tr2bl w:val="nil"/>
            </w:tcBorders>
            <w:shd w:val="clear" w:color="auto" w:fill="auto"/>
            <w:vAlign w:val="center"/>
          </w:tcPr>
          <w:p w14:paraId="34441EEA">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0.50</w:t>
            </w:r>
          </w:p>
        </w:tc>
        <w:tc>
          <w:tcPr>
            <w:tcW w:w="1095" w:type="dxa"/>
            <w:tcBorders>
              <w:tl2br w:val="nil"/>
              <w:tr2bl w:val="nil"/>
            </w:tcBorders>
            <w:shd w:val="clear" w:color="auto" w:fill="auto"/>
            <w:vAlign w:val="center"/>
          </w:tcPr>
          <w:p w14:paraId="78CF957B">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0.89</w:t>
            </w:r>
          </w:p>
        </w:tc>
        <w:tc>
          <w:tcPr>
            <w:tcW w:w="1095" w:type="dxa"/>
            <w:tcBorders>
              <w:tl2br w:val="nil"/>
              <w:tr2bl w:val="nil"/>
            </w:tcBorders>
            <w:shd w:val="clear" w:color="auto" w:fill="auto"/>
            <w:vAlign w:val="center"/>
          </w:tcPr>
          <w:p w14:paraId="73AF2E93">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0.45</w:t>
            </w:r>
          </w:p>
        </w:tc>
        <w:tc>
          <w:tcPr>
            <w:tcW w:w="1080" w:type="dxa"/>
            <w:tcBorders>
              <w:tl2br w:val="nil"/>
              <w:tr2bl w:val="nil"/>
            </w:tcBorders>
            <w:shd w:val="clear" w:color="auto" w:fill="auto"/>
            <w:vAlign w:val="center"/>
          </w:tcPr>
          <w:p w14:paraId="23942FD6">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0.54</w:t>
            </w:r>
          </w:p>
        </w:tc>
        <w:tc>
          <w:tcPr>
            <w:tcW w:w="1093" w:type="dxa"/>
            <w:tcBorders>
              <w:tl2br w:val="nil"/>
              <w:tr2bl w:val="nil"/>
            </w:tcBorders>
            <w:shd w:val="clear" w:color="auto" w:fill="auto"/>
            <w:vAlign w:val="center"/>
          </w:tcPr>
          <w:p w14:paraId="308CF98D">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0.99</w:t>
            </w:r>
          </w:p>
        </w:tc>
        <w:tc>
          <w:tcPr>
            <w:tcW w:w="0" w:type="auto"/>
            <w:tcBorders>
              <w:tl2br w:val="nil"/>
              <w:tr2bl w:val="nil"/>
            </w:tcBorders>
            <w:shd w:val="clear" w:color="auto" w:fill="auto"/>
            <w:vAlign w:val="center"/>
          </w:tcPr>
          <w:p w14:paraId="0B83C36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1.0</w:t>
            </w:r>
          </w:p>
        </w:tc>
      </w:tr>
      <w:tr w14:paraId="6D72C2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216" w:type="dxa"/>
            <w:tcBorders>
              <w:tl2br w:val="nil"/>
              <w:tr2bl w:val="nil"/>
            </w:tcBorders>
            <w:vAlign w:val="center"/>
          </w:tcPr>
          <w:p w14:paraId="72FBAE7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高锰酸盐指数mg/L</w:t>
            </w:r>
          </w:p>
        </w:tc>
        <w:tc>
          <w:tcPr>
            <w:tcW w:w="1161" w:type="dxa"/>
            <w:tcBorders>
              <w:tl2br w:val="nil"/>
              <w:tr2bl w:val="nil"/>
            </w:tcBorders>
            <w:shd w:val="clear" w:color="auto" w:fill="auto"/>
            <w:vAlign w:val="center"/>
          </w:tcPr>
          <w:p w14:paraId="4A743075">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2.24</w:t>
            </w:r>
          </w:p>
        </w:tc>
        <w:tc>
          <w:tcPr>
            <w:tcW w:w="1059" w:type="dxa"/>
            <w:tcBorders>
              <w:tl2br w:val="nil"/>
              <w:tr2bl w:val="nil"/>
            </w:tcBorders>
            <w:shd w:val="clear" w:color="auto" w:fill="auto"/>
            <w:vAlign w:val="center"/>
          </w:tcPr>
          <w:p w14:paraId="001A64E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2.90</w:t>
            </w:r>
          </w:p>
        </w:tc>
        <w:tc>
          <w:tcPr>
            <w:tcW w:w="1095" w:type="dxa"/>
            <w:tcBorders>
              <w:tl2br w:val="nil"/>
              <w:tr2bl w:val="nil"/>
            </w:tcBorders>
            <w:shd w:val="clear" w:color="auto" w:fill="auto"/>
            <w:vAlign w:val="center"/>
          </w:tcPr>
          <w:p w14:paraId="5BB2CF5E">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3.34</w:t>
            </w:r>
          </w:p>
        </w:tc>
        <w:tc>
          <w:tcPr>
            <w:tcW w:w="1095" w:type="dxa"/>
            <w:tcBorders>
              <w:tl2br w:val="nil"/>
              <w:tr2bl w:val="nil"/>
            </w:tcBorders>
            <w:shd w:val="clear" w:color="auto" w:fill="auto"/>
            <w:vAlign w:val="center"/>
          </w:tcPr>
          <w:p w14:paraId="33A09735">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2.20</w:t>
            </w:r>
          </w:p>
        </w:tc>
        <w:tc>
          <w:tcPr>
            <w:tcW w:w="1080" w:type="dxa"/>
            <w:tcBorders>
              <w:tl2br w:val="nil"/>
              <w:tr2bl w:val="nil"/>
            </w:tcBorders>
            <w:shd w:val="clear" w:color="auto" w:fill="auto"/>
            <w:vAlign w:val="center"/>
          </w:tcPr>
          <w:p w14:paraId="07C9D8F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2.94</w:t>
            </w:r>
          </w:p>
        </w:tc>
        <w:tc>
          <w:tcPr>
            <w:tcW w:w="1093" w:type="dxa"/>
            <w:tcBorders>
              <w:tl2br w:val="nil"/>
              <w:tr2bl w:val="nil"/>
            </w:tcBorders>
            <w:shd w:val="clear" w:color="auto" w:fill="auto"/>
            <w:vAlign w:val="center"/>
          </w:tcPr>
          <w:p w14:paraId="5326172B">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3.70</w:t>
            </w:r>
          </w:p>
        </w:tc>
        <w:tc>
          <w:tcPr>
            <w:tcW w:w="0" w:type="auto"/>
            <w:tcBorders>
              <w:tl2br w:val="nil"/>
              <w:tr2bl w:val="nil"/>
            </w:tcBorders>
            <w:shd w:val="clear" w:color="auto" w:fill="auto"/>
            <w:vAlign w:val="center"/>
          </w:tcPr>
          <w:p w14:paraId="066C082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6</w:t>
            </w:r>
          </w:p>
        </w:tc>
      </w:tr>
      <w:tr w14:paraId="79EE28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216" w:type="dxa"/>
            <w:tcBorders>
              <w:tl2br w:val="nil"/>
              <w:tr2bl w:val="nil"/>
            </w:tcBorders>
            <w:vAlign w:val="center"/>
          </w:tcPr>
          <w:p w14:paraId="493DF05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氨氮mg/L</w:t>
            </w:r>
          </w:p>
        </w:tc>
        <w:tc>
          <w:tcPr>
            <w:tcW w:w="1161" w:type="dxa"/>
            <w:tcBorders>
              <w:tl2br w:val="nil"/>
              <w:tr2bl w:val="nil"/>
            </w:tcBorders>
            <w:shd w:val="clear" w:color="auto" w:fill="auto"/>
            <w:vAlign w:val="center"/>
          </w:tcPr>
          <w:p w14:paraId="17066C6D">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0.08</w:t>
            </w:r>
          </w:p>
        </w:tc>
        <w:tc>
          <w:tcPr>
            <w:tcW w:w="1059" w:type="dxa"/>
            <w:tcBorders>
              <w:tl2br w:val="nil"/>
              <w:tr2bl w:val="nil"/>
            </w:tcBorders>
            <w:shd w:val="clear" w:color="auto" w:fill="auto"/>
            <w:vAlign w:val="center"/>
          </w:tcPr>
          <w:p w14:paraId="49A36F37">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0.24</w:t>
            </w:r>
          </w:p>
        </w:tc>
        <w:tc>
          <w:tcPr>
            <w:tcW w:w="1095" w:type="dxa"/>
            <w:tcBorders>
              <w:tl2br w:val="nil"/>
              <w:tr2bl w:val="nil"/>
            </w:tcBorders>
            <w:shd w:val="clear" w:color="auto" w:fill="auto"/>
            <w:vAlign w:val="center"/>
          </w:tcPr>
          <w:p w14:paraId="335D194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0.27</w:t>
            </w:r>
          </w:p>
        </w:tc>
        <w:tc>
          <w:tcPr>
            <w:tcW w:w="1095" w:type="dxa"/>
            <w:tcBorders>
              <w:tl2br w:val="nil"/>
              <w:tr2bl w:val="nil"/>
            </w:tcBorders>
            <w:shd w:val="clear" w:color="auto" w:fill="auto"/>
            <w:vAlign w:val="center"/>
          </w:tcPr>
          <w:p w14:paraId="6B948B8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0.14</w:t>
            </w:r>
          </w:p>
        </w:tc>
        <w:tc>
          <w:tcPr>
            <w:tcW w:w="1080" w:type="dxa"/>
            <w:tcBorders>
              <w:tl2br w:val="nil"/>
              <w:tr2bl w:val="nil"/>
            </w:tcBorders>
            <w:shd w:val="clear" w:color="auto" w:fill="auto"/>
            <w:vAlign w:val="center"/>
          </w:tcPr>
          <w:p w14:paraId="2F5B3C33">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0.25</w:t>
            </w:r>
          </w:p>
        </w:tc>
        <w:tc>
          <w:tcPr>
            <w:tcW w:w="1093" w:type="dxa"/>
            <w:tcBorders>
              <w:tl2br w:val="nil"/>
              <w:tr2bl w:val="nil"/>
            </w:tcBorders>
            <w:shd w:val="clear" w:color="auto" w:fill="auto"/>
            <w:vAlign w:val="center"/>
          </w:tcPr>
          <w:p w14:paraId="15B18C1D">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0.25</w:t>
            </w:r>
          </w:p>
        </w:tc>
        <w:tc>
          <w:tcPr>
            <w:tcW w:w="0" w:type="auto"/>
            <w:tcBorders>
              <w:tl2br w:val="nil"/>
              <w:tr2bl w:val="nil"/>
            </w:tcBorders>
            <w:shd w:val="clear" w:color="auto" w:fill="auto"/>
            <w:vAlign w:val="center"/>
          </w:tcPr>
          <w:p w14:paraId="1DA7C797">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1.0</w:t>
            </w:r>
          </w:p>
        </w:tc>
      </w:tr>
      <w:tr w14:paraId="53EA3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216" w:type="dxa"/>
            <w:tcBorders>
              <w:tl2br w:val="nil"/>
              <w:tr2bl w:val="nil"/>
            </w:tcBorders>
            <w:vAlign w:val="center"/>
          </w:tcPr>
          <w:p w14:paraId="13D20FC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总磷mg/L</w:t>
            </w:r>
          </w:p>
        </w:tc>
        <w:tc>
          <w:tcPr>
            <w:tcW w:w="1161" w:type="dxa"/>
            <w:tcBorders>
              <w:tl2br w:val="nil"/>
              <w:tr2bl w:val="nil"/>
            </w:tcBorders>
            <w:shd w:val="clear" w:color="auto" w:fill="auto"/>
            <w:vAlign w:val="center"/>
          </w:tcPr>
          <w:p w14:paraId="2714F5F5">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0.03</w:t>
            </w:r>
          </w:p>
        </w:tc>
        <w:tc>
          <w:tcPr>
            <w:tcW w:w="1059" w:type="dxa"/>
            <w:tcBorders>
              <w:tl2br w:val="nil"/>
              <w:tr2bl w:val="nil"/>
            </w:tcBorders>
            <w:shd w:val="clear" w:color="auto" w:fill="auto"/>
            <w:vAlign w:val="center"/>
          </w:tcPr>
          <w:p w14:paraId="43CFF05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0.02</w:t>
            </w:r>
          </w:p>
        </w:tc>
        <w:tc>
          <w:tcPr>
            <w:tcW w:w="1095" w:type="dxa"/>
            <w:tcBorders>
              <w:tl2br w:val="nil"/>
              <w:tr2bl w:val="nil"/>
            </w:tcBorders>
            <w:shd w:val="clear" w:color="auto" w:fill="auto"/>
            <w:vAlign w:val="center"/>
          </w:tcPr>
          <w:p w14:paraId="613CA9D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0.03</w:t>
            </w:r>
          </w:p>
        </w:tc>
        <w:tc>
          <w:tcPr>
            <w:tcW w:w="1095" w:type="dxa"/>
            <w:tcBorders>
              <w:tl2br w:val="nil"/>
              <w:tr2bl w:val="nil"/>
            </w:tcBorders>
            <w:shd w:val="clear" w:color="auto" w:fill="auto"/>
            <w:vAlign w:val="center"/>
          </w:tcPr>
          <w:p w14:paraId="5F0FEB92">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0.03</w:t>
            </w:r>
          </w:p>
        </w:tc>
        <w:tc>
          <w:tcPr>
            <w:tcW w:w="1080" w:type="dxa"/>
            <w:tcBorders>
              <w:tl2br w:val="nil"/>
              <w:tr2bl w:val="nil"/>
            </w:tcBorders>
            <w:shd w:val="clear" w:color="auto" w:fill="auto"/>
            <w:vAlign w:val="center"/>
          </w:tcPr>
          <w:p w14:paraId="32E0EBB2">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0.03</w:t>
            </w:r>
          </w:p>
        </w:tc>
        <w:tc>
          <w:tcPr>
            <w:tcW w:w="1093" w:type="dxa"/>
            <w:tcBorders>
              <w:tl2br w:val="nil"/>
              <w:tr2bl w:val="nil"/>
            </w:tcBorders>
            <w:shd w:val="clear" w:color="auto" w:fill="auto"/>
            <w:vAlign w:val="center"/>
          </w:tcPr>
          <w:p w14:paraId="5508E7A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0.03</w:t>
            </w:r>
          </w:p>
        </w:tc>
        <w:tc>
          <w:tcPr>
            <w:tcW w:w="0" w:type="auto"/>
            <w:tcBorders>
              <w:tl2br w:val="nil"/>
              <w:tr2bl w:val="nil"/>
            </w:tcBorders>
            <w:shd w:val="clear" w:color="auto" w:fill="auto"/>
            <w:vAlign w:val="center"/>
          </w:tcPr>
          <w:p w14:paraId="09668B0B">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0.2</w:t>
            </w:r>
          </w:p>
        </w:tc>
      </w:tr>
      <w:tr w14:paraId="443A88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216" w:type="dxa"/>
            <w:tcBorders>
              <w:tl2br w:val="nil"/>
              <w:tr2bl w:val="nil"/>
            </w:tcBorders>
            <w:vAlign w:val="center"/>
          </w:tcPr>
          <w:p w14:paraId="18CEA73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电导率μS/cm</w:t>
            </w:r>
          </w:p>
        </w:tc>
        <w:tc>
          <w:tcPr>
            <w:tcW w:w="1161" w:type="dxa"/>
            <w:tcBorders>
              <w:tl2br w:val="nil"/>
              <w:tr2bl w:val="nil"/>
            </w:tcBorders>
            <w:shd w:val="clear" w:color="auto" w:fill="auto"/>
            <w:vAlign w:val="center"/>
          </w:tcPr>
          <w:p w14:paraId="636CAE41">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451.98</w:t>
            </w:r>
          </w:p>
        </w:tc>
        <w:tc>
          <w:tcPr>
            <w:tcW w:w="1059" w:type="dxa"/>
            <w:tcBorders>
              <w:tl2br w:val="nil"/>
              <w:tr2bl w:val="nil"/>
            </w:tcBorders>
            <w:shd w:val="clear" w:color="auto" w:fill="auto"/>
            <w:vAlign w:val="center"/>
          </w:tcPr>
          <w:p w14:paraId="61B24F2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368.39</w:t>
            </w:r>
          </w:p>
        </w:tc>
        <w:tc>
          <w:tcPr>
            <w:tcW w:w="1095" w:type="dxa"/>
            <w:tcBorders>
              <w:tl2br w:val="nil"/>
              <w:tr2bl w:val="nil"/>
            </w:tcBorders>
            <w:shd w:val="clear" w:color="auto" w:fill="auto"/>
            <w:vAlign w:val="center"/>
          </w:tcPr>
          <w:p w14:paraId="3753898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356.14</w:t>
            </w:r>
          </w:p>
        </w:tc>
        <w:tc>
          <w:tcPr>
            <w:tcW w:w="1095" w:type="dxa"/>
            <w:tcBorders>
              <w:tl2br w:val="nil"/>
              <w:tr2bl w:val="nil"/>
            </w:tcBorders>
            <w:shd w:val="clear" w:color="auto" w:fill="auto"/>
            <w:vAlign w:val="center"/>
          </w:tcPr>
          <w:p w14:paraId="2C07852E">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475.34</w:t>
            </w:r>
          </w:p>
        </w:tc>
        <w:tc>
          <w:tcPr>
            <w:tcW w:w="1080" w:type="dxa"/>
            <w:tcBorders>
              <w:tl2br w:val="nil"/>
              <w:tr2bl w:val="nil"/>
            </w:tcBorders>
            <w:shd w:val="clear" w:color="auto" w:fill="auto"/>
            <w:vAlign w:val="center"/>
          </w:tcPr>
          <w:p w14:paraId="63F264B5">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388.64</w:t>
            </w:r>
          </w:p>
        </w:tc>
        <w:tc>
          <w:tcPr>
            <w:tcW w:w="1093" w:type="dxa"/>
            <w:tcBorders>
              <w:tl2br w:val="nil"/>
              <w:tr2bl w:val="nil"/>
            </w:tcBorders>
            <w:shd w:val="clear" w:color="auto" w:fill="auto"/>
            <w:vAlign w:val="center"/>
          </w:tcPr>
          <w:p w14:paraId="1DC51511">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371.15</w:t>
            </w:r>
          </w:p>
        </w:tc>
        <w:tc>
          <w:tcPr>
            <w:tcW w:w="0" w:type="auto"/>
            <w:tcBorders>
              <w:tl2br w:val="nil"/>
              <w:tr2bl w:val="nil"/>
            </w:tcBorders>
            <w:shd w:val="clear" w:color="auto" w:fill="auto"/>
            <w:vAlign w:val="center"/>
          </w:tcPr>
          <w:p w14:paraId="2DB8934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w:t>
            </w:r>
          </w:p>
        </w:tc>
      </w:tr>
      <w:tr w14:paraId="71C0D1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216" w:type="dxa"/>
            <w:tcBorders>
              <w:tl2br w:val="nil"/>
              <w:tr2bl w:val="nil"/>
            </w:tcBorders>
            <w:vAlign w:val="center"/>
          </w:tcPr>
          <w:p w14:paraId="3941B30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浊度NTU</w:t>
            </w:r>
          </w:p>
        </w:tc>
        <w:tc>
          <w:tcPr>
            <w:tcW w:w="1161" w:type="dxa"/>
            <w:tcBorders>
              <w:tl2br w:val="nil"/>
              <w:tr2bl w:val="nil"/>
            </w:tcBorders>
            <w:shd w:val="clear" w:color="auto" w:fill="auto"/>
            <w:vAlign w:val="center"/>
          </w:tcPr>
          <w:p w14:paraId="25271A15">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22.35</w:t>
            </w:r>
          </w:p>
        </w:tc>
        <w:tc>
          <w:tcPr>
            <w:tcW w:w="1059" w:type="dxa"/>
            <w:tcBorders>
              <w:tl2br w:val="nil"/>
              <w:tr2bl w:val="nil"/>
            </w:tcBorders>
            <w:shd w:val="clear" w:color="auto" w:fill="auto"/>
            <w:vAlign w:val="center"/>
          </w:tcPr>
          <w:p w14:paraId="7F90F7D5">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105.66</w:t>
            </w:r>
          </w:p>
        </w:tc>
        <w:tc>
          <w:tcPr>
            <w:tcW w:w="1095" w:type="dxa"/>
            <w:tcBorders>
              <w:tl2br w:val="nil"/>
              <w:tr2bl w:val="nil"/>
            </w:tcBorders>
            <w:shd w:val="clear" w:color="auto" w:fill="auto"/>
            <w:vAlign w:val="center"/>
          </w:tcPr>
          <w:p w14:paraId="6F5D5BCB">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53.07</w:t>
            </w:r>
          </w:p>
        </w:tc>
        <w:tc>
          <w:tcPr>
            <w:tcW w:w="1095" w:type="dxa"/>
            <w:tcBorders>
              <w:tl2br w:val="nil"/>
              <w:tr2bl w:val="nil"/>
            </w:tcBorders>
            <w:shd w:val="clear" w:color="auto" w:fill="auto"/>
            <w:vAlign w:val="center"/>
          </w:tcPr>
          <w:p w14:paraId="60783825">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109.28</w:t>
            </w:r>
          </w:p>
        </w:tc>
        <w:tc>
          <w:tcPr>
            <w:tcW w:w="1080" w:type="dxa"/>
            <w:tcBorders>
              <w:tl2br w:val="nil"/>
              <w:tr2bl w:val="nil"/>
            </w:tcBorders>
            <w:shd w:val="clear" w:color="auto" w:fill="auto"/>
            <w:vAlign w:val="center"/>
          </w:tcPr>
          <w:p w14:paraId="67178F04">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198.74</w:t>
            </w:r>
          </w:p>
        </w:tc>
        <w:tc>
          <w:tcPr>
            <w:tcW w:w="1093" w:type="dxa"/>
            <w:tcBorders>
              <w:tl2br w:val="nil"/>
              <w:tr2bl w:val="nil"/>
            </w:tcBorders>
            <w:shd w:val="clear" w:color="auto" w:fill="auto"/>
            <w:vAlign w:val="center"/>
          </w:tcPr>
          <w:p w14:paraId="14492547">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148.62</w:t>
            </w:r>
          </w:p>
        </w:tc>
        <w:tc>
          <w:tcPr>
            <w:tcW w:w="0" w:type="auto"/>
            <w:tcBorders>
              <w:tl2br w:val="nil"/>
              <w:tr2bl w:val="nil"/>
            </w:tcBorders>
            <w:shd w:val="clear" w:color="auto" w:fill="auto"/>
            <w:vAlign w:val="center"/>
          </w:tcPr>
          <w:p w14:paraId="5A982EA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w:t>
            </w:r>
          </w:p>
        </w:tc>
      </w:tr>
      <w:tr w14:paraId="77B01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216" w:type="dxa"/>
            <w:tcBorders>
              <w:tl2br w:val="nil"/>
              <w:tr2bl w:val="nil"/>
            </w:tcBorders>
            <w:vAlign w:val="center"/>
          </w:tcPr>
          <w:p w14:paraId="54FC56D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水位m</w:t>
            </w:r>
          </w:p>
        </w:tc>
        <w:tc>
          <w:tcPr>
            <w:tcW w:w="1161" w:type="dxa"/>
            <w:tcBorders>
              <w:tl2br w:val="nil"/>
              <w:tr2bl w:val="nil"/>
            </w:tcBorders>
            <w:shd w:val="clear" w:color="auto" w:fill="auto"/>
            <w:vAlign w:val="center"/>
          </w:tcPr>
          <w:p w14:paraId="6480FFAE">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6.20</w:t>
            </w:r>
          </w:p>
        </w:tc>
        <w:tc>
          <w:tcPr>
            <w:tcW w:w="1059" w:type="dxa"/>
            <w:tcBorders>
              <w:tl2br w:val="nil"/>
              <w:tr2bl w:val="nil"/>
            </w:tcBorders>
            <w:shd w:val="clear" w:color="auto" w:fill="auto"/>
            <w:vAlign w:val="center"/>
          </w:tcPr>
          <w:p w14:paraId="2AEF7671">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5.89</w:t>
            </w:r>
          </w:p>
        </w:tc>
        <w:tc>
          <w:tcPr>
            <w:tcW w:w="1095" w:type="dxa"/>
            <w:tcBorders>
              <w:tl2br w:val="nil"/>
              <w:tr2bl w:val="nil"/>
            </w:tcBorders>
            <w:shd w:val="clear" w:color="auto" w:fill="auto"/>
            <w:vAlign w:val="center"/>
          </w:tcPr>
          <w:p w14:paraId="4FC1CF0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6.66</w:t>
            </w:r>
          </w:p>
        </w:tc>
        <w:tc>
          <w:tcPr>
            <w:tcW w:w="1095" w:type="dxa"/>
            <w:tcBorders>
              <w:tl2br w:val="nil"/>
              <w:tr2bl w:val="nil"/>
            </w:tcBorders>
            <w:vAlign w:val="center"/>
          </w:tcPr>
          <w:p w14:paraId="513B5F3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1080" w:type="dxa"/>
            <w:tcBorders>
              <w:tl2br w:val="nil"/>
              <w:tr2bl w:val="nil"/>
            </w:tcBorders>
            <w:vAlign w:val="center"/>
          </w:tcPr>
          <w:p w14:paraId="26C7BFA7">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lang w:val="en-US" w:eastAsia="zh-CN"/>
              </w:rPr>
              <w:t>/</w:t>
            </w:r>
          </w:p>
        </w:tc>
        <w:tc>
          <w:tcPr>
            <w:tcW w:w="1093" w:type="dxa"/>
            <w:tcBorders>
              <w:tl2br w:val="nil"/>
              <w:tr2bl w:val="nil"/>
            </w:tcBorders>
            <w:vAlign w:val="center"/>
          </w:tcPr>
          <w:p w14:paraId="25D2947B">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lang w:val="en-US" w:eastAsia="zh-CN"/>
              </w:rPr>
              <w:t>/</w:t>
            </w:r>
          </w:p>
        </w:tc>
        <w:tc>
          <w:tcPr>
            <w:tcW w:w="0" w:type="auto"/>
            <w:tcBorders>
              <w:tl2br w:val="nil"/>
              <w:tr2bl w:val="nil"/>
            </w:tcBorders>
            <w:vAlign w:val="center"/>
          </w:tcPr>
          <w:p w14:paraId="5564257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r w14:paraId="193244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216" w:type="dxa"/>
            <w:tcBorders>
              <w:tl2br w:val="nil"/>
              <w:tr2bl w:val="nil"/>
            </w:tcBorders>
            <w:vAlign w:val="center"/>
          </w:tcPr>
          <w:p w14:paraId="581E964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流速m/s</w:t>
            </w:r>
          </w:p>
        </w:tc>
        <w:tc>
          <w:tcPr>
            <w:tcW w:w="1161" w:type="dxa"/>
            <w:tcBorders>
              <w:tl2br w:val="nil"/>
              <w:tr2bl w:val="nil"/>
            </w:tcBorders>
            <w:shd w:val="clear" w:color="auto" w:fill="auto"/>
            <w:vAlign w:val="center"/>
          </w:tcPr>
          <w:p w14:paraId="2EF73B74">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0.14</w:t>
            </w:r>
          </w:p>
        </w:tc>
        <w:tc>
          <w:tcPr>
            <w:tcW w:w="1059" w:type="dxa"/>
            <w:tcBorders>
              <w:tl2br w:val="nil"/>
              <w:tr2bl w:val="nil"/>
            </w:tcBorders>
            <w:shd w:val="clear" w:color="auto" w:fill="auto"/>
            <w:vAlign w:val="center"/>
          </w:tcPr>
          <w:p w14:paraId="64E55F0D">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0.21</w:t>
            </w:r>
          </w:p>
        </w:tc>
        <w:tc>
          <w:tcPr>
            <w:tcW w:w="1095" w:type="dxa"/>
            <w:tcBorders>
              <w:tl2br w:val="nil"/>
              <w:tr2bl w:val="nil"/>
            </w:tcBorders>
            <w:shd w:val="clear" w:color="auto" w:fill="auto"/>
            <w:vAlign w:val="center"/>
          </w:tcPr>
          <w:p w14:paraId="6CC349C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0.21</w:t>
            </w:r>
          </w:p>
        </w:tc>
        <w:tc>
          <w:tcPr>
            <w:tcW w:w="1095" w:type="dxa"/>
            <w:tcBorders>
              <w:tl2br w:val="nil"/>
              <w:tr2bl w:val="nil"/>
            </w:tcBorders>
            <w:vAlign w:val="center"/>
          </w:tcPr>
          <w:p w14:paraId="4C025D0D">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lang w:val="en-US" w:eastAsia="zh-CN"/>
              </w:rPr>
              <w:t>/</w:t>
            </w:r>
          </w:p>
        </w:tc>
        <w:tc>
          <w:tcPr>
            <w:tcW w:w="1080" w:type="dxa"/>
            <w:tcBorders>
              <w:tl2br w:val="nil"/>
              <w:tr2bl w:val="nil"/>
            </w:tcBorders>
            <w:vAlign w:val="center"/>
          </w:tcPr>
          <w:p w14:paraId="0C1328D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lang w:val="en-US" w:eastAsia="zh-CN"/>
              </w:rPr>
              <w:t>/</w:t>
            </w:r>
          </w:p>
        </w:tc>
        <w:tc>
          <w:tcPr>
            <w:tcW w:w="1093" w:type="dxa"/>
            <w:tcBorders>
              <w:tl2br w:val="nil"/>
              <w:tr2bl w:val="nil"/>
            </w:tcBorders>
            <w:vAlign w:val="center"/>
          </w:tcPr>
          <w:p w14:paraId="34B182F2">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lang w:val="en-US" w:eastAsia="zh-CN"/>
              </w:rPr>
              <w:t>/</w:t>
            </w:r>
          </w:p>
        </w:tc>
        <w:tc>
          <w:tcPr>
            <w:tcW w:w="0" w:type="auto"/>
            <w:tcBorders>
              <w:tl2br w:val="nil"/>
              <w:tr2bl w:val="nil"/>
            </w:tcBorders>
            <w:vAlign w:val="center"/>
          </w:tcPr>
          <w:p w14:paraId="41077C9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r w14:paraId="2E6A75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1216" w:type="dxa"/>
            <w:tcBorders>
              <w:tl2br w:val="nil"/>
              <w:tr2bl w:val="nil"/>
            </w:tcBorders>
            <w:vAlign w:val="center"/>
          </w:tcPr>
          <w:p w14:paraId="5742E882">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瞬时流量m³/s</w:t>
            </w:r>
          </w:p>
        </w:tc>
        <w:tc>
          <w:tcPr>
            <w:tcW w:w="1161" w:type="dxa"/>
            <w:tcBorders>
              <w:tl2br w:val="nil"/>
              <w:tr2bl w:val="nil"/>
            </w:tcBorders>
            <w:shd w:val="clear" w:color="auto" w:fill="auto"/>
            <w:vAlign w:val="center"/>
          </w:tcPr>
          <w:p w14:paraId="630920F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63.39</w:t>
            </w:r>
          </w:p>
        </w:tc>
        <w:tc>
          <w:tcPr>
            <w:tcW w:w="1059" w:type="dxa"/>
            <w:tcBorders>
              <w:tl2br w:val="nil"/>
              <w:tr2bl w:val="nil"/>
            </w:tcBorders>
            <w:shd w:val="clear" w:color="auto" w:fill="auto"/>
            <w:vAlign w:val="center"/>
          </w:tcPr>
          <w:p w14:paraId="21C45B8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89.91</w:t>
            </w:r>
          </w:p>
        </w:tc>
        <w:tc>
          <w:tcPr>
            <w:tcW w:w="1095" w:type="dxa"/>
            <w:tcBorders>
              <w:tl2br w:val="nil"/>
              <w:tr2bl w:val="nil"/>
            </w:tcBorders>
            <w:shd w:val="clear" w:color="auto" w:fill="auto"/>
            <w:vAlign w:val="center"/>
          </w:tcPr>
          <w:p w14:paraId="1D5568A2">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111.06</w:t>
            </w:r>
          </w:p>
        </w:tc>
        <w:tc>
          <w:tcPr>
            <w:tcW w:w="1095" w:type="dxa"/>
            <w:tcBorders>
              <w:tl2br w:val="nil"/>
              <w:tr2bl w:val="nil"/>
            </w:tcBorders>
            <w:vAlign w:val="center"/>
          </w:tcPr>
          <w:p w14:paraId="08C6244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lang w:val="en-US" w:eastAsia="zh-CN"/>
              </w:rPr>
              <w:t>/</w:t>
            </w:r>
          </w:p>
        </w:tc>
        <w:tc>
          <w:tcPr>
            <w:tcW w:w="1080" w:type="dxa"/>
            <w:tcBorders>
              <w:tl2br w:val="nil"/>
              <w:tr2bl w:val="nil"/>
            </w:tcBorders>
            <w:vAlign w:val="center"/>
          </w:tcPr>
          <w:p w14:paraId="4A31C612">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lang w:val="en-US" w:eastAsia="zh-CN"/>
              </w:rPr>
              <w:t>/</w:t>
            </w:r>
          </w:p>
        </w:tc>
        <w:tc>
          <w:tcPr>
            <w:tcW w:w="1093" w:type="dxa"/>
            <w:tcBorders>
              <w:tl2br w:val="nil"/>
              <w:tr2bl w:val="nil"/>
            </w:tcBorders>
            <w:vAlign w:val="center"/>
          </w:tcPr>
          <w:p w14:paraId="32CF133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lang w:val="en-US" w:eastAsia="zh-CN"/>
              </w:rPr>
              <w:t>/</w:t>
            </w:r>
          </w:p>
        </w:tc>
        <w:tc>
          <w:tcPr>
            <w:tcW w:w="0" w:type="auto"/>
            <w:tcBorders>
              <w:tl2br w:val="nil"/>
              <w:tr2bl w:val="nil"/>
            </w:tcBorders>
            <w:vAlign w:val="center"/>
          </w:tcPr>
          <w:p w14:paraId="190064D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bl>
    <w:p w14:paraId="54CE6981">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b/>
          <w:bCs/>
          <w:color w:val="auto"/>
          <w:spacing w:val="-3"/>
          <w:sz w:val="24"/>
          <w:szCs w:val="24"/>
          <w:highlight w:val="none"/>
          <w:lang w:val="en-US" w:eastAsia="zh-CN"/>
        </w:rPr>
      </w:pPr>
      <w:r>
        <w:rPr>
          <w:color w:val="auto"/>
          <w:highlight w:val="none"/>
        </w:rPr>
        <w:fldChar w:fldCharType="begin"/>
      </w:r>
      <w:r>
        <w:rPr>
          <w:color w:val="auto"/>
          <w:highlight w:val="none"/>
        </w:rPr>
        <w:instrText xml:space="preserve"> HYPERLINK "6.3.2.1" </w:instrText>
      </w:r>
      <w:r>
        <w:rPr>
          <w:color w:val="auto"/>
          <w:highlight w:val="none"/>
        </w:rPr>
        <w:fldChar w:fldCharType="separate"/>
      </w:r>
      <w:r>
        <w:rPr>
          <w:rFonts w:ascii="Times New Roman" w:hAnsi="Times New Roman" w:eastAsia="Times New Roman" w:cs="Times New Roman"/>
          <w:b/>
          <w:bCs/>
          <w:color w:val="auto"/>
          <w:spacing w:val="-3"/>
          <w:sz w:val="24"/>
          <w:szCs w:val="24"/>
          <w:highlight w:val="none"/>
        </w:rPr>
        <w:t>6.3.2.</w:t>
      </w:r>
      <w:r>
        <w:rPr>
          <w:rFonts w:hint="eastAsia" w:ascii="Times New Roman" w:hAnsi="Times New Roman" w:eastAsia="宋体" w:cs="Times New Roman"/>
          <w:b/>
          <w:bCs/>
          <w:color w:val="auto"/>
          <w:spacing w:val="-3"/>
          <w:sz w:val="24"/>
          <w:szCs w:val="24"/>
          <w:highlight w:val="none"/>
          <w:lang w:val="en-US" w:eastAsia="zh-CN"/>
        </w:rPr>
        <w:t>2</w:t>
      </w:r>
      <w:r>
        <w:rPr>
          <w:rFonts w:ascii="Times New Roman" w:hAnsi="Times New Roman" w:eastAsia="Times New Roman" w:cs="Times New Roman"/>
          <w:b/>
          <w:bCs/>
          <w:color w:val="auto"/>
          <w:spacing w:val="-3"/>
          <w:sz w:val="24"/>
          <w:szCs w:val="24"/>
          <w:highlight w:val="none"/>
        </w:rPr>
        <w:fldChar w:fldCharType="end"/>
      </w:r>
      <w:r>
        <w:rPr>
          <w:rFonts w:hint="eastAsia" w:ascii="宋体" w:hAnsi="宋体" w:eastAsia="宋体" w:cs="宋体"/>
          <w:b/>
          <w:bCs/>
          <w:color w:val="auto"/>
          <w:spacing w:val="-3"/>
          <w:sz w:val="24"/>
          <w:szCs w:val="24"/>
          <w:highlight w:val="none"/>
          <w:lang w:val="en-US" w:eastAsia="zh-CN"/>
        </w:rPr>
        <w:t>国省考断面</w:t>
      </w:r>
      <w:r>
        <w:rPr>
          <w:rFonts w:ascii="宋体" w:hAnsi="宋体" w:eastAsia="宋体" w:cs="宋体"/>
          <w:b/>
          <w:bCs/>
          <w:color w:val="auto"/>
          <w:spacing w:val="-3"/>
          <w:sz w:val="24"/>
          <w:szCs w:val="24"/>
          <w:highlight w:val="none"/>
        </w:rPr>
        <w:t>现状</w:t>
      </w:r>
      <w:r>
        <w:rPr>
          <w:rFonts w:hint="eastAsia" w:ascii="宋体" w:hAnsi="宋体" w:eastAsia="宋体" w:cs="宋体"/>
          <w:b/>
          <w:bCs/>
          <w:color w:val="auto"/>
          <w:spacing w:val="-3"/>
          <w:sz w:val="24"/>
          <w:szCs w:val="24"/>
          <w:highlight w:val="none"/>
          <w:lang w:val="en-US" w:eastAsia="zh-CN"/>
        </w:rPr>
        <w:t>数据</w:t>
      </w:r>
      <w:bookmarkStart w:id="1358" w:name="pindex6154"/>
      <w:bookmarkEnd w:id="1358"/>
    </w:p>
    <w:p w14:paraId="4552CE6F">
      <w:pPr>
        <w:keepNext w:val="0"/>
        <w:keepLines w:val="0"/>
        <w:pageBreakBefore w:val="0"/>
        <w:widowControl/>
        <w:kinsoku w:val="0"/>
        <w:wordWrap/>
        <w:overflowPunct/>
        <w:topLinePunct w:val="0"/>
        <w:autoSpaceDE w:val="0"/>
        <w:autoSpaceDN w:val="0"/>
        <w:bidi w:val="0"/>
        <w:adjustRightInd w:val="0"/>
        <w:snapToGrid w:val="0"/>
        <w:spacing w:before="36" w:line="240" w:lineRule="auto"/>
        <w:jc w:val="center"/>
        <w:textAlignment w:val="baseline"/>
        <w:outlineLvl w:val="9"/>
        <w:rPr>
          <w:rFonts w:hint="eastAsia" w:ascii="Times New Roman" w:hAnsi="Times New Roman" w:eastAsia="宋体" w:cs="Times New Roman"/>
          <w:b/>
          <w:bCs/>
          <w:color w:val="auto"/>
          <w:spacing w:val="4"/>
          <w:sz w:val="24"/>
          <w:szCs w:val="24"/>
          <w:highlight w:val="none"/>
          <w:lang w:val="en-US" w:eastAsia="zh-CN"/>
        </w:rPr>
      </w:pPr>
      <w:r>
        <w:rPr>
          <w:rFonts w:hint="eastAsia" w:ascii="Times New Roman" w:hAnsi="Times New Roman" w:eastAsia="宋体" w:cs="Times New Roman"/>
          <w:b/>
          <w:bCs/>
          <w:color w:val="auto"/>
          <w:spacing w:val="4"/>
          <w:sz w:val="24"/>
          <w:szCs w:val="24"/>
          <w:highlight w:val="none"/>
          <w:lang w:val="en-US" w:eastAsia="zh-CN"/>
        </w:rPr>
        <w:t>表6.3-13  洋桥国</w:t>
      </w:r>
      <w:sdt>
        <w:sdtPr>
          <w:rPr>
            <w:color w:val="auto"/>
            <w:highlight w:val="none"/>
          </w:rPr>
          <w:alias w:val="易错词检查"/>
          <w:tag w:val="auto"/>
          <w:id w:val="3082250"/>
        </w:sdtPr>
        <w:sdtEndPr>
          <w:rPr>
            <w:color w:val="auto"/>
            <w:highlight w:val="none"/>
          </w:rPr>
        </w:sdtEndPr>
        <w:sdtContent>
          <w:bookmarkStart w:id="1359" w:name="bkReivew3082250"/>
          <w:r>
            <w:rPr>
              <w:rFonts w:hint="eastAsia" w:ascii="Times New Roman" w:hAnsi="Times New Roman" w:eastAsia="宋体" w:cs="Times New Roman"/>
              <w:b/>
              <w:bCs/>
              <w:color w:val="auto"/>
              <w:spacing w:val="4"/>
              <w:sz w:val="24"/>
              <w:szCs w:val="24"/>
              <w:highlight w:val="none"/>
              <w:lang w:val="en-US" w:eastAsia="zh-CN"/>
            </w:rPr>
            <w:t>考</w:t>
          </w:r>
          <w:bookmarkEnd w:id="1359"/>
        </w:sdtContent>
      </w:sdt>
      <w:r>
        <w:rPr>
          <w:rFonts w:hint="eastAsia" w:ascii="Times New Roman" w:hAnsi="Times New Roman" w:eastAsia="宋体" w:cs="Times New Roman"/>
          <w:b/>
          <w:bCs/>
          <w:color w:val="auto"/>
          <w:spacing w:val="4"/>
          <w:sz w:val="24"/>
          <w:szCs w:val="24"/>
          <w:highlight w:val="none"/>
          <w:lang w:val="en-US" w:eastAsia="zh-CN"/>
        </w:rPr>
        <w:t>断面近期水质评价结果（单位：mg/L）</w:t>
      </w:r>
      <w:bookmarkStart w:id="1360" w:name="pindex6155"/>
      <w:bookmarkEnd w:id="1360"/>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9"/>
        <w:gridCol w:w="1456"/>
        <w:gridCol w:w="1907"/>
        <w:gridCol w:w="1907"/>
        <w:gridCol w:w="1827"/>
      </w:tblGrid>
      <w:tr w14:paraId="08EF9F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359" w:type="dxa"/>
            <w:tcBorders>
              <w:tl2br w:val="nil"/>
              <w:tr2bl w:val="nil"/>
            </w:tcBorders>
            <w:vAlign w:val="center"/>
          </w:tcPr>
          <w:p w14:paraId="7C1149B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pacing w:val="-3"/>
                <w:sz w:val="21"/>
                <w:szCs w:val="21"/>
                <w:highlight w:val="none"/>
                <w:vertAlign w:val="baseline"/>
                <w:lang w:val="en-US" w:eastAsia="zh-CN"/>
              </w:rPr>
            </w:pPr>
            <w:r>
              <w:rPr>
                <w:rFonts w:hint="default" w:ascii="Times New Roman" w:hAnsi="Times New Roman" w:eastAsia="宋体" w:cs="Times New Roman"/>
                <w:b/>
                <w:bCs/>
                <w:color w:val="auto"/>
                <w:spacing w:val="-3"/>
                <w:sz w:val="21"/>
                <w:szCs w:val="21"/>
                <w:highlight w:val="none"/>
                <w:vertAlign w:val="baseline"/>
                <w:lang w:val="en-US" w:eastAsia="zh-CN"/>
              </w:rPr>
              <w:t>项目</w:t>
            </w:r>
          </w:p>
        </w:tc>
        <w:tc>
          <w:tcPr>
            <w:tcW w:w="1456" w:type="dxa"/>
            <w:tcBorders>
              <w:tl2br w:val="nil"/>
              <w:tr2bl w:val="nil"/>
            </w:tcBorders>
            <w:vAlign w:val="center"/>
          </w:tcPr>
          <w:p w14:paraId="276C165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pacing w:val="-3"/>
                <w:sz w:val="21"/>
                <w:szCs w:val="21"/>
                <w:highlight w:val="none"/>
                <w:vertAlign w:val="baseline"/>
              </w:rPr>
            </w:pPr>
            <w:r>
              <w:rPr>
                <w:rFonts w:hint="eastAsia" w:ascii="Times New Roman" w:hAnsi="Times New Roman" w:eastAsia="宋体" w:cs="Times New Roman"/>
                <w:b/>
                <w:bCs/>
                <w:color w:val="auto"/>
                <w:sz w:val="21"/>
                <w:szCs w:val="21"/>
                <w:highlight w:val="none"/>
                <w:lang w:val="en-US" w:eastAsia="zh-CN" w:bidi="ar"/>
              </w:rPr>
              <w:t>Ⅲ</w:t>
            </w:r>
            <w:r>
              <w:rPr>
                <w:rFonts w:hint="default" w:ascii="Times New Roman" w:hAnsi="Times New Roman" w:eastAsia="宋体" w:cs="Times New Roman"/>
                <w:b/>
                <w:bCs/>
                <w:color w:val="auto"/>
                <w:sz w:val="21"/>
                <w:szCs w:val="21"/>
                <w:highlight w:val="none"/>
                <w:lang w:val="en-US" w:eastAsia="zh-CN" w:bidi="ar"/>
              </w:rPr>
              <w:t>类标准</w:t>
            </w:r>
          </w:p>
        </w:tc>
        <w:tc>
          <w:tcPr>
            <w:tcW w:w="1907" w:type="dxa"/>
            <w:tcBorders>
              <w:tl2br w:val="nil"/>
              <w:tr2bl w:val="nil"/>
            </w:tcBorders>
            <w:shd w:val="clear" w:color="auto" w:fill="auto"/>
            <w:vAlign w:val="center"/>
          </w:tcPr>
          <w:p w14:paraId="5D7FC4A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snapToGrid w:val="0"/>
                <w:color w:val="auto"/>
                <w:spacing w:val="-3"/>
                <w:kern w:val="0"/>
                <w:sz w:val="21"/>
                <w:szCs w:val="21"/>
                <w:highlight w:val="none"/>
                <w:vertAlign w:val="baseline"/>
                <w:lang w:val="en-US" w:eastAsia="zh-CN" w:bidi="ar-SA"/>
              </w:rPr>
            </w:pPr>
            <w:r>
              <w:rPr>
                <w:rFonts w:hint="default" w:ascii="Times New Roman" w:hAnsi="Times New Roman" w:eastAsia="宋体" w:cs="Times New Roman"/>
                <w:b/>
                <w:bCs/>
                <w:color w:val="auto"/>
                <w:spacing w:val="-3"/>
                <w:sz w:val="21"/>
                <w:szCs w:val="21"/>
                <w:highlight w:val="none"/>
                <w:vertAlign w:val="baseline"/>
                <w:lang w:val="en-US" w:eastAsia="zh-CN"/>
              </w:rPr>
              <w:t>2021年</w:t>
            </w:r>
          </w:p>
        </w:tc>
        <w:tc>
          <w:tcPr>
            <w:tcW w:w="1907" w:type="dxa"/>
            <w:tcBorders>
              <w:tl2br w:val="nil"/>
              <w:tr2bl w:val="nil"/>
            </w:tcBorders>
            <w:shd w:val="clear" w:color="auto" w:fill="auto"/>
            <w:vAlign w:val="center"/>
          </w:tcPr>
          <w:p w14:paraId="60845A3B">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snapToGrid w:val="0"/>
                <w:color w:val="auto"/>
                <w:spacing w:val="-3"/>
                <w:kern w:val="0"/>
                <w:sz w:val="21"/>
                <w:szCs w:val="21"/>
                <w:highlight w:val="none"/>
                <w:vertAlign w:val="baseline"/>
                <w:lang w:val="en-US" w:eastAsia="zh-CN" w:bidi="ar-SA"/>
              </w:rPr>
            </w:pPr>
            <w:r>
              <w:rPr>
                <w:rFonts w:hint="default" w:ascii="Times New Roman" w:hAnsi="Times New Roman" w:eastAsia="宋体" w:cs="Times New Roman"/>
                <w:b/>
                <w:bCs/>
                <w:color w:val="auto"/>
                <w:spacing w:val="-3"/>
                <w:sz w:val="21"/>
                <w:szCs w:val="21"/>
                <w:highlight w:val="none"/>
                <w:vertAlign w:val="baseline"/>
                <w:lang w:val="en-US" w:eastAsia="zh-CN"/>
              </w:rPr>
              <w:t>2022年</w:t>
            </w:r>
          </w:p>
        </w:tc>
        <w:tc>
          <w:tcPr>
            <w:tcW w:w="1827" w:type="dxa"/>
            <w:tcBorders>
              <w:tl2br w:val="nil"/>
              <w:tr2bl w:val="nil"/>
            </w:tcBorders>
            <w:vAlign w:val="center"/>
          </w:tcPr>
          <w:p w14:paraId="3731877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bCs/>
                <w:color w:val="auto"/>
                <w:spacing w:val="-3"/>
                <w:sz w:val="21"/>
                <w:szCs w:val="21"/>
                <w:highlight w:val="none"/>
                <w:vertAlign w:val="baseline"/>
                <w:lang w:val="en-US" w:eastAsia="zh-CN"/>
              </w:rPr>
            </w:pPr>
            <w:r>
              <w:rPr>
                <w:rFonts w:hint="default" w:ascii="Times New Roman" w:hAnsi="Times New Roman" w:eastAsia="宋体" w:cs="Times New Roman"/>
                <w:b/>
                <w:bCs/>
                <w:color w:val="auto"/>
                <w:spacing w:val="-3"/>
                <w:sz w:val="21"/>
                <w:szCs w:val="21"/>
                <w:highlight w:val="none"/>
                <w:vertAlign w:val="baseline"/>
                <w:lang w:val="en-US" w:eastAsia="zh-CN"/>
              </w:rPr>
              <w:t>2023年</w:t>
            </w:r>
          </w:p>
        </w:tc>
      </w:tr>
      <w:tr w14:paraId="67693D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59" w:type="dxa"/>
            <w:tcBorders>
              <w:tl2br w:val="nil"/>
              <w:tr2bl w:val="nil"/>
            </w:tcBorders>
            <w:vAlign w:val="center"/>
          </w:tcPr>
          <w:p w14:paraId="5D77A49B">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水温</w:t>
            </w:r>
          </w:p>
        </w:tc>
        <w:tc>
          <w:tcPr>
            <w:tcW w:w="1456" w:type="dxa"/>
            <w:tcBorders>
              <w:tl2br w:val="nil"/>
              <w:tr2bl w:val="nil"/>
            </w:tcBorders>
            <w:vAlign w:val="center"/>
          </w:tcPr>
          <w:p w14:paraId="437D574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eastAsia" w:ascii="Times New Roman" w:hAnsi="Times New Roman" w:eastAsia="宋体" w:cs="Times New Roman"/>
                <w:b w:val="0"/>
                <w:bCs w:val="0"/>
                <w:color w:val="auto"/>
                <w:spacing w:val="-3"/>
                <w:sz w:val="21"/>
                <w:szCs w:val="21"/>
                <w:highlight w:val="none"/>
                <w:vertAlign w:val="baseline"/>
                <w:lang w:val="en-US" w:eastAsia="zh-CN"/>
              </w:rPr>
            </w:pPr>
            <w:r>
              <w:rPr>
                <w:rFonts w:hint="eastAsia" w:ascii="Times New Roman" w:hAnsi="Times New Roman" w:eastAsia="宋体" w:cs="Times New Roman"/>
                <w:b w:val="0"/>
                <w:bCs w:val="0"/>
                <w:color w:val="auto"/>
                <w:spacing w:val="-3"/>
                <w:sz w:val="21"/>
                <w:szCs w:val="21"/>
                <w:highlight w:val="none"/>
                <w:vertAlign w:val="baseline"/>
                <w:lang w:val="en-US" w:eastAsia="zh-CN"/>
              </w:rPr>
              <w:t>/</w:t>
            </w:r>
          </w:p>
        </w:tc>
        <w:tc>
          <w:tcPr>
            <w:tcW w:w="1907" w:type="dxa"/>
            <w:tcBorders>
              <w:tl2br w:val="nil"/>
              <w:tr2bl w:val="nil"/>
            </w:tcBorders>
            <w:vAlign w:val="center"/>
          </w:tcPr>
          <w:p w14:paraId="1195979B">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3.5~32.2</w:t>
            </w:r>
          </w:p>
        </w:tc>
        <w:tc>
          <w:tcPr>
            <w:tcW w:w="1907" w:type="dxa"/>
            <w:tcBorders>
              <w:tl2br w:val="nil"/>
              <w:tr2bl w:val="nil"/>
            </w:tcBorders>
            <w:vAlign w:val="center"/>
          </w:tcPr>
          <w:p w14:paraId="41F06BD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5.6~33</w:t>
            </w:r>
          </w:p>
        </w:tc>
        <w:tc>
          <w:tcPr>
            <w:tcW w:w="1827" w:type="dxa"/>
            <w:tcBorders>
              <w:tl2br w:val="nil"/>
              <w:tr2bl w:val="nil"/>
            </w:tcBorders>
            <w:vAlign w:val="center"/>
          </w:tcPr>
          <w:p w14:paraId="62D1895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kern w:val="0"/>
                <w:sz w:val="21"/>
                <w:szCs w:val="21"/>
                <w:highlight w:val="none"/>
                <w:lang w:val="en-US" w:eastAsia="zh-CN" w:bidi="ar"/>
              </w:rPr>
              <w:t>8.6~24.6</w:t>
            </w:r>
          </w:p>
        </w:tc>
      </w:tr>
      <w:tr w14:paraId="2D966D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511D4A0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pH</w:t>
            </w:r>
          </w:p>
        </w:tc>
        <w:tc>
          <w:tcPr>
            <w:tcW w:w="1456" w:type="dxa"/>
            <w:tcBorders>
              <w:tl2br w:val="nil"/>
              <w:tr2bl w:val="nil"/>
            </w:tcBorders>
            <w:vAlign w:val="center"/>
          </w:tcPr>
          <w:p w14:paraId="195E843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6~9</w:t>
            </w:r>
          </w:p>
        </w:tc>
        <w:tc>
          <w:tcPr>
            <w:tcW w:w="1907" w:type="dxa"/>
            <w:tcBorders>
              <w:tl2br w:val="nil"/>
              <w:tr2bl w:val="nil"/>
            </w:tcBorders>
            <w:vAlign w:val="center"/>
          </w:tcPr>
          <w:p w14:paraId="54D6ADF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7~9</w:t>
            </w:r>
          </w:p>
        </w:tc>
        <w:tc>
          <w:tcPr>
            <w:tcW w:w="1907" w:type="dxa"/>
            <w:tcBorders>
              <w:tl2br w:val="nil"/>
              <w:tr2bl w:val="nil"/>
            </w:tcBorders>
            <w:vAlign w:val="center"/>
          </w:tcPr>
          <w:p w14:paraId="59BE769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6~9</w:t>
            </w:r>
          </w:p>
        </w:tc>
        <w:tc>
          <w:tcPr>
            <w:tcW w:w="1827" w:type="dxa"/>
            <w:tcBorders>
              <w:tl2br w:val="nil"/>
              <w:tr2bl w:val="nil"/>
            </w:tcBorders>
            <w:vAlign w:val="center"/>
          </w:tcPr>
          <w:p w14:paraId="61D77C78">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kern w:val="0"/>
                <w:sz w:val="21"/>
                <w:szCs w:val="21"/>
                <w:highlight w:val="none"/>
                <w:lang w:val="en-US" w:eastAsia="zh-CN" w:bidi="ar"/>
              </w:rPr>
              <w:t>7.9~8.2</w:t>
            </w:r>
          </w:p>
        </w:tc>
      </w:tr>
      <w:tr w14:paraId="4E3719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74A6C91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溶解氧</w:t>
            </w:r>
          </w:p>
        </w:tc>
        <w:tc>
          <w:tcPr>
            <w:tcW w:w="1456" w:type="dxa"/>
            <w:tcBorders>
              <w:tl2br w:val="nil"/>
              <w:tr2bl w:val="nil"/>
            </w:tcBorders>
            <w:vAlign w:val="center"/>
          </w:tcPr>
          <w:p w14:paraId="042F57F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5</w:t>
            </w:r>
          </w:p>
        </w:tc>
        <w:tc>
          <w:tcPr>
            <w:tcW w:w="1907" w:type="dxa"/>
            <w:tcBorders>
              <w:tl2br w:val="nil"/>
              <w:tr2bl w:val="nil"/>
            </w:tcBorders>
            <w:vAlign w:val="center"/>
          </w:tcPr>
          <w:p w14:paraId="2F8340B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5.55~12.1</w:t>
            </w:r>
          </w:p>
        </w:tc>
        <w:tc>
          <w:tcPr>
            <w:tcW w:w="1907" w:type="dxa"/>
            <w:tcBorders>
              <w:tl2br w:val="nil"/>
              <w:tr2bl w:val="nil"/>
            </w:tcBorders>
            <w:vAlign w:val="center"/>
          </w:tcPr>
          <w:p w14:paraId="74CE042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5.38~13.9</w:t>
            </w:r>
          </w:p>
        </w:tc>
        <w:tc>
          <w:tcPr>
            <w:tcW w:w="1827" w:type="dxa"/>
            <w:tcBorders>
              <w:tl2br w:val="nil"/>
              <w:tr2bl w:val="nil"/>
            </w:tcBorders>
            <w:vAlign w:val="center"/>
          </w:tcPr>
          <w:p w14:paraId="382AEB1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kern w:val="0"/>
                <w:sz w:val="21"/>
                <w:szCs w:val="21"/>
                <w:highlight w:val="none"/>
                <w:lang w:val="en-US" w:eastAsia="zh-CN" w:bidi="ar"/>
              </w:rPr>
              <w:t>6.84~14.2</w:t>
            </w:r>
          </w:p>
        </w:tc>
      </w:tr>
      <w:tr w14:paraId="1D22A8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390F0F9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高锰酸盐指数</w:t>
            </w:r>
          </w:p>
        </w:tc>
        <w:tc>
          <w:tcPr>
            <w:tcW w:w="1456" w:type="dxa"/>
            <w:tcBorders>
              <w:tl2br w:val="nil"/>
              <w:tr2bl w:val="nil"/>
            </w:tcBorders>
            <w:vAlign w:val="center"/>
          </w:tcPr>
          <w:p w14:paraId="344EC8C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6</w:t>
            </w:r>
          </w:p>
        </w:tc>
        <w:tc>
          <w:tcPr>
            <w:tcW w:w="1907" w:type="dxa"/>
            <w:tcBorders>
              <w:tl2br w:val="nil"/>
              <w:tr2bl w:val="nil"/>
            </w:tcBorders>
            <w:vAlign w:val="center"/>
          </w:tcPr>
          <w:p w14:paraId="2A66F1E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2.9~8.6</w:t>
            </w:r>
          </w:p>
        </w:tc>
        <w:tc>
          <w:tcPr>
            <w:tcW w:w="1907" w:type="dxa"/>
            <w:tcBorders>
              <w:tl2br w:val="nil"/>
              <w:tr2bl w:val="nil"/>
            </w:tcBorders>
            <w:vAlign w:val="center"/>
          </w:tcPr>
          <w:p w14:paraId="1425DD7D">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1.3~7</w:t>
            </w:r>
          </w:p>
        </w:tc>
        <w:tc>
          <w:tcPr>
            <w:tcW w:w="1827" w:type="dxa"/>
            <w:tcBorders>
              <w:tl2br w:val="nil"/>
              <w:tr2bl w:val="nil"/>
            </w:tcBorders>
            <w:vAlign w:val="center"/>
          </w:tcPr>
          <w:p w14:paraId="36AC01C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kern w:val="0"/>
                <w:sz w:val="21"/>
                <w:szCs w:val="21"/>
                <w:highlight w:val="none"/>
                <w:lang w:val="en-US" w:eastAsia="zh-CN" w:bidi="ar"/>
              </w:rPr>
              <w:t>2.9~5.7</w:t>
            </w:r>
          </w:p>
        </w:tc>
      </w:tr>
      <w:tr w14:paraId="51CF7D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59" w:type="dxa"/>
            <w:tcBorders>
              <w:tl2br w:val="nil"/>
              <w:tr2bl w:val="nil"/>
            </w:tcBorders>
            <w:vAlign w:val="center"/>
          </w:tcPr>
          <w:p w14:paraId="340FC1E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化学需氧量</w:t>
            </w:r>
          </w:p>
        </w:tc>
        <w:tc>
          <w:tcPr>
            <w:tcW w:w="1456" w:type="dxa"/>
            <w:tcBorders>
              <w:tl2br w:val="nil"/>
              <w:tr2bl w:val="nil"/>
            </w:tcBorders>
            <w:vAlign w:val="center"/>
          </w:tcPr>
          <w:p w14:paraId="2377441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20</w:t>
            </w:r>
          </w:p>
        </w:tc>
        <w:tc>
          <w:tcPr>
            <w:tcW w:w="1907" w:type="dxa"/>
            <w:tcBorders>
              <w:tl2br w:val="nil"/>
              <w:tr2bl w:val="nil"/>
            </w:tcBorders>
            <w:vAlign w:val="center"/>
          </w:tcPr>
          <w:p w14:paraId="61EC8D1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7~29</w:t>
            </w:r>
          </w:p>
        </w:tc>
        <w:tc>
          <w:tcPr>
            <w:tcW w:w="1907" w:type="dxa"/>
            <w:tcBorders>
              <w:tl2br w:val="nil"/>
              <w:tr2bl w:val="nil"/>
            </w:tcBorders>
            <w:vAlign w:val="center"/>
          </w:tcPr>
          <w:p w14:paraId="41849907">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4~22.3</w:t>
            </w:r>
          </w:p>
        </w:tc>
        <w:tc>
          <w:tcPr>
            <w:tcW w:w="1827" w:type="dxa"/>
            <w:tcBorders>
              <w:tl2br w:val="nil"/>
              <w:tr2bl w:val="nil"/>
            </w:tcBorders>
            <w:vAlign w:val="center"/>
          </w:tcPr>
          <w:p w14:paraId="4044185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kern w:val="0"/>
                <w:sz w:val="21"/>
                <w:szCs w:val="21"/>
                <w:highlight w:val="none"/>
                <w:lang w:val="en-US" w:eastAsia="zh-CN" w:bidi="ar"/>
              </w:rPr>
              <w:t>9~16</w:t>
            </w:r>
          </w:p>
        </w:tc>
      </w:tr>
      <w:tr w14:paraId="0B552E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59" w:type="dxa"/>
            <w:tcBorders>
              <w:tl2br w:val="nil"/>
              <w:tr2bl w:val="nil"/>
            </w:tcBorders>
            <w:vAlign w:val="center"/>
          </w:tcPr>
          <w:p w14:paraId="484C666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生化需氧量</w:t>
            </w:r>
          </w:p>
        </w:tc>
        <w:tc>
          <w:tcPr>
            <w:tcW w:w="1456" w:type="dxa"/>
            <w:tcBorders>
              <w:tl2br w:val="nil"/>
              <w:tr2bl w:val="nil"/>
            </w:tcBorders>
            <w:vAlign w:val="center"/>
          </w:tcPr>
          <w:p w14:paraId="2614860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4</w:t>
            </w:r>
          </w:p>
        </w:tc>
        <w:tc>
          <w:tcPr>
            <w:tcW w:w="1907" w:type="dxa"/>
            <w:tcBorders>
              <w:tl2br w:val="nil"/>
              <w:tr2bl w:val="nil"/>
            </w:tcBorders>
            <w:vAlign w:val="center"/>
          </w:tcPr>
          <w:p w14:paraId="79F30BA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1.5~7.2</w:t>
            </w:r>
          </w:p>
        </w:tc>
        <w:tc>
          <w:tcPr>
            <w:tcW w:w="1907" w:type="dxa"/>
            <w:tcBorders>
              <w:tl2br w:val="nil"/>
              <w:tr2bl w:val="nil"/>
            </w:tcBorders>
            <w:vAlign w:val="center"/>
          </w:tcPr>
          <w:p w14:paraId="11D314D8">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0.9~4.4</w:t>
            </w:r>
          </w:p>
        </w:tc>
        <w:tc>
          <w:tcPr>
            <w:tcW w:w="1827" w:type="dxa"/>
            <w:tcBorders>
              <w:tl2br w:val="nil"/>
              <w:tr2bl w:val="nil"/>
            </w:tcBorders>
            <w:vAlign w:val="center"/>
          </w:tcPr>
          <w:p w14:paraId="796AF3C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kern w:val="0"/>
                <w:sz w:val="21"/>
                <w:szCs w:val="21"/>
                <w:highlight w:val="none"/>
                <w:lang w:val="en-US" w:eastAsia="zh-CN" w:bidi="ar"/>
              </w:rPr>
              <w:t>1.4~3.9</w:t>
            </w:r>
          </w:p>
        </w:tc>
      </w:tr>
      <w:tr w14:paraId="0BA56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4046BE7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氨氮</w:t>
            </w:r>
          </w:p>
        </w:tc>
        <w:tc>
          <w:tcPr>
            <w:tcW w:w="1456" w:type="dxa"/>
            <w:tcBorders>
              <w:tl2br w:val="nil"/>
              <w:tr2bl w:val="nil"/>
            </w:tcBorders>
            <w:vAlign w:val="center"/>
          </w:tcPr>
          <w:p w14:paraId="5A1A405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1.0</w:t>
            </w:r>
          </w:p>
        </w:tc>
        <w:tc>
          <w:tcPr>
            <w:tcW w:w="1907" w:type="dxa"/>
            <w:tcBorders>
              <w:tl2br w:val="nil"/>
              <w:tr2bl w:val="nil"/>
            </w:tcBorders>
            <w:vAlign w:val="center"/>
          </w:tcPr>
          <w:p w14:paraId="3E5B27B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0.12~1.3</w:t>
            </w:r>
          </w:p>
        </w:tc>
        <w:tc>
          <w:tcPr>
            <w:tcW w:w="1907" w:type="dxa"/>
            <w:tcBorders>
              <w:tl2br w:val="nil"/>
              <w:tr2bl w:val="nil"/>
            </w:tcBorders>
            <w:vAlign w:val="center"/>
          </w:tcPr>
          <w:p w14:paraId="0A178B4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0.02~1.2</w:t>
            </w:r>
          </w:p>
        </w:tc>
        <w:tc>
          <w:tcPr>
            <w:tcW w:w="1827" w:type="dxa"/>
            <w:tcBorders>
              <w:tl2br w:val="nil"/>
              <w:tr2bl w:val="nil"/>
            </w:tcBorders>
            <w:vAlign w:val="center"/>
          </w:tcPr>
          <w:p w14:paraId="03750DE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kern w:val="0"/>
                <w:sz w:val="21"/>
                <w:szCs w:val="21"/>
                <w:highlight w:val="none"/>
                <w:lang w:val="en-US" w:eastAsia="zh-CN" w:bidi="ar"/>
              </w:rPr>
              <w:t>0.19~0.645</w:t>
            </w:r>
          </w:p>
        </w:tc>
      </w:tr>
      <w:tr w14:paraId="2556FD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1359" w:type="dxa"/>
            <w:tcBorders>
              <w:tl2br w:val="nil"/>
              <w:tr2bl w:val="nil"/>
            </w:tcBorders>
            <w:vAlign w:val="center"/>
          </w:tcPr>
          <w:p w14:paraId="3272F58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总磷</w:t>
            </w:r>
          </w:p>
        </w:tc>
        <w:tc>
          <w:tcPr>
            <w:tcW w:w="1456" w:type="dxa"/>
            <w:tcBorders>
              <w:tl2br w:val="nil"/>
              <w:tr2bl w:val="nil"/>
            </w:tcBorders>
            <w:vAlign w:val="center"/>
          </w:tcPr>
          <w:p w14:paraId="54BA4D9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0.2（湖、库0.05）</w:t>
            </w:r>
          </w:p>
        </w:tc>
        <w:tc>
          <w:tcPr>
            <w:tcW w:w="1907" w:type="dxa"/>
            <w:tcBorders>
              <w:tl2br w:val="nil"/>
              <w:tr2bl w:val="nil"/>
            </w:tcBorders>
            <w:vAlign w:val="center"/>
          </w:tcPr>
          <w:p w14:paraId="394BCF4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0.072~0.19</w:t>
            </w:r>
          </w:p>
        </w:tc>
        <w:tc>
          <w:tcPr>
            <w:tcW w:w="1907" w:type="dxa"/>
            <w:tcBorders>
              <w:tl2br w:val="nil"/>
              <w:tr2bl w:val="nil"/>
            </w:tcBorders>
            <w:vAlign w:val="center"/>
          </w:tcPr>
          <w:p w14:paraId="3CD9E578">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0.04~0.13</w:t>
            </w:r>
          </w:p>
        </w:tc>
        <w:tc>
          <w:tcPr>
            <w:tcW w:w="1827" w:type="dxa"/>
            <w:tcBorders>
              <w:tl2br w:val="nil"/>
              <w:tr2bl w:val="nil"/>
            </w:tcBorders>
            <w:vAlign w:val="center"/>
          </w:tcPr>
          <w:p w14:paraId="0B211FB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kern w:val="0"/>
                <w:sz w:val="21"/>
                <w:szCs w:val="21"/>
                <w:highlight w:val="none"/>
                <w:lang w:val="en-US" w:eastAsia="zh-CN" w:bidi="ar"/>
              </w:rPr>
              <w:t>0.05~0.07</w:t>
            </w:r>
          </w:p>
        </w:tc>
      </w:tr>
      <w:tr w14:paraId="38AE1D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7C9496A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铜</w:t>
            </w:r>
          </w:p>
        </w:tc>
        <w:tc>
          <w:tcPr>
            <w:tcW w:w="1456" w:type="dxa"/>
            <w:tcBorders>
              <w:tl2br w:val="nil"/>
              <w:tr2bl w:val="nil"/>
            </w:tcBorders>
            <w:vAlign w:val="center"/>
          </w:tcPr>
          <w:p w14:paraId="2FF8AC9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1.0</w:t>
            </w:r>
          </w:p>
        </w:tc>
        <w:tc>
          <w:tcPr>
            <w:tcW w:w="1907" w:type="dxa"/>
            <w:tcBorders>
              <w:tl2br w:val="nil"/>
              <w:tr2bl w:val="nil"/>
            </w:tcBorders>
            <w:vAlign w:val="center"/>
          </w:tcPr>
          <w:p w14:paraId="51F237C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0.0004</w:t>
            </w:r>
            <w:r>
              <w:rPr>
                <w:rFonts w:hint="default" w:ascii="Times New Roman" w:hAnsi="Times New Roman" w:eastAsia="宋体" w:cs="Times New Roman"/>
                <w:b w:val="0"/>
                <w:bCs w:val="0"/>
                <w:color w:val="auto"/>
                <w:kern w:val="0"/>
                <w:sz w:val="21"/>
                <w:szCs w:val="21"/>
                <w:highlight w:val="none"/>
                <w:lang w:val="en-US" w:eastAsia="zh-CN" w:bidi="ar"/>
              </w:rPr>
              <w:t>~0.0684</w:t>
            </w:r>
          </w:p>
        </w:tc>
        <w:tc>
          <w:tcPr>
            <w:tcW w:w="1907" w:type="dxa"/>
            <w:tcBorders>
              <w:tl2br w:val="nil"/>
              <w:tr2bl w:val="nil"/>
            </w:tcBorders>
            <w:vAlign w:val="center"/>
          </w:tcPr>
          <w:p w14:paraId="04C33F1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0.001</w:t>
            </w:r>
            <w:r>
              <w:rPr>
                <w:rFonts w:hint="default" w:ascii="Times New Roman" w:hAnsi="Times New Roman" w:eastAsia="宋体" w:cs="Times New Roman"/>
                <w:b w:val="0"/>
                <w:bCs w:val="0"/>
                <w:color w:val="auto"/>
                <w:kern w:val="0"/>
                <w:sz w:val="21"/>
                <w:szCs w:val="21"/>
                <w:highlight w:val="none"/>
                <w:lang w:val="en-US" w:eastAsia="zh-CN" w:bidi="ar"/>
              </w:rPr>
              <w:t>~0.00541</w:t>
            </w:r>
          </w:p>
        </w:tc>
        <w:tc>
          <w:tcPr>
            <w:tcW w:w="1827" w:type="dxa"/>
            <w:tcBorders>
              <w:tl2br w:val="nil"/>
              <w:tr2bl w:val="nil"/>
            </w:tcBorders>
            <w:vAlign w:val="center"/>
          </w:tcPr>
          <w:p w14:paraId="6F82A66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ND</w:t>
            </w:r>
          </w:p>
        </w:tc>
      </w:tr>
      <w:tr w14:paraId="3792E5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570471C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锌</w:t>
            </w:r>
          </w:p>
        </w:tc>
        <w:tc>
          <w:tcPr>
            <w:tcW w:w="1456" w:type="dxa"/>
            <w:tcBorders>
              <w:tl2br w:val="nil"/>
              <w:tr2bl w:val="nil"/>
            </w:tcBorders>
            <w:vAlign w:val="center"/>
          </w:tcPr>
          <w:p w14:paraId="1353EEA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1.0</w:t>
            </w:r>
          </w:p>
        </w:tc>
        <w:tc>
          <w:tcPr>
            <w:tcW w:w="1907" w:type="dxa"/>
            <w:tcBorders>
              <w:tl2br w:val="nil"/>
              <w:tr2bl w:val="nil"/>
            </w:tcBorders>
            <w:vAlign w:val="center"/>
          </w:tcPr>
          <w:p w14:paraId="60641D1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0.00034~0.013</w:t>
            </w:r>
          </w:p>
        </w:tc>
        <w:tc>
          <w:tcPr>
            <w:tcW w:w="1907" w:type="dxa"/>
            <w:tcBorders>
              <w:tl2br w:val="nil"/>
              <w:tr2bl w:val="nil"/>
            </w:tcBorders>
            <w:vAlign w:val="center"/>
          </w:tcPr>
          <w:p w14:paraId="0FA4DF5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0.00034~0.00778</w:t>
            </w:r>
          </w:p>
        </w:tc>
        <w:tc>
          <w:tcPr>
            <w:tcW w:w="1827" w:type="dxa"/>
            <w:tcBorders>
              <w:tl2br w:val="nil"/>
              <w:tr2bl w:val="nil"/>
            </w:tcBorders>
            <w:vAlign w:val="center"/>
          </w:tcPr>
          <w:p w14:paraId="6DFE5D3D">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ND</w:t>
            </w:r>
            <w:r>
              <w:rPr>
                <w:rFonts w:hint="default" w:ascii="Times New Roman" w:hAnsi="Times New Roman" w:cs="Times New Roman"/>
                <w:b w:val="0"/>
                <w:bCs w:val="0"/>
                <w:color w:val="auto"/>
                <w:kern w:val="0"/>
                <w:sz w:val="21"/>
                <w:szCs w:val="21"/>
                <w:highlight w:val="none"/>
                <w:lang w:val="en-US" w:eastAsia="zh-CN" w:bidi="ar"/>
              </w:rPr>
              <w:t>~0.006</w:t>
            </w:r>
          </w:p>
        </w:tc>
      </w:tr>
      <w:tr w14:paraId="2AF4F9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21F29F53">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氟化物</w:t>
            </w:r>
          </w:p>
        </w:tc>
        <w:tc>
          <w:tcPr>
            <w:tcW w:w="1456" w:type="dxa"/>
            <w:tcBorders>
              <w:tl2br w:val="nil"/>
              <w:tr2bl w:val="nil"/>
            </w:tcBorders>
            <w:vAlign w:val="center"/>
          </w:tcPr>
          <w:p w14:paraId="49F572C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1.0</w:t>
            </w:r>
          </w:p>
        </w:tc>
        <w:tc>
          <w:tcPr>
            <w:tcW w:w="1907" w:type="dxa"/>
            <w:tcBorders>
              <w:tl2br w:val="nil"/>
              <w:tr2bl w:val="nil"/>
            </w:tcBorders>
            <w:vAlign w:val="center"/>
          </w:tcPr>
          <w:p w14:paraId="337A36A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0.25~</w:t>
            </w:r>
            <w:r>
              <w:rPr>
                <w:rFonts w:hint="default" w:ascii="Times New Roman" w:hAnsi="Times New Roman" w:eastAsia="宋体" w:cs="Times New Roman"/>
                <w:b w:val="0"/>
                <w:bCs w:val="0"/>
                <w:color w:val="auto"/>
                <w:sz w:val="21"/>
                <w:szCs w:val="21"/>
                <w:highlight w:val="none"/>
                <w:lang w:val="en-US" w:eastAsia="zh-CN" w:bidi="ar"/>
              </w:rPr>
              <w:t>0.49</w:t>
            </w:r>
          </w:p>
        </w:tc>
        <w:tc>
          <w:tcPr>
            <w:tcW w:w="1907" w:type="dxa"/>
            <w:tcBorders>
              <w:tl2br w:val="nil"/>
              <w:tr2bl w:val="nil"/>
            </w:tcBorders>
            <w:vAlign w:val="center"/>
          </w:tcPr>
          <w:p w14:paraId="3E26E22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0.33</w:t>
            </w:r>
            <w:r>
              <w:rPr>
                <w:rFonts w:hint="default" w:ascii="Times New Roman" w:hAnsi="Times New Roman" w:cs="Times New Roman"/>
                <w:b w:val="0"/>
                <w:bCs w:val="0"/>
                <w:color w:val="auto"/>
                <w:sz w:val="21"/>
                <w:szCs w:val="21"/>
                <w:highlight w:val="none"/>
                <w:lang w:val="en-US" w:eastAsia="zh-CN" w:bidi="ar"/>
              </w:rPr>
              <w:t>~0.56</w:t>
            </w:r>
          </w:p>
        </w:tc>
        <w:tc>
          <w:tcPr>
            <w:tcW w:w="1827" w:type="dxa"/>
            <w:tcBorders>
              <w:tl2br w:val="nil"/>
              <w:tr2bl w:val="nil"/>
            </w:tcBorders>
            <w:vAlign w:val="center"/>
          </w:tcPr>
          <w:p w14:paraId="6ABCED42">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0.42~0.52</w:t>
            </w:r>
          </w:p>
        </w:tc>
      </w:tr>
      <w:tr w14:paraId="7F22CE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476B45E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硒</w:t>
            </w:r>
          </w:p>
        </w:tc>
        <w:tc>
          <w:tcPr>
            <w:tcW w:w="1456" w:type="dxa"/>
            <w:tcBorders>
              <w:tl2br w:val="nil"/>
              <w:tr2bl w:val="nil"/>
            </w:tcBorders>
            <w:vAlign w:val="center"/>
          </w:tcPr>
          <w:p w14:paraId="3E1ABD1D">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0.01</w:t>
            </w:r>
          </w:p>
        </w:tc>
        <w:tc>
          <w:tcPr>
            <w:tcW w:w="1907" w:type="dxa"/>
            <w:tcBorders>
              <w:tl2br w:val="nil"/>
              <w:tr2bl w:val="nil"/>
            </w:tcBorders>
            <w:vAlign w:val="center"/>
          </w:tcPr>
          <w:p w14:paraId="42F919F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0.0002</w:t>
            </w:r>
          </w:p>
        </w:tc>
        <w:tc>
          <w:tcPr>
            <w:tcW w:w="1907" w:type="dxa"/>
            <w:tcBorders>
              <w:tl2br w:val="nil"/>
              <w:tr2bl w:val="nil"/>
            </w:tcBorders>
            <w:vAlign w:val="center"/>
          </w:tcPr>
          <w:p w14:paraId="33E35BB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0.0002</w:t>
            </w:r>
          </w:p>
        </w:tc>
        <w:tc>
          <w:tcPr>
            <w:tcW w:w="1827" w:type="dxa"/>
            <w:tcBorders>
              <w:tl2br w:val="nil"/>
              <w:tr2bl w:val="nil"/>
            </w:tcBorders>
            <w:vAlign w:val="center"/>
          </w:tcPr>
          <w:p w14:paraId="4E2C948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ND</w:t>
            </w:r>
          </w:p>
        </w:tc>
      </w:tr>
      <w:tr w14:paraId="7C0FF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3B0B467D">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砷</w:t>
            </w:r>
          </w:p>
        </w:tc>
        <w:tc>
          <w:tcPr>
            <w:tcW w:w="1456" w:type="dxa"/>
            <w:tcBorders>
              <w:tl2br w:val="nil"/>
              <w:tr2bl w:val="nil"/>
            </w:tcBorders>
            <w:vAlign w:val="center"/>
          </w:tcPr>
          <w:p w14:paraId="062801F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0.05</w:t>
            </w:r>
          </w:p>
        </w:tc>
        <w:tc>
          <w:tcPr>
            <w:tcW w:w="1907" w:type="dxa"/>
            <w:tcBorders>
              <w:tl2br w:val="nil"/>
              <w:tr2bl w:val="nil"/>
            </w:tcBorders>
            <w:vAlign w:val="center"/>
          </w:tcPr>
          <w:p w14:paraId="379D7BF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0.0004~0.0027</w:t>
            </w:r>
          </w:p>
        </w:tc>
        <w:tc>
          <w:tcPr>
            <w:tcW w:w="1907" w:type="dxa"/>
            <w:tcBorders>
              <w:tl2br w:val="nil"/>
              <w:tr2bl w:val="nil"/>
            </w:tcBorders>
            <w:vAlign w:val="center"/>
          </w:tcPr>
          <w:p w14:paraId="6FFA8E3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ND~0.0023</w:t>
            </w:r>
          </w:p>
        </w:tc>
        <w:tc>
          <w:tcPr>
            <w:tcW w:w="1827" w:type="dxa"/>
            <w:tcBorders>
              <w:tl2br w:val="nil"/>
              <w:tr2bl w:val="nil"/>
            </w:tcBorders>
            <w:vAlign w:val="center"/>
          </w:tcPr>
          <w:p w14:paraId="01DDB57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kern w:val="0"/>
                <w:sz w:val="21"/>
                <w:szCs w:val="21"/>
                <w:highlight w:val="none"/>
                <w:lang w:val="en-US" w:eastAsia="zh-CN" w:bidi="ar"/>
              </w:rPr>
              <w:t>0.0004~0.0019</w:t>
            </w:r>
          </w:p>
        </w:tc>
      </w:tr>
      <w:tr w14:paraId="5BF43F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32C3D40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汞</w:t>
            </w:r>
          </w:p>
        </w:tc>
        <w:tc>
          <w:tcPr>
            <w:tcW w:w="1456" w:type="dxa"/>
            <w:tcBorders>
              <w:tl2br w:val="nil"/>
              <w:tr2bl w:val="nil"/>
            </w:tcBorders>
            <w:vAlign w:val="center"/>
          </w:tcPr>
          <w:p w14:paraId="68A32AF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0.0001</w:t>
            </w:r>
          </w:p>
        </w:tc>
        <w:tc>
          <w:tcPr>
            <w:tcW w:w="1907" w:type="dxa"/>
            <w:tcBorders>
              <w:tl2br w:val="nil"/>
              <w:tr2bl w:val="nil"/>
            </w:tcBorders>
            <w:vAlign w:val="center"/>
          </w:tcPr>
          <w:p w14:paraId="562707A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0.000005</w:t>
            </w:r>
          </w:p>
        </w:tc>
        <w:tc>
          <w:tcPr>
            <w:tcW w:w="1907" w:type="dxa"/>
            <w:tcBorders>
              <w:tl2br w:val="nil"/>
              <w:tr2bl w:val="nil"/>
            </w:tcBorders>
            <w:vAlign w:val="center"/>
          </w:tcPr>
          <w:p w14:paraId="1EFA9CB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0.000005</w:t>
            </w:r>
          </w:p>
        </w:tc>
        <w:tc>
          <w:tcPr>
            <w:tcW w:w="1827" w:type="dxa"/>
            <w:tcBorders>
              <w:tl2br w:val="nil"/>
              <w:tr2bl w:val="nil"/>
            </w:tcBorders>
            <w:vAlign w:val="center"/>
          </w:tcPr>
          <w:p w14:paraId="19E20292">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ND</w:t>
            </w:r>
          </w:p>
        </w:tc>
      </w:tr>
      <w:tr w14:paraId="314283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0F5D77B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镉</w:t>
            </w:r>
          </w:p>
        </w:tc>
        <w:tc>
          <w:tcPr>
            <w:tcW w:w="1456" w:type="dxa"/>
            <w:tcBorders>
              <w:tl2br w:val="nil"/>
              <w:tr2bl w:val="nil"/>
            </w:tcBorders>
            <w:vAlign w:val="center"/>
          </w:tcPr>
          <w:p w14:paraId="0A8129C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0.005</w:t>
            </w:r>
          </w:p>
        </w:tc>
        <w:tc>
          <w:tcPr>
            <w:tcW w:w="1907" w:type="dxa"/>
            <w:tcBorders>
              <w:tl2br w:val="nil"/>
              <w:tr2bl w:val="nil"/>
            </w:tcBorders>
            <w:vAlign w:val="center"/>
          </w:tcPr>
          <w:p w14:paraId="1167596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0.00002</w:t>
            </w:r>
          </w:p>
        </w:tc>
        <w:tc>
          <w:tcPr>
            <w:tcW w:w="1907" w:type="dxa"/>
            <w:tcBorders>
              <w:tl2br w:val="nil"/>
              <w:tr2bl w:val="nil"/>
            </w:tcBorders>
            <w:vAlign w:val="center"/>
          </w:tcPr>
          <w:p w14:paraId="1AAC258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0.00002</w:t>
            </w:r>
          </w:p>
        </w:tc>
        <w:tc>
          <w:tcPr>
            <w:tcW w:w="1827" w:type="dxa"/>
            <w:tcBorders>
              <w:tl2br w:val="nil"/>
              <w:tr2bl w:val="nil"/>
            </w:tcBorders>
            <w:vAlign w:val="center"/>
          </w:tcPr>
          <w:p w14:paraId="2F0B44F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ND</w:t>
            </w:r>
          </w:p>
        </w:tc>
      </w:tr>
      <w:tr w14:paraId="3136C2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2002FF42">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六价铬</w:t>
            </w:r>
          </w:p>
        </w:tc>
        <w:tc>
          <w:tcPr>
            <w:tcW w:w="1456" w:type="dxa"/>
            <w:tcBorders>
              <w:tl2br w:val="nil"/>
              <w:tr2bl w:val="nil"/>
            </w:tcBorders>
            <w:vAlign w:val="center"/>
          </w:tcPr>
          <w:p w14:paraId="793AA91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0.05</w:t>
            </w:r>
          </w:p>
        </w:tc>
        <w:tc>
          <w:tcPr>
            <w:tcW w:w="1907" w:type="dxa"/>
            <w:tcBorders>
              <w:tl2br w:val="nil"/>
              <w:tr2bl w:val="nil"/>
            </w:tcBorders>
            <w:vAlign w:val="center"/>
          </w:tcPr>
          <w:p w14:paraId="6298EE8D">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0.002</w:t>
            </w:r>
          </w:p>
        </w:tc>
        <w:tc>
          <w:tcPr>
            <w:tcW w:w="1907" w:type="dxa"/>
            <w:tcBorders>
              <w:tl2br w:val="nil"/>
              <w:tr2bl w:val="nil"/>
            </w:tcBorders>
            <w:vAlign w:val="center"/>
          </w:tcPr>
          <w:p w14:paraId="1151411C">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0.002</w:t>
            </w:r>
          </w:p>
        </w:tc>
        <w:tc>
          <w:tcPr>
            <w:tcW w:w="1827" w:type="dxa"/>
            <w:tcBorders>
              <w:tl2br w:val="nil"/>
              <w:tr2bl w:val="nil"/>
            </w:tcBorders>
            <w:vAlign w:val="center"/>
          </w:tcPr>
          <w:p w14:paraId="07264FC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ND</w:t>
            </w:r>
          </w:p>
        </w:tc>
      </w:tr>
      <w:tr w14:paraId="2AEF7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50B91CD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铅</w:t>
            </w:r>
          </w:p>
        </w:tc>
        <w:tc>
          <w:tcPr>
            <w:tcW w:w="1456" w:type="dxa"/>
            <w:tcBorders>
              <w:tl2br w:val="nil"/>
              <w:tr2bl w:val="nil"/>
            </w:tcBorders>
            <w:vAlign w:val="center"/>
          </w:tcPr>
          <w:p w14:paraId="781F240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0.05</w:t>
            </w:r>
          </w:p>
        </w:tc>
        <w:tc>
          <w:tcPr>
            <w:tcW w:w="1907" w:type="dxa"/>
            <w:tcBorders>
              <w:tl2br w:val="nil"/>
              <w:tr2bl w:val="nil"/>
            </w:tcBorders>
            <w:vAlign w:val="center"/>
          </w:tcPr>
          <w:p w14:paraId="40C33CC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0.00004~0.00178</w:t>
            </w:r>
          </w:p>
        </w:tc>
        <w:tc>
          <w:tcPr>
            <w:tcW w:w="1907" w:type="dxa"/>
            <w:tcBorders>
              <w:tl2br w:val="nil"/>
              <w:tr2bl w:val="nil"/>
            </w:tcBorders>
            <w:vAlign w:val="center"/>
          </w:tcPr>
          <w:p w14:paraId="2F143D8D">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0.00004~0.00063</w:t>
            </w:r>
          </w:p>
        </w:tc>
        <w:tc>
          <w:tcPr>
            <w:tcW w:w="1827" w:type="dxa"/>
            <w:tcBorders>
              <w:tl2br w:val="nil"/>
              <w:tr2bl w:val="nil"/>
            </w:tcBorders>
            <w:vAlign w:val="center"/>
          </w:tcPr>
          <w:p w14:paraId="33458A3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ND</w:t>
            </w:r>
          </w:p>
        </w:tc>
      </w:tr>
      <w:tr w14:paraId="46CC90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118B1D55">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氰化物</w:t>
            </w:r>
          </w:p>
        </w:tc>
        <w:tc>
          <w:tcPr>
            <w:tcW w:w="1456" w:type="dxa"/>
            <w:tcBorders>
              <w:tl2br w:val="nil"/>
              <w:tr2bl w:val="nil"/>
            </w:tcBorders>
            <w:vAlign w:val="center"/>
          </w:tcPr>
          <w:p w14:paraId="7D4BF40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0.2</w:t>
            </w:r>
          </w:p>
        </w:tc>
        <w:tc>
          <w:tcPr>
            <w:tcW w:w="1907" w:type="dxa"/>
            <w:tcBorders>
              <w:tl2br w:val="nil"/>
              <w:tr2bl w:val="nil"/>
            </w:tcBorders>
            <w:vAlign w:val="center"/>
          </w:tcPr>
          <w:p w14:paraId="2B316CFB">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0.002</w:t>
            </w:r>
          </w:p>
        </w:tc>
        <w:tc>
          <w:tcPr>
            <w:tcW w:w="1907" w:type="dxa"/>
            <w:tcBorders>
              <w:tl2br w:val="nil"/>
              <w:tr2bl w:val="nil"/>
            </w:tcBorders>
            <w:vAlign w:val="center"/>
          </w:tcPr>
          <w:p w14:paraId="5E8096B7">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ND</w:t>
            </w:r>
          </w:p>
        </w:tc>
        <w:tc>
          <w:tcPr>
            <w:tcW w:w="1827" w:type="dxa"/>
            <w:tcBorders>
              <w:tl2br w:val="nil"/>
              <w:tr2bl w:val="nil"/>
            </w:tcBorders>
            <w:vAlign w:val="center"/>
          </w:tcPr>
          <w:p w14:paraId="1E37927B">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ND</w:t>
            </w:r>
          </w:p>
        </w:tc>
      </w:tr>
      <w:tr w14:paraId="0235A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12770F5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挥发酚</w:t>
            </w:r>
          </w:p>
        </w:tc>
        <w:tc>
          <w:tcPr>
            <w:tcW w:w="1456" w:type="dxa"/>
            <w:tcBorders>
              <w:tl2br w:val="nil"/>
              <w:tr2bl w:val="nil"/>
            </w:tcBorders>
            <w:vAlign w:val="center"/>
          </w:tcPr>
          <w:p w14:paraId="18DC1F21">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0.005</w:t>
            </w:r>
          </w:p>
        </w:tc>
        <w:tc>
          <w:tcPr>
            <w:tcW w:w="1907" w:type="dxa"/>
            <w:tcBorders>
              <w:tl2br w:val="nil"/>
              <w:tr2bl w:val="nil"/>
            </w:tcBorders>
            <w:vAlign w:val="center"/>
          </w:tcPr>
          <w:p w14:paraId="6B733D57">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0.0002~0.001</w:t>
            </w:r>
          </w:p>
        </w:tc>
        <w:tc>
          <w:tcPr>
            <w:tcW w:w="1907" w:type="dxa"/>
            <w:tcBorders>
              <w:tl2br w:val="nil"/>
              <w:tr2bl w:val="nil"/>
            </w:tcBorders>
            <w:vAlign w:val="center"/>
          </w:tcPr>
          <w:p w14:paraId="1D514E0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ND</w:t>
            </w:r>
          </w:p>
        </w:tc>
        <w:tc>
          <w:tcPr>
            <w:tcW w:w="1827" w:type="dxa"/>
            <w:tcBorders>
              <w:tl2br w:val="nil"/>
              <w:tr2bl w:val="nil"/>
            </w:tcBorders>
            <w:vAlign w:val="center"/>
          </w:tcPr>
          <w:p w14:paraId="4A28DFB8">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ND</w:t>
            </w:r>
          </w:p>
        </w:tc>
      </w:tr>
      <w:tr w14:paraId="36249C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359" w:type="dxa"/>
            <w:tcBorders>
              <w:tl2br w:val="nil"/>
              <w:tr2bl w:val="nil"/>
            </w:tcBorders>
            <w:vAlign w:val="center"/>
          </w:tcPr>
          <w:p w14:paraId="0963BE4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石油类</w:t>
            </w:r>
          </w:p>
        </w:tc>
        <w:tc>
          <w:tcPr>
            <w:tcW w:w="1456" w:type="dxa"/>
            <w:tcBorders>
              <w:tl2br w:val="nil"/>
              <w:tr2bl w:val="nil"/>
            </w:tcBorders>
            <w:vAlign w:val="center"/>
          </w:tcPr>
          <w:p w14:paraId="3113E9A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cs="Times New Roman"/>
                <w:b w:val="0"/>
                <w:bCs w:val="0"/>
                <w:color w:val="auto"/>
                <w:sz w:val="21"/>
                <w:szCs w:val="21"/>
                <w:highlight w:val="none"/>
                <w:lang w:val="en-US" w:eastAsia="zh-CN" w:bidi="ar"/>
              </w:rPr>
              <w:t>0.05</w:t>
            </w:r>
          </w:p>
        </w:tc>
        <w:tc>
          <w:tcPr>
            <w:tcW w:w="1907" w:type="dxa"/>
            <w:tcBorders>
              <w:tl2br w:val="nil"/>
              <w:tr2bl w:val="nil"/>
            </w:tcBorders>
            <w:vAlign w:val="center"/>
          </w:tcPr>
          <w:p w14:paraId="54B2C4CE">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0.005</w:t>
            </w:r>
          </w:p>
        </w:tc>
        <w:tc>
          <w:tcPr>
            <w:tcW w:w="1907" w:type="dxa"/>
            <w:tcBorders>
              <w:tl2br w:val="nil"/>
              <w:tr2bl w:val="nil"/>
            </w:tcBorders>
            <w:vAlign w:val="center"/>
          </w:tcPr>
          <w:p w14:paraId="2C715C5B">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0.005</w:t>
            </w:r>
          </w:p>
        </w:tc>
        <w:tc>
          <w:tcPr>
            <w:tcW w:w="1827" w:type="dxa"/>
            <w:tcBorders>
              <w:tl2br w:val="nil"/>
              <w:tr2bl w:val="nil"/>
            </w:tcBorders>
            <w:vAlign w:val="center"/>
          </w:tcPr>
          <w:p w14:paraId="1F83A59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ND</w:t>
            </w:r>
          </w:p>
        </w:tc>
      </w:tr>
      <w:tr w14:paraId="36F889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1359" w:type="dxa"/>
            <w:tcBorders>
              <w:tl2br w:val="nil"/>
              <w:tr2bl w:val="nil"/>
            </w:tcBorders>
            <w:vAlign w:val="center"/>
          </w:tcPr>
          <w:p w14:paraId="78255BB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阴离子表面活性剂</w:t>
            </w:r>
          </w:p>
        </w:tc>
        <w:tc>
          <w:tcPr>
            <w:tcW w:w="1456" w:type="dxa"/>
            <w:tcBorders>
              <w:tl2br w:val="nil"/>
              <w:tr2bl w:val="nil"/>
            </w:tcBorders>
            <w:vAlign w:val="center"/>
          </w:tcPr>
          <w:p w14:paraId="5C7C0AE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0.2</w:t>
            </w:r>
          </w:p>
        </w:tc>
        <w:tc>
          <w:tcPr>
            <w:tcW w:w="1907" w:type="dxa"/>
            <w:tcBorders>
              <w:tl2br w:val="nil"/>
              <w:tr2bl w:val="nil"/>
            </w:tcBorders>
            <w:vAlign w:val="center"/>
          </w:tcPr>
          <w:p w14:paraId="33AC761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0.02~0.07</w:t>
            </w:r>
          </w:p>
        </w:tc>
        <w:tc>
          <w:tcPr>
            <w:tcW w:w="1907" w:type="dxa"/>
            <w:tcBorders>
              <w:tl2br w:val="nil"/>
              <w:tr2bl w:val="nil"/>
            </w:tcBorders>
            <w:vAlign w:val="center"/>
          </w:tcPr>
          <w:p w14:paraId="218D1249">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0.02~0.025</w:t>
            </w:r>
          </w:p>
        </w:tc>
        <w:tc>
          <w:tcPr>
            <w:tcW w:w="1827" w:type="dxa"/>
            <w:tcBorders>
              <w:tl2br w:val="nil"/>
              <w:tr2bl w:val="nil"/>
            </w:tcBorders>
            <w:vAlign w:val="center"/>
          </w:tcPr>
          <w:p w14:paraId="52884B86">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ND</w:t>
            </w:r>
          </w:p>
        </w:tc>
      </w:tr>
      <w:tr w14:paraId="2A4B7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1359" w:type="dxa"/>
            <w:tcBorders>
              <w:tl2br w:val="nil"/>
              <w:tr2bl w:val="nil"/>
            </w:tcBorders>
            <w:vAlign w:val="center"/>
          </w:tcPr>
          <w:p w14:paraId="10D1E47F">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z w:val="21"/>
                <w:szCs w:val="21"/>
                <w:highlight w:val="none"/>
                <w:lang w:val="en-US" w:eastAsia="zh-CN" w:bidi="ar"/>
              </w:rPr>
            </w:pPr>
            <w:r>
              <w:rPr>
                <w:rFonts w:hint="default" w:ascii="Times New Roman" w:hAnsi="Times New Roman" w:eastAsia="宋体" w:cs="Times New Roman"/>
                <w:b w:val="0"/>
                <w:bCs w:val="0"/>
                <w:color w:val="auto"/>
                <w:sz w:val="21"/>
                <w:szCs w:val="21"/>
                <w:highlight w:val="none"/>
                <w:lang w:val="en-US" w:eastAsia="zh-CN" w:bidi="ar"/>
              </w:rPr>
              <w:t>硫化物</w:t>
            </w:r>
          </w:p>
        </w:tc>
        <w:tc>
          <w:tcPr>
            <w:tcW w:w="1456" w:type="dxa"/>
            <w:tcBorders>
              <w:tl2br w:val="nil"/>
              <w:tr2bl w:val="nil"/>
            </w:tcBorders>
            <w:vAlign w:val="center"/>
          </w:tcPr>
          <w:p w14:paraId="7C1803E0">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0.2</w:t>
            </w:r>
          </w:p>
        </w:tc>
        <w:tc>
          <w:tcPr>
            <w:tcW w:w="1907" w:type="dxa"/>
            <w:tcBorders>
              <w:tl2br w:val="nil"/>
              <w:tr2bl w:val="nil"/>
            </w:tcBorders>
            <w:vAlign w:val="center"/>
          </w:tcPr>
          <w:p w14:paraId="5DE984D2">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0.002~0.005</w:t>
            </w:r>
          </w:p>
        </w:tc>
        <w:tc>
          <w:tcPr>
            <w:tcW w:w="1907" w:type="dxa"/>
            <w:tcBorders>
              <w:tl2br w:val="nil"/>
              <w:tr2bl w:val="nil"/>
            </w:tcBorders>
            <w:vAlign w:val="center"/>
          </w:tcPr>
          <w:p w14:paraId="57B24724">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lang w:val="en-US" w:eastAsia="zh-CN" w:bidi="ar"/>
              </w:rPr>
              <w:t>0.002</w:t>
            </w:r>
          </w:p>
        </w:tc>
        <w:tc>
          <w:tcPr>
            <w:tcW w:w="1827" w:type="dxa"/>
            <w:tcBorders>
              <w:tl2br w:val="nil"/>
              <w:tr2bl w:val="nil"/>
            </w:tcBorders>
            <w:vAlign w:val="center"/>
          </w:tcPr>
          <w:p w14:paraId="49E3BC4A">
            <w:pPr>
              <w:keepNext w:val="0"/>
              <w:keepLines w:val="0"/>
              <w:pageBreakBefore w:val="0"/>
              <w:widowControl/>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b w:val="0"/>
                <w:bCs w:val="0"/>
                <w:color w:val="auto"/>
                <w:spacing w:val="-3"/>
                <w:sz w:val="21"/>
                <w:szCs w:val="21"/>
                <w:highlight w:val="none"/>
                <w:vertAlign w:val="baseline"/>
              </w:rPr>
            </w:pPr>
            <w:r>
              <w:rPr>
                <w:rFonts w:hint="default" w:ascii="Times New Roman" w:hAnsi="Times New Roman" w:eastAsia="宋体" w:cs="Times New Roman"/>
                <w:b w:val="0"/>
                <w:bCs w:val="0"/>
                <w:color w:val="auto"/>
                <w:sz w:val="21"/>
                <w:szCs w:val="21"/>
                <w:highlight w:val="none"/>
                <w:lang w:val="en-US" w:eastAsia="zh-CN" w:bidi="ar"/>
              </w:rPr>
              <w:t>ND</w:t>
            </w:r>
          </w:p>
        </w:tc>
      </w:tr>
    </w:tbl>
    <w:p w14:paraId="036CE681">
      <w:pPr>
        <w:keepNext w:val="0"/>
        <w:keepLines w:val="0"/>
        <w:pageBreakBefore w:val="0"/>
        <w:widowControl/>
        <w:kinsoku w:val="0"/>
        <w:wordWrap/>
        <w:overflowPunct/>
        <w:topLinePunct w:val="0"/>
        <w:autoSpaceDE w:val="0"/>
        <w:autoSpaceDN w:val="0"/>
        <w:bidi w:val="0"/>
        <w:adjustRightInd w:val="0"/>
        <w:snapToGrid w:val="0"/>
        <w:spacing w:line="240" w:lineRule="exact"/>
        <w:textAlignment w:val="baseline"/>
        <w:rPr>
          <w:rFonts w:hint="default" w:ascii="Times New Roman" w:hAnsi="Times New Roman" w:eastAsia="宋体" w:cs="Times New Roman"/>
          <w:b w:val="0"/>
          <w:bCs w:val="0"/>
          <w:color w:val="auto"/>
          <w:spacing w:val="-3"/>
          <w:sz w:val="21"/>
          <w:szCs w:val="21"/>
          <w:highlight w:val="none"/>
          <w:lang w:val="en-US" w:eastAsia="zh-CN"/>
        </w:rPr>
      </w:pPr>
      <w:r>
        <w:rPr>
          <w:rFonts w:hint="default" w:ascii="Times New Roman" w:hAnsi="Times New Roman" w:eastAsia="宋体" w:cs="Times New Roman"/>
          <w:b w:val="0"/>
          <w:bCs w:val="0"/>
          <w:color w:val="auto"/>
          <w:spacing w:val="-3"/>
          <w:sz w:val="21"/>
          <w:szCs w:val="21"/>
          <w:highlight w:val="none"/>
          <w:lang w:eastAsia="zh-CN"/>
        </w:rPr>
        <w:t>注：</w:t>
      </w:r>
      <w:r>
        <w:rPr>
          <w:rFonts w:hint="default" w:ascii="Times New Roman" w:hAnsi="Times New Roman" w:eastAsia="宋体" w:cs="Times New Roman"/>
          <w:b w:val="0"/>
          <w:bCs w:val="0"/>
          <w:color w:val="auto"/>
          <w:spacing w:val="-3"/>
          <w:sz w:val="21"/>
          <w:szCs w:val="21"/>
          <w:highlight w:val="none"/>
          <w:lang w:val="en-US" w:eastAsia="zh-CN"/>
        </w:rPr>
        <w:t>各因子检出限为：锌0.00067mg/L，硒0.0004mg/L，汞0.00001mg/L，镉0.00005mg/L，六价铬0.004mg/L，铅0.00009mg/L，氰化物0.004mg/L，挥发酚0.002mg/L，硫化物0.005mg/L。</w:t>
      </w:r>
    </w:p>
    <w:p w14:paraId="2CD86BCD">
      <w:pPr>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ascii="宋体" w:hAnsi="宋体" w:eastAsia="宋体" w:cs="宋体"/>
          <w:b/>
          <w:bCs/>
          <w:color w:val="auto"/>
          <w:spacing w:val="-3"/>
          <w:sz w:val="24"/>
          <w:szCs w:val="24"/>
          <w:highlight w:val="none"/>
        </w:rPr>
      </w:pPr>
      <w:r>
        <w:rPr>
          <w:rFonts w:hint="default" w:ascii="Times New Roman" w:hAnsi="Times New Roman" w:eastAsia="宋体" w:cs="Times New Roman"/>
          <w:b w:val="0"/>
          <w:bCs w:val="0"/>
          <w:color w:val="auto"/>
          <w:spacing w:val="-3"/>
          <w:sz w:val="24"/>
          <w:szCs w:val="24"/>
          <w:highlight w:val="none"/>
          <w:lang w:val="en-US" w:eastAsia="zh-CN"/>
        </w:rPr>
        <w:t>根据上表可知，</w:t>
      </w:r>
      <w:r>
        <w:rPr>
          <w:rFonts w:hint="eastAsia" w:ascii="Times New Roman" w:hAnsi="Times New Roman" w:eastAsia="宋体" w:cs="Times New Roman"/>
          <w:b w:val="0"/>
          <w:bCs w:val="0"/>
          <w:color w:val="auto"/>
          <w:spacing w:val="-3"/>
          <w:sz w:val="24"/>
          <w:szCs w:val="24"/>
          <w:highlight w:val="none"/>
          <w:lang w:val="en-US" w:eastAsia="zh-CN"/>
        </w:rPr>
        <w:t>评估范围内地表水</w:t>
      </w:r>
      <w:r>
        <w:rPr>
          <w:rFonts w:hint="default" w:ascii="Times New Roman" w:hAnsi="Times New Roman" w:eastAsia="宋体" w:cs="Times New Roman"/>
          <w:b w:val="0"/>
          <w:bCs w:val="0"/>
          <w:color w:val="auto"/>
          <w:spacing w:val="-3"/>
          <w:sz w:val="24"/>
          <w:szCs w:val="24"/>
          <w:highlight w:val="none"/>
          <w:lang w:val="en-US" w:eastAsia="zh-CN"/>
        </w:rPr>
        <w:t>基本因子</w:t>
      </w:r>
      <w:r>
        <w:rPr>
          <w:rFonts w:hint="eastAsia" w:ascii="Times New Roman" w:hAnsi="Times New Roman" w:eastAsia="宋体" w:cs="Times New Roman"/>
          <w:b w:val="0"/>
          <w:bCs w:val="0"/>
          <w:color w:val="auto"/>
          <w:spacing w:val="-3"/>
          <w:sz w:val="24"/>
          <w:szCs w:val="24"/>
          <w:highlight w:val="none"/>
          <w:lang w:val="en-US" w:eastAsia="zh-CN"/>
        </w:rPr>
        <w:t>满足</w:t>
      </w:r>
      <w:r>
        <w:rPr>
          <w:rFonts w:hint="default" w:ascii="Times New Roman" w:hAnsi="Times New Roman" w:eastAsia="宋体" w:cs="Times New Roman"/>
          <w:color w:val="auto"/>
          <w:kern w:val="0"/>
          <w:sz w:val="24"/>
          <w:szCs w:val="20"/>
          <w:highlight w:val="none"/>
        </w:rPr>
        <w:t>《地表水环境质量标准》（GB3838-2002）</w:t>
      </w:r>
      <w:r>
        <w:rPr>
          <w:rFonts w:hint="eastAsia" w:ascii="Times New Roman" w:hAnsi="Times New Roman" w:eastAsia="宋体" w:cs="Times New Roman"/>
          <w:b w:val="0"/>
          <w:bCs w:val="0"/>
          <w:color w:val="auto"/>
          <w:spacing w:val="-3"/>
          <w:sz w:val="24"/>
          <w:szCs w:val="24"/>
          <w:highlight w:val="none"/>
          <w:lang w:val="en-US" w:eastAsia="zh-CN"/>
        </w:rPr>
        <w:t>Ⅲ类标准，</w:t>
      </w:r>
      <w:r>
        <w:rPr>
          <w:rFonts w:hint="default" w:ascii="Times New Roman" w:hAnsi="Times New Roman" w:eastAsia="宋体" w:cs="Times New Roman"/>
          <w:b w:val="0"/>
          <w:bCs w:val="0"/>
          <w:color w:val="auto"/>
          <w:spacing w:val="-3"/>
          <w:sz w:val="24"/>
          <w:szCs w:val="24"/>
          <w:highlight w:val="none"/>
          <w:lang w:val="en-US" w:eastAsia="zh-CN"/>
        </w:rPr>
        <w:t>总体上水质现状较好。</w:t>
      </w:r>
    </w:p>
    <w:p w14:paraId="2BB252C0">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ascii="Times New Roman" w:hAnsi="Times New Roman" w:eastAsia="宋体" w:cs="Times New Roman"/>
          <w:color w:val="auto"/>
          <w:sz w:val="24"/>
          <w:szCs w:val="24"/>
          <w:highlight w:val="none"/>
        </w:rPr>
      </w:pPr>
      <w:r>
        <w:rPr>
          <w:color w:val="auto"/>
          <w:highlight w:val="none"/>
        </w:rPr>
        <w:fldChar w:fldCharType="begin"/>
      </w:r>
      <w:r>
        <w:rPr>
          <w:color w:val="auto"/>
          <w:highlight w:val="none"/>
        </w:rPr>
        <w:instrText xml:space="preserve"> HYPERLINK "6.3.2.1" </w:instrText>
      </w:r>
      <w:r>
        <w:rPr>
          <w:color w:val="auto"/>
          <w:highlight w:val="none"/>
        </w:rPr>
        <w:fldChar w:fldCharType="separate"/>
      </w:r>
      <w:r>
        <w:rPr>
          <w:rFonts w:ascii="Times New Roman" w:hAnsi="Times New Roman" w:eastAsia="Times New Roman" w:cs="Times New Roman"/>
          <w:b/>
          <w:bCs/>
          <w:color w:val="auto"/>
          <w:spacing w:val="-3"/>
          <w:sz w:val="24"/>
          <w:szCs w:val="24"/>
          <w:highlight w:val="none"/>
        </w:rPr>
        <w:t>6.3.2.</w:t>
      </w:r>
      <w:r>
        <w:rPr>
          <w:rFonts w:hint="eastAsia" w:ascii="Times New Roman" w:hAnsi="Times New Roman" w:eastAsia="宋体" w:cs="Times New Roman"/>
          <w:b/>
          <w:bCs/>
          <w:color w:val="auto"/>
          <w:spacing w:val="-3"/>
          <w:sz w:val="24"/>
          <w:szCs w:val="24"/>
          <w:highlight w:val="none"/>
          <w:lang w:val="en-US" w:eastAsia="zh-CN"/>
        </w:rPr>
        <w:t>3</w:t>
      </w:r>
      <w:r>
        <w:rPr>
          <w:rFonts w:ascii="Times New Roman" w:hAnsi="Times New Roman" w:eastAsia="Times New Roman" w:cs="Times New Roman"/>
          <w:b/>
          <w:bCs/>
          <w:color w:val="auto"/>
          <w:spacing w:val="-3"/>
          <w:sz w:val="24"/>
          <w:szCs w:val="24"/>
          <w:highlight w:val="none"/>
        </w:rPr>
        <w:fldChar w:fldCharType="end"/>
      </w:r>
      <w:r>
        <w:rPr>
          <w:rFonts w:ascii="宋体" w:hAnsi="宋体" w:eastAsia="宋体" w:cs="宋体"/>
          <w:b/>
          <w:bCs/>
          <w:color w:val="auto"/>
          <w:spacing w:val="-3"/>
          <w:sz w:val="24"/>
          <w:szCs w:val="24"/>
          <w:highlight w:val="none"/>
        </w:rPr>
        <w:t>区域</w:t>
      </w:r>
      <w:r>
        <w:rPr>
          <w:rFonts w:hint="eastAsia" w:ascii="宋体" w:hAnsi="宋体" w:eastAsia="宋体" w:cs="宋体"/>
          <w:b/>
          <w:bCs/>
          <w:color w:val="auto"/>
          <w:spacing w:val="-3"/>
          <w:sz w:val="24"/>
          <w:szCs w:val="24"/>
          <w:highlight w:val="none"/>
          <w:lang w:val="en-US" w:eastAsia="zh-CN"/>
        </w:rPr>
        <w:t>地表</w:t>
      </w:r>
      <w:r>
        <w:rPr>
          <w:rFonts w:ascii="宋体" w:hAnsi="宋体" w:eastAsia="宋体" w:cs="宋体"/>
          <w:b/>
          <w:bCs/>
          <w:color w:val="auto"/>
          <w:spacing w:val="-3"/>
          <w:sz w:val="24"/>
          <w:szCs w:val="24"/>
          <w:highlight w:val="none"/>
        </w:rPr>
        <w:t>水环境质量现状</w:t>
      </w:r>
      <w:r>
        <w:rPr>
          <w:rFonts w:hint="eastAsia" w:ascii="宋体" w:hAnsi="宋体" w:eastAsia="宋体" w:cs="宋体"/>
          <w:b/>
          <w:bCs/>
          <w:color w:val="auto"/>
          <w:spacing w:val="-3"/>
          <w:sz w:val="24"/>
          <w:szCs w:val="24"/>
          <w:highlight w:val="none"/>
          <w:lang w:val="en-US" w:eastAsia="zh-CN"/>
        </w:rPr>
        <w:t>监测</w:t>
      </w:r>
      <w:bookmarkStart w:id="1361" w:name="pindex6273"/>
      <w:bookmarkEnd w:id="1361"/>
    </w:p>
    <w:p w14:paraId="6D3C7DE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（1）监测断面</w:t>
      </w:r>
      <w:bookmarkStart w:id="1362" w:name="pindex6274"/>
      <w:bookmarkEnd w:id="1362"/>
    </w:p>
    <w:p w14:paraId="7F245AD6">
      <w:pPr>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根据评估区域纳污河流现状排口及其水系水文特征进行现状监测断面布设，共布设</w:t>
      </w:r>
      <w:r>
        <w:rPr>
          <w:rFonts w:hint="eastAsia" w:ascii="Times New Roman" w:hAnsi="Times New Roman" w:eastAsia="宋体" w:cs="Times New Roman"/>
          <w:color w:val="auto"/>
          <w:sz w:val="24"/>
          <w:szCs w:val="24"/>
          <w:highlight w:val="none"/>
          <w:lang w:val="en-US" w:eastAsia="zh-CN"/>
        </w:rPr>
        <w:t>13</w:t>
      </w:r>
      <w:r>
        <w:rPr>
          <w:rFonts w:ascii="Times New Roman" w:hAnsi="Times New Roman" w:eastAsia="宋体" w:cs="Times New Roman"/>
          <w:color w:val="auto"/>
          <w:sz w:val="24"/>
          <w:szCs w:val="24"/>
          <w:highlight w:val="none"/>
        </w:rPr>
        <w:t>个监测断面，如表</w:t>
      </w:r>
      <w:r>
        <w:rPr>
          <w:rFonts w:hint="eastAsia" w:ascii="Times New Roman" w:hAnsi="Times New Roman" w:eastAsia="宋体" w:cs="Times New Roman"/>
          <w:color w:val="auto"/>
          <w:sz w:val="24"/>
          <w:szCs w:val="24"/>
          <w:highlight w:val="none"/>
          <w:lang w:val="en-US" w:eastAsia="zh-CN"/>
        </w:rPr>
        <w:t>6.3-14</w:t>
      </w:r>
      <w:r>
        <w:rPr>
          <w:rFonts w:ascii="Times New Roman" w:hAnsi="Times New Roman" w:eastAsia="宋体" w:cs="Times New Roman"/>
          <w:color w:val="auto"/>
          <w:sz w:val="24"/>
          <w:szCs w:val="24"/>
          <w:highlight w:val="none"/>
        </w:rPr>
        <w:t>和</w:t>
      </w:r>
      <w:r>
        <w:rPr>
          <w:rFonts w:hint="eastAsia" w:ascii="Times New Roman" w:hAnsi="Times New Roman" w:eastAsia="宋体" w:cs="Times New Roman"/>
          <w:color w:val="auto"/>
          <w:sz w:val="24"/>
          <w:szCs w:val="24"/>
          <w:highlight w:val="none"/>
          <w:lang w:val="en-US" w:eastAsia="zh-CN"/>
        </w:rPr>
        <w:t>附图6</w:t>
      </w:r>
      <w:r>
        <w:rPr>
          <w:rFonts w:ascii="Times New Roman" w:hAnsi="Times New Roman" w:eastAsia="宋体" w:cs="Times New Roman"/>
          <w:color w:val="auto"/>
          <w:sz w:val="24"/>
          <w:szCs w:val="24"/>
          <w:highlight w:val="none"/>
        </w:rPr>
        <w:t>所示。</w:t>
      </w:r>
      <w:bookmarkStart w:id="1363" w:name="pindex6275"/>
      <w:bookmarkEnd w:id="1363"/>
    </w:p>
    <w:p w14:paraId="7892EA6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w:t>
      </w:r>
      <w:r>
        <w:rPr>
          <w:rFonts w:hint="default" w:ascii="Times New Roman" w:hAnsi="Times New Roman" w:cs="Times New Roman"/>
          <w:b/>
          <w:bCs/>
          <w:color w:val="auto"/>
          <w:sz w:val="24"/>
          <w:szCs w:val="24"/>
          <w:highlight w:val="none"/>
          <w:lang w:val="en-US" w:eastAsia="zh-CN"/>
        </w:rPr>
        <w:t>6.3-1</w:t>
      </w:r>
      <w:r>
        <w:rPr>
          <w:rFonts w:hint="eastAsia" w:ascii="Times New Roman" w:hAnsi="Times New Roman"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 xml:space="preserve">  </w:t>
      </w:r>
      <w:r>
        <w:rPr>
          <w:rFonts w:hint="default" w:ascii="Times New Roman" w:hAnsi="Times New Roman" w:cs="Times New Roman"/>
          <w:b/>
          <w:bCs/>
          <w:color w:val="auto"/>
          <w:sz w:val="24"/>
          <w:szCs w:val="24"/>
          <w:highlight w:val="none"/>
          <w:lang w:val="en-US" w:eastAsia="zh-CN"/>
        </w:rPr>
        <w:t>地表</w:t>
      </w:r>
      <w:r>
        <w:rPr>
          <w:rFonts w:hint="default" w:ascii="Times New Roman" w:hAnsi="Times New Roman" w:cs="Times New Roman"/>
          <w:b/>
          <w:bCs/>
          <w:color w:val="auto"/>
          <w:sz w:val="24"/>
          <w:szCs w:val="24"/>
          <w:highlight w:val="none"/>
        </w:rPr>
        <w:t>水环境现状监测断面布设</w:t>
      </w:r>
      <w:bookmarkStart w:id="1364" w:name="pindex6276"/>
      <w:bookmarkEnd w:id="1364"/>
    </w:p>
    <w:tbl>
      <w:tblPr>
        <w:tblStyle w:val="19"/>
        <w:tblW w:w="497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1"/>
        <w:gridCol w:w="800"/>
        <w:gridCol w:w="2505"/>
        <w:gridCol w:w="3308"/>
        <w:gridCol w:w="1095"/>
      </w:tblGrid>
      <w:tr w14:paraId="187D0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tblHeader/>
        </w:trPr>
        <w:tc>
          <w:tcPr>
            <w:tcW w:w="528" w:type="pct"/>
            <w:noWrap w:val="0"/>
            <w:vAlign w:val="center"/>
          </w:tcPr>
          <w:p w14:paraId="75F64CC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河流</w:t>
            </w:r>
          </w:p>
        </w:tc>
        <w:tc>
          <w:tcPr>
            <w:tcW w:w="464" w:type="pct"/>
            <w:noWrap w:val="0"/>
            <w:vAlign w:val="center"/>
          </w:tcPr>
          <w:p w14:paraId="0DD1452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断面</w:t>
            </w:r>
            <w:r>
              <w:rPr>
                <w:rFonts w:hint="default" w:ascii="Times New Roman" w:hAnsi="Times New Roman" w:cs="Times New Roman"/>
                <w:b/>
                <w:bCs/>
                <w:color w:val="auto"/>
                <w:sz w:val="21"/>
                <w:szCs w:val="21"/>
                <w:highlight w:val="none"/>
                <w:lang w:val="en-US" w:eastAsia="zh-CN"/>
              </w:rPr>
              <w:t>编号</w:t>
            </w:r>
          </w:p>
        </w:tc>
        <w:tc>
          <w:tcPr>
            <w:tcW w:w="1453" w:type="pct"/>
            <w:noWrap w:val="0"/>
            <w:vAlign w:val="center"/>
          </w:tcPr>
          <w:p w14:paraId="1AB9310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监测断面位置</w:t>
            </w:r>
          </w:p>
        </w:tc>
        <w:tc>
          <w:tcPr>
            <w:tcW w:w="1919" w:type="pct"/>
            <w:noWrap w:val="0"/>
            <w:vAlign w:val="center"/>
          </w:tcPr>
          <w:p w14:paraId="2A3E178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监测因子</w:t>
            </w:r>
          </w:p>
        </w:tc>
        <w:tc>
          <w:tcPr>
            <w:tcW w:w="635" w:type="pct"/>
            <w:noWrap w:val="0"/>
            <w:vAlign w:val="center"/>
          </w:tcPr>
          <w:p w14:paraId="6523C02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bookmarkStart w:id="1365" w:name="OLE_LINK388"/>
            <w:r>
              <w:rPr>
                <w:rFonts w:hint="default" w:ascii="Times New Roman" w:hAnsi="Times New Roman" w:eastAsia="宋体" w:cs="Times New Roman"/>
                <w:b/>
                <w:bCs/>
                <w:color w:val="auto"/>
                <w:sz w:val="21"/>
                <w:szCs w:val="21"/>
                <w:highlight w:val="none"/>
                <w:lang w:val="en-US" w:eastAsia="zh-CN"/>
              </w:rPr>
              <w:t>备注</w:t>
            </w:r>
            <w:bookmarkEnd w:id="1365"/>
          </w:p>
        </w:tc>
      </w:tr>
      <w:tr w14:paraId="671FA1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528" w:type="pct"/>
            <w:vMerge w:val="restart"/>
            <w:noWrap w:val="0"/>
            <w:vAlign w:val="center"/>
          </w:tcPr>
          <w:p w14:paraId="3EF61A9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秦淮新河</w:t>
            </w:r>
          </w:p>
        </w:tc>
        <w:tc>
          <w:tcPr>
            <w:tcW w:w="464" w:type="pct"/>
            <w:noWrap w:val="0"/>
            <w:vAlign w:val="center"/>
          </w:tcPr>
          <w:p w14:paraId="3EB7D48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W1-1</w:t>
            </w:r>
          </w:p>
        </w:tc>
        <w:tc>
          <w:tcPr>
            <w:tcW w:w="1453" w:type="pct"/>
            <w:noWrap w:val="0"/>
            <w:vAlign w:val="center"/>
          </w:tcPr>
          <w:p w14:paraId="165EFC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开发区污水处理厂上游500m</w:t>
            </w:r>
          </w:p>
        </w:tc>
        <w:tc>
          <w:tcPr>
            <w:tcW w:w="1919" w:type="pct"/>
            <w:vMerge w:val="restart"/>
            <w:noWrap w:val="0"/>
            <w:vAlign w:val="center"/>
          </w:tcPr>
          <w:p w14:paraId="3BD53376">
            <w:pPr>
              <w:pStyle w:val="30"/>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bookmarkStart w:id="1366" w:name="sys6285090"/>
            <w:r>
              <w:rPr>
                <w:rFonts w:hint="default" w:ascii="Times New Roman" w:hAnsi="Times New Roman" w:cs="Times New Roman"/>
                <w:b/>
                <w:bCs/>
                <w:color w:val="auto"/>
                <w:sz w:val="21"/>
                <w:szCs w:val="21"/>
                <w:highlight w:val="none"/>
                <w:lang w:val="en-US" w:eastAsia="zh-CN"/>
              </w:rPr>
              <w:t>基本项目因子：</w:t>
            </w:r>
            <w:r>
              <w:rPr>
                <w:rFonts w:hint="default" w:ascii="Times New Roman" w:hAnsi="Times New Roman" w:cs="Times New Roman"/>
                <w:color w:val="auto"/>
                <w:sz w:val="21"/>
                <w:szCs w:val="21"/>
                <w:highlight w:val="none"/>
              </w:rPr>
              <w:t>水温、pH、DO、氨氮、总磷、SS、COD、COD</w:t>
            </w:r>
            <w:r>
              <w:rPr>
                <w:rFonts w:hint="default" w:ascii="Times New Roman" w:hAnsi="Times New Roman" w:cs="Times New Roman"/>
                <w:color w:val="auto"/>
                <w:sz w:val="21"/>
                <w:szCs w:val="21"/>
                <w:highlight w:val="none"/>
                <w:vertAlign w:val="subscript"/>
              </w:rPr>
              <w:t>Mn</w:t>
            </w:r>
            <w:r>
              <w:rPr>
                <w:rFonts w:hint="default" w:ascii="Times New Roman" w:hAnsi="Times New Roman" w:cs="Times New Roman"/>
                <w:color w:val="auto"/>
                <w:sz w:val="21"/>
                <w:szCs w:val="21"/>
                <w:highlight w:val="none"/>
              </w:rPr>
              <w:t>、BOD</w:t>
            </w:r>
            <w:r>
              <w:rPr>
                <w:rFonts w:hint="default" w:ascii="Times New Roman" w:hAnsi="Times New Roman"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rPr>
              <w:t>、TN、石油类、硫化物、氰化物、挥发酚、镉、六价铬、铬、锌、锰、LAS</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总铜、氟化物、铅、汞、硒和砷；</w:t>
            </w:r>
            <w:bookmarkEnd w:id="1366"/>
          </w:p>
          <w:p w14:paraId="5051F38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特定项目因子：</w:t>
            </w:r>
            <w:r>
              <w:rPr>
                <w:rFonts w:hint="default" w:ascii="Times New Roman" w:hAnsi="Times New Roman" w:cs="Times New Roman"/>
                <w:color w:val="auto"/>
                <w:sz w:val="21"/>
                <w:szCs w:val="21"/>
                <w:highlight w:val="none"/>
                <w:lang w:val="en-US" w:eastAsia="zh-CN"/>
              </w:rPr>
              <w:t>镍；</w:t>
            </w:r>
          </w:p>
          <w:p w14:paraId="6556983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bookmarkStart w:id="1367" w:name="sys6287030"/>
            <w:r>
              <w:rPr>
                <w:rFonts w:hint="default" w:ascii="Times New Roman" w:hAnsi="Times New Roman" w:cs="Times New Roman"/>
                <w:b/>
                <w:bCs/>
                <w:color w:val="auto"/>
                <w:sz w:val="21"/>
                <w:szCs w:val="21"/>
                <w:highlight w:val="none"/>
                <w:lang w:val="en-US" w:eastAsia="zh-CN"/>
              </w:rPr>
              <w:t>其他：</w:t>
            </w:r>
            <w:r>
              <w:rPr>
                <w:rFonts w:hint="default" w:ascii="Times New Roman" w:hAnsi="Times New Roman" w:cs="Times New Roman"/>
                <w:color w:val="auto"/>
                <w:sz w:val="21"/>
                <w:szCs w:val="21"/>
                <w:highlight w:val="none"/>
              </w:rPr>
              <w:t>同时监测水温、流向、流量、河宽、水深、流速等水文参数。</w:t>
            </w:r>
            <w:bookmarkEnd w:id="1367"/>
          </w:p>
        </w:tc>
        <w:tc>
          <w:tcPr>
            <w:tcW w:w="635" w:type="pct"/>
            <w:noWrap w:val="0"/>
            <w:vAlign w:val="center"/>
          </w:tcPr>
          <w:p w14:paraId="7FED902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bookmarkStart w:id="1368" w:name="OLE_LINK468"/>
            <w:r>
              <w:rPr>
                <w:rFonts w:hint="default" w:ascii="Times New Roman" w:hAnsi="Times New Roman" w:cs="Times New Roman"/>
                <w:b w:val="0"/>
                <w:bCs w:val="0"/>
                <w:color w:val="auto"/>
                <w:sz w:val="21"/>
                <w:szCs w:val="21"/>
                <w:highlight w:val="none"/>
                <w:lang w:val="en-US" w:eastAsia="zh-CN"/>
              </w:rPr>
              <w:t>实测</w:t>
            </w:r>
            <w:bookmarkEnd w:id="1368"/>
          </w:p>
        </w:tc>
      </w:tr>
      <w:tr w14:paraId="251D7D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528" w:type="pct"/>
            <w:vMerge w:val="continue"/>
            <w:noWrap w:val="0"/>
            <w:vAlign w:val="center"/>
          </w:tcPr>
          <w:p w14:paraId="547E77E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bookmarkStart w:id="1369" w:name="OLE_LINK469" w:colFirst="4" w:colLast="4"/>
          </w:p>
        </w:tc>
        <w:tc>
          <w:tcPr>
            <w:tcW w:w="464" w:type="pct"/>
            <w:noWrap w:val="0"/>
            <w:vAlign w:val="center"/>
          </w:tcPr>
          <w:p w14:paraId="1CE3437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W1-2</w:t>
            </w:r>
          </w:p>
        </w:tc>
        <w:tc>
          <w:tcPr>
            <w:tcW w:w="1453" w:type="pct"/>
            <w:noWrap w:val="0"/>
            <w:vAlign w:val="center"/>
          </w:tcPr>
          <w:p w14:paraId="16533E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开发区污水处理厂下游1000m</w:t>
            </w:r>
          </w:p>
        </w:tc>
        <w:tc>
          <w:tcPr>
            <w:tcW w:w="1919" w:type="pct"/>
            <w:vMerge w:val="continue"/>
            <w:noWrap w:val="0"/>
            <w:vAlign w:val="center"/>
          </w:tcPr>
          <w:p w14:paraId="5A1E08D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p>
        </w:tc>
        <w:tc>
          <w:tcPr>
            <w:tcW w:w="635" w:type="pct"/>
            <w:noWrap w:val="0"/>
            <w:vAlign w:val="center"/>
          </w:tcPr>
          <w:p w14:paraId="2823BA2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实测</w:t>
            </w:r>
          </w:p>
        </w:tc>
      </w:tr>
      <w:tr w14:paraId="144C6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528" w:type="pct"/>
            <w:vMerge w:val="restart"/>
            <w:noWrap w:val="0"/>
            <w:vAlign w:val="center"/>
          </w:tcPr>
          <w:p w14:paraId="51822F7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秦淮河</w:t>
            </w:r>
          </w:p>
        </w:tc>
        <w:tc>
          <w:tcPr>
            <w:tcW w:w="464" w:type="pct"/>
            <w:noWrap w:val="0"/>
            <w:vAlign w:val="center"/>
          </w:tcPr>
          <w:p w14:paraId="557AB4A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W2-1</w:t>
            </w:r>
          </w:p>
        </w:tc>
        <w:tc>
          <w:tcPr>
            <w:tcW w:w="1453" w:type="pct"/>
            <w:noWrap w:val="0"/>
            <w:vAlign w:val="center"/>
          </w:tcPr>
          <w:p w14:paraId="2014E50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科学园污水处理厂上游500m</w:t>
            </w:r>
          </w:p>
        </w:tc>
        <w:tc>
          <w:tcPr>
            <w:tcW w:w="1919" w:type="pct"/>
            <w:vMerge w:val="continue"/>
            <w:noWrap w:val="0"/>
            <w:vAlign w:val="center"/>
          </w:tcPr>
          <w:p w14:paraId="3666BF1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p>
        </w:tc>
        <w:tc>
          <w:tcPr>
            <w:tcW w:w="635" w:type="pct"/>
            <w:noWrap w:val="0"/>
            <w:vAlign w:val="center"/>
          </w:tcPr>
          <w:p w14:paraId="457F510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实测</w:t>
            </w:r>
          </w:p>
        </w:tc>
      </w:tr>
      <w:tr w14:paraId="1FB66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8" w:type="pct"/>
            <w:vMerge w:val="continue"/>
            <w:noWrap w:val="0"/>
            <w:vAlign w:val="center"/>
          </w:tcPr>
          <w:p w14:paraId="798B47A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p>
        </w:tc>
        <w:tc>
          <w:tcPr>
            <w:tcW w:w="464" w:type="pct"/>
            <w:noWrap w:val="0"/>
            <w:vAlign w:val="center"/>
          </w:tcPr>
          <w:p w14:paraId="64A913A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W2-2</w:t>
            </w:r>
          </w:p>
        </w:tc>
        <w:tc>
          <w:tcPr>
            <w:tcW w:w="1453" w:type="pct"/>
            <w:noWrap w:val="0"/>
            <w:vAlign w:val="center"/>
          </w:tcPr>
          <w:p w14:paraId="5352D1B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科学园污水处理厂排口下游1000m</w:t>
            </w:r>
          </w:p>
        </w:tc>
        <w:tc>
          <w:tcPr>
            <w:tcW w:w="1919" w:type="pct"/>
            <w:vMerge w:val="continue"/>
            <w:noWrap w:val="0"/>
            <w:vAlign w:val="center"/>
          </w:tcPr>
          <w:p w14:paraId="6487889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p>
        </w:tc>
        <w:tc>
          <w:tcPr>
            <w:tcW w:w="635" w:type="pct"/>
            <w:noWrap w:val="0"/>
            <w:vAlign w:val="center"/>
          </w:tcPr>
          <w:p w14:paraId="1FF2CB7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实测</w:t>
            </w:r>
          </w:p>
        </w:tc>
      </w:tr>
      <w:tr w14:paraId="4A24DE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528" w:type="pct"/>
            <w:noWrap w:val="0"/>
            <w:vAlign w:val="center"/>
          </w:tcPr>
          <w:p w14:paraId="02DA498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牛首山河</w:t>
            </w:r>
          </w:p>
        </w:tc>
        <w:tc>
          <w:tcPr>
            <w:tcW w:w="464" w:type="pct"/>
            <w:noWrap w:val="0"/>
            <w:vAlign w:val="center"/>
          </w:tcPr>
          <w:p w14:paraId="30F0560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W3-1</w:t>
            </w:r>
          </w:p>
        </w:tc>
        <w:tc>
          <w:tcPr>
            <w:tcW w:w="1453" w:type="pct"/>
            <w:noWrap w:val="0"/>
            <w:vAlign w:val="center"/>
          </w:tcPr>
          <w:p w14:paraId="270AE65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距</w:t>
            </w:r>
            <w:sdt>
              <w:sdtPr>
                <w:rPr>
                  <w:color w:val="auto"/>
                  <w:highlight w:val="none"/>
                </w:rPr>
                <w:alias w:val="易错词检查"/>
                <w:tag w:val="auto"/>
                <w:id w:val="130534"/>
              </w:sdtPr>
              <w:sdtEndPr>
                <w:rPr>
                  <w:color w:val="auto"/>
                  <w:highlight w:val="none"/>
                </w:rPr>
              </w:sdtEndPr>
              <w:sdtContent>
                <w:bookmarkStart w:id="1370" w:name="bkReivew130534"/>
                <w:r>
                  <w:rPr>
                    <w:rFonts w:hint="default" w:ascii="Times New Roman" w:hAnsi="Times New Roman" w:cs="Times New Roman"/>
                    <w:color w:val="auto"/>
                    <w:sz w:val="21"/>
                    <w:szCs w:val="21"/>
                    <w:highlight w:val="none"/>
                    <w:lang w:val="en-US" w:eastAsia="zh-CN"/>
                  </w:rPr>
                  <w:t>与</w:t>
                </w:r>
                <w:bookmarkEnd w:id="1370"/>
              </w:sdtContent>
            </w:sdt>
            <w:r>
              <w:rPr>
                <w:rFonts w:hint="default" w:ascii="Times New Roman" w:hAnsi="Times New Roman" w:cs="Times New Roman"/>
                <w:color w:val="auto"/>
                <w:sz w:val="21"/>
                <w:szCs w:val="21"/>
                <w:highlight w:val="none"/>
                <w:lang w:val="en-US" w:eastAsia="zh-CN"/>
              </w:rPr>
              <w:t>秦淮河交界处1000m</w:t>
            </w:r>
          </w:p>
        </w:tc>
        <w:tc>
          <w:tcPr>
            <w:tcW w:w="1919" w:type="pct"/>
            <w:vMerge w:val="continue"/>
            <w:noWrap w:val="0"/>
            <w:vAlign w:val="center"/>
          </w:tcPr>
          <w:p w14:paraId="6B9EAD4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p>
        </w:tc>
        <w:tc>
          <w:tcPr>
            <w:tcW w:w="635" w:type="pct"/>
            <w:noWrap w:val="0"/>
            <w:vAlign w:val="center"/>
          </w:tcPr>
          <w:p w14:paraId="11F2820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实测</w:t>
            </w:r>
          </w:p>
        </w:tc>
      </w:tr>
      <w:tr w14:paraId="47CB72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528" w:type="pct"/>
            <w:vMerge w:val="restart"/>
            <w:noWrap w:val="0"/>
            <w:vAlign w:val="center"/>
          </w:tcPr>
          <w:p w14:paraId="477B98BF">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云台山河</w:t>
            </w:r>
          </w:p>
        </w:tc>
        <w:tc>
          <w:tcPr>
            <w:tcW w:w="464" w:type="pct"/>
            <w:noWrap w:val="0"/>
            <w:vAlign w:val="center"/>
          </w:tcPr>
          <w:p w14:paraId="5309B75E">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W4-1</w:t>
            </w:r>
          </w:p>
        </w:tc>
        <w:tc>
          <w:tcPr>
            <w:tcW w:w="1453" w:type="pct"/>
            <w:noWrap w:val="0"/>
            <w:vAlign w:val="center"/>
          </w:tcPr>
          <w:p w14:paraId="594C3A1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空港污水处理厂排口上游500m</w:t>
            </w:r>
          </w:p>
        </w:tc>
        <w:tc>
          <w:tcPr>
            <w:tcW w:w="1919" w:type="pct"/>
            <w:vMerge w:val="continue"/>
            <w:noWrap w:val="0"/>
            <w:vAlign w:val="center"/>
          </w:tcPr>
          <w:p w14:paraId="34B08ED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p>
        </w:tc>
        <w:tc>
          <w:tcPr>
            <w:tcW w:w="635" w:type="pct"/>
            <w:noWrap w:val="0"/>
            <w:vAlign w:val="center"/>
          </w:tcPr>
          <w:p w14:paraId="7D6D317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实测</w:t>
            </w:r>
          </w:p>
        </w:tc>
      </w:tr>
      <w:tr w14:paraId="747A90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528" w:type="pct"/>
            <w:vMerge w:val="continue"/>
            <w:noWrap w:val="0"/>
            <w:vAlign w:val="center"/>
          </w:tcPr>
          <w:p w14:paraId="5A04E02C">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p>
        </w:tc>
        <w:tc>
          <w:tcPr>
            <w:tcW w:w="464" w:type="pct"/>
            <w:noWrap w:val="0"/>
            <w:vAlign w:val="center"/>
          </w:tcPr>
          <w:p w14:paraId="20E2857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W4-2</w:t>
            </w:r>
          </w:p>
        </w:tc>
        <w:tc>
          <w:tcPr>
            <w:tcW w:w="1453" w:type="pct"/>
            <w:noWrap w:val="0"/>
            <w:vAlign w:val="center"/>
          </w:tcPr>
          <w:p w14:paraId="0A84995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南区污水处理厂上游约500米</w:t>
            </w:r>
          </w:p>
        </w:tc>
        <w:tc>
          <w:tcPr>
            <w:tcW w:w="1919" w:type="pct"/>
            <w:vMerge w:val="continue"/>
            <w:noWrap w:val="0"/>
            <w:vAlign w:val="center"/>
          </w:tcPr>
          <w:p w14:paraId="675EA56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p>
        </w:tc>
        <w:tc>
          <w:tcPr>
            <w:tcW w:w="635" w:type="pct"/>
            <w:noWrap w:val="0"/>
            <w:vAlign w:val="center"/>
          </w:tcPr>
          <w:p w14:paraId="06B3655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实测</w:t>
            </w:r>
          </w:p>
        </w:tc>
      </w:tr>
      <w:tr w14:paraId="2F013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528" w:type="pct"/>
            <w:vMerge w:val="continue"/>
            <w:noWrap w:val="0"/>
            <w:vAlign w:val="center"/>
          </w:tcPr>
          <w:p w14:paraId="54FE29C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p>
        </w:tc>
        <w:tc>
          <w:tcPr>
            <w:tcW w:w="464" w:type="pct"/>
            <w:noWrap w:val="0"/>
            <w:vAlign w:val="center"/>
          </w:tcPr>
          <w:p w14:paraId="71EE211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W4-3</w:t>
            </w:r>
          </w:p>
        </w:tc>
        <w:tc>
          <w:tcPr>
            <w:tcW w:w="1453" w:type="pct"/>
            <w:noWrap w:val="0"/>
            <w:vAlign w:val="center"/>
          </w:tcPr>
          <w:p w14:paraId="07BBD90F">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南区污水处理厂下游约1000米</w:t>
            </w:r>
          </w:p>
        </w:tc>
        <w:tc>
          <w:tcPr>
            <w:tcW w:w="1919" w:type="pct"/>
            <w:vMerge w:val="continue"/>
            <w:noWrap w:val="0"/>
            <w:vAlign w:val="center"/>
          </w:tcPr>
          <w:p w14:paraId="71ABC97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p>
        </w:tc>
        <w:tc>
          <w:tcPr>
            <w:tcW w:w="635" w:type="pct"/>
            <w:noWrap w:val="0"/>
            <w:vAlign w:val="center"/>
          </w:tcPr>
          <w:p w14:paraId="4D34D1F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实测</w:t>
            </w:r>
          </w:p>
        </w:tc>
      </w:tr>
      <w:tr w14:paraId="1F29C7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528" w:type="pct"/>
            <w:vMerge w:val="restart"/>
            <w:noWrap w:val="0"/>
            <w:vAlign w:val="center"/>
          </w:tcPr>
          <w:p w14:paraId="1B160E5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句容河</w:t>
            </w:r>
          </w:p>
        </w:tc>
        <w:tc>
          <w:tcPr>
            <w:tcW w:w="464" w:type="pct"/>
            <w:noWrap w:val="0"/>
            <w:vAlign w:val="center"/>
          </w:tcPr>
          <w:p w14:paraId="4F48FAF8">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W5-1</w:t>
            </w:r>
          </w:p>
        </w:tc>
        <w:tc>
          <w:tcPr>
            <w:tcW w:w="1453" w:type="pct"/>
            <w:noWrap w:val="0"/>
            <w:vAlign w:val="center"/>
          </w:tcPr>
          <w:p w14:paraId="28F9200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与秦淮新河</w:t>
            </w:r>
            <w:sdt>
              <w:sdtPr>
                <w:rPr>
                  <w:color w:val="auto"/>
                  <w:highlight w:val="none"/>
                </w:rPr>
                <w:alias w:val="易错词检查"/>
                <w:tag w:val="auto"/>
                <w:id w:val="1120132"/>
              </w:sdtPr>
              <w:sdtEndPr>
                <w:rPr>
                  <w:color w:val="auto"/>
                  <w:highlight w:val="none"/>
                </w:rPr>
              </w:sdtEndPr>
              <w:sdtContent>
                <w:bookmarkStart w:id="1371" w:name="bkReivew1120132"/>
                <w:r>
                  <w:rPr>
                    <w:rFonts w:hint="default" w:ascii="Times New Roman" w:hAnsi="Times New Roman" w:cs="Times New Roman"/>
                    <w:color w:val="auto"/>
                    <w:sz w:val="21"/>
                    <w:szCs w:val="21"/>
                    <w:highlight w:val="none"/>
                    <w:lang w:val="en-US" w:eastAsia="zh-CN"/>
                  </w:rPr>
                  <w:t>交汇</w:t>
                </w:r>
                <w:bookmarkEnd w:id="1371"/>
              </w:sdtContent>
            </w:sdt>
            <w:r>
              <w:rPr>
                <w:rFonts w:hint="default" w:ascii="Times New Roman" w:hAnsi="Times New Roman" w:cs="Times New Roman"/>
                <w:color w:val="auto"/>
                <w:sz w:val="21"/>
                <w:szCs w:val="21"/>
                <w:highlight w:val="none"/>
                <w:lang w:val="en-US" w:eastAsia="zh-CN"/>
              </w:rPr>
              <w:t>处上游300米</w:t>
            </w:r>
          </w:p>
        </w:tc>
        <w:tc>
          <w:tcPr>
            <w:tcW w:w="1919" w:type="pct"/>
            <w:vMerge w:val="continue"/>
            <w:noWrap w:val="0"/>
            <w:vAlign w:val="center"/>
          </w:tcPr>
          <w:p w14:paraId="547A654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p>
        </w:tc>
        <w:tc>
          <w:tcPr>
            <w:tcW w:w="635" w:type="pct"/>
            <w:noWrap w:val="0"/>
            <w:vAlign w:val="center"/>
          </w:tcPr>
          <w:p w14:paraId="25DC6D7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实测</w:t>
            </w:r>
          </w:p>
        </w:tc>
      </w:tr>
      <w:tr w14:paraId="37D6EF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528" w:type="pct"/>
            <w:vMerge w:val="continue"/>
            <w:noWrap w:val="0"/>
            <w:vAlign w:val="center"/>
          </w:tcPr>
          <w:p w14:paraId="0A886F0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p>
        </w:tc>
        <w:tc>
          <w:tcPr>
            <w:tcW w:w="464" w:type="pct"/>
            <w:noWrap w:val="0"/>
            <w:vAlign w:val="center"/>
          </w:tcPr>
          <w:p w14:paraId="7C443C1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W5-2</w:t>
            </w:r>
          </w:p>
        </w:tc>
        <w:tc>
          <w:tcPr>
            <w:tcW w:w="1453" w:type="pct"/>
            <w:noWrap w:val="0"/>
            <w:vAlign w:val="center"/>
          </w:tcPr>
          <w:p w14:paraId="4F534CCE">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与南京三环线</w:t>
            </w:r>
            <w:sdt>
              <w:sdtPr>
                <w:rPr>
                  <w:color w:val="auto"/>
                  <w:highlight w:val="none"/>
                </w:rPr>
                <w:alias w:val="易错词检查"/>
                <w:tag w:val="auto"/>
                <w:id w:val="2000132"/>
              </w:sdtPr>
              <w:sdtEndPr>
                <w:rPr>
                  <w:color w:val="auto"/>
                  <w:highlight w:val="none"/>
                </w:rPr>
              </w:sdtEndPr>
              <w:sdtContent>
                <w:bookmarkStart w:id="1372" w:name="bkReivew2000132"/>
                <w:r>
                  <w:rPr>
                    <w:rFonts w:hint="default" w:ascii="Times New Roman" w:hAnsi="Times New Roman" w:cs="Times New Roman"/>
                    <w:color w:val="auto"/>
                    <w:sz w:val="21"/>
                    <w:szCs w:val="21"/>
                    <w:highlight w:val="none"/>
                    <w:lang w:val="en-US" w:eastAsia="zh-CN"/>
                  </w:rPr>
                  <w:t>交汇</w:t>
                </w:r>
                <w:bookmarkEnd w:id="1372"/>
              </w:sdtContent>
            </w:sdt>
            <w:r>
              <w:rPr>
                <w:rFonts w:hint="default" w:ascii="Times New Roman" w:hAnsi="Times New Roman" w:cs="Times New Roman"/>
                <w:color w:val="auto"/>
                <w:sz w:val="21"/>
                <w:szCs w:val="21"/>
                <w:highlight w:val="none"/>
                <w:lang w:val="en-US" w:eastAsia="zh-CN"/>
              </w:rPr>
              <w:t>处</w:t>
            </w:r>
          </w:p>
        </w:tc>
        <w:tc>
          <w:tcPr>
            <w:tcW w:w="1919" w:type="pct"/>
            <w:vMerge w:val="continue"/>
            <w:noWrap w:val="0"/>
            <w:vAlign w:val="center"/>
          </w:tcPr>
          <w:p w14:paraId="7A63BD9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p>
        </w:tc>
        <w:tc>
          <w:tcPr>
            <w:tcW w:w="635" w:type="pct"/>
            <w:noWrap w:val="0"/>
            <w:vAlign w:val="center"/>
          </w:tcPr>
          <w:p w14:paraId="1768BE7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实测</w:t>
            </w:r>
          </w:p>
        </w:tc>
      </w:tr>
      <w:tr w14:paraId="79873E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528" w:type="pct"/>
            <w:noWrap w:val="0"/>
            <w:vAlign w:val="center"/>
          </w:tcPr>
          <w:p w14:paraId="364BFE8C">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胜利河</w:t>
            </w:r>
          </w:p>
        </w:tc>
        <w:tc>
          <w:tcPr>
            <w:tcW w:w="464" w:type="pct"/>
            <w:noWrap w:val="0"/>
            <w:vAlign w:val="center"/>
          </w:tcPr>
          <w:p w14:paraId="6A1FB1F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W6-1</w:t>
            </w:r>
          </w:p>
        </w:tc>
        <w:tc>
          <w:tcPr>
            <w:tcW w:w="1453" w:type="pct"/>
            <w:noWrap w:val="0"/>
            <w:vAlign w:val="center"/>
          </w:tcPr>
          <w:p w14:paraId="3BFEF0E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与云龙</w:t>
            </w:r>
            <w:r>
              <w:rPr>
                <w:rFonts w:hint="eastAsia" w:ascii="Times New Roman" w:hAnsi="Times New Roman" w:cs="Times New Roman"/>
                <w:color w:val="auto"/>
                <w:sz w:val="21"/>
                <w:szCs w:val="21"/>
                <w:highlight w:val="none"/>
                <w:lang w:val="en-US" w:eastAsia="zh-CN"/>
              </w:rPr>
              <w:t>路交会处</w:t>
            </w:r>
          </w:p>
        </w:tc>
        <w:tc>
          <w:tcPr>
            <w:tcW w:w="1919" w:type="pct"/>
            <w:vMerge w:val="continue"/>
            <w:noWrap w:val="0"/>
            <w:vAlign w:val="center"/>
          </w:tcPr>
          <w:p w14:paraId="243D2CE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p>
        </w:tc>
        <w:tc>
          <w:tcPr>
            <w:tcW w:w="635" w:type="pct"/>
            <w:noWrap w:val="0"/>
            <w:vAlign w:val="center"/>
          </w:tcPr>
          <w:p w14:paraId="2A5B846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实测</w:t>
            </w:r>
          </w:p>
        </w:tc>
      </w:tr>
      <w:tr w14:paraId="743871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528" w:type="pct"/>
            <w:noWrap w:val="0"/>
            <w:vAlign w:val="center"/>
          </w:tcPr>
          <w:p w14:paraId="490DABD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风波坟水库</w:t>
            </w:r>
          </w:p>
        </w:tc>
        <w:tc>
          <w:tcPr>
            <w:tcW w:w="464" w:type="pct"/>
            <w:noWrap w:val="0"/>
            <w:vAlign w:val="center"/>
          </w:tcPr>
          <w:p w14:paraId="2CF2083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H1</w:t>
            </w:r>
          </w:p>
        </w:tc>
        <w:tc>
          <w:tcPr>
            <w:tcW w:w="1453" w:type="pct"/>
            <w:noWrap w:val="0"/>
            <w:vAlign w:val="center"/>
          </w:tcPr>
          <w:p w14:paraId="6AA2CCB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919" w:type="pct"/>
            <w:vMerge w:val="restart"/>
            <w:noWrap w:val="0"/>
            <w:vAlign w:val="center"/>
          </w:tcPr>
          <w:p w14:paraId="0CA9E4A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bookmarkStart w:id="1373" w:name="sys6342081"/>
            <w:r>
              <w:rPr>
                <w:rFonts w:hint="default" w:ascii="Times New Roman" w:hAnsi="Times New Roman" w:cs="Times New Roman"/>
                <w:b/>
                <w:bCs/>
                <w:color w:val="auto"/>
                <w:sz w:val="21"/>
                <w:szCs w:val="21"/>
                <w:highlight w:val="none"/>
                <w:lang w:val="en-US" w:eastAsia="zh-CN"/>
              </w:rPr>
              <w:t>基本项目因子：</w:t>
            </w:r>
            <w:r>
              <w:rPr>
                <w:rFonts w:hint="default" w:ascii="Times New Roman" w:hAnsi="Times New Roman" w:eastAsia="宋体" w:cs="Times New Roman"/>
                <w:color w:val="auto"/>
                <w:sz w:val="21"/>
                <w:szCs w:val="21"/>
                <w:highlight w:val="none"/>
              </w:rPr>
              <w:t>水温、透明度、pH、溶解氧、</w:t>
            </w:r>
            <w:r>
              <w:rPr>
                <w:rFonts w:hint="default" w:ascii="Times New Roman" w:hAnsi="Times New Roman" w:cs="Times New Roman"/>
                <w:color w:val="auto"/>
                <w:sz w:val="21"/>
                <w:szCs w:val="21"/>
                <w:highlight w:val="none"/>
              </w:rPr>
              <w:t>COD、COD</w:t>
            </w:r>
            <w:r>
              <w:rPr>
                <w:rFonts w:hint="default" w:ascii="Times New Roman" w:hAnsi="Times New Roman" w:cs="Times New Roman"/>
                <w:color w:val="auto"/>
                <w:sz w:val="21"/>
                <w:szCs w:val="21"/>
                <w:highlight w:val="none"/>
                <w:vertAlign w:val="subscript"/>
              </w:rPr>
              <w:t>Mn</w:t>
            </w:r>
            <w:r>
              <w:rPr>
                <w:rFonts w:hint="default" w:ascii="Times New Roman" w:hAnsi="Times New Roman" w:cs="Times New Roman"/>
                <w:color w:val="auto"/>
                <w:sz w:val="21"/>
                <w:szCs w:val="21"/>
                <w:highlight w:val="none"/>
              </w:rPr>
              <w:t>、BOD</w:t>
            </w:r>
            <w:r>
              <w:rPr>
                <w:rFonts w:hint="default" w:ascii="Times New Roman" w:hAnsi="Times New Roman"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rPr>
              <w:t>氨氮、总磷、总氮、石油类、硫化物、氟化物、挥发酚、铅、砷、镉、六价铬、镍、锌、锰、LAS</w:t>
            </w:r>
            <w:r>
              <w:rPr>
                <w:rFonts w:hint="default" w:ascii="Times New Roman" w:hAnsi="Times New Roman" w:cs="Times New Roman"/>
                <w:color w:val="auto"/>
                <w:sz w:val="21"/>
                <w:szCs w:val="21"/>
                <w:highlight w:val="none"/>
                <w:lang w:eastAsia="zh-CN"/>
              </w:rPr>
              <w:t>；</w:t>
            </w:r>
            <w:bookmarkEnd w:id="1373"/>
          </w:p>
          <w:p w14:paraId="05F8DF6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bookmarkStart w:id="1374" w:name="sys6343030"/>
            <w:r>
              <w:rPr>
                <w:rFonts w:hint="default" w:ascii="Times New Roman" w:hAnsi="Times New Roman" w:cs="Times New Roman"/>
                <w:b/>
                <w:bCs/>
                <w:color w:val="auto"/>
                <w:sz w:val="21"/>
                <w:szCs w:val="21"/>
                <w:highlight w:val="none"/>
                <w:lang w:val="en-US" w:eastAsia="zh-CN"/>
              </w:rPr>
              <w:t>其他：</w:t>
            </w:r>
            <w:r>
              <w:rPr>
                <w:rFonts w:hint="default" w:ascii="Times New Roman" w:hAnsi="Times New Roman" w:cs="Times New Roman"/>
                <w:color w:val="auto"/>
                <w:sz w:val="21"/>
                <w:szCs w:val="21"/>
                <w:highlight w:val="none"/>
              </w:rPr>
              <w:t>同时监测水温、流向、流量、河宽、水深、流速等水文参数。</w:t>
            </w:r>
            <w:bookmarkEnd w:id="1374"/>
          </w:p>
        </w:tc>
        <w:tc>
          <w:tcPr>
            <w:tcW w:w="635" w:type="pct"/>
            <w:noWrap w:val="0"/>
            <w:vAlign w:val="center"/>
          </w:tcPr>
          <w:p w14:paraId="71EEA89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实测</w:t>
            </w:r>
          </w:p>
        </w:tc>
      </w:tr>
      <w:bookmarkEnd w:id="1369"/>
      <w:tr w14:paraId="03851E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7" w:hRule="atLeast"/>
        </w:trPr>
        <w:tc>
          <w:tcPr>
            <w:tcW w:w="528" w:type="pct"/>
            <w:noWrap w:val="0"/>
            <w:vAlign w:val="center"/>
          </w:tcPr>
          <w:p w14:paraId="1D98A61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谷里水库</w:t>
            </w:r>
          </w:p>
        </w:tc>
        <w:tc>
          <w:tcPr>
            <w:tcW w:w="464" w:type="pct"/>
            <w:noWrap w:val="0"/>
            <w:vAlign w:val="center"/>
          </w:tcPr>
          <w:p w14:paraId="1AA3B85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H2</w:t>
            </w:r>
          </w:p>
        </w:tc>
        <w:tc>
          <w:tcPr>
            <w:tcW w:w="1453" w:type="pct"/>
            <w:noWrap w:val="0"/>
            <w:vAlign w:val="center"/>
          </w:tcPr>
          <w:p w14:paraId="6861AFE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919" w:type="pct"/>
            <w:vMerge w:val="continue"/>
            <w:noWrap w:val="0"/>
            <w:vAlign w:val="center"/>
          </w:tcPr>
          <w:p w14:paraId="73BC91A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p>
        </w:tc>
        <w:tc>
          <w:tcPr>
            <w:tcW w:w="635" w:type="pct"/>
            <w:noWrap w:val="0"/>
            <w:vAlign w:val="center"/>
          </w:tcPr>
          <w:p w14:paraId="3C7C85F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实测</w:t>
            </w:r>
          </w:p>
        </w:tc>
      </w:tr>
      <w:tr w14:paraId="22DBFE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528" w:type="pct"/>
            <w:noWrap w:val="0"/>
            <w:vAlign w:val="center"/>
          </w:tcPr>
          <w:p w14:paraId="622C374C">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百家湖</w:t>
            </w:r>
          </w:p>
        </w:tc>
        <w:tc>
          <w:tcPr>
            <w:tcW w:w="464" w:type="pct"/>
            <w:noWrap w:val="0"/>
            <w:vAlign w:val="center"/>
          </w:tcPr>
          <w:p w14:paraId="204215F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H3</w:t>
            </w:r>
          </w:p>
        </w:tc>
        <w:tc>
          <w:tcPr>
            <w:tcW w:w="1453" w:type="pct"/>
            <w:noWrap w:val="0"/>
            <w:vAlign w:val="center"/>
          </w:tcPr>
          <w:p w14:paraId="1D41914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百家湖（白龙桥）W1</w:t>
            </w:r>
          </w:p>
        </w:tc>
        <w:tc>
          <w:tcPr>
            <w:tcW w:w="1919" w:type="pct"/>
            <w:vMerge w:val="restart"/>
            <w:noWrap w:val="0"/>
            <w:vAlign w:val="center"/>
          </w:tcPr>
          <w:p w14:paraId="2BC4B16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水温、透明度、pH、溶解氧、</w:t>
            </w:r>
            <w:r>
              <w:rPr>
                <w:rFonts w:hint="default" w:ascii="Times New Roman" w:hAnsi="Times New Roman" w:cs="Times New Roman" w:eastAsiaTheme="minorEastAsia"/>
                <w:color w:val="auto"/>
                <w:highlight w:val="none"/>
              </w:rPr>
              <w:t>COD、COD</w:t>
            </w:r>
            <w:r>
              <w:rPr>
                <w:rFonts w:hint="default" w:ascii="Times New Roman" w:hAnsi="Times New Roman" w:cs="Times New Roman" w:eastAsiaTheme="minorEastAsia"/>
                <w:color w:val="auto"/>
                <w:highlight w:val="none"/>
                <w:vertAlign w:val="subscript"/>
              </w:rPr>
              <w:t>Mn</w:t>
            </w:r>
            <w:r>
              <w:rPr>
                <w:rFonts w:hint="default" w:ascii="Times New Roman" w:hAnsi="Times New Roman" w:cs="Times New Roman" w:eastAsiaTheme="minorEastAsia"/>
                <w:color w:val="auto"/>
                <w:highlight w:val="none"/>
              </w:rPr>
              <w:t>、BOD</w:t>
            </w:r>
            <w:r>
              <w:rPr>
                <w:rFonts w:hint="default" w:ascii="Times New Roman" w:hAnsi="Times New Roman" w:cs="Times New Roman" w:eastAsiaTheme="minorEastAsia"/>
                <w:color w:val="auto"/>
                <w:highlight w:val="none"/>
                <w:vertAlign w:val="subscript"/>
                <w:lang w:val="en-US" w:eastAsia="zh-CN"/>
              </w:rPr>
              <w:t>5</w:t>
            </w:r>
            <w:r>
              <w:rPr>
                <w:rFonts w:hint="default" w:ascii="Times New Roman" w:hAnsi="Times New Roman" w:cs="Times New Roman" w:eastAsiaTheme="minorEastAsia"/>
                <w:color w:val="auto"/>
                <w:highlight w:val="none"/>
              </w:rPr>
              <w:t>、</w:t>
            </w:r>
            <w:r>
              <w:rPr>
                <w:rFonts w:hint="default" w:ascii="Times New Roman" w:hAnsi="Times New Roman" w:cs="Times New Roman" w:eastAsiaTheme="minorEastAsia"/>
                <w:color w:val="auto"/>
                <w:sz w:val="21"/>
                <w:szCs w:val="21"/>
                <w:highlight w:val="none"/>
              </w:rPr>
              <w:t>氨氮、总磷、总氮、石油类、硫化物、氟化物、挥发酚、铅、砷、镉、六价铬、镍、锌、锰、LAS</w:t>
            </w:r>
            <w:r>
              <w:rPr>
                <w:rFonts w:hint="default" w:ascii="Times New Roman" w:hAnsi="Times New Roman" w:cs="Times New Roman" w:eastAsiaTheme="minorEastAsia"/>
                <w:color w:val="auto"/>
                <w:sz w:val="21"/>
                <w:szCs w:val="21"/>
                <w:highlight w:val="none"/>
                <w:lang w:eastAsia="zh-CN"/>
              </w:rPr>
              <w:t>；</w:t>
            </w:r>
          </w:p>
        </w:tc>
        <w:tc>
          <w:tcPr>
            <w:tcW w:w="635" w:type="pct"/>
            <w:noWrap w:val="0"/>
            <w:vAlign w:val="center"/>
          </w:tcPr>
          <w:p w14:paraId="73B25F13">
            <w:pPr>
              <w:keepNext w:val="0"/>
              <w:keepLines w:val="0"/>
              <w:suppressLineNumbers w:val="0"/>
              <w:adjustRightInd w:val="0"/>
              <w:snapToGrid w:val="0"/>
              <w:spacing w:before="0" w:beforeAutospacing="0" w:after="0" w:afterAutospacing="0"/>
              <w:ind w:left="0" w:right="0"/>
              <w:jc w:val="center"/>
              <w:rPr>
                <w:color w:val="auto"/>
                <w:highlight w:val="none"/>
              </w:rPr>
            </w:pPr>
            <w:bookmarkStart w:id="1375" w:name="OLE_LINK470"/>
            <w:r>
              <w:rPr>
                <w:rFonts w:hint="eastAsia" w:ascii="Times New Roman" w:hAnsi="Times New Roman" w:cs="Times New Roman"/>
                <w:b w:val="0"/>
                <w:bCs w:val="0"/>
                <w:color w:val="auto"/>
                <w:sz w:val="21"/>
                <w:szCs w:val="21"/>
                <w:highlight w:val="none"/>
                <w:lang w:val="en-US" w:eastAsia="zh-CN"/>
              </w:rPr>
              <w:t>引用</w:t>
            </w:r>
            <w:bookmarkEnd w:id="1375"/>
          </w:p>
          <w:p w14:paraId="26F16EFA">
            <w:pPr>
              <w:pStyle w:val="8"/>
              <w:jc w:val="center"/>
              <w:rPr>
                <w:rFonts w:hint="default"/>
                <w:color w:val="auto"/>
                <w:highlight w:val="none"/>
                <w:lang w:val="en-US" w:eastAsia="zh-CN"/>
              </w:rPr>
            </w:pPr>
            <w:r>
              <w:rPr>
                <w:rFonts w:hint="default" w:ascii="Times New Roman" w:hAnsi="Times New Roman" w:cs="Times New Roman"/>
                <w:color w:val="auto"/>
                <w:highlight w:val="none"/>
                <w:lang w:val="en-US" w:eastAsia="zh-CN"/>
              </w:rPr>
              <w:t>2024.5.7</w:t>
            </w:r>
          </w:p>
        </w:tc>
      </w:tr>
      <w:tr w14:paraId="00668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528" w:type="pct"/>
            <w:noWrap w:val="0"/>
            <w:vAlign w:val="center"/>
          </w:tcPr>
          <w:p w14:paraId="0C4A208F">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九龙湖</w:t>
            </w:r>
          </w:p>
        </w:tc>
        <w:tc>
          <w:tcPr>
            <w:tcW w:w="464" w:type="pct"/>
            <w:noWrap w:val="0"/>
            <w:vAlign w:val="center"/>
          </w:tcPr>
          <w:p w14:paraId="553BA6DE">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H4</w:t>
            </w:r>
          </w:p>
        </w:tc>
        <w:tc>
          <w:tcPr>
            <w:tcW w:w="1453" w:type="pct"/>
            <w:noWrap w:val="0"/>
            <w:vAlign w:val="center"/>
          </w:tcPr>
          <w:p w14:paraId="567AE3F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九龙湖（五库桥）W2</w:t>
            </w:r>
          </w:p>
        </w:tc>
        <w:tc>
          <w:tcPr>
            <w:tcW w:w="1919" w:type="pct"/>
            <w:vMerge w:val="continue"/>
            <w:noWrap w:val="0"/>
            <w:vAlign w:val="center"/>
          </w:tcPr>
          <w:p w14:paraId="56ACA23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p>
        </w:tc>
        <w:tc>
          <w:tcPr>
            <w:tcW w:w="635" w:type="pct"/>
            <w:noWrap w:val="0"/>
            <w:vAlign w:val="center"/>
          </w:tcPr>
          <w:p w14:paraId="382B8E5A">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引用</w:t>
            </w:r>
          </w:p>
          <w:p w14:paraId="22FC5082">
            <w:pPr>
              <w:pStyle w:val="8"/>
              <w:jc w:val="center"/>
              <w:rPr>
                <w:rFonts w:hint="default"/>
                <w:color w:val="auto"/>
                <w:highlight w:val="none"/>
                <w:lang w:val="en-US" w:eastAsia="zh-CN"/>
              </w:rPr>
            </w:pPr>
            <w:r>
              <w:rPr>
                <w:rFonts w:hint="default" w:ascii="Times New Roman" w:hAnsi="Times New Roman" w:cs="Times New Roman"/>
                <w:color w:val="auto"/>
                <w:highlight w:val="none"/>
                <w:lang w:val="en-US" w:eastAsia="zh-CN"/>
              </w:rPr>
              <w:t>2024.5.7</w:t>
            </w:r>
          </w:p>
        </w:tc>
      </w:tr>
    </w:tbl>
    <w:p w14:paraId="39E46566">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（2）监测频次和监测因子</w:t>
      </w:r>
      <w:bookmarkStart w:id="1376" w:name="pindex6362"/>
      <w:bookmarkEnd w:id="1376"/>
    </w:p>
    <w:p w14:paraId="749FC8BA">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监测频</w:t>
      </w:r>
      <w:r>
        <w:rPr>
          <w:rFonts w:hint="eastAsia" w:ascii="Times New Roman" w:hAnsi="Times New Roman" w:eastAsia="宋体" w:cs="Times New Roman"/>
          <w:color w:val="auto"/>
          <w:sz w:val="24"/>
          <w:szCs w:val="24"/>
          <w:highlight w:val="none"/>
          <w:lang w:val="en-US" w:eastAsia="zh-CN"/>
        </w:rPr>
        <w:t>次</w:t>
      </w:r>
      <w:r>
        <w:rPr>
          <w:rFonts w:hint="default" w:ascii="Times New Roman" w:hAnsi="Times New Roman" w:eastAsia="宋体" w:cs="Times New Roman"/>
          <w:color w:val="auto"/>
          <w:sz w:val="24"/>
          <w:szCs w:val="24"/>
          <w:highlight w:val="none"/>
        </w:rPr>
        <w:t>：连续监测3天，每天1次。</w:t>
      </w:r>
    </w:p>
    <w:p w14:paraId="75765FF7">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监测因子：本次监测的监测因子为水温、pH、DO、氨氮、总磷、SS、COD、COD</w:t>
      </w:r>
      <w:r>
        <w:rPr>
          <w:rFonts w:hint="default" w:ascii="Times New Roman" w:hAnsi="Times New Roman" w:eastAsia="宋体" w:cs="Times New Roman"/>
          <w:color w:val="auto"/>
          <w:sz w:val="24"/>
          <w:szCs w:val="24"/>
          <w:highlight w:val="none"/>
          <w:vertAlign w:val="subscript"/>
        </w:rPr>
        <w:t>Mn</w:t>
      </w:r>
      <w:r>
        <w:rPr>
          <w:rFonts w:hint="default" w:ascii="Times New Roman" w:hAnsi="Times New Roman" w:eastAsia="宋体" w:cs="Times New Roman"/>
          <w:color w:val="auto"/>
          <w:sz w:val="24"/>
          <w:szCs w:val="24"/>
          <w:highlight w:val="none"/>
        </w:rPr>
        <w:t>、BOD</w:t>
      </w:r>
      <w:r>
        <w:rPr>
          <w:rFonts w:hint="default" w:ascii="Times New Roman" w:hAnsi="Times New Roman" w:eastAsia="宋体" w:cs="Times New Roman"/>
          <w:color w:val="auto"/>
          <w:sz w:val="24"/>
          <w:szCs w:val="24"/>
          <w:highlight w:val="none"/>
          <w:vertAlign w:val="subscript"/>
          <w:lang w:val="en-US" w:eastAsia="zh-CN"/>
        </w:rPr>
        <w:t>5</w:t>
      </w:r>
      <w:r>
        <w:rPr>
          <w:rFonts w:hint="default" w:ascii="Times New Roman" w:hAnsi="Times New Roman" w:eastAsia="宋体" w:cs="Times New Roman"/>
          <w:color w:val="auto"/>
          <w:sz w:val="24"/>
          <w:szCs w:val="24"/>
          <w:highlight w:val="none"/>
        </w:rPr>
        <w:t>、TN、石油类、硫化物、氰化物、挥发酚、镉、六价铬、铬、锌、锰、LAS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总铜、氟化物、铅、汞、硒和砷、镍，同时监测水温、流向、流量、河宽、水深、流速等水文参数</w:t>
      </w:r>
      <w:r>
        <w:rPr>
          <w:rFonts w:hint="default" w:ascii="Times New Roman" w:hAnsi="Times New Roman" w:eastAsia="宋体" w:cs="Times New Roman"/>
          <w:color w:val="auto"/>
          <w:sz w:val="24"/>
          <w:szCs w:val="24"/>
          <w:highlight w:val="none"/>
        </w:rPr>
        <w:t>。</w:t>
      </w:r>
    </w:p>
    <w:p w14:paraId="59877482">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监测时间：20</w:t>
      </w:r>
      <w:r>
        <w:rPr>
          <w:rFonts w:hint="default"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月</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日至</w:t>
      </w:r>
      <w:r>
        <w:rPr>
          <w:rFonts w:hint="default"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日。</w:t>
      </w:r>
    </w:p>
    <w:p w14:paraId="752B1A9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引用报告来源于《江宁经济技术开发区环境质量跟踪监测》（报告编号：</w:t>
      </w:r>
      <w:sdt>
        <w:sdtPr>
          <w:rPr>
            <w:color w:val="auto"/>
            <w:highlight w:val="none"/>
          </w:rPr>
          <w:alias w:val="标点符号检查"/>
          <w:tag w:val="FF0000"/>
          <w:id w:val="3012426"/>
        </w:sdtPr>
        <w:sdtEndPr>
          <w:rPr>
            <w:color w:val="auto"/>
            <w:highlight w:val="none"/>
          </w:rPr>
        </w:sdtEndPr>
        <w:sdtContent>
          <w:bookmarkStart w:id="1377" w:name="bkReivew3012426"/>
          <w:r>
            <w:rPr>
              <w:rFonts w:hint="eastAsia" w:ascii="Times New Roman" w:hAnsi="Times New Roman" w:eastAsia="宋体" w:cs="Times New Roman"/>
              <w:color w:val="auto"/>
              <w:sz w:val="24"/>
              <w:szCs w:val="24"/>
              <w:highlight w:val="none"/>
              <w:lang w:val="en-US" w:eastAsia="zh-CN"/>
            </w:rPr>
            <w:t>（</w:t>
          </w:r>
          <w:bookmarkEnd w:id="1377"/>
        </w:sdtContent>
      </w:sdt>
      <w:r>
        <w:rPr>
          <w:rFonts w:hint="eastAsia" w:ascii="Times New Roman" w:hAnsi="Times New Roman" w:eastAsia="宋体" w:cs="Times New Roman"/>
          <w:color w:val="auto"/>
          <w:sz w:val="24"/>
          <w:szCs w:val="24"/>
          <w:highlight w:val="none"/>
          <w:lang w:val="en-US" w:eastAsia="zh-CN"/>
        </w:rPr>
        <w:t>2024</w:t>
      </w:r>
      <w:sdt>
        <w:sdtPr>
          <w:rPr>
            <w:color w:val="auto"/>
            <w:highlight w:val="none"/>
          </w:rPr>
          <w:alias w:val="标点符号检查"/>
          <w:tag w:val="FF0000"/>
          <w:id w:val="3825"/>
        </w:sdtPr>
        <w:sdtEndPr>
          <w:rPr>
            <w:color w:val="auto"/>
            <w:highlight w:val="none"/>
          </w:rPr>
        </w:sdtEndPr>
        <w:sdtContent>
          <w:bookmarkStart w:id="1378" w:name="bkReivew3825"/>
          <w:r>
            <w:rPr>
              <w:rFonts w:hint="eastAsia" w:ascii="Times New Roman" w:hAnsi="Times New Roman" w:eastAsia="宋体" w:cs="Times New Roman"/>
              <w:color w:val="auto"/>
              <w:sz w:val="24"/>
              <w:szCs w:val="24"/>
              <w:highlight w:val="none"/>
              <w:lang w:val="en-US" w:eastAsia="zh-CN"/>
            </w:rPr>
            <w:t>）</w:t>
          </w:r>
          <w:bookmarkEnd w:id="1378"/>
        </w:sdtContent>
      </w:sdt>
      <w:r>
        <w:rPr>
          <w:rFonts w:hint="eastAsia" w:ascii="Times New Roman" w:hAnsi="Times New Roman" w:eastAsia="宋体" w:cs="Times New Roman"/>
          <w:color w:val="auto"/>
          <w:sz w:val="24"/>
          <w:szCs w:val="24"/>
          <w:highlight w:val="none"/>
          <w:lang w:val="en-US" w:eastAsia="zh-CN"/>
        </w:rPr>
        <w:t>环检</w:t>
      </w:r>
      <w:sdt>
        <w:sdtPr>
          <w:rPr>
            <w:color w:val="auto"/>
            <w:highlight w:val="none"/>
          </w:rPr>
          <w:alias w:val="标点符号检查"/>
          <w:tag w:val="FF0000"/>
          <w:id w:val="63803"/>
        </w:sdtPr>
        <w:sdtEndPr>
          <w:rPr>
            <w:color w:val="auto"/>
            <w:highlight w:val="none"/>
          </w:rPr>
        </w:sdtEndPr>
        <w:sdtContent>
          <w:bookmarkStart w:id="1379" w:name="bkReivew63803"/>
          <w:r>
            <w:rPr>
              <w:rFonts w:hint="eastAsia" w:ascii="Times New Roman" w:hAnsi="Times New Roman" w:eastAsia="宋体" w:cs="Times New Roman"/>
              <w:color w:val="auto"/>
              <w:sz w:val="24"/>
              <w:szCs w:val="24"/>
              <w:highlight w:val="none"/>
              <w:lang w:val="en-US" w:eastAsia="zh-CN"/>
            </w:rPr>
            <w:t>（</w:t>
          </w:r>
          <w:bookmarkEnd w:id="1379"/>
        </w:sdtContent>
      </w:sdt>
      <w:r>
        <w:rPr>
          <w:rFonts w:hint="eastAsia" w:ascii="Times New Roman" w:hAnsi="Times New Roman" w:eastAsia="宋体" w:cs="Times New Roman"/>
          <w:color w:val="auto"/>
          <w:sz w:val="24"/>
          <w:szCs w:val="24"/>
          <w:highlight w:val="none"/>
          <w:lang w:val="en-US" w:eastAsia="zh-CN"/>
        </w:rPr>
        <w:t>综</w:t>
      </w:r>
      <w:sdt>
        <w:sdtPr>
          <w:rPr>
            <w:color w:val="auto"/>
            <w:highlight w:val="none"/>
          </w:rPr>
          <w:alias w:val="标点符号检查"/>
          <w:tag w:val="FF0000"/>
          <w:id w:val="3100532"/>
        </w:sdtPr>
        <w:sdtEndPr>
          <w:rPr>
            <w:color w:val="auto"/>
            <w:highlight w:val="none"/>
          </w:rPr>
        </w:sdtEndPr>
        <w:sdtContent>
          <w:bookmarkStart w:id="1380" w:name="bkReivew3100532"/>
          <w:r>
            <w:rPr>
              <w:rFonts w:hint="eastAsia" w:ascii="Times New Roman" w:hAnsi="Times New Roman" w:eastAsia="宋体" w:cs="Times New Roman"/>
              <w:color w:val="auto"/>
              <w:sz w:val="24"/>
              <w:szCs w:val="24"/>
              <w:highlight w:val="none"/>
              <w:lang w:val="en-US" w:eastAsia="zh-CN"/>
            </w:rPr>
            <w:t>）</w:t>
          </w:r>
          <w:bookmarkEnd w:id="1380"/>
        </w:sdtContent>
      </w:sdt>
      <w:r>
        <w:rPr>
          <w:rFonts w:hint="eastAsia" w:ascii="Times New Roman" w:hAnsi="Times New Roman" w:eastAsia="宋体" w:cs="Times New Roman"/>
          <w:color w:val="auto"/>
          <w:sz w:val="24"/>
          <w:szCs w:val="24"/>
          <w:highlight w:val="none"/>
          <w:lang w:val="en-US" w:eastAsia="zh-CN"/>
        </w:rPr>
        <w:t>字第</w:t>
      </w:r>
      <w:sdt>
        <w:sdtPr>
          <w:rPr>
            <w:color w:val="auto"/>
            <w:highlight w:val="none"/>
          </w:rPr>
          <w:alias w:val="标点符号检查"/>
          <w:tag w:val="FF0000"/>
          <w:id w:val="3123353"/>
        </w:sdtPr>
        <w:sdtEndPr>
          <w:rPr>
            <w:color w:val="auto"/>
            <w:highlight w:val="none"/>
          </w:rPr>
        </w:sdtEndPr>
        <w:sdtContent>
          <w:bookmarkStart w:id="1381" w:name="bkReivew3123353"/>
          <w:r>
            <w:rPr>
              <w:rFonts w:hint="eastAsia" w:ascii="Times New Roman" w:hAnsi="Times New Roman" w:eastAsia="宋体" w:cs="Times New Roman"/>
              <w:color w:val="auto"/>
              <w:sz w:val="24"/>
              <w:szCs w:val="24"/>
              <w:highlight w:val="none"/>
              <w:lang w:val="en-US" w:eastAsia="zh-CN"/>
            </w:rPr>
            <w:t>（</w:t>
          </w:r>
          <w:bookmarkEnd w:id="1381"/>
        </w:sdtContent>
      </w:sdt>
      <w:r>
        <w:rPr>
          <w:rFonts w:hint="eastAsia" w:ascii="Times New Roman" w:hAnsi="Times New Roman" w:eastAsia="宋体" w:cs="Times New Roman"/>
          <w:color w:val="auto"/>
          <w:sz w:val="24"/>
          <w:szCs w:val="24"/>
          <w:highlight w:val="none"/>
          <w:lang w:val="en-US" w:eastAsia="zh-CN"/>
        </w:rPr>
        <w:t>H0002</w:t>
      </w:r>
      <w:sdt>
        <w:sdtPr>
          <w:rPr>
            <w:color w:val="auto"/>
            <w:highlight w:val="none"/>
          </w:rPr>
          <w:alias w:val="标点符号检查"/>
          <w:tag w:val="FF0000"/>
          <w:id w:val="2111202"/>
        </w:sdtPr>
        <w:sdtEndPr>
          <w:rPr>
            <w:color w:val="auto"/>
            <w:highlight w:val="none"/>
          </w:rPr>
        </w:sdtEndPr>
        <w:sdtContent>
          <w:bookmarkStart w:id="1382" w:name="bkReivew2111202"/>
          <w:r>
            <w:rPr>
              <w:rFonts w:hint="eastAsia" w:ascii="Times New Roman" w:hAnsi="Times New Roman" w:eastAsia="宋体" w:cs="Times New Roman"/>
              <w:color w:val="auto"/>
              <w:sz w:val="24"/>
              <w:szCs w:val="24"/>
              <w:highlight w:val="none"/>
              <w:lang w:val="en-US" w:eastAsia="zh-CN"/>
            </w:rPr>
            <w:t>）</w:t>
          </w:r>
          <w:bookmarkEnd w:id="1382"/>
        </w:sdtContent>
      </w:sdt>
      <w:r>
        <w:rPr>
          <w:rFonts w:hint="eastAsia" w:ascii="Times New Roman" w:hAnsi="Times New Roman" w:eastAsia="宋体" w:cs="Times New Roman"/>
          <w:color w:val="auto"/>
          <w:sz w:val="24"/>
          <w:szCs w:val="24"/>
          <w:highlight w:val="none"/>
          <w:lang w:val="en-US" w:eastAsia="zh-CN"/>
        </w:rPr>
        <w:t>号）中百家湖（白龙桥W1）、九龙湖（五库桥W2）pH、水温、透明度、溶解氧、高锰酸盐指数、化学需氧量、五日生化需氧量、氨氮、总磷、总氮、石油类、硫化物、氟化物、挥发酚、阴离子表面活性剂、铅、镉、锌、砷、六价铬、镍、锰数据，检测时间为2024年5月7日。</w:t>
      </w:r>
      <w:bookmarkStart w:id="1383" w:name="sys636617832"/>
      <w:r>
        <w:rPr>
          <w:rFonts w:hint="eastAsia" w:ascii="Times New Roman" w:hAnsi="Times New Roman" w:eastAsia="宋体" w:cs="Times New Roman"/>
          <w:color w:val="auto"/>
          <w:sz w:val="24"/>
          <w:szCs w:val="24"/>
          <w:highlight w:val="none"/>
          <w:lang w:val="en-US" w:eastAsia="zh-CN"/>
        </w:rPr>
        <w:t>监测点</w:t>
      </w:r>
      <w:sdt>
        <w:sdtPr>
          <w:rPr>
            <w:color w:val="auto"/>
            <w:highlight w:val="none"/>
          </w:rPr>
          <w:alias w:val="易错词检查"/>
          <w:tag w:val="FF0000"/>
          <w:id w:val="3121733"/>
        </w:sdtPr>
        <w:sdtEndPr>
          <w:rPr>
            <w:color w:val="auto"/>
            <w:highlight w:val="none"/>
          </w:rPr>
        </w:sdtEndPr>
        <w:sdtContent>
          <w:bookmarkStart w:id="1384" w:name="bkReivew3121733"/>
          <w:r>
            <w:rPr>
              <w:rFonts w:hint="eastAsia" w:ascii="Times New Roman" w:hAnsi="Times New Roman" w:eastAsia="宋体" w:cs="Times New Roman"/>
              <w:color w:val="auto"/>
              <w:sz w:val="24"/>
              <w:szCs w:val="24"/>
              <w:highlight w:val="none"/>
              <w:lang w:val="en-US" w:eastAsia="zh-CN"/>
            </w:rPr>
            <w:t>位位</w:t>
          </w:r>
          <w:bookmarkEnd w:id="1384"/>
        </w:sdtContent>
      </w:sdt>
      <w:r>
        <w:rPr>
          <w:rFonts w:hint="eastAsia" w:ascii="Times New Roman" w:hAnsi="Times New Roman" w:eastAsia="宋体" w:cs="Times New Roman"/>
          <w:color w:val="auto"/>
          <w:sz w:val="24"/>
          <w:szCs w:val="24"/>
          <w:highlight w:val="none"/>
          <w:lang w:val="en-US" w:eastAsia="zh-CN"/>
        </w:rPr>
        <w:t>于评估范围内，且时间未超过三年，因此监测数据可以引用。</w:t>
      </w:r>
      <w:bookmarkEnd w:id="1383"/>
    </w:p>
    <w:p w14:paraId="6140A547">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sdt>
        <w:sdtPr>
          <w:rPr>
            <w:color w:val="auto"/>
            <w:highlight w:val="none"/>
          </w:rPr>
          <w:alias w:val="易错词检查"/>
          <w:tag w:val="auto"/>
          <w:id w:val="1173720"/>
        </w:sdtPr>
        <w:sdtEndPr>
          <w:rPr>
            <w:color w:val="auto"/>
            <w:highlight w:val="none"/>
          </w:rPr>
        </w:sdtEndPr>
        <w:sdtContent>
          <w:bookmarkStart w:id="1385" w:name="bkReivew1173720"/>
          <w:r>
            <w:rPr>
              <w:rFonts w:hint="default" w:ascii="Times New Roman" w:hAnsi="Times New Roman" w:eastAsia="宋体" w:cs="Times New Roman"/>
              <w:color w:val="auto"/>
              <w:sz w:val="24"/>
              <w:szCs w:val="24"/>
              <w:highlight w:val="none"/>
            </w:rPr>
            <w:t>监测方法</w:t>
          </w:r>
          <w:bookmarkEnd w:id="1385"/>
        </w:sdtContent>
      </w:sdt>
      <w:bookmarkStart w:id="1386" w:name="pindex6367"/>
      <w:bookmarkEnd w:id="1386"/>
    </w:p>
    <w:p w14:paraId="07C5440B">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地表水监测分析方法见表</w:t>
      </w:r>
      <w:r>
        <w:rPr>
          <w:rFonts w:hint="default" w:ascii="Times New Roman" w:hAnsi="Times New Roman" w:eastAsia="宋体" w:cs="Times New Roman"/>
          <w:color w:val="auto"/>
          <w:sz w:val="24"/>
          <w:szCs w:val="24"/>
          <w:highlight w:val="none"/>
          <w:lang w:val="en-US" w:eastAsia="zh-CN"/>
        </w:rPr>
        <w:t>6.3-1</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p>
    <w:p w14:paraId="70CAF068">
      <w:pPr>
        <w:pStyle w:val="31"/>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b/>
          <w:bCs/>
          <w:color w:val="auto"/>
          <w:highlight w:val="none"/>
        </w:rPr>
      </w:pPr>
      <w:r>
        <w:rPr>
          <w:b/>
          <w:bCs/>
          <w:color w:val="auto"/>
          <w:highlight w:val="none"/>
        </w:rPr>
        <w:t>表</w:t>
      </w:r>
      <w:r>
        <w:rPr>
          <w:rFonts w:hint="eastAsia"/>
          <w:b/>
          <w:bCs/>
          <w:color w:val="auto"/>
          <w:highlight w:val="none"/>
          <w:lang w:val="en-US" w:eastAsia="zh-CN"/>
        </w:rPr>
        <w:t>6.3-15</w:t>
      </w:r>
      <w:r>
        <w:rPr>
          <w:b/>
          <w:bCs/>
          <w:color w:val="auto"/>
          <w:highlight w:val="none"/>
        </w:rPr>
        <w:t xml:space="preserve">  地表水监测分析方法一览表</w:t>
      </w:r>
      <w:bookmarkStart w:id="1387" w:name="pindex6369"/>
      <w:bookmarkEnd w:id="1387"/>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2"/>
        <w:gridCol w:w="1697"/>
        <w:gridCol w:w="6147"/>
      </w:tblGrid>
      <w:tr w14:paraId="12F56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1449" w:type="pct"/>
            <w:gridSpan w:val="2"/>
            <w:vAlign w:val="center"/>
          </w:tcPr>
          <w:p w14:paraId="2116AD7D">
            <w:pPr>
              <w:pStyle w:val="30"/>
              <w:rPr>
                <w:b/>
                <w:bCs/>
                <w:color w:val="auto"/>
                <w:highlight w:val="none"/>
              </w:rPr>
            </w:pPr>
            <w:r>
              <w:rPr>
                <w:b/>
                <w:bCs/>
                <w:color w:val="auto"/>
                <w:highlight w:val="none"/>
              </w:rPr>
              <w:t>项目名称</w:t>
            </w:r>
          </w:p>
        </w:tc>
        <w:tc>
          <w:tcPr>
            <w:tcW w:w="3550" w:type="pct"/>
            <w:vAlign w:val="center"/>
          </w:tcPr>
          <w:p w14:paraId="4E83766D">
            <w:pPr>
              <w:pStyle w:val="30"/>
              <w:rPr>
                <w:b/>
                <w:bCs/>
                <w:color w:val="auto"/>
                <w:highlight w:val="none"/>
              </w:rPr>
            </w:pPr>
            <w:r>
              <w:rPr>
                <w:b/>
                <w:bCs/>
                <w:color w:val="auto"/>
                <w:highlight w:val="none"/>
              </w:rPr>
              <w:t>分析方法</w:t>
            </w:r>
          </w:p>
        </w:tc>
      </w:tr>
      <w:tr w14:paraId="255010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restart"/>
            <w:vAlign w:val="center"/>
          </w:tcPr>
          <w:p w14:paraId="41F94905">
            <w:pPr>
              <w:pStyle w:val="30"/>
              <w:rPr>
                <w:color w:val="auto"/>
                <w:highlight w:val="none"/>
              </w:rPr>
            </w:pPr>
            <w:r>
              <w:rPr>
                <w:color w:val="auto"/>
                <w:highlight w:val="none"/>
              </w:rPr>
              <w:t>地表水</w:t>
            </w:r>
          </w:p>
        </w:tc>
        <w:tc>
          <w:tcPr>
            <w:tcW w:w="980" w:type="pct"/>
            <w:vAlign w:val="center"/>
          </w:tcPr>
          <w:p w14:paraId="019937F1">
            <w:pPr>
              <w:pStyle w:val="30"/>
              <w:rPr>
                <w:color w:val="auto"/>
                <w:highlight w:val="none"/>
              </w:rPr>
            </w:pPr>
            <w:r>
              <w:rPr>
                <w:color w:val="auto"/>
                <w:highlight w:val="none"/>
              </w:rPr>
              <w:t>pH</w:t>
            </w:r>
          </w:p>
        </w:tc>
        <w:tc>
          <w:tcPr>
            <w:tcW w:w="3550" w:type="pct"/>
            <w:vAlign w:val="center"/>
          </w:tcPr>
          <w:p w14:paraId="20652054">
            <w:pPr>
              <w:pStyle w:val="30"/>
              <w:rPr>
                <w:color w:val="auto"/>
                <w:highlight w:val="none"/>
              </w:rPr>
            </w:pPr>
            <w:r>
              <w:rPr>
                <w:rFonts w:ascii="Times New Roman" w:hAnsi="Times New Roman" w:cs="Times New Roman"/>
                <w:color w:val="auto"/>
                <w:szCs w:val="21"/>
                <w:highlight w:val="none"/>
              </w:rPr>
              <w:t>水质 pH值的测定 电极法</w:t>
            </w:r>
            <w:r>
              <w:rPr>
                <w:rFonts w:hint="eastAsia" w:ascii="Times New Roman" w:hAnsi="Times New Roman" w:cs="Times New Roman"/>
                <w:color w:val="auto"/>
                <w:szCs w:val="21"/>
                <w:highlight w:val="none"/>
                <w:lang w:val="en-US" w:eastAsia="zh-CN"/>
              </w:rPr>
              <w:t>HJ1147-2020</w:t>
            </w:r>
          </w:p>
        </w:tc>
      </w:tr>
      <w:tr w14:paraId="635710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42E2C509">
            <w:pPr>
              <w:pStyle w:val="30"/>
              <w:rPr>
                <w:color w:val="auto"/>
                <w:highlight w:val="none"/>
              </w:rPr>
            </w:pPr>
          </w:p>
        </w:tc>
        <w:tc>
          <w:tcPr>
            <w:tcW w:w="980" w:type="pct"/>
            <w:vAlign w:val="center"/>
          </w:tcPr>
          <w:p w14:paraId="013D8F3B">
            <w:pPr>
              <w:pStyle w:val="30"/>
              <w:rPr>
                <w:color w:val="auto"/>
                <w:highlight w:val="none"/>
              </w:rPr>
            </w:pPr>
            <w:r>
              <w:rPr>
                <w:color w:val="auto"/>
                <w:highlight w:val="none"/>
              </w:rPr>
              <w:t>化学需氧量</w:t>
            </w:r>
          </w:p>
        </w:tc>
        <w:tc>
          <w:tcPr>
            <w:tcW w:w="3550" w:type="pct"/>
            <w:vAlign w:val="center"/>
          </w:tcPr>
          <w:p w14:paraId="77470EF5">
            <w:pPr>
              <w:pStyle w:val="30"/>
              <w:rPr>
                <w:color w:val="auto"/>
                <w:highlight w:val="none"/>
              </w:rPr>
            </w:pPr>
            <w:r>
              <w:rPr>
                <w:color w:val="auto"/>
                <w:highlight w:val="none"/>
              </w:rPr>
              <w:t>水质</w:t>
            </w:r>
            <w:r>
              <w:rPr>
                <w:rFonts w:hint="eastAsia"/>
                <w:color w:val="auto"/>
                <w:highlight w:val="none"/>
                <w:lang w:val="en-US" w:eastAsia="zh-CN"/>
              </w:rPr>
              <w:t xml:space="preserve"> </w:t>
            </w:r>
            <w:r>
              <w:rPr>
                <w:color w:val="auto"/>
                <w:highlight w:val="none"/>
              </w:rPr>
              <w:t>化学需氧量的测定 重铬酸盐法 HJ 828-2017</w:t>
            </w:r>
          </w:p>
        </w:tc>
      </w:tr>
      <w:tr w14:paraId="27DC7F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7A5EA842">
            <w:pPr>
              <w:pStyle w:val="30"/>
              <w:rPr>
                <w:color w:val="auto"/>
                <w:highlight w:val="none"/>
              </w:rPr>
            </w:pPr>
          </w:p>
        </w:tc>
        <w:tc>
          <w:tcPr>
            <w:tcW w:w="980" w:type="pct"/>
            <w:vAlign w:val="center"/>
          </w:tcPr>
          <w:p w14:paraId="5BC031BE">
            <w:pPr>
              <w:pStyle w:val="30"/>
              <w:rPr>
                <w:color w:val="auto"/>
                <w:highlight w:val="none"/>
              </w:rPr>
            </w:pPr>
            <w:r>
              <w:rPr>
                <w:color w:val="auto"/>
                <w:highlight w:val="none"/>
              </w:rPr>
              <w:t>氨氮</w:t>
            </w:r>
          </w:p>
        </w:tc>
        <w:tc>
          <w:tcPr>
            <w:tcW w:w="3550" w:type="pct"/>
            <w:vAlign w:val="center"/>
          </w:tcPr>
          <w:p w14:paraId="33F16F7C">
            <w:pPr>
              <w:pStyle w:val="30"/>
              <w:rPr>
                <w:color w:val="auto"/>
                <w:highlight w:val="none"/>
              </w:rPr>
            </w:pPr>
            <w:bookmarkStart w:id="1388" w:name="sys6380030"/>
            <w:r>
              <w:rPr>
                <w:color w:val="auto"/>
                <w:highlight w:val="none"/>
              </w:rPr>
              <w:t>水质 氨氮的测定 纳氏试剂分光光度法 HJ 535-2009</w:t>
            </w:r>
            <w:bookmarkEnd w:id="1388"/>
          </w:p>
        </w:tc>
      </w:tr>
      <w:tr w14:paraId="526527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69" w:type="pct"/>
            <w:vMerge w:val="continue"/>
            <w:vAlign w:val="center"/>
          </w:tcPr>
          <w:p w14:paraId="3B29A13F">
            <w:pPr>
              <w:pStyle w:val="30"/>
              <w:rPr>
                <w:color w:val="auto"/>
                <w:highlight w:val="none"/>
              </w:rPr>
            </w:pPr>
          </w:p>
        </w:tc>
        <w:tc>
          <w:tcPr>
            <w:tcW w:w="980" w:type="pct"/>
            <w:vAlign w:val="center"/>
          </w:tcPr>
          <w:p w14:paraId="083ECC22">
            <w:pPr>
              <w:pStyle w:val="30"/>
              <w:rPr>
                <w:color w:val="auto"/>
                <w:highlight w:val="none"/>
              </w:rPr>
            </w:pPr>
            <w:r>
              <w:rPr>
                <w:color w:val="auto"/>
                <w:highlight w:val="none"/>
              </w:rPr>
              <w:t>总磷</w:t>
            </w:r>
          </w:p>
        </w:tc>
        <w:tc>
          <w:tcPr>
            <w:tcW w:w="3550" w:type="pct"/>
            <w:vAlign w:val="center"/>
          </w:tcPr>
          <w:p w14:paraId="14DA715B">
            <w:pPr>
              <w:pStyle w:val="30"/>
              <w:rPr>
                <w:color w:val="auto"/>
                <w:highlight w:val="none"/>
              </w:rPr>
            </w:pPr>
            <w:r>
              <w:rPr>
                <w:color w:val="auto"/>
                <w:highlight w:val="none"/>
              </w:rPr>
              <w:t>水质 总磷的测定 钼酸铵分光光度法 GB/T 11893-1989</w:t>
            </w:r>
          </w:p>
        </w:tc>
      </w:tr>
      <w:tr w14:paraId="447E23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78C5EA20">
            <w:pPr>
              <w:pStyle w:val="30"/>
              <w:rPr>
                <w:color w:val="auto"/>
                <w:highlight w:val="none"/>
              </w:rPr>
            </w:pPr>
          </w:p>
        </w:tc>
        <w:tc>
          <w:tcPr>
            <w:tcW w:w="980" w:type="pct"/>
            <w:vAlign w:val="center"/>
          </w:tcPr>
          <w:p w14:paraId="4136F178">
            <w:pPr>
              <w:pStyle w:val="30"/>
              <w:rPr>
                <w:color w:val="auto"/>
                <w:highlight w:val="none"/>
              </w:rPr>
            </w:pPr>
            <w:r>
              <w:rPr>
                <w:color w:val="auto"/>
                <w:highlight w:val="none"/>
              </w:rPr>
              <w:t>高锰酸盐指数</w:t>
            </w:r>
          </w:p>
        </w:tc>
        <w:tc>
          <w:tcPr>
            <w:tcW w:w="3550" w:type="pct"/>
            <w:vAlign w:val="center"/>
          </w:tcPr>
          <w:p w14:paraId="082A8CAA">
            <w:pPr>
              <w:pStyle w:val="30"/>
              <w:rPr>
                <w:color w:val="auto"/>
                <w:highlight w:val="none"/>
              </w:rPr>
            </w:pPr>
            <w:r>
              <w:rPr>
                <w:color w:val="auto"/>
                <w:highlight w:val="none"/>
              </w:rPr>
              <w:t xml:space="preserve">水质 高锰酸盐指数的测定 </w:t>
            </w:r>
            <w:r>
              <w:rPr>
                <w:rFonts w:hint="eastAsia"/>
                <w:color w:val="auto"/>
                <w:highlight w:val="none"/>
                <w:lang w:eastAsia="zh-CN"/>
              </w:rPr>
              <w:t>GB/T 11892-1989</w:t>
            </w:r>
          </w:p>
        </w:tc>
      </w:tr>
      <w:tr w14:paraId="1DEE5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709C6B70">
            <w:pPr>
              <w:pStyle w:val="30"/>
              <w:rPr>
                <w:color w:val="auto"/>
                <w:highlight w:val="none"/>
              </w:rPr>
            </w:pPr>
          </w:p>
        </w:tc>
        <w:tc>
          <w:tcPr>
            <w:tcW w:w="980" w:type="pct"/>
            <w:vAlign w:val="center"/>
          </w:tcPr>
          <w:p w14:paraId="22E355B1">
            <w:pPr>
              <w:pStyle w:val="30"/>
              <w:rPr>
                <w:color w:val="auto"/>
                <w:highlight w:val="none"/>
              </w:rPr>
            </w:pPr>
            <w:r>
              <w:rPr>
                <w:color w:val="auto"/>
                <w:highlight w:val="none"/>
              </w:rPr>
              <w:t>挥发酚</w:t>
            </w:r>
          </w:p>
        </w:tc>
        <w:tc>
          <w:tcPr>
            <w:tcW w:w="3550" w:type="pct"/>
            <w:vAlign w:val="center"/>
          </w:tcPr>
          <w:p w14:paraId="4B645702">
            <w:pPr>
              <w:pStyle w:val="30"/>
              <w:rPr>
                <w:color w:val="auto"/>
                <w:highlight w:val="none"/>
              </w:rPr>
            </w:pPr>
            <w:bookmarkStart w:id="1389" w:name="sys6389034"/>
            <w:r>
              <w:rPr>
                <w:color w:val="auto"/>
                <w:highlight w:val="none"/>
              </w:rPr>
              <w:t>水质 挥发酚的测定 4-氨基安替比林分光光度法 HJ503-2009</w:t>
            </w:r>
            <w:bookmarkEnd w:id="1389"/>
          </w:p>
        </w:tc>
      </w:tr>
      <w:tr w14:paraId="23B90A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12C6B977">
            <w:pPr>
              <w:pStyle w:val="30"/>
              <w:rPr>
                <w:color w:val="auto"/>
                <w:highlight w:val="none"/>
              </w:rPr>
            </w:pPr>
          </w:p>
        </w:tc>
        <w:tc>
          <w:tcPr>
            <w:tcW w:w="980" w:type="pct"/>
            <w:vAlign w:val="center"/>
          </w:tcPr>
          <w:p w14:paraId="3EF6B255">
            <w:pPr>
              <w:pStyle w:val="30"/>
              <w:rPr>
                <w:color w:val="auto"/>
                <w:highlight w:val="none"/>
              </w:rPr>
            </w:pPr>
            <w:r>
              <w:rPr>
                <w:color w:val="auto"/>
                <w:highlight w:val="none"/>
              </w:rPr>
              <w:t>硫化物</w:t>
            </w:r>
          </w:p>
        </w:tc>
        <w:tc>
          <w:tcPr>
            <w:tcW w:w="3550" w:type="pct"/>
            <w:vAlign w:val="center"/>
          </w:tcPr>
          <w:p w14:paraId="1ED431C7">
            <w:pPr>
              <w:pStyle w:val="30"/>
              <w:rPr>
                <w:color w:val="auto"/>
                <w:highlight w:val="none"/>
              </w:rPr>
            </w:pPr>
            <w:r>
              <w:rPr>
                <w:color w:val="auto"/>
                <w:highlight w:val="none"/>
              </w:rPr>
              <w:t>水质 硫化物的测定</w:t>
            </w:r>
            <w:r>
              <w:rPr>
                <w:rFonts w:hint="eastAsia"/>
                <w:color w:val="auto"/>
                <w:highlight w:val="none"/>
                <w:lang w:val="en-US" w:eastAsia="zh-CN"/>
              </w:rPr>
              <w:t xml:space="preserve"> </w:t>
            </w:r>
            <w:r>
              <w:rPr>
                <w:color w:val="auto"/>
                <w:highlight w:val="none"/>
              </w:rPr>
              <w:t xml:space="preserve">亚甲基蓝分光光度法 </w:t>
            </w:r>
            <w:r>
              <w:rPr>
                <w:rFonts w:hint="eastAsia"/>
                <w:color w:val="auto"/>
                <w:highlight w:val="none"/>
                <w:lang w:val="en-US" w:eastAsia="zh-CN"/>
              </w:rPr>
              <w:t>HJ1226-2021</w:t>
            </w:r>
          </w:p>
        </w:tc>
      </w:tr>
      <w:tr w14:paraId="7D1822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469" w:type="pct"/>
            <w:vMerge w:val="continue"/>
            <w:vAlign w:val="center"/>
          </w:tcPr>
          <w:p w14:paraId="4B7863AE">
            <w:pPr>
              <w:pStyle w:val="30"/>
              <w:rPr>
                <w:color w:val="auto"/>
                <w:highlight w:val="none"/>
              </w:rPr>
            </w:pPr>
          </w:p>
        </w:tc>
        <w:tc>
          <w:tcPr>
            <w:tcW w:w="980" w:type="pct"/>
            <w:vAlign w:val="center"/>
          </w:tcPr>
          <w:p w14:paraId="34ABE941">
            <w:pPr>
              <w:pStyle w:val="30"/>
              <w:rPr>
                <w:color w:val="auto"/>
                <w:highlight w:val="none"/>
              </w:rPr>
            </w:pPr>
            <w:r>
              <w:rPr>
                <w:color w:val="auto"/>
                <w:highlight w:val="none"/>
              </w:rPr>
              <w:t>氰化物</w:t>
            </w:r>
          </w:p>
        </w:tc>
        <w:tc>
          <w:tcPr>
            <w:tcW w:w="3550" w:type="pct"/>
            <w:vAlign w:val="center"/>
          </w:tcPr>
          <w:p w14:paraId="0917E652">
            <w:pPr>
              <w:keepNext w:val="0"/>
              <w:keepLines w:val="0"/>
              <w:pageBreakBefore w:val="0"/>
              <w:widowControl/>
              <w:kinsoku/>
              <w:wordWrap/>
              <w:overflowPunct/>
              <w:topLinePunct w:val="0"/>
              <w:autoSpaceDE/>
              <w:autoSpaceDN/>
              <w:bidi w:val="0"/>
              <w:adjustRightInd/>
              <w:snapToGrid/>
              <w:spacing w:line="240" w:lineRule="auto"/>
              <w:jc w:val="center"/>
              <w:textAlignment w:val="baseline"/>
              <w:rPr>
                <w:rFonts w:hint="default"/>
                <w:color w:val="auto"/>
                <w:highlight w:val="none"/>
                <w:lang w:val="en-US"/>
              </w:rPr>
            </w:pPr>
            <w:r>
              <w:rPr>
                <w:rFonts w:hint="eastAsia" w:ascii="Times New Roman" w:hAnsi="Times New Roman" w:cs="Times New Roman"/>
                <w:color w:val="auto"/>
                <w:szCs w:val="21"/>
                <w:highlight w:val="none"/>
                <w:lang w:val="en-US" w:eastAsia="zh-CN"/>
              </w:rPr>
              <w:t>水质 氰化物的测定 容量法和分光光度法HJ 484-2009异烟酸-巴比妥酸分光光度法</w:t>
            </w:r>
          </w:p>
        </w:tc>
      </w:tr>
      <w:tr w14:paraId="5F29A8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3656B031">
            <w:pPr>
              <w:pStyle w:val="30"/>
              <w:rPr>
                <w:color w:val="auto"/>
                <w:highlight w:val="none"/>
              </w:rPr>
            </w:pPr>
          </w:p>
        </w:tc>
        <w:tc>
          <w:tcPr>
            <w:tcW w:w="980" w:type="pct"/>
            <w:vAlign w:val="center"/>
          </w:tcPr>
          <w:p w14:paraId="674967F8">
            <w:pPr>
              <w:pStyle w:val="30"/>
              <w:rPr>
                <w:color w:val="auto"/>
                <w:highlight w:val="none"/>
              </w:rPr>
            </w:pPr>
            <w:r>
              <w:rPr>
                <w:color w:val="auto"/>
                <w:highlight w:val="none"/>
              </w:rPr>
              <w:t>水温</w:t>
            </w:r>
          </w:p>
        </w:tc>
        <w:tc>
          <w:tcPr>
            <w:tcW w:w="3550" w:type="pct"/>
            <w:vAlign w:val="center"/>
          </w:tcPr>
          <w:p w14:paraId="7B5F3743">
            <w:pPr>
              <w:pStyle w:val="30"/>
              <w:rPr>
                <w:color w:val="auto"/>
                <w:highlight w:val="none"/>
              </w:rPr>
            </w:pPr>
            <w:r>
              <w:rPr>
                <w:color w:val="auto"/>
                <w:highlight w:val="none"/>
              </w:rPr>
              <w:t>水质 水温的测定 温度计或颠倒温度计测定法</w:t>
            </w:r>
            <w:bookmarkStart w:id="1390" w:name="OLE_LINK204"/>
            <w:r>
              <w:rPr>
                <w:color w:val="auto"/>
                <w:highlight w:val="none"/>
              </w:rPr>
              <w:t xml:space="preserve"> GB</w:t>
            </w:r>
            <w:bookmarkStart w:id="1391" w:name="OLE_LINK390"/>
            <w:r>
              <w:rPr>
                <w:rFonts w:hint="eastAsia"/>
                <w:color w:val="auto"/>
                <w:highlight w:val="none"/>
                <w:lang w:val="en-US" w:eastAsia="zh-CN"/>
              </w:rPr>
              <w:t>/</w:t>
            </w:r>
            <w:bookmarkEnd w:id="1391"/>
            <w:r>
              <w:rPr>
                <w:rFonts w:hint="eastAsia"/>
                <w:color w:val="auto"/>
                <w:highlight w:val="none"/>
                <w:lang w:val="en-US" w:eastAsia="zh-CN"/>
              </w:rPr>
              <w:t>T</w:t>
            </w:r>
            <w:r>
              <w:rPr>
                <w:color w:val="auto"/>
                <w:highlight w:val="none"/>
              </w:rPr>
              <w:t xml:space="preserve"> 13195-1991</w:t>
            </w:r>
            <w:bookmarkEnd w:id="1390"/>
          </w:p>
        </w:tc>
      </w:tr>
      <w:tr w14:paraId="193E71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730DF930">
            <w:pPr>
              <w:pStyle w:val="30"/>
              <w:rPr>
                <w:color w:val="auto"/>
                <w:highlight w:val="none"/>
              </w:rPr>
            </w:pPr>
          </w:p>
        </w:tc>
        <w:tc>
          <w:tcPr>
            <w:tcW w:w="980" w:type="pct"/>
            <w:vAlign w:val="center"/>
          </w:tcPr>
          <w:p w14:paraId="517DBDF0">
            <w:pPr>
              <w:pStyle w:val="30"/>
              <w:rPr>
                <w:color w:val="auto"/>
                <w:highlight w:val="none"/>
              </w:rPr>
            </w:pPr>
            <w:r>
              <w:rPr>
                <w:color w:val="auto"/>
                <w:highlight w:val="none"/>
              </w:rPr>
              <w:t>五日生化需氧量</w:t>
            </w:r>
          </w:p>
        </w:tc>
        <w:tc>
          <w:tcPr>
            <w:tcW w:w="3550" w:type="pct"/>
            <w:vAlign w:val="center"/>
          </w:tcPr>
          <w:p w14:paraId="0EF6C46E">
            <w:pPr>
              <w:pStyle w:val="30"/>
              <w:rPr>
                <w:color w:val="auto"/>
                <w:highlight w:val="none"/>
              </w:rPr>
            </w:pPr>
            <w:r>
              <w:rPr>
                <w:color w:val="auto"/>
                <w:highlight w:val="none"/>
              </w:rPr>
              <w:t>水质 五日生化需氧量</w:t>
            </w:r>
            <w:r>
              <w:rPr>
                <w:rFonts w:hint="eastAsia"/>
                <w:color w:val="auto"/>
                <w:highlight w:val="none"/>
                <w:lang w:eastAsia="zh-CN"/>
              </w:rPr>
              <w:t>（</w:t>
            </w:r>
            <w:r>
              <w:rPr>
                <w:color w:val="auto"/>
                <w:highlight w:val="none"/>
              </w:rPr>
              <w:t>BOD</w:t>
            </w:r>
            <w:r>
              <w:rPr>
                <w:color w:val="auto"/>
                <w:highlight w:val="none"/>
                <w:vertAlign w:val="subscript"/>
              </w:rPr>
              <w:t>5</w:t>
            </w:r>
            <w:r>
              <w:rPr>
                <w:rFonts w:hint="eastAsia"/>
                <w:color w:val="auto"/>
                <w:highlight w:val="none"/>
                <w:vertAlign w:val="baseline"/>
                <w:lang w:eastAsia="zh-CN"/>
              </w:rPr>
              <w:t>）</w:t>
            </w:r>
            <w:r>
              <w:rPr>
                <w:color w:val="auto"/>
                <w:highlight w:val="none"/>
              </w:rPr>
              <w:t>的测定 稀释与接种法 HJ505-2009</w:t>
            </w:r>
          </w:p>
        </w:tc>
      </w:tr>
      <w:tr w14:paraId="6C1052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1A72516B">
            <w:pPr>
              <w:pStyle w:val="30"/>
              <w:rPr>
                <w:color w:val="auto"/>
                <w:highlight w:val="none"/>
              </w:rPr>
            </w:pPr>
          </w:p>
        </w:tc>
        <w:tc>
          <w:tcPr>
            <w:tcW w:w="980" w:type="pct"/>
            <w:vAlign w:val="center"/>
          </w:tcPr>
          <w:p w14:paraId="11C00DAF">
            <w:pPr>
              <w:pStyle w:val="30"/>
              <w:rPr>
                <w:color w:val="auto"/>
                <w:highlight w:val="none"/>
              </w:rPr>
            </w:pPr>
            <w:r>
              <w:rPr>
                <w:color w:val="auto"/>
                <w:highlight w:val="none"/>
              </w:rPr>
              <w:t>悬浮物</w:t>
            </w:r>
          </w:p>
        </w:tc>
        <w:tc>
          <w:tcPr>
            <w:tcW w:w="3550" w:type="pct"/>
            <w:vAlign w:val="center"/>
          </w:tcPr>
          <w:p w14:paraId="04D5AD2D">
            <w:pPr>
              <w:pStyle w:val="30"/>
              <w:rPr>
                <w:color w:val="auto"/>
                <w:highlight w:val="none"/>
              </w:rPr>
            </w:pPr>
            <w:r>
              <w:rPr>
                <w:color w:val="auto"/>
                <w:highlight w:val="none"/>
              </w:rPr>
              <w:t xml:space="preserve">水质 悬浮物的测定 重量法 </w:t>
            </w:r>
            <w:r>
              <w:rPr>
                <w:rFonts w:hint="eastAsia"/>
                <w:color w:val="auto"/>
                <w:highlight w:val="none"/>
                <w:lang w:eastAsia="zh-CN"/>
              </w:rPr>
              <w:t>GB/T 11901-1989</w:t>
            </w:r>
          </w:p>
        </w:tc>
      </w:tr>
      <w:tr w14:paraId="73A071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6CDCC5A9">
            <w:pPr>
              <w:pStyle w:val="30"/>
              <w:rPr>
                <w:color w:val="auto"/>
                <w:highlight w:val="none"/>
              </w:rPr>
            </w:pPr>
          </w:p>
        </w:tc>
        <w:tc>
          <w:tcPr>
            <w:tcW w:w="980" w:type="pct"/>
            <w:vAlign w:val="center"/>
          </w:tcPr>
          <w:p w14:paraId="6D4D392E">
            <w:pPr>
              <w:pStyle w:val="30"/>
              <w:rPr>
                <w:color w:val="auto"/>
                <w:highlight w:val="none"/>
              </w:rPr>
            </w:pPr>
            <w:r>
              <w:rPr>
                <w:color w:val="auto"/>
                <w:highlight w:val="none"/>
              </w:rPr>
              <w:t>阴离子表面活性剂</w:t>
            </w:r>
          </w:p>
        </w:tc>
        <w:tc>
          <w:tcPr>
            <w:tcW w:w="3550" w:type="pct"/>
            <w:vAlign w:val="center"/>
          </w:tcPr>
          <w:p w14:paraId="5E045F33">
            <w:pPr>
              <w:pStyle w:val="30"/>
              <w:rPr>
                <w:color w:val="auto"/>
                <w:highlight w:val="none"/>
              </w:rPr>
            </w:pPr>
            <w:r>
              <w:rPr>
                <w:color w:val="auto"/>
                <w:highlight w:val="none"/>
              </w:rPr>
              <w:t>水质</w:t>
            </w:r>
            <w:r>
              <w:rPr>
                <w:rFonts w:hint="eastAsia"/>
                <w:color w:val="auto"/>
                <w:highlight w:val="none"/>
                <w:lang w:val="en-US" w:eastAsia="zh-CN"/>
              </w:rPr>
              <w:t xml:space="preserve"> </w:t>
            </w:r>
            <w:r>
              <w:rPr>
                <w:color w:val="auto"/>
                <w:highlight w:val="none"/>
              </w:rPr>
              <w:t>阴离子表面活性剂的测定 亚甲蓝分光光度法 GB/T7494-1987</w:t>
            </w:r>
          </w:p>
        </w:tc>
      </w:tr>
      <w:tr w14:paraId="58A9AE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406D7946">
            <w:pPr>
              <w:pStyle w:val="30"/>
              <w:rPr>
                <w:color w:val="auto"/>
                <w:highlight w:val="none"/>
              </w:rPr>
            </w:pPr>
          </w:p>
        </w:tc>
        <w:tc>
          <w:tcPr>
            <w:tcW w:w="980" w:type="pct"/>
            <w:vAlign w:val="center"/>
          </w:tcPr>
          <w:p w14:paraId="5292F220">
            <w:pPr>
              <w:pStyle w:val="30"/>
              <w:rPr>
                <w:color w:val="auto"/>
                <w:highlight w:val="none"/>
              </w:rPr>
            </w:pPr>
            <w:r>
              <w:rPr>
                <w:color w:val="auto"/>
                <w:highlight w:val="none"/>
              </w:rPr>
              <w:t>总氮</w:t>
            </w:r>
          </w:p>
        </w:tc>
        <w:tc>
          <w:tcPr>
            <w:tcW w:w="3550" w:type="pct"/>
            <w:vAlign w:val="center"/>
          </w:tcPr>
          <w:p w14:paraId="2DDE38B5">
            <w:pPr>
              <w:pStyle w:val="30"/>
              <w:rPr>
                <w:color w:val="auto"/>
                <w:highlight w:val="none"/>
              </w:rPr>
            </w:pPr>
            <w:r>
              <w:rPr>
                <w:color w:val="auto"/>
                <w:highlight w:val="none"/>
              </w:rPr>
              <w:t>水质 总氮的测定 碱性过硫酸钾消解紫外分光光度法 HJ636—2012</w:t>
            </w:r>
          </w:p>
        </w:tc>
      </w:tr>
      <w:tr w14:paraId="2B9B1F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1303CF14">
            <w:pPr>
              <w:pStyle w:val="30"/>
              <w:rPr>
                <w:color w:val="auto"/>
                <w:highlight w:val="none"/>
              </w:rPr>
            </w:pPr>
          </w:p>
        </w:tc>
        <w:tc>
          <w:tcPr>
            <w:tcW w:w="980" w:type="pct"/>
            <w:vAlign w:val="center"/>
          </w:tcPr>
          <w:p w14:paraId="2EBBDB20">
            <w:pPr>
              <w:keepNext w:val="0"/>
              <w:keepLines w:val="0"/>
              <w:pageBreakBefore w:val="0"/>
              <w:kinsoku/>
              <w:wordWrap/>
              <w:overflowPunct/>
              <w:topLinePunct w:val="0"/>
              <w:autoSpaceDE/>
              <w:autoSpaceDN/>
              <w:bidi w:val="0"/>
              <w:adjustRightInd/>
              <w:spacing w:line="300" w:lineRule="exact"/>
              <w:jc w:val="center"/>
              <w:textAlignment w:val="auto"/>
              <w:rPr>
                <w:color w:val="auto"/>
                <w:highlight w:val="none"/>
              </w:rPr>
            </w:pPr>
            <w:r>
              <w:rPr>
                <w:rFonts w:hint="default" w:ascii="Times New Roman" w:hAnsi="Times New Roman" w:cs="Times New Roman"/>
                <w:color w:val="auto"/>
                <w:sz w:val="21"/>
                <w:szCs w:val="21"/>
                <w:highlight w:val="none"/>
                <w:lang w:eastAsia="zh-CN"/>
              </w:rPr>
              <w:t>氟化物</w:t>
            </w:r>
          </w:p>
        </w:tc>
        <w:tc>
          <w:tcPr>
            <w:tcW w:w="3550" w:type="pct"/>
            <w:vAlign w:val="center"/>
          </w:tcPr>
          <w:p w14:paraId="52A5E5C7">
            <w:pPr>
              <w:keepNext w:val="0"/>
              <w:keepLines w:val="0"/>
              <w:pageBreakBefore w:val="0"/>
              <w:kinsoku/>
              <w:wordWrap/>
              <w:overflowPunct/>
              <w:topLinePunct w:val="0"/>
              <w:autoSpaceDE/>
              <w:autoSpaceDN/>
              <w:bidi w:val="0"/>
              <w:adjustRightInd/>
              <w:spacing w:line="300" w:lineRule="exact"/>
              <w:jc w:val="center"/>
              <w:textAlignment w:val="auto"/>
              <w:rPr>
                <w:color w:val="auto"/>
                <w:highlight w:val="none"/>
              </w:rPr>
            </w:pPr>
            <w:bookmarkStart w:id="1392" w:name="sys6413031"/>
            <w:r>
              <w:rPr>
                <w:rFonts w:hint="default" w:ascii="Times New Roman" w:hAnsi="Times New Roman" w:cs="Times New Roman"/>
                <w:color w:val="auto"/>
                <w:sz w:val="21"/>
                <w:szCs w:val="21"/>
                <w:highlight w:val="none"/>
              </w:rPr>
              <w:t>水质 氟化物的测定</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离子选择电极法GB/T 7484-1987</w:t>
            </w:r>
            <w:bookmarkEnd w:id="1392"/>
          </w:p>
        </w:tc>
      </w:tr>
      <w:tr w14:paraId="02F3D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730114B3">
            <w:pPr>
              <w:pStyle w:val="30"/>
              <w:rPr>
                <w:color w:val="auto"/>
                <w:highlight w:val="none"/>
              </w:rPr>
            </w:pPr>
          </w:p>
        </w:tc>
        <w:tc>
          <w:tcPr>
            <w:tcW w:w="980" w:type="pct"/>
            <w:vAlign w:val="center"/>
          </w:tcPr>
          <w:p w14:paraId="303A3031">
            <w:pPr>
              <w:keepNext w:val="0"/>
              <w:keepLines w:val="0"/>
              <w:pageBreakBefore w:val="0"/>
              <w:kinsoku/>
              <w:wordWrap/>
              <w:overflowPunct/>
              <w:topLinePunct w:val="0"/>
              <w:autoSpaceDE w:val="0"/>
              <w:autoSpaceDN w:val="0"/>
              <w:bidi w:val="0"/>
              <w:adjustRightInd/>
              <w:snapToGrid/>
              <w:spacing w:line="240" w:lineRule="auto"/>
              <w:ind w:left="-111" w:leftChars="-53" w:right="-103" w:rightChars="-49" w:firstLine="2" w:firstLineChars="1"/>
              <w:jc w:val="center"/>
              <w:rPr>
                <w:color w:val="auto"/>
                <w:highlight w:val="none"/>
              </w:rPr>
            </w:pPr>
            <w:r>
              <w:rPr>
                <w:rFonts w:hint="eastAsia" w:ascii="Times New Roman" w:hAnsi="Times New Roman" w:eastAsia="宋体" w:cs="Times New Roman"/>
                <w:b w:val="0"/>
                <w:bCs/>
                <w:color w:val="auto"/>
                <w:sz w:val="21"/>
                <w:szCs w:val="21"/>
                <w:highlight w:val="none"/>
                <w:lang w:val="en-US" w:eastAsia="zh-CN"/>
              </w:rPr>
              <w:t>砷</w:t>
            </w:r>
          </w:p>
        </w:tc>
        <w:tc>
          <w:tcPr>
            <w:tcW w:w="3550" w:type="pct"/>
            <w:vMerge w:val="restart"/>
            <w:vAlign w:val="center"/>
          </w:tcPr>
          <w:p w14:paraId="157300E9">
            <w:pPr>
              <w:pStyle w:val="30"/>
              <w:rPr>
                <w:color w:val="auto"/>
                <w:highlight w:val="none"/>
              </w:rPr>
            </w:pPr>
            <w:bookmarkStart w:id="1393" w:name="sys6416032"/>
            <w:r>
              <w:rPr>
                <w:rFonts w:hint="default" w:ascii="Times New Roman" w:hAnsi="Times New Roman" w:eastAsia="宋体" w:cs="Times New Roman"/>
                <w:color w:val="auto"/>
                <w:kern w:val="2"/>
                <w:sz w:val="21"/>
                <w:szCs w:val="21"/>
                <w:highlight w:val="none"/>
                <w:lang w:val="en-US" w:eastAsia="zh-CN" w:bidi="ar-SA"/>
              </w:rPr>
              <w:t>水质 汞、砷、硒、铋和锑的测定 原子荧光法HJ</w:t>
            </w:r>
            <w:r>
              <w:rPr>
                <w:rFonts w:hint="eastAsia"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694-2014</w:t>
            </w:r>
            <w:bookmarkEnd w:id="1393"/>
          </w:p>
        </w:tc>
      </w:tr>
      <w:tr w14:paraId="01CCE0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5D34CEC8">
            <w:pPr>
              <w:pStyle w:val="30"/>
              <w:rPr>
                <w:color w:val="auto"/>
                <w:highlight w:val="none"/>
              </w:rPr>
            </w:pPr>
          </w:p>
        </w:tc>
        <w:tc>
          <w:tcPr>
            <w:tcW w:w="980" w:type="pct"/>
            <w:vAlign w:val="center"/>
          </w:tcPr>
          <w:p w14:paraId="075B57C8">
            <w:pPr>
              <w:keepNext w:val="0"/>
              <w:keepLines w:val="0"/>
              <w:pageBreakBefore w:val="0"/>
              <w:kinsoku/>
              <w:wordWrap/>
              <w:overflowPunct/>
              <w:topLinePunct w:val="0"/>
              <w:autoSpaceDE w:val="0"/>
              <w:autoSpaceDN w:val="0"/>
              <w:bidi w:val="0"/>
              <w:adjustRightInd/>
              <w:snapToGrid/>
              <w:spacing w:line="240" w:lineRule="auto"/>
              <w:ind w:left="-111" w:leftChars="-53" w:right="-103" w:rightChars="-49" w:firstLine="2" w:firstLineChars="1"/>
              <w:jc w:val="center"/>
              <w:rPr>
                <w:color w:val="auto"/>
                <w:highlight w:val="none"/>
              </w:rPr>
            </w:pPr>
            <w:r>
              <w:rPr>
                <w:rFonts w:hint="eastAsia" w:ascii="Times New Roman" w:hAnsi="Times New Roman" w:eastAsia="宋体" w:cs="Times New Roman"/>
                <w:b w:val="0"/>
                <w:bCs/>
                <w:color w:val="auto"/>
                <w:sz w:val="21"/>
                <w:szCs w:val="21"/>
                <w:highlight w:val="none"/>
                <w:lang w:val="en-US" w:eastAsia="zh-CN"/>
              </w:rPr>
              <w:t>硒</w:t>
            </w:r>
          </w:p>
        </w:tc>
        <w:tc>
          <w:tcPr>
            <w:tcW w:w="3550" w:type="pct"/>
            <w:vMerge w:val="continue"/>
            <w:vAlign w:val="center"/>
          </w:tcPr>
          <w:p w14:paraId="7A47F68E">
            <w:pPr>
              <w:pStyle w:val="30"/>
              <w:rPr>
                <w:color w:val="auto"/>
                <w:highlight w:val="none"/>
              </w:rPr>
            </w:pPr>
          </w:p>
        </w:tc>
      </w:tr>
      <w:tr w14:paraId="2EFFAF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1F081121">
            <w:pPr>
              <w:pStyle w:val="30"/>
              <w:rPr>
                <w:color w:val="auto"/>
                <w:highlight w:val="none"/>
              </w:rPr>
            </w:pPr>
          </w:p>
        </w:tc>
        <w:tc>
          <w:tcPr>
            <w:tcW w:w="980" w:type="pct"/>
            <w:vAlign w:val="center"/>
          </w:tcPr>
          <w:p w14:paraId="05846EBB">
            <w:pPr>
              <w:keepNext w:val="0"/>
              <w:keepLines w:val="0"/>
              <w:pageBreakBefore w:val="0"/>
              <w:kinsoku/>
              <w:wordWrap/>
              <w:overflowPunct/>
              <w:topLinePunct w:val="0"/>
              <w:autoSpaceDE w:val="0"/>
              <w:autoSpaceDN w:val="0"/>
              <w:bidi w:val="0"/>
              <w:adjustRightInd/>
              <w:snapToGrid/>
              <w:spacing w:line="240" w:lineRule="auto"/>
              <w:ind w:left="-111" w:leftChars="-53" w:right="-103" w:rightChars="-49" w:firstLine="2" w:firstLineChars="1"/>
              <w:jc w:val="center"/>
              <w:rPr>
                <w:color w:val="auto"/>
                <w:highlight w:val="none"/>
              </w:rPr>
            </w:pPr>
            <w:r>
              <w:rPr>
                <w:rFonts w:hint="eastAsia" w:ascii="Times New Roman" w:hAnsi="Times New Roman" w:eastAsia="宋体" w:cs="Times New Roman"/>
                <w:b w:val="0"/>
                <w:bCs/>
                <w:color w:val="auto"/>
                <w:sz w:val="21"/>
                <w:szCs w:val="21"/>
                <w:highlight w:val="none"/>
                <w:lang w:val="en-US" w:eastAsia="zh-CN"/>
              </w:rPr>
              <w:t>汞</w:t>
            </w:r>
          </w:p>
        </w:tc>
        <w:tc>
          <w:tcPr>
            <w:tcW w:w="3550" w:type="pct"/>
            <w:vMerge w:val="continue"/>
            <w:vAlign w:val="center"/>
          </w:tcPr>
          <w:p w14:paraId="150F8608">
            <w:pPr>
              <w:pStyle w:val="30"/>
              <w:rPr>
                <w:color w:val="auto"/>
                <w:highlight w:val="none"/>
              </w:rPr>
            </w:pPr>
          </w:p>
        </w:tc>
      </w:tr>
      <w:tr w14:paraId="1899EB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431B7F67">
            <w:pPr>
              <w:pStyle w:val="30"/>
              <w:rPr>
                <w:color w:val="auto"/>
                <w:highlight w:val="none"/>
              </w:rPr>
            </w:pPr>
          </w:p>
        </w:tc>
        <w:tc>
          <w:tcPr>
            <w:tcW w:w="980" w:type="pct"/>
            <w:vAlign w:val="center"/>
          </w:tcPr>
          <w:p w14:paraId="0ACD6A04">
            <w:pPr>
              <w:pStyle w:val="30"/>
              <w:rPr>
                <w:color w:val="auto"/>
                <w:highlight w:val="none"/>
              </w:rPr>
            </w:pPr>
            <w:r>
              <w:rPr>
                <w:color w:val="auto"/>
                <w:highlight w:val="none"/>
              </w:rPr>
              <w:t>镉</w:t>
            </w:r>
          </w:p>
        </w:tc>
        <w:tc>
          <w:tcPr>
            <w:tcW w:w="3550" w:type="pct"/>
            <w:vAlign w:val="center"/>
          </w:tcPr>
          <w:p w14:paraId="5B3D9259">
            <w:pPr>
              <w:pStyle w:val="30"/>
              <w:rPr>
                <w:color w:val="auto"/>
                <w:highlight w:val="none"/>
              </w:rPr>
            </w:pPr>
            <w:bookmarkStart w:id="1394" w:name="sys6425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394"/>
          </w:p>
        </w:tc>
      </w:tr>
      <w:tr w14:paraId="6AC2D9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5979CFF8">
            <w:pPr>
              <w:pStyle w:val="30"/>
              <w:rPr>
                <w:color w:val="auto"/>
                <w:highlight w:val="none"/>
              </w:rPr>
            </w:pPr>
          </w:p>
        </w:tc>
        <w:tc>
          <w:tcPr>
            <w:tcW w:w="980" w:type="pct"/>
            <w:vAlign w:val="center"/>
          </w:tcPr>
          <w:p w14:paraId="2BC6C4C6">
            <w:pPr>
              <w:pStyle w:val="30"/>
              <w:rPr>
                <w:color w:val="auto"/>
                <w:highlight w:val="none"/>
              </w:rPr>
            </w:pPr>
            <w:r>
              <w:rPr>
                <w:color w:val="auto"/>
                <w:highlight w:val="none"/>
              </w:rPr>
              <w:t>锰</w:t>
            </w:r>
          </w:p>
        </w:tc>
        <w:tc>
          <w:tcPr>
            <w:tcW w:w="3550" w:type="pct"/>
            <w:vAlign w:val="center"/>
          </w:tcPr>
          <w:p w14:paraId="5A56BD4B">
            <w:pPr>
              <w:pStyle w:val="30"/>
              <w:rPr>
                <w:color w:val="auto"/>
                <w:highlight w:val="none"/>
              </w:rPr>
            </w:pPr>
            <w:bookmarkStart w:id="1395" w:name="sys6428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395"/>
          </w:p>
        </w:tc>
      </w:tr>
      <w:tr w14:paraId="4CEEA2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469" w:type="pct"/>
            <w:vMerge w:val="continue"/>
            <w:vAlign w:val="center"/>
          </w:tcPr>
          <w:p w14:paraId="281FDB05">
            <w:pPr>
              <w:pStyle w:val="30"/>
              <w:rPr>
                <w:color w:val="auto"/>
                <w:highlight w:val="none"/>
              </w:rPr>
            </w:pPr>
          </w:p>
        </w:tc>
        <w:tc>
          <w:tcPr>
            <w:tcW w:w="980" w:type="pct"/>
            <w:vAlign w:val="center"/>
          </w:tcPr>
          <w:p w14:paraId="2186F621">
            <w:pPr>
              <w:pStyle w:val="30"/>
              <w:rPr>
                <w:rFonts w:hint="eastAsia" w:eastAsia="宋体"/>
                <w:color w:val="auto"/>
                <w:highlight w:val="none"/>
                <w:lang w:val="en-US" w:eastAsia="zh-CN"/>
              </w:rPr>
            </w:pPr>
            <w:r>
              <w:rPr>
                <w:rFonts w:hint="eastAsia"/>
                <w:color w:val="auto"/>
                <w:highlight w:val="none"/>
                <w:lang w:val="en-US" w:eastAsia="zh-CN"/>
              </w:rPr>
              <w:t>铜</w:t>
            </w:r>
          </w:p>
        </w:tc>
        <w:tc>
          <w:tcPr>
            <w:tcW w:w="3550" w:type="pct"/>
            <w:vAlign w:val="center"/>
          </w:tcPr>
          <w:p w14:paraId="6E689F89">
            <w:pPr>
              <w:keepNext w:val="0"/>
              <w:keepLines w:val="0"/>
              <w:pageBreakBefore w:val="0"/>
              <w:widowControl/>
              <w:kinsoku/>
              <w:wordWrap/>
              <w:overflowPunct/>
              <w:topLinePunct w:val="0"/>
              <w:autoSpaceDE/>
              <w:autoSpaceDN/>
              <w:bidi w:val="0"/>
              <w:adjustRightInd/>
              <w:snapToGrid/>
              <w:spacing w:line="240" w:lineRule="auto"/>
              <w:jc w:val="center"/>
              <w:textAlignment w:val="baseline"/>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 xml:space="preserve">水质 32种元素的测定 电感耦合等离子体发射光谱法 </w:t>
            </w:r>
          </w:p>
          <w:p w14:paraId="714EC88F">
            <w:pPr>
              <w:pStyle w:val="30"/>
              <w:keepNext w:val="0"/>
              <w:keepLines w:val="0"/>
              <w:pageBreakBefore w:val="0"/>
              <w:widowControl/>
              <w:wordWrap/>
              <w:overflowPunct/>
              <w:topLinePunct w:val="0"/>
              <w:bidi w:val="0"/>
              <w:spacing w:line="240" w:lineRule="auto"/>
              <w:textAlignment w:val="baseline"/>
              <w:rPr>
                <w:color w:val="auto"/>
                <w:highlight w:val="none"/>
              </w:rPr>
            </w:pPr>
            <w:r>
              <w:rPr>
                <w:rFonts w:hint="eastAsia" w:ascii="Times New Roman" w:hAnsi="Times New Roman" w:cs="Times New Roman"/>
                <w:color w:val="auto"/>
                <w:szCs w:val="21"/>
                <w:highlight w:val="none"/>
                <w:lang w:val="en-US" w:eastAsia="zh-CN"/>
              </w:rPr>
              <w:t>HJ 776-2015</w:t>
            </w:r>
          </w:p>
        </w:tc>
      </w:tr>
      <w:tr w14:paraId="2BB441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033BDC27">
            <w:pPr>
              <w:pStyle w:val="30"/>
              <w:rPr>
                <w:color w:val="auto"/>
                <w:highlight w:val="none"/>
              </w:rPr>
            </w:pPr>
          </w:p>
        </w:tc>
        <w:tc>
          <w:tcPr>
            <w:tcW w:w="980" w:type="pct"/>
            <w:vAlign w:val="center"/>
          </w:tcPr>
          <w:p w14:paraId="77D05653">
            <w:pPr>
              <w:pStyle w:val="30"/>
              <w:rPr>
                <w:color w:val="auto"/>
                <w:highlight w:val="none"/>
              </w:rPr>
            </w:pPr>
            <w:r>
              <w:rPr>
                <w:rFonts w:hint="eastAsia" w:ascii="Times New Roman" w:hAnsi="Times New Roman" w:eastAsia="宋体" w:cs="Times New Roman"/>
                <w:b w:val="0"/>
                <w:bCs/>
                <w:color w:val="auto"/>
                <w:sz w:val="21"/>
                <w:szCs w:val="21"/>
                <w:highlight w:val="none"/>
                <w:lang w:val="en-US" w:eastAsia="zh-CN"/>
              </w:rPr>
              <w:t>铅</w:t>
            </w:r>
          </w:p>
        </w:tc>
        <w:tc>
          <w:tcPr>
            <w:tcW w:w="3550" w:type="pct"/>
            <w:vAlign w:val="center"/>
          </w:tcPr>
          <w:p w14:paraId="5E2E0E07">
            <w:pPr>
              <w:pStyle w:val="30"/>
              <w:rPr>
                <w:color w:val="auto"/>
                <w:highlight w:val="none"/>
              </w:rPr>
            </w:pPr>
            <w:bookmarkStart w:id="1396" w:name="sys6435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396"/>
          </w:p>
        </w:tc>
      </w:tr>
      <w:tr w14:paraId="7F5207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5F3FC435">
            <w:pPr>
              <w:pStyle w:val="30"/>
              <w:rPr>
                <w:color w:val="auto"/>
                <w:highlight w:val="none"/>
              </w:rPr>
            </w:pPr>
          </w:p>
        </w:tc>
        <w:tc>
          <w:tcPr>
            <w:tcW w:w="980" w:type="pct"/>
            <w:vAlign w:val="center"/>
          </w:tcPr>
          <w:p w14:paraId="17FE5042">
            <w:pPr>
              <w:pStyle w:val="30"/>
              <w:rPr>
                <w:color w:val="auto"/>
                <w:highlight w:val="none"/>
              </w:rPr>
            </w:pPr>
            <w:r>
              <w:rPr>
                <w:color w:val="auto"/>
                <w:highlight w:val="none"/>
              </w:rPr>
              <w:t>镍</w:t>
            </w:r>
          </w:p>
        </w:tc>
        <w:tc>
          <w:tcPr>
            <w:tcW w:w="3550" w:type="pct"/>
            <w:vAlign w:val="center"/>
          </w:tcPr>
          <w:p w14:paraId="7036A090">
            <w:pPr>
              <w:pStyle w:val="30"/>
              <w:rPr>
                <w:color w:val="auto"/>
                <w:highlight w:val="none"/>
              </w:rPr>
            </w:pPr>
            <w:bookmarkStart w:id="1397" w:name="sys6438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397"/>
          </w:p>
        </w:tc>
      </w:tr>
      <w:tr w14:paraId="65166F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70FE37C3">
            <w:pPr>
              <w:pStyle w:val="30"/>
              <w:rPr>
                <w:color w:val="auto"/>
                <w:highlight w:val="none"/>
              </w:rPr>
            </w:pPr>
          </w:p>
        </w:tc>
        <w:tc>
          <w:tcPr>
            <w:tcW w:w="980" w:type="pct"/>
            <w:vAlign w:val="center"/>
          </w:tcPr>
          <w:p w14:paraId="232BC40D">
            <w:pPr>
              <w:pStyle w:val="30"/>
              <w:rPr>
                <w:color w:val="auto"/>
                <w:highlight w:val="none"/>
              </w:rPr>
            </w:pPr>
            <w:r>
              <w:rPr>
                <w:color w:val="auto"/>
                <w:highlight w:val="none"/>
              </w:rPr>
              <w:t>锌</w:t>
            </w:r>
          </w:p>
        </w:tc>
        <w:tc>
          <w:tcPr>
            <w:tcW w:w="3550" w:type="pct"/>
            <w:vAlign w:val="center"/>
          </w:tcPr>
          <w:p w14:paraId="67058AF2">
            <w:pPr>
              <w:pStyle w:val="30"/>
              <w:rPr>
                <w:color w:val="auto"/>
                <w:highlight w:val="none"/>
              </w:rPr>
            </w:pPr>
            <w:bookmarkStart w:id="1398" w:name="sys6441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398"/>
          </w:p>
        </w:tc>
      </w:tr>
      <w:tr w14:paraId="2CF699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524F7314">
            <w:pPr>
              <w:pStyle w:val="30"/>
              <w:rPr>
                <w:color w:val="auto"/>
                <w:highlight w:val="none"/>
              </w:rPr>
            </w:pPr>
          </w:p>
        </w:tc>
        <w:tc>
          <w:tcPr>
            <w:tcW w:w="980" w:type="pct"/>
            <w:vAlign w:val="center"/>
          </w:tcPr>
          <w:p w14:paraId="5C5C37E0">
            <w:pPr>
              <w:pStyle w:val="30"/>
              <w:rPr>
                <w:color w:val="auto"/>
                <w:highlight w:val="none"/>
              </w:rPr>
            </w:pPr>
            <w:r>
              <w:rPr>
                <w:color w:val="auto"/>
                <w:highlight w:val="none"/>
              </w:rPr>
              <w:t>总铬</w:t>
            </w:r>
          </w:p>
        </w:tc>
        <w:tc>
          <w:tcPr>
            <w:tcW w:w="3550" w:type="pct"/>
            <w:vAlign w:val="center"/>
          </w:tcPr>
          <w:p w14:paraId="42A91D3D">
            <w:pPr>
              <w:pStyle w:val="30"/>
              <w:rPr>
                <w:color w:val="auto"/>
                <w:highlight w:val="none"/>
              </w:rPr>
            </w:pPr>
            <w:bookmarkStart w:id="1399" w:name="sys6444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399"/>
          </w:p>
        </w:tc>
      </w:tr>
      <w:tr w14:paraId="175FA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3DFAEF53">
            <w:pPr>
              <w:pStyle w:val="30"/>
              <w:rPr>
                <w:color w:val="auto"/>
                <w:highlight w:val="none"/>
              </w:rPr>
            </w:pPr>
          </w:p>
        </w:tc>
        <w:tc>
          <w:tcPr>
            <w:tcW w:w="980" w:type="pct"/>
            <w:vAlign w:val="center"/>
          </w:tcPr>
          <w:p w14:paraId="549371A3">
            <w:pPr>
              <w:pStyle w:val="30"/>
              <w:rPr>
                <w:color w:val="auto"/>
                <w:highlight w:val="none"/>
              </w:rPr>
            </w:pPr>
            <w:r>
              <w:rPr>
                <w:color w:val="auto"/>
                <w:highlight w:val="none"/>
              </w:rPr>
              <w:t>溶解氧</w:t>
            </w:r>
          </w:p>
        </w:tc>
        <w:tc>
          <w:tcPr>
            <w:tcW w:w="3550" w:type="pct"/>
            <w:vAlign w:val="center"/>
          </w:tcPr>
          <w:p w14:paraId="2DE34375">
            <w:pPr>
              <w:pStyle w:val="30"/>
              <w:rPr>
                <w:color w:val="auto"/>
                <w:highlight w:val="none"/>
              </w:rPr>
            </w:pPr>
            <w:r>
              <w:rPr>
                <w:color w:val="auto"/>
                <w:highlight w:val="none"/>
              </w:rPr>
              <w:t>水质 溶解氧的测定 电化学探头法</w:t>
            </w:r>
            <w:r>
              <w:rPr>
                <w:rFonts w:hint="eastAsia"/>
                <w:color w:val="auto"/>
                <w:highlight w:val="none"/>
                <w:lang w:val="en-US" w:eastAsia="zh-CN"/>
              </w:rPr>
              <w:t xml:space="preserve"> </w:t>
            </w:r>
            <w:r>
              <w:rPr>
                <w:color w:val="auto"/>
                <w:highlight w:val="none"/>
              </w:rPr>
              <w:t>HJ 506-2009</w:t>
            </w:r>
          </w:p>
        </w:tc>
      </w:tr>
      <w:tr w14:paraId="0AE33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6976508C">
            <w:pPr>
              <w:pStyle w:val="30"/>
              <w:rPr>
                <w:color w:val="auto"/>
                <w:highlight w:val="none"/>
              </w:rPr>
            </w:pPr>
          </w:p>
        </w:tc>
        <w:tc>
          <w:tcPr>
            <w:tcW w:w="980" w:type="pct"/>
            <w:vAlign w:val="center"/>
          </w:tcPr>
          <w:p w14:paraId="5FC7A382">
            <w:pPr>
              <w:pStyle w:val="30"/>
              <w:rPr>
                <w:color w:val="auto"/>
                <w:highlight w:val="none"/>
              </w:rPr>
            </w:pPr>
            <w:r>
              <w:rPr>
                <w:color w:val="auto"/>
                <w:highlight w:val="none"/>
              </w:rPr>
              <w:t>六价铬</w:t>
            </w:r>
          </w:p>
        </w:tc>
        <w:tc>
          <w:tcPr>
            <w:tcW w:w="3550" w:type="pct"/>
            <w:vAlign w:val="center"/>
          </w:tcPr>
          <w:p w14:paraId="6228D863">
            <w:pPr>
              <w:pStyle w:val="30"/>
              <w:rPr>
                <w:rFonts w:hint="default"/>
                <w:color w:val="auto"/>
                <w:highlight w:val="none"/>
                <w:lang w:val="en-US"/>
              </w:rPr>
            </w:pPr>
            <w:bookmarkStart w:id="1400" w:name="sys6450035"/>
            <w:r>
              <w:rPr>
                <w:rFonts w:hint="eastAsia" w:ascii="Times New Roman" w:hAnsi="Times New Roman" w:cs="Times New Roman"/>
                <w:color w:val="auto"/>
                <w:szCs w:val="21"/>
                <w:highlight w:val="none"/>
                <w:lang w:val="en-US" w:eastAsia="zh-CN"/>
              </w:rPr>
              <w:t>水质 六价铬的测定 二苯碳酰二肼分光光度法GB/T 7467-1987</w:t>
            </w:r>
            <w:bookmarkEnd w:id="1400"/>
          </w:p>
        </w:tc>
      </w:tr>
      <w:tr w14:paraId="7AD57B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9" w:type="pct"/>
            <w:vMerge w:val="continue"/>
            <w:vAlign w:val="center"/>
          </w:tcPr>
          <w:p w14:paraId="1022C184">
            <w:pPr>
              <w:pStyle w:val="30"/>
              <w:rPr>
                <w:color w:val="auto"/>
                <w:highlight w:val="none"/>
              </w:rPr>
            </w:pPr>
          </w:p>
        </w:tc>
        <w:tc>
          <w:tcPr>
            <w:tcW w:w="980" w:type="pct"/>
            <w:shd w:val="clear" w:color="auto" w:fill="auto"/>
            <w:vAlign w:val="center"/>
          </w:tcPr>
          <w:p w14:paraId="6D311A39">
            <w:pPr>
              <w:pStyle w:val="30"/>
              <w:rPr>
                <w:rFonts w:ascii="Times New Roman" w:hAnsi="Times New Roman" w:eastAsia="宋体" w:cs="Times New Roman"/>
                <w:snapToGrid w:val="0"/>
                <w:color w:val="auto"/>
                <w:kern w:val="0"/>
                <w:sz w:val="21"/>
                <w:szCs w:val="21"/>
                <w:highlight w:val="none"/>
                <w:lang w:val="en-US" w:eastAsia="en-US" w:bidi="ar-SA"/>
              </w:rPr>
            </w:pPr>
            <w:r>
              <w:rPr>
                <w:color w:val="auto"/>
                <w:highlight w:val="none"/>
              </w:rPr>
              <w:t>石油类</w:t>
            </w:r>
          </w:p>
        </w:tc>
        <w:tc>
          <w:tcPr>
            <w:tcW w:w="3550" w:type="pct"/>
            <w:shd w:val="clear" w:color="auto" w:fill="auto"/>
            <w:vAlign w:val="center"/>
          </w:tcPr>
          <w:p w14:paraId="5138F756">
            <w:pPr>
              <w:pStyle w:val="30"/>
              <w:rPr>
                <w:rFonts w:ascii="Times New Roman" w:hAnsi="Times New Roman" w:eastAsia="宋体" w:cs="Times New Roman"/>
                <w:snapToGrid w:val="0"/>
                <w:color w:val="auto"/>
                <w:kern w:val="0"/>
                <w:sz w:val="21"/>
                <w:szCs w:val="21"/>
                <w:highlight w:val="none"/>
                <w:lang w:val="en-US" w:eastAsia="en-US" w:bidi="ar-SA"/>
              </w:rPr>
            </w:pPr>
            <w:r>
              <w:rPr>
                <w:color w:val="auto"/>
                <w:highlight w:val="none"/>
              </w:rPr>
              <w:t>水质 石油类的测定 紫外分光光度法（试行） HJ 970-2018</w:t>
            </w:r>
          </w:p>
        </w:tc>
      </w:tr>
    </w:tbl>
    <w:p w14:paraId="33E74C7E">
      <w:pPr>
        <w:pStyle w:val="8"/>
        <w:rPr>
          <w:rFonts w:hint="eastAsia" w:ascii="宋体" w:hAnsi="宋体" w:eastAsia="宋体" w:cs="宋体"/>
          <w:b/>
          <w:bCs/>
          <w:color w:val="auto"/>
          <w:spacing w:val="-3"/>
          <w:sz w:val="24"/>
          <w:szCs w:val="24"/>
          <w:highlight w:val="none"/>
          <w:lang w:val="en-US" w:eastAsia="zh-CN"/>
        </w:rPr>
      </w:pPr>
      <w:r>
        <w:rPr>
          <w:color w:val="auto"/>
          <w:highlight w:val="none"/>
        </w:rPr>
        <w:fldChar w:fldCharType="begin"/>
      </w:r>
      <w:r>
        <w:rPr>
          <w:color w:val="auto"/>
          <w:highlight w:val="none"/>
        </w:rPr>
        <w:instrText xml:space="preserve"> HYPERLINK "6.3.2.1" </w:instrText>
      </w:r>
      <w:r>
        <w:rPr>
          <w:color w:val="auto"/>
          <w:highlight w:val="none"/>
        </w:rPr>
        <w:fldChar w:fldCharType="separate"/>
      </w:r>
      <w:r>
        <w:rPr>
          <w:rFonts w:ascii="Times New Roman" w:hAnsi="Times New Roman" w:eastAsia="Times New Roman" w:cs="Times New Roman"/>
          <w:b/>
          <w:bCs/>
          <w:color w:val="auto"/>
          <w:spacing w:val="-3"/>
          <w:sz w:val="24"/>
          <w:szCs w:val="24"/>
          <w:highlight w:val="none"/>
        </w:rPr>
        <w:t>6.3.2.</w:t>
      </w:r>
      <w:r>
        <w:rPr>
          <w:rFonts w:hint="eastAsia" w:ascii="Times New Roman" w:hAnsi="Times New Roman" w:eastAsia="宋体" w:cs="Times New Roman"/>
          <w:b/>
          <w:bCs/>
          <w:color w:val="auto"/>
          <w:spacing w:val="-3"/>
          <w:sz w:val="24"/>
          <w:szCs w:val="24"/>
          <w:highlight w:val="none"/>
          <w:lang w:val="en-US" w:eastAsia="zh-CN"/>
        </w:rPr>
        <w:t>4</w:t>
      </w:r>
      <w:r>
        <w:rPr>
          <w:rFonts w:ascii="Times New Roman" w:hAnsi="Times New Roman" w:eastAsia="Times New Roman" w:cs="Times New Roman"/>
          <w:b/>
          <w:bCs/>
          <w:color w:val="auto"/>
          <w:spacing w:val="-3"/>
          <w:sz w:val="24"/>
          <w:szCs w:val="24"/>
          <w:highlight w:val="none"/>
        </w:rPr>
        <w:fldChar w:fldCharType="end"/>
      </w:r>
      <w:r>
        <w:rPr>
          <w:rFonts w:ascii="宋体" w:hAnsi="宋体" w:eastAsia="宋体" w:cs="宋体"/>
          <w:b/>
          <w:bCs/>
          <w:color w:val="auto"/>
          <w:spacing w:val="-3"/>
          <w:sz w:val="24"/>
          <w:szCs w:val="24"/>
          <w:highlight w:val="none"/>
        </w:rPr>
        <w:t>区域</w:t>
      </w:r>
      <w:r>
        <w:rPr>
          <w:rFonts w:hint="eastAsia" w:ascii="宋体" w:hAnsi="宋体" w:eastAsia="宋体" w:cs="宋体"/>
          <w:b/>
          <w:bCs/>
          <w:color w:val="auto"/>
          <w:spacing w:val="-3"/>
          <w:sz w:val="24"/>
          <w:szCs w:val="24"/>
          <w:highlight w:val="none"/>
          <w:lang w:val="en-US" w:eastAsia="zh-CN"/>
        </w:rPr>
        <w:t>地表</w:t>
      </w:r>
      <w:r>
        <w:rPr>
          <w:rFonts w:ascii="宋体" w:hAnsi="宋体" w:eastAsia="宋体" w:cs="宋体"/>
          <w:b/>
          <w:bCs/>
          <w:color w:val="auto"/>
          <w:spacing w:val="-3"/>
          <w:sz w:val="24"/>
          <w:szCs w:val="24"/>
          <w:highlight w:val="none"/>
        </w:rPr>
        <w:t>水环境质量现状</w:t>
      </w:r>
      <w:r>
        <w:rPr>
          <w:rFonts w:hint="eastAsia" w:ascii="宋体" w:hAnsi="宋体" w:eastAsia="宋体" w:cs="宋体"/>
          <w:b/>
          <w:bCs/>
          <w:color w:val="auto"/>
          <w:spacing w:val="-3"/>
          <w:sz w:val="24"/>
          <w:szCs w:val="24"/>
          <w:highlight w:val="none"/>
          <w:lang w:val="en-US" w:eastAsia="zh-CN"/>
        </w:rPr>
        <w:t>评价</w:t>
      </w:r>
      <w:bookmarkStart w:id="1401" w:name="pindex6454"/>
      <w:bookmarkEnd w:id="1401"/>
    </w:p>
    <w:p w14:paraId="16662CA4">
      <w:pPr>
        <w:spacing w:line="500" w:lineRule="exact"/>
        <w:ind w:firstLine="480" w:firstLineChars="200"/>
        <w:rPr>
          <w:rFonts w:ascii="Times New Roman" w:hAnsi="Times New Roman" w:eastAsia="宋体" w:cs="Times New Roman"/>
          <w:color w:val="auto"/>
          <w:kern w:val="0"/>
          <w:sz w:val="24"/>
          <w:szCs w:val="20"/>
          <w:highlight w:val="none"/>
        </w:rPr>
      </w:pPr>
      <w:r>
        <w:rPr>
          <w:rFonts w:ascii="Times New Roman" w:hAnsi="Times New Roman" w:eastAsia="宋体" w:cs="Times New Roman"/>
          <w:color w:val="auto"/>
          <w:kern w:val="0"/>
          <w:sz w:val="24"/>
          <w:szCs w:val="20"/>
          <w:highlight w:val="none"/>
        </w:rPr>
        <w:t>（1）评价因子</w:t>
      </w:r>
      <w:bookmarkStart w:id="1402" w:name="pindex6455"/>
      <w:bookmarkEnd w:id="1402"/>
    </w:p>
    <w:p w14:paraId="62DD44E8">
      <w:pPr>
        <w:spacing w:line="500" w:lineRule="exact"/>
        <w:ind w:firstLine="480" w:firstLineChars="200"/>
        <w:rPr>
          <w:rFonts w:ascii="Times New Roman" w:hAnsi="Times New Roman" w:eastAsia="宋体" w:cs="Times New Roman"/>
          <w:color w:val="auto"/>
          <w:kern w:val="0"/>
          <w:sz w:val="24"/>
          <w:szCs w:val="20"/>
          <w:highlight w:val="none"/>
        </w:rPr>
      </w:pPr>
      <w:bookmarkStart w:id="1403" w:name="sys6456085"/>
      <w:r>
        <w:rPr>
          <w:rFonts w:hint="default" w:ascii="Times New Roman" w:hAnsi="Times New Roman" w:eastAsia="宋体" w:cs="Times New Roman"/>
          <w:color w:val="auto"/>
          <w:sz w:val="24"/>
          <w:szCs w:val="24"/>
          <w:highlight w:val="none"/>
        </w:rPr>
        <w:t>水温、pH、DO、氨氮、总磷、SS、COD、COD</w:t>
      </w:r>
      <w:r>
        <w:rPr>
          <w:rFonts w:hint="default" w:ascii="Times New Roman" w:hAnsi="Times New Roman" w:eastAsia="宋体" w:cs="Times New Roman"/>
          <w:color w:val="auto"/>
          <w:sz w:val="24"/>
          <w:szCs w:val="24"/>
          <w:highlight w:val="none"/>
          <w:vertAlign w:val="subscript"/>
        </w:rPr>
        <w:t>Mn</w:t>
      </w:r>
      <w:r>
        <w:rPr>
          <w:rFonts w:hint="default" w:ascii="Times New Roman" w:hAnsi="Times New Roman" w:eastAsia="宋体" w:cs="Times New Roman"/>
          <w:color w:val="auto"/>
          <w:sz w:val="24"/>
          <w:szCs w:val="24"/>
          <w:highlight w:val="none"/>
        </w:rPr>
        <w:t>、BOD</w:t>
      </w:r>
      <w:r>
        <w:rPr>
          <w:rFonts w:hint="default" w:ascii="Times New Roman" w:hAnsi="Times New Roman" w:eastAsia="宋体" w:cs="Times New Roman"/>
          <w:color w:val="auto"/>
          <w:sz w:val="24"/>
          <w:szCs w:val="24"/>
          <w:highlight w:val="none"/>
          <w:vertAlign w:val="subscript"/>
          <w:lang w:val="en-US" w:eastAsia="zh-CN"/>
        </w:rPr>
        <w:t>5</w:t>
      </w:r>
      <w:r>
        <w:rPr>
          <w:rFonts w:hint="default" w:ascii="Times New Roman" w:hAnsi="Times New Roman" w:eastAsia="宋体" w:cs="Times New Roman"/>
          <w:color w:val="auto"/>
          <w:sz w:val="24"/>
          <w:szCs w:val="24"/>
          <w:highlight w:val="none"/>
        </w:rPr>
        <w:t>、TN、石油类、硫化物、氰化物、挥发酚、镉、六价铬、铬、锌、锰、LAS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总铜、氟化物、铅、汞、硒</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砷</w:t>
      </w:r>
      <w:r>
        <w:rPr>
          <w:rFonts w:hint="eastAsia" w:ascii="Times New Roman" w:hAnsi="Times New Roman" w:eastAsia="宋体" w:cs="Times New Roman"/>
          <w:color w:val="auto"/>
          <w:sz w:val="24"/>
          <w:szCs w:val="24"/>
          <w:highlight w:val="none"/>
          <w:lang w:val="en-US" w:eastAsia="zh-CN"/>
        </w:rPr>
        <w:t>、镍</w:t>
      </w:r>
      <w:r>
        <w:rPr>
          <w:rFonts w:ascii="Times New Roman" w:hAnsi="Times New Roman" w:eastAsia="宋体" w:cs="Times New Roman"/>
          <w:color w:val="auto"/>
          <w:kern w:val="0"/>
          <w:sz w:val="24"/>
          <w:szCs w:val="20"/>
          <w:highlight w:val="none"/>
        </w:rPr>
        <w:t>。</w:t>
      </w:r>
      <w:bookmarkEnd w:id="1403"/>
    </w:p>
    <w:p w14:paraId="100970A3">
      <w:pPr>
        <w:spacing w:line="500" w:lineRule="exact"/>
        <w:ind w:firstLine="480" w:firstLineChars="200"/>
        <w:rPr>
          <w:rFonts w:ascii="Times New Roman" w:hAnsi="Times New Roman" w:eastAsia="宋体" w:cs="Times New Roman"/>
          <w:color w:val="auto"/>
          <w:kern w:val="0"/>
          <w:sz w:val="24"/>
          <w:szCs w:val="20"/>
          <w:highlight w:val="none"/>
        </w:rPr>
      </w:pPr>
      <w:r>
        <w:rPr>
          <w:rFonts w:ascii="Times New Roman" w:hAnsi="Times New Roman" w:eastAsia="宋体" w:cs="Times New Roman"/>
          <w:color w:val="auto"/>
          <w:kern w:val="0"/>
          <w:sz w:val="24"/>
          <w:szCs w:val="20"/>
          <w:highlight w:val="none"/>
        </w:rPr>
        <w:t>（2）评价标准</w:t>
      </w:r>
      <w:bookmarkStart w:id="1404" w:name="pindex6457"/>
      <w:bookmarkEnd w:id="1404"/>
    </w:p>
    <w:p w14:paraId="7F2D4AB4">
      <w:pPr>
        <w:spacing w:line="500" w:lineRule="exact"/>
        <w:ind w:firstLine="480" w:firstLineChars="200"/>
        <w:rPr>
          <w:rFonts w:ascii="Times New Roman" w:hAnsi="Times New Roman" w:eastAsia="宋体" w:cs="Times New Roman"/>
          <w:color w:val="auto"/>
          <w:kern w:val="0"/>
          <w:sz w:val="24"/>
          <w:szCs w:val="20"/>
          <w:highlight w:val="none"/>
        </w:rPr>
      </w:pPr>
      <w:bookmarkStart w:id="1405" w:name="sys64580111"/>
      <w:r>
        <w:rPr>
          <w:rFonts w:hint="default" w:ascii="Times New Roman" w:hAnsi="Times New Roman" w:eastAsia="宋体" w:cs="Times New Roman"/>
          <w:color w:val="auto"/>
          <w:kern w:val="0"/>
          <w:sz w:val="24"/>
          <w:szCs w:val="20"/>
          <w:highlight w:val="none"/>
        </w:rPr>
        <w:t>据江苏省人民政府批复的《江苏省地表水（环境）功能区划》</w:t>
      </w:r>
      <w:r>
        <w:rPr>
          <w:rFonts w:hint="eastAsia" w:ascii="Times New Roman" w:hAnsi="Times New Roman" w:eastAsia="宋体" w:cs="Times New Roman"/>
          <w:color w:val="auto"/>
          <w:kern w:val="0"/>
          <w:sz w:val="24"/>
          <w:szCs w:val="20"/>
          <w:highlight w:val="none"/>
          <w:lang w:val="en-US" w:eastAsia="zh-CN"/>
        </w:rPr>
        <w:t>及江宁区相关要求，秦淮河（云台山河河口-牛首山河口）、牛首山河、秦淮新河、云台山河、</w:t>
      </w:r>
      <w:bookmarkStart w:id="1406" w:name="OLE_LINK471"/>
      <w:r>
        <w:rPr>
          <w:rFonts w:hint="eastAsia" w:ascii="Times New Roman" w:hAnsi="Times New Roman" w:eastAsia="宋体" w:cs="Times New Roman"/>
          <w:color w:val="auto"/>
          <w:kern w:val="0"/>
          <w:sz w:val="24"/>
          <w:szCs w:val="20"/>
          <w:highlight w:val="none"/>
          <w:lang w:val="en-US" w:eastAsia="zh-CN"/>
        </w:rPr>
        <w:t>风波坟水库、谷里水库</w:t>
      </w:r>
      <w:bookmarkEnd w:id="1406"/>
      <w:r>
        <w:rPr>
          <w:rFonts w:hint="eastAsia" w:ascii="Times New Roman" w:hAnsi="Times New Roman" w:eastAsia="宋体" w:cs="Times New Roman"/>
          <w:color w:val="auto"/>
          <w:kern w:val="0"/>
          <w:sz w:val="24"/>
          <w:szCs w:val="20"/>
          <w:highlight w:val="none"/>
          <w:lang w:val="en-US" w:eastAsia="zh-CN"/>
        </w:rPr>
        <w:t>执行</w:t>
      </w:r>
      <w:r>
        <w:rPr>
          <w:rFonts w:hint="default" w:ascii="Times New Roman" w:hAnsi="Times New Roman" w:eastAsia="宋体" w:cs="Times New Roman"/>
          <w:color w:val="auto"/>
          <w:kern w:val="0"/>
          <w:sz w:val="24"/>
          <w:szCs w:val="20"/>
          <w:highlight w:val="none"/>
        </w:rPr>
        <w:t>《地表水环境质量标准》（GB3838-2002）中Ⅲ类标准</w:t>
      </w:r>
      <w:r>
        <w:rPr>
          <w:rFonts w:hint="eastAsia" w:ascii="Times New Roman" w:hAnsi="Times New Roman" w:eastAsia="宋体" w:cs="Times New Roman"/>
          <w:color w:val="auto"/>
          <w:kern w:val="0"/>
          <w:sz w:val="24"/>
          <w:szCs w:val="20"/>
          <w:highlight w:val="none"/>
          <w:lang w:eastAsia="zh-CN"/>
        </w:rPr>
        <w:t>；</w:t>
      </w:r>
      <w:bookmarkEnd w:id="1405"/>
      <w:bookmarkStart w:id="1407" w:name="sys645811163"/>
      <w:r>
        <w:rPr>
          <w:rFonts w:hint="eastAsia" w:ascii="Times New Roman" w:hAnsi="Times New Roman" w:eastAsia="宋体" w:cs="Times New Roman"/>
          <w:color w:val="auto"/>
          <w:kern w:val="0"/>
          <w:sz w:val="24"/>
          <w:szCs w:val="20"/>
          <w:highlight w:val="none"/>
          <w:lang w:val="en-US" w:eastAsia="zh-CN"/>
        </w:rPr>
        <w:t>秦淮河（牛首山河河口-江宁上坊门桥段）、胜利河、百家湖、九龙湖执行</w:t>
      </w:r>
      <w:r>
        <w:rPr>
          <w:rFonts w:hint="default" w:ascii="Times New Roman" w:hAnsi="Times New Roman" w:eastAsia="宋体" w:cs="Times New Roman"/>
          <w:color w:val="auto"/>
          <w:kern w:val="0"/>
          <w:sz w:val="24"/>
          <w:szCs w:val="20"/>
          <w:highlight w:val="none"/>
        </w:rPr>
        <w:t>《地表水环境质量标准》（GB3838-2002）中Ⅳ类标准</w:t>
      </w:r>
      <w:r>
        <w:rPr>
          <w:rFonts w:ascii="Times New Roman" w:hAnsi="Times New Roman" w:eastAsia="宋体" w:cs="Times New Roman"/>
          <w:color w:val="auto"/>
          <w:kern w:val="0"/>
          <w:sz w:val="24"/>
          <w:szCs w:val="20"/>
          <w:highlight w:val="none"/>
        </w:rPr>
        <w:t>。</w:t>
      </w:r>
      <w:bookmarkEnd w:id="1407"/>
    </w:p>
    <w:p w14:paraId="3EE02D3B">
      <w:pPr>
        <w:spacing w:line="500" w:lineRule="exact"/>
        <w:ind w:firstLine="480" w:firstLineChars="200"/>
        <w:rPr>
          <w:rFonts w:ascii="Times New Roman" w:hAnsi="Times New Roman" w:eastAsia="宋体" w:cs="Times New Roman"/>
          <w:color w:val="auto"/>
          <w:kern w:val="0"/>
          <w:sz w:val="24"/>
          <w:szCs w:val="20"/>
          <w:highlight w:val="none"/>
        </w:rPr>
      </w:pPr>
      <w:r>
        <w:rPr>
          <w:rFonts w:ascii="Times New Roman" w:hAnsi="Times New Roman" w:eastAsia="宋体" w:cs="Times New Roman"/>
          <w:color w:val="auto"/>
          <w:kern w:val="0"/>
          <w:sz w:val="24"/>
          <w:szCs w:val="20"/>
          <w:highlight w:val="none"/>
        </w:rPr>
        <w:t>（3）评价方法</w:t>
      </w:r>
      <w:bookmarkStart w:id="1408" w:name="pindex6459"/>
      <w:bookmarkEnd w:id="1408"/>
    </w:p>
    <w:p w14:paraId="5F445CC8">
      <w:pPr>
        <w:spacing w:line="500" w:lineRule="exact"/>
        <w:ind w:firstLine="480" w:firstLineChars="200"/>
        <w:rPr>
          <w:rFonts w:ascii="Times New Roman" w:hAnsi="Times New Roman" w:eastAsia="宋体" w:cs="Times New Roman"/>
          <w:color w:val="auto"/>
          <w:kern w:val="0"/>
          <w:sz w:val="24"/>
          <w:szCs w:val="20"/>
          <w:highlight w:val="none"/>
        </w:rPr>
      </w:pPr>
      <w:r>
        <w:rPr>
          <w:rFonts w:ascii="Times New Roman" w:hAnsi="Times New Roman" w:eastAsia="宋体" w:cs="Times New Roman"/>
          <w:color w:val="auto"/>
          <w:kern w:val="0"/>
          <w:sz w:val="24"/>
          <w:szCs w:val="20"/>
          <w:highlight w:val="none"/>
        </w:rPr>
        <w:t>采用单项水质参数评价模式，在各项水质参数评价中，对某一水质参数的现状浓度采用多次监测的平均浓度值。单因子污染指数计算公式为：</w:t>
      </w:r>
    </w:p>
    <w:p w14:paraId="2A9D5D4A">
      <w:pPr>
        <w:spacing w:line="500" w:lineRule="exact"/>
        <w:ind w:left="47"/>
        <w:jc w:val="center"/>
        <w:rPr>
          <w:rFonts w:ascii="Times New Roman" w:hAnsi="Times New Roman" w:eastAsia="宋体" w:cs="Times New Roman"/>
          <w:color w:val="auto"/>
          <w:sz w:val="24"/>
          <w:szCs w:val="24"/>
          <w:highlight w:val="none"/>
          <w:vertAlign w:val="subscript"/>
        </w:rPr>
      </w:pPr>
      <w:r>
        <w:rPr>
          <w:rFonts w:ascii="Times New Roman" w:hAnsi="Times New Roman" w:eastAsia="宋体" w:cs="Times New Roman"/>
          <w:color w:val="auto"/>
          <w:sz w:val="24"/>
          <w:szCs w:val="24"/>
          <w:highlight w:val="none"/>
        </w:rPr>
        <w:t>S</w:t>
      </w:r>
      <w:r>
        <w:rPr>
          <w:rFonts w:ascii="Times New Roman" w:hAnsi="Times New Roman" w:eastAsia="宋体" w:cs="Times New Roman"/>
          <w:color w:val="auto"/>
          <w:sz w:val="24"/>
          <w:szCs w:val="24"/>
          <w:highlight w:val="none"/>
          <w:vertAlign w:val="subscript"/>
        </w:rPr>
        <w:t>ij</w:t>
      </w:r>
      <w:r>
        <w:rPr>
          <w:rFonts w:ascii="Times New Roman" w:hAnsi="Times New Roman" w:eastAsia="宋体" w:cs="Times New Roman"/>
          <w:color w:val="auto"/>
          <w:sz w:val="24"/>
          <w:szCs w:val="24"/>
          <w:highlight w:val="none"/>
        </w:rPr>
        <w:t>=C</w:t>
      </w:r>
      <w:r>
        <w:rPr>
          <w:rFonts w:ascii="Times New Roman" w:hAnsi="Times New Roman" w:eastAsia="宋体" w:cs="Times New Roman"/>
          <w:color w:val="auto"/>
          <w:sz w:val="24"/>
          <w:szCs w:val="24"/>
          <w:highlight w:val="none"/>
          <w:vertAlign w:val="subscript"/>
        </w:rPr>
        <w:t>ij</w:t>
      </w:r>
      <w:r>
        <w:rPr>
          <w:rFonts w:ascii="Times New Roman" w:hAnsi="Times New Roman" w:eastAsia="宋体" w:cs="Times New Roman"/>
          <w:color w:val="auto"/>
          <w:sz w:val="24"/>
          <w:szCs w:val="24"/>
          <w:highlight w:val="none"/>
        </w:rPr>
        <w:t>/C</w:t>
      </w:r>
      <w:r>
        <w:rPr>
          <w:rFonts w:ascii="Times New Roman" w:hAnsi="Times New Roman" w:eastAsia="宋体" w:cs="Times New Roman"/>
          <w:color w:val="auto"/>
          <w:sz w:val="24"/>
          <w:szCs w:val="24"/>
          <w:highlight w:val="none"/>
          <w:vertAlign w:val="subscript"/>
        </w:rPr>
        <w:t>sj</w:t>
      </w:r>
    </w:p>
    <w:p w14:paraId="353D9D2F">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式中：S</w:t>
      </w:r>
      <w:r>
        <w:rPr>
          <w:rFonts w:ascii="Times New Roman" w:hAnsi="Times New Roman" w:eastAsia="宋体" w:cs="Times New Roman"/>
          <w:color w:val="auto"/>
          <w:sz w:val="24"/>
          <w:szCs w:val="24"/>
          <w:highlight w:val="none"/>
          <w:vertAlign w:val="subscript"/>
        </w:rPr>
        <w:t>ij</w:t>
      </w:r>
      <w:r>
        <w:rPr>
          <w:rFonts w:ascii="Times New Roman" w:hAnsi="Times New Roman" w:eastAsia="宋体" w:cs="Times New Roman"/>
          <w:color w:val="auto"/>
          <w:sz w:val="24"/>
          <w:szCs w:val="24"/>
          <w:highlight w:val="none"/>
        </w:rPr>
        <w:t>：第i种污染物在第j点的标准指数；</w:t>
      </w:r>
    </w:p>
    <w:p w14:paraId="2CC79146">
      <w:pPr>
        <w:spacing w:line="500" w:lineRule="exact"/>
        <w:ind w:firstLine="1200" w:firstLineChars="5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C</w:t>
      </w:r>
      <w:r>
        <w:rPr>
          <w:rFonts w:ascii="Times New Roman" w:hAnsi="Times New Roman" w:eastAsia="宋体" w:cs="Times New Roman"/>
          <w:color w:val="auto"/>
          <w:sz w:val="24"/>
          <w:szCs w:val="24"/>
          <w:highlight w:val="none"/>
          <w:vertAlign w:val="subscript"/>
        </w:rPr>
        <w:t>ij</w:t>
      </w:r>
      <w:r>
        <w:rPr>
          <w:rFonts w:ascii="Times New Roman" w:hAnsi="Times New Roman" w:eastAsia="宋体" w:cs="Times New Roman"/>
          <w:color w:val="auto"/>
          <w:sz w:val="24"/>
          <w:szCs w:val="24"/>
          <w:highlight w:val="none"/>
        </w:rPr>
        <w:t>：第i种污染物在第j点的监测平均浓度值，mg/L；</w:t>
      </w:r>
    </w:p>
    <w:p w14:paraId="5B2E0741">
      <w:pPr>
        <w:spacing w:line="500" w:lineRule="exact"/>
        <w:ind w:firstLine="1200" w:firstLineChars="5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C</w:t>
      </w:r>
      <w:r>
        <w:rPr>
          <w:rFonts w:ascii="Times New Roman" w:hAnsi="Times New Roman" w:eastAsia="宋体" w:cs="Times New Roman"/>
          <w:color w:val="auto"/>
          <w:sz w:val="24"/>
          <w:szCs w:val="24"/>
          <w:highlight w:val="none"/>
          <w:vertAlign w:val="subscript"/>
        </w:rPr>
        <w:t>Sj</w:t>
      </w:r>
      <w:r>
        <w:rPr>
          <w:rFonts w:ascii="Times New Roman" w:hAnsi="Times New Roman" w:eastAsia="宋体" w:cs="Times New Roman"/>
          <w:color w:val="auto"/>
          <w:sz w:val="24"/>
          <w:szCs w:val="24"/>
          <w:highlight w:val="none"/>
        </w:rPr>
        <w:t>：第i种污染物的地表水水质标准值，mg/L；</w:t>
      </w:r>
    </w:p>
    <w:p w14:paraId="2ACFD021">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其中溶解氧为：</w:t>
      </w:r>
    </w:p>
    <w:p w14:paraId="7E2EDE5C">
      <w:pPr>
        <w:jc w:val="center"/>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drawing>
          <wp:inline distT="0" distB="0" distL="0" distR="0">
            <wp:extent cx="1343660" cy="508635"/>
            <wp:effectExtent l="0" t="0" r="8890" b="5080"/>
            <wp:docPr id="392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0" name="图片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343660" cy="508635"/>
                    </a:xfrm>
                    <a:prstGeom prst="rect">
                      <a:avLst/>
                    </a:prstGeom>
                    <a:noFill/>
                    <a:ln>
                      <a:noFill/>
                    </a:ln>
                  </pic:spPr>
                </pic:pic>
              </a:graphicData>
            </a:graphic>
          </wp:inline>
        </w:drawing>
      </w:r>
      <w:r>
        <w:rPr>
          <w:rFonts w:ascii="Times New Roman" w:hAnsi="Times New Roman" w:eastAsia="宋体" w:cs="Times New Roman"/>
          <w:color w:val="auto"/>
          <w:sz w:val="20"/>
          <w:szCs w:val="24"/>
          <w:highlight w:val="none"/>
        </w:rPr>
        <w:t xml:space="preserve">        </w:t>
      </w:r>
      <w:r>
        <w:rPr>
          <w:rFonts w:ascii="Times New Roman" w:hAnsi="Times New Roman" w:eastAsia="宋体" w:cs="Times New Roman"/>
          <w:color w:val="auto"/>
          <w:sz w:val="24"/>
          <w:szCs w:val="24"/>
          <w:highlight w:val="none"/>
        </w:rPr>
        <w:t>DOj≥DOs</w:t>
      </w:r>
    </w:p>
    <w:p w14:paraId="7A0ECEC6">
      <w:pPr>
        <w:jc w:val="center"/>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drawing>
          <wp:inline distT="0" distB="0" distL="0" distR="0">
            <wp:extent cx="1216660" cy="461010"/>
            <wp:effectExtent l="0" t="0" r="0" b="15875"/>
            <wp:docPr id="392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1" name="图片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1216660" cy="461010"/>
                    </a:xfrm>
                    <a:prstGeom prst="rect">
                      <a:avLst/>
                    </a:prstGeom>
                    <a:noFill/>
                    <a:ln>
                      <a:noFill/>
                    </a:ln>
                  </pic:spPr>
                </pic:pic>
              </a:graphicData>
            </a:graphic>
          </wp:inline>
        </w:drawing>
      </w:r>
      <w:r>
        <w:rPr>
          <w:rFonts w:ascii="Times New Roman" w:hAnsi="Times New Roman" w:eastAsia="宋体" w:cs="Times New Roman"/>
          <w:color w:val="auto"/>
          <w:sz w:val="24"/>
          <w:szCs w:val="24"/>
          <w:highlight w:val="none"/>
        </w:rPr>
        <w:t xml:space="preserve">          DO</w:t>
      </w:r>
      <w:r>
        <w:rPr>
          <w:rFonts w:ascii="Times New Roman" w:hAnsi="Times New Roman" w:eastAsia="宋体" w:cs="Times New Roman"/>
          <w:color w:val="auto"/>
          <w:sz w:val="24"/>
          <w:szCs w:val="24"/>
          <w:highlight w:val="none"/>
          <w:vertAlign w:val="subscript"/>
        </w:rPr>
        <w:t>j</w:t>
      </w:r>
      <w:r>
        <w:rPr>
          <w:rFonts w:ascii="Times New Roman" w:hAnsi="Times New Roman" w:eastAsia="宋体" w:cs="Times New Roman"/>
          <w:color w:val="auto"/>
          <w:sz w:val="24"/>
          <w:szCs w:val="24"/>
          <w:highlight w:val="none"/>
        </w:rPr>
        <w:t>&lt;DO</w:t>
      </w:r>
      <w:r>
        <w:rPr>
          <w:rFonts w:ascii="Times New Roman" w:hAnsi="Times New Roman" w:eastAsia="宋体" w:cs="Times New Roman"/>
          <w:color w:val="auto"/>
          <w:sz w:val="24"/>
          <w:szCs w:val="24"/>
          <w:highlight w:val="none"/>
          <w:vertAlign w:val="subscript"/>
        </w:rPr>
        <w:t>s</w:t>
      </w:r>
    </w:p>
    <w:p w14:paraId="45CD453C">
      <w:pPr>
        <w:spacing w:before="120" w:after="120" w:line="500" w:lineRule="exact"/>
        <w:jc w:val="center"/>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0"/>
          <w:szCs w:val="24"/>
          <w:highlight w:val="none"/>
        </w:rPr>
        <w:drawing>
          <wp:anchor distT="0" distB="0" distL="114300" distR="114300" simplePos="0" relativeHeight="251668480" behindDoc="0" locked="0" layoutInCell="1" allowOverlap="1">
            <wp:simplePos x="0" y="0"/>
            <wp:positionH relativeFrom="column">
              <wp:posOffset>1828800</wp:posOffset>
            </wp:positionH>
            <wp:positionV relativeFrom="paragraph">
              <wp:posOffset>180340</wp:posOffset>
            </wp:positionV>
            <wp:extent cx="1038225" cy="390525"/>
            <wp:effectExtent l="0" t="0" r="0" b="8890"/>
            <wp:wrapNone/>
            <wp:docPr id="392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2" name="图片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1038225" cy="390525"/>
                    </a:xfrm>
                    <a:prstGeom prst="rect">
                      <a:avLst/>
                    </a:prstGeom>
                    <a:noFill/>
                    <a:ln>
                      <a:noFill/>
                    </a:ln>
                  </pic:spPr>
                </pic:pic>
              </a:graphicData>
            </a:graphic>
          </wp:anchor>
        </w:drawing>
      </w:r>
    </w:p>
    <w:p w14:paraId="079366C7">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pH为：</w:t>
      </w:r>
    </w:p>
    <w:p w14:paraId="7BFC3588">
      <w:pPr>
        <w:spacing w:before="120" w:after="120" w:line="500" w:lineRule="exact"/>
        <w:jc w:val="center"/>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0"/>
          <w:szCs w:val="24"/>
          <w:highlight w:val="none"/>
        </w:rPr>
        <w:drawing>
          <wp:anchor distT="0" distB="0" distL="114300" distR="114300" simplePos="0" relativeHeight="251669504" behindDoc="0" locked="0" layoutInCell="1" allowOverlap="1">
            <wp:simplePos x="0" y="0"/>
            <wp:positionH relativeFrom="column">
              <wp:posOffset>1663065</wp:posOffset>
            </wp:positionH>
            <wp:positionV relativeFrom="paragraph">
              <wp:posOffset>2540</wp:posOffset>
            </wp:positionV>
            <wp:extent cx="1228725" cy="457200"/>
            <wp:effectExtent l="0" t="0" r="9525" b="0"/>
            <wp:wrapNone/>
            <wp:docPr id="392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3" name="图片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1228725" cy="457200"/>
                    </a:xfrm>
                    <a:prstGeom prst="rect">
                      <a:avLst/>
                    </a:prstGeom>
                    <a:noFill/>
                    <a:ln>
                      <a:noFill/>
                    </a:ln>
                  </pic:spPr>
                </pic:pic>
              </a:graphicData>
            </a:graphic>
          </wp:anchor>
        </w:drawing>
      </w:r>
      <w:r>
        <w:rPr>
          <w:rFonts w:ascii="Times New Roman" w:hAnsi="Times New Roman" w:eastAsia="宋体" w:cs="Times New Roman"/>
          <w:color w:val="auto"/>
          <w:sz w:val="24"/>
          <w:szCs w:val="24"/>
          <w:highlight w:val="none"/>
        </w:rPr>
        <w:t xml:space="preserve">                     pH</w:t>
      </w:r>
      <w:r>
        <w:rPr>
          <w:rFonts w:ascii="Times New Roman" w:hAnsi="Times New Roman" w:eastAsia="宋体" w:cs="Times New Roman"/>
          <w:color w:val="auto"/>
          <w:sz w:val="24"/>
          <w:szCs w:val="24"/>
          <w:highlight w:val="none"/>
          <w:vertAlign w:val="subscript"/>
        </w:rPr>
        <w:t>j</w:t>
      </w:r>
      <w:r>
        <w:rPr>
          <w:rFonts w:ascii="Times New Roman" w:hAnsi="Times New Roman" w:eastAsia="宋体" w:cs="Times New Roman"/>
          <w:color w:val="auto"/>
          <w:sz w:val="24"/>
          <w:szCs w:val="24"/>
          <w:highlight w:val="none"/>
        </w:rPr>
        <w:t>≤7.0</w:t>
      </w:r>
    </w:p>
    <w:p w14:paraId="0F954490">
      <w:pPr>
        <w:spacing w:after="120" w:line="500" w:lineRule="exact"/>
        <w:jc w:val="center"/>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0"/>
          <w:szCs w:val="24"/>
          <w:highlight w:val="none"/>
        </w:rPr>
        <w:drawing>
          <wp:anchor distT="0" distB="0" distL="114300" distR="114300" simplePos="0" relativeHeight="251670528" behindDoc="0" locked="0" layoutInCell="1" allowOverlap="1">
            <wp:simplePos x="0" y="0"/>
            <wp:positionH relativeFrom="column">
              <wp:posOffset>1699260</wp:posOffset>
            </wp:positionH>
            <wp:positionV relativeFrom="paragraph">
              <wp:posOffset>-3175</wp:posOffset>
            </wp:positionV>
            <wp:extent cx="1219200" cy="457200"/>
            <wp:effectExtent l="0" t="0" r="0" b="0"/>
            <wp:wrapNone/>
            <wp:docPr id="392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 name="图片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1219200" cy="457200"/>
                    </a:xfrm>
                    <a:prstGeom prst="rect">
                      <a:avLst/>
                    </a:prstGeom>
                    <a:noFill/>
                    <a:ln>
                      <a:noFill/>
                    </a:ln>
                  </pic:spPr>
                </pic:pic>
              </a:graphicData>
            </a:graphic>
          </wp:anchor>
        </w:drawing>
      </w:r>
      <w:r>
        <w:rPr>
          <w:rFonts w:ascii="Times New Roman" w:hAnsi="Times New Roman" w:eastAsia="宋体" w:cs="Times New Roman"/>
          <w:color w:val="auto"/>
          <w:sz w:val="24"/>
          <w:szCs w:val="24"/>
          <w:highlight w:val="none"/>
        </w:rPr>
        <w:t xml:space="preserve">                      pH</w:t>
      </w:r>
      <w:r>
        <w:rPr>
          <w:rFonts w:ascii="Times New Roman" w:hAnsi="Times New Roman" w:eastAsia="宋体" w:cs="Times New Roman"/>
          <w:color w:val="auto"/>
          <w:sz w:val="24"/>
          <w:szCs w:val="24"/>
          <w:highlight w:val="none"/>
          <w:vertAlign w:val="subscript"/>
        </w:rPr>
        <w:t>j</w:t>
      </w:r>
      <w:r>
        <w:rPr>
          <w:rFonts w:ascii="Times New Roman" w:hAnsi="Times New Roman" w:eastAsia="宋体" w:cs="Times New Roman"/>
          <w:color w:val="auto"/>
          <w:sz w:val="24"/>
          <w:szCs w:val="24"/>
          <w:highlight w:val="none"/>
        </w:rPr>
        <w:t>&gt;7.0</w:t>
      </w:r>
    </w:p>
    <w:p w14:paraId="18B5E7B8">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式中：S</w:t>
      </w:r>
      <w:r>
        <w:rPr>
          <w:rFonts w:ascii="Times New Roman" w:hAnsi="Times New Roman" w:eastAsia="宋体" w:cs="Times New Roman"/>
          <w:color w:val="auto"/>
          <w:sz w:val="24"/>
          <w:szCs w:val="24"/>
          <w:highlight w:val="none"/>
          <w:vertAlign w:val="subscript"/>
        </w:rPr>
        <w:t>pHj</w:t>
      </w:r>
      <w:r>
        <w:rPr>
          <w:rFonts w:ascii="Times New Roman" w:hAnsi="Times New Roman" w:eastAsia="宋体" w:cs="Times New Roman"/>
          <w:color w:val="auto"/>
          <w:sz w:val="24"/>
          <w:szCs w:val="24"/>
          <w:highlight w:val="none"/>
        </w:rPr>
        <w:t>：为水质参数pH在j点的标准指数；</w:t>
      </w:r>
    </w:p>
    <w:p w14:paraId="0AB676FB">
      <w:pPr>
        <w:spacing w:line="500" w:lineRule="exact"/>
        <w:ind w:firstLine="1200" w:firstLineChars="5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pH</w:t>
      </w:r>
      <w:r>
        <w:rPr>
          <w:rFonts w:ascii="Times New Roman" w:hAnsi="Times New Roman" w:eastAsia="宋体" w:cs="Times New Roman"/>
          <w:color w:val="auto"/>
          <w:sz w:val="24"/>
          <w:szCs w:val="24"/>
          <w:highlight w:val="none"/>
          <w:vertAlign w:val="subscript"/>
        </w:rPr>
        <w:t>j</w:t>
      </w:r>
      <w:r>
        <w:rPr>
          <w:rFonts w:ascii="Times New Roman" w:hAnsi="Times New Roman" w:eastAsia="宋体" w:cs="Times New Roman"/>
          <w:color w:val="auto"/>
          <w:sz w:val="24"/>
          <w:szCs w:val="24"/>
          <w:highlight w:val="none"/>
        </w:rPr>
        <w:t>：为j点的pH值；</w:t>
      </w:r>
    </w:p>
    <w:p w14:paraId="27BD9889">
      <w:pPr>
        <w:spacing w:line="500" w:lineRule="exact"/>
        <w:ind w:firstLine="1200" w:firstLineChars="5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pH</w:t>
      </w:r>
      <w:r>
        <w:rPr>
          <w:rFonts w:ascii="Times New Roman" w:hAnsi="Times New Roman" w:eastAsia="宋体" w:cs="Times New Roman"/>
          <w:color w:val="auto"/>
          <w:sz w:val="24"/>
          <w:szCs w:val="24"/>
          <w:highlight w:val="none"/>
          <w:vertAlign w:val="subscript"/>
        </w:rPr>
        <w:t>su</w:t>
      </w:r>
      <w:r>
        <w:rPr>
          <w:rFonts w:ascii="Times New Roman" w:hAnsi="Times New Roman" w:eastAsia="宋体" w:cs="Times New Roman"/>
          <w:color w:val="auto"/>
          <w:sz w:val="24"/>
          <w:szCs w:val="24"/>
          <w:highlight w:val="none"/>
        </w:rPr>
        <w:t>：为地表水水质标准中规定的pH值上限；</w:t>
      </w:r>
    </w:p>
    <w:p w14:paraId="4C73F776">
      <w:pPr>
        <w:spacing w:line="500" w:lineRule="exact"/>
        <w:ind w:firstLine="1200" w:firstLineChars="5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pH</w:t>
      </w:r>
      <w:r>
        <w:rPr>
          <w:rFonts w:ascii="Times New Roman" w:hAnsi="Times New Roman" w:eastAsia="宋体" w:cs="Times New Roman"/>
          <w:color w:val="auto"/>
          <w:sz w:val="24"/>
          <w:szCs w:val="24"/>
          <w:highlight w:val="none"/>
          <w:vertAlign w:val="subscript"/>
        </w:rPr>
        <w:t>sd</w:t>
      </w:r>
      <w:r>
        <w:rPr>
          <w:rFonts w:ascii="Times New Roman" w:hAnsi="Times New Roman" w:eastAsia="宋体" w:cs="Times New Roman"/>
          <w:color w:val="auto"/>
          <w:sz w:val="24"/>
          <w:szCs w:val="24"/>
          <w:highlight w:val="none"/>
        </w:rPr>
        <w:t>：为地表水水质标准中规定的pH值下限；</w:t>
      </w:r>
    </w:p>
    <w:p w14:paraId="535A7E6A">
      <w:pPr>
        <w:spacing w:line="500" w:lineRule="exact"/>
        <w:ind w:firstLine="1200" w:firstLineChars="5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S</w:t>
      </w:r>
      <w:r>
        <w:rPr>
          <w:rFonts w:ascii="Times New Roman" w:hAnsi="Times New Roman" w:eastAsia="宋体" w:cs="Times New Roman"/>
          <w:color w:val="auto"/>
          <w:sz w:val="24"/>
          <w:szCs w:val="24"/>
          <w:highlight w:val="none"/>
          <w:vertAlign w:val="subscript"/>
        </w:rPr>
        <w:t>DOj</w:t>
      </w:r>
      <w:r>
        <w:rPr>
          <w:rFonts w:ascii="Times New Roman" w:hAnsi="Times New Roman" w:eastAsia="宋体" w:cs="Times New Roman"/>
          <w:color w:val="auto"/>
          <w:sz w:val="24"/>
          <w:szCs w:val="24"/>
          <w:highlight w:val="none"/>
        </w:rPr>
        <w:t>：为水质参数DO在j点的标准指数；</w:t>
      </w:r>
    </w:p>
    <w:p w14:paraId="726E54E9">
      <w:pPr>
        <w:spacing w:line="500" w:lineRule="exact"/>
        <w:ind w:firstLine="1200" w:firstLineChars="5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DO</w:t>
      </w:r>
      <w:r>
        <w:rPr>
          <w:rFonts w:ascii="Times New Roman" w:hAnsi="Times New Roman" w:eastAsia="宋体" w:cs="Times New Roman"/>
          <w:color w:val="auto"/>
          <w:sz w:val="24"/>
          <w:szCs w:val="24"/>
          <w:highlight w:val="none"/>
          <w:vertAlign w:val="subscript"/>
        </w:rPr>
        <w:t>f</w:t>
      </w:r>
      <w:r>
        <w:rPr>
          <w:rFonts w:ascii="Times New Roman" w:hAnsi="Times New Roman" w:eastAsia="宋体" w:cs="Times New Roman"/>
          <w:color w:val="auto"/>
          <w:sz w:val="24"/>
          <w:szCs w:val="24"/>
          <w:highlight w:val="none"/>
        </w:rPr>
        <w:t>：为该</w:t>
      </w:r>
      <w:sdt>
        <w:sdtPr>
          <w:rPr>
            <w:color w:val="auto"/>
            <w:highlight w:val="none"/>
          </w:rPr>
          <w:alias w:val="易错词检查"/>
          <w:tag w:val="auto"/>
          <w:id w:val="1152601"/>
        </w:sdtPr>
        <w:sdtEndPr>
          <w:rPr>
            <w:color w:val="auto"/>
            <w:highlight w:val="none"/>
          </w:rPr>
        </w:sdtEndPr>
        <w:sdtContent>
          <w:bookmarkStart w:id="1409" w:name="bkReivew1152601"/>
          <w:r>
            <w:rPr>
              <w:rFonts w:ascii="Times New Roman" w:hAnsi="Times New Roman" w:eastAsia="宋体" w:cs="Times New Roman"/>
              <w:color w:val="auto"/>
              <w:sz w:val="24"/>
              <w:szCs w:val="24"/>
              <w:highlight w:val="none"/>
            </w:rPr>
            <w:t>水温</w:t>
          </w:r>
          <w:bookmarkEnd w:id="1409"/>
        </w:sdtContent>
      </w:sdt>
      <w:r>
        <w:rPr>
          <w:rFonts w:ascii="Times New Roman" w:hAnsi="Times New Roman" w:eastAsia="宋体" w:cs="Times New Roman"/>
          <w:color w:val="auto"/>
          <w:sz w:val="24"/>
          <w:szCs w:val="24"/>
          <w:highlight w:val="none"/>
        </w:rPr>
        <w:t>的饱和溶解氧值，mg/L；</w:t>
      </w:r>
    </w:p>
    <w:p w14:paraId="54D42E16">
      <w:pPr>
        <w:spacing w:line="500" w:lineRule="exact"/>
        <w:ind w:firstLine="1200" w:firstLineChars="5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DO</w:t>
      </w:r>
      <w:r>
        <w:rPr>
          <w:rFonts w:ascii="Times New Roman" w:hAnsi="Times New Roman" w:eastAsia="宋体" w:cs="Times New Roman"/>
          <w:color w:val="auto"/>
          <w:sz w:val="24"/>
          <w:szCs w:val="24"/>
          <w:highlight w:val="none"/>
          <w:vertAlign w:val="subscript"/>
        </w:rPr>
        <w:t>j</w:t>
      </w:r>
      <w:r>
        <w:rPr>
          <w:rFonts w:ascii="Times New Roman" w:hAnsi="Times New Roman" w:eastAsia="宋体" w:cs="Times New Roman"/>
          <w:color w:val="auto"/>
          <w:sz w:val="24"/>
          <w:szCs w:val="24"/>
          <w:highlight w:val="none"/>
        </w:rPr>
        <w:t>：为实测溶解氧值，mg/L；</w:t>
      </w:r>
    </w:p>
    <w:p w14:paraId="7F89C841">
      <w:pPr>
        <w:spacing w:line="500" w:lineRule="exact"/>
        <w:ind w:firstLine="1200" w:firstLineChars="5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DO</w:t>
      </w:r>
      <w:r>
        <w:rPr>
          <w:rFonts w:ascii="Times New Roman" w:hAnsi="Times New Roman" w:eastAsia="宋体" w:cs="Times New Roman"/>
          <w:color w:val="auto"/>
          <w:sz w:val="24"/>
          <w:szCs w:val="24"/>
          <w:highlight w:val="none"/>
          <w:vertAlign w:val="subscript"/>
        </w:rPr>
        <w:t>s</w:t>
      </w:r>
      <w:r>
        <w:rPr>
          <w:rFonts w:ascii="Times New Roman" w:hAnsi="Times New Roman" w:eastAsia="宋体" w:cs="Times New Roman"/>
          <w:color w:val="auto"/>
          <w:sz w:val="24"/>
          <w:szCs w:val="24"/>
          <w:highlight w:val="none"/>
        </w:rPr>
        <w:t>：为溶解氧的标准值，mg/L；</w:t>
      </w:r>
    </w:p>
    <w:p w14:paraId="4F48D15F">
      <w:pPr>
        <w:spacing w:line="500" w:lineRule="exact"/>
        <w:ind w:firstLine="1200" w:firstLineChars="5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T</w:t>
      </w:r>
      <w:r>
        <w:rPr>
          <w:rFonts w:ascii="Times New Roman" w:hAnsi="Times New Roman" w:eastAsia="宋体" w:cs="Times New Roman"/>
          <w:color w:val="auto"/>
          <w:sz w:val="24"/>
          <w:szCs w:val="24"/>
          <w:highlight w:val="none"/>
          <w:vertAlign w:val="subscript"/>
        </w:rPr>
        <w:t>j</w:t>
      </w:r>
      <w:r>
        <w:rPr>
          <w:rFonts w:ascii="Times New Roman" w:hAnsi="Times New Roman" w:eastAsia="宋体" w:cs="Times New Roman"/>
          <w:color w:val="auto"/>
          <w:sz w:val="24"/>
          <w:szCs w:val="24"/>
          <w:highlight w:val="none"/>
        </w:rPr>
        <w:t>：为在j点水温，t℃。</w:t>
      </w:r>
    </w:p>
    <w:p w14:paraId="162DAF4E">
      <w:pPr>
        <w:keepNext w:val="0"/>
        <w:keepLines w:val="0"/>
        <w:pageBreakBefore w:val="0"/>
        <w:widowControl/>
        <w:kinsoku w:val="0"/>
        <w:wordWrap/>
        <w:overflowPunct/>
        <w:topLinePunct w:val="0"/>
        <w:autoSpaceDE w:val="0"/>
        <w:autoSpaceDN w:val="0"/>
        <w:bidi w:val="0"/>
        <w:adjustRightInd w:val="0"/>
        <w:snapToGrid w:val="0"/>
        <w:spacing w:line="460" w:lineRule="exact"/>
        <w:ind w:firstLine="480" w:firstLineChars="200"/>
        <w:textAlignment w:val="baseline"/>
        <w:rPr>
          <w:rFonts w:ascii="Times New Roman" w:hAnsi="Times New Roman" w:eastAsia="宋体" w:cs="Times New Roman"/>
          <w:color w:val="auto"/>
          <w:kern w:val="0"/>
          <w:sz w:val="24"/>
          <w:szCs w:val="20"/>
          <w:highlight w:val="none"/>
        </w:rPr>
      </w:pPr>
      <w:r>
        <w:rPr>
          <w:rFonts w:ascii="Times New Roman" w:hAnsi="Times New Roman" w:eastAsia="宋体" w:cs="Times New Roman"/>
          <w:color w:val="auto"/>
          <w:kern w:val="0"/>
          <w:sz w:val="24"/>
          <w:szCs w:val="20"/>
          <w:highlight w:val="none"/>
        </w:rPr>
        <w:t>（4）评价结果</w:t>
      </w:r>
      <w:bookmarkStart w:id="1410" w:name="pindex6481"/>
      <w:bookmarkEnd w:id="1410"/>
    </w:p>
    <w:p w14:paraId="0AA04830">
      <w:pPr>
        <w:pStyle w:val="8"/>
        <w:keepNext w:val="0"/>
        <w:keepLines w:val="0"/>
        <w:pageBreakBefore w:val="0"/>
        <w:widowControl/>
        <w:kinsoku w:val="0"/>
        <w:wordWrap/>
        <w:overflowPunct/>
        <w:topLinePunct w:val="0"/>
        <w:autoSpaceDE w:val="0"/>
        <w:autoSpaceDN w:val="0"/>
        <w:bidi w:val="0"/>
        <w:adjustRightInd w:val="0"/>
        <w:snapToGrid w:val="0"/>
        <w:spacing w:line="460" w:lineRule="exact"/>
        <w:ind w:firstLine="480" w:firstLineChars="200"/>
        <w:textAlignment w:val="baseline"/>
        <w:rPr>
          <w:rFonts w:hint="eastAsia" w:ascii="宋体" w:hAnsi="宋体" w:eastAsia="宋体" w:cs="宋体"/>
          <w:b/>
          <w:bCs/>
          <w:color w:val="auto"/>
          <w:spacing w:val="-3"/>
          <w:sz w:val="24"/>
          <w:szCs w:val="24"/>
          <w:highlight w:val="none"/>
          <w:lang w:val="en-US" w:eastAsia="zh-CN"/>
        </w:rPr>
      </w:pPr>
      <w:r>
        <w:rPr>
          <w:rFonts w:ascii="Times New Roman" w:hAnsi="Times New Roman" w:eastAsia="宋体" w:cs="Times New Roman"/>
          <w:color w:val="auto"/>
          <w:kern w:val="0"/>
          <w:sz w:val="24"/>
          <w:szCs w:val="20"/>
          <w:highlight w:val="none"/>
        </w:rPr>
        <w:t>本次采用单因子指数法对地面水环境质量现状进行评价，其污染指数、超标率见表</w:t>
      </w:r>
      <w:r>
        <w:rPr>
          <w:rFonts w:hint="eastAsia" w:ascii="Times New Roman" w:hAnsi="Times New Roman" w:eastAsia="宋体" w:cs="Times New Roman"/>
          <w:color w:val="auto"/>
          <w:kern w:val="0"/>
          <w:sz w:val="24"/>
          <w:szCs w:val="20"/>
          <w:highlight w:val="none"/>
          <w:lang w:val="en-US" w:eastAsia="zh-CN"/>
        </w:rPr>
        <w:t>6.3-16</w:t>
      </w:r>
      <w:r>
        <w:rPr>
          <w:rFonts w:ascii="Times New Roman" w:hAnsi="Times New Roman" w:eastAsia="宋体" w:cs="Times New Roman"/>
          <w:color w:val="auto"/>
          <w:kern w:val="0"/>
          <w:sz w:val="24"/>
          <w:szCs w:val="20"/>
          <w:highlight w:val="none"/>
        </w:rPr>
        <w:t>。</w:t>
      </w:r>
      <w:bookmarkStart w:id="1411" w:name="sys64824390"/>
      <w:r>
        <w:rPr>
          <w:rFonts w:ascii="Times New Roman" w:hAnsi="Times New Roman" w:eastAsia="宋体" w:cs="Times New Roman"/>
          <w:color w:val="auto"/>
          <w:kern w:val="0"/>
          <w:sz w:val="24"/>
          <w:szCs w:val="20"/>
          <w:highlight w:val="none"/>
        </w:rPr>
        <w:t>由表</w:t>
      </w:r>
      <w:r>
        <w:rPr>
          <w:rFonts w:hint="eastAsia" w:ascii="Times New Roman" w:hAnsi="Times New Roman" w:eastAsia="宋体" w:cs="Times New Roman"/>
          <w:color w:val="auto"/>
          <w:kern w:val="0"/>
          <w:sz w:val="24"/>
          <w:szCs w:val="20"/>
          <w:highlight w:val="none"/>
          <w:lang w:val="en-US" w:eastAsia="zh-CN"/>
        </w:rPr>
        <w:t>6.3-16</w:t>
      </w:r>
      <w:r>
        <w:rPr>
          <w:rFonts w:ascii="Times New Roman" w:hAnsi="Times New Roman" w:eastAsia="宋体" w:cs="Times New Roman"/>
          <w:color w:val="auto"/>
          <w:kern w:val="0"/>
          <w:sz w:val="24"/>
          <w:szCs w:val="20"/>
          <w:highlight w:val="none"/>
        </w:rPr>
        <w:t>可知：</w:t>
      </w:r>
      <w:r>
        <w:rPr>
          <w:rFonts w:hint="eastAsia" w:ascii="Times New Roman" w:hAnsi="Times New Roman" w:eastAsia="宋体" w:cs="Times New Roman"/>
          <w:color w:val="auto"/>
          <w:kern w:val="0"/>
          <w:sz w:val="24"/>
          <w:szCs w:val="20"/>
          <w:highlight w:val="none"/>
          <w:lang w:val="en-US" w:eastAsia="zh-CN"/>
        </w:rPr>
        <w:t>秦淮河（云台山河河口-牛首山河口）、牛首山河、秦淮新河、云台山河、</w:t>
      </w:r>
      <w:bookmarkStart w:id="1412" w:name="OLE_LINK474"/>
      <w:bookmarkStart w:id="1413" w:name="OLE_LINK475"/>
      <w:r>
        <w:rPr>
          <w:rFonts w:hint="eastAsia" w:ascii="Times New Roman" w:hAnsi="Times New Roman" w:eastAsia="宋体" w:cs="Times New Roman"/>
          <w:color w:val="auto"/>
          <w:sz w:val="24"/>
          <w:szCs w:val="24"/>
          <w:highlight w:val="none"/>
          <w:lang w:val="en-US" w:eastAsia="zh-CN"/>
        </w:rPr>
        <w:t>句容河、风波坟水库、谷里水</w:t>
      </w:r>
      <w:bookmarkEnd w:id="1412"/>
      <w:r>
        <w:rPr>
          <w:rFonts w:hint="eastAsia" w:ascii="Times New Roman" w:hAnsi="Times New Roman" w:eastAsia="宋体" w:cs="Times New Roman"/>
          <w:color w:val="auto"/>
          <w:sz w:val="24"/>
          <w:szCs w:val="24"/>
          <w:highlight w:val="none"/>
          <w:lang w:val="en-US" w:eastAsia="zh-CN"/>
        </w:rPr>
        <w:t>库</w:t>
      </w:r>
      <w:bookmarkEnd w:id="1413"/>
      <w:r>
        <w:rPr>
          <w:rFonts w:hint="eastAsia" w:ascii="Times New Roman" w:hAnsi="Times New Roman" w:eastAsia="宋体" w:cs="Times New Roman"/>
          <w:color w:val="auto"/>
          <w:sz w:val="24"/>
          <w:szCs w:val="24"/>
          <w:highlight w:val="none"/>
          <w:lang w:val="en-US" w:eastAsia="zh-CN"/>
        </w:rPr>
        <w:t>达到</w:t>
      </w:r>
      <w:bookmarkStart w:id="1414" w:name="OLE_LINK905"/>
      <w:r>
        <w:rPr>
          <w:rFonts w:hint="default" w:ascii="Times New Roman" w:hAnsi="Times New Roman" w:eastAsia="宋体" w:cs="Times New Roman"/>
          <w:color w:val="auto"/>
          <w:kern w:val="0"/>
          <w:sz w:val="24"/>
          <w:szCs w:val="20"/>
          <w:highlight w:val="none"/>
        </w:rPr>
        <w:t>《地表水环境质量标准》（GB3838-2002）</w:t>
      </w:r>
      <w:bookmarkEnd w:id="1414"/>
      <w:r>
        <w:rPr>
          <w:rFonts w:hint="default" w:ascii="Times New Roman" w:hAnsi="Times New Roman" w:eastAsia="宋体" w:cs="Times New Roman"/>
          <w:color w:val="auto"/>
          <w:kern w:val="0"/>
          <w:sz w:val="24"/>
          <w:szCs w:val="20"/>
          <w:highlight w:val="none"/>
        </w:rPr>
        <w:t>中Ⅲ类标准</w:t>
      </w:r>
      <w:r>
        <w:rPr>
          <w:rFonts w:hint="eastAsia" w:ascii="Times New Roman" w:hAnsi="Times New Roman" w:eastAsia="宋体" w:cs="Times New Roman"/>
          <w:color w:val="auto"/>
          <w:kern w:val="0"/>
          <w:sz w:val="24"/>
          <w:szCs w:val="20"/>
          <w:highlight w:val="none"/>
          <w:lang w:eastAsia="zh-CN"/>
        </w:rPr>
        <w:t>；</w:t>
      </w:r>
      <w:bookmarkEnd w:id="1411"/>
      <w:bookmarkStart w:id="1415" w:name="sys648213363"/>
      <w:r>
        <w:rPr>
          <w:rFonts w:hint="eastAsia" w:ascii="Times New Roman" w:hAnsi="Times New Roman" w:eastAsia="宋体" w:cs="Times New Roman"/>
          <w:color w:val="auto"/>
          <w:kern w:val="0"/>
          <w:sz w:val="24"/>
          <w:szCs w:val="20"/>
          <w:highlight w:val="none"/>
          <w:lang w:val="en-US" w:eastAsia="zh-CN"/>
        </w:rPr>
        <w:t>秦淮河（牛首山河河口-江宁上坊门桥段）、胜利河、百家湖、九龙湖达到</w:t>
      </w:r>
      <w:r>
        <w:rPr>
          <w:rFonts w:hint="default" w:ascii="Times New Roman" w:hAnsi="Times New Roman" w:eastAsia="宋体" w:cs="Times New Roman"/>
          <w:color w:val="auto"/>
          <w:kern w:val="0"/>
          <w:sz w:val="24"/>
          <w:szCs w:val="20"/>
          <w:highlight w:val="none"/>
        </w:rPr>
        <w:t>《地表水环境质量标准》（GB3838-2002）中Ⅳ类标准</w:t>
      </w:r>
      <w:r>
        <w:rPr>
          <w:rFonts w:ascii="Times New Roman" w:hAnsi="Times New Roman" w:eastAsia="宋体" w:cs="Times New Roman"/>
          <w:color w:val="auto"/>
          <w:kern w:val="0"/>
          <w:sz w:val="24"/>
          <w:szCs w:val="20"/>
          <w:highlight w:val="none"/>
        </w:rPr>
        <w:t>。</w:t>
      </w:r>
      <w:bookmarkEnd w:id="1415"/>
    </w:p>
    <w:p w14:paraId="20FC1D89">
      <w:pPr>
        <w:rPr>
          <w:color w:val="auto"/>
          <w:highlight w:val="none"/>
        </w:rPr>
        <w:sectPr>
          <w:headerReference r:id="rId20" w:type="default"/>
          <w:footerReference r:id="rId21" w:type="default"/>
          <w:pgSz w:w="11907" w:h="16839"/>
          <w:pgMar w:top="1175" w:right="1693" w:bottom="1621" w:left="1774" w:header="862" w:footer="1445" w:gutter="0"/>
          <w:pgBorders>
            <w:top w:val="none" w:sz="0" w:space="0"/>
            <w:left w:val="none" w:sz="0" w:space="0"/>
            <w:bottom w:val="none" w:sz="0" w:space="0"/>
            <w:right w:val="none" w:sz="0" w:space="0"/>
          </w:pgBorders>
          <w:pgNumType w:fmt="decimal"/>
          <w:cols w:space="720" w:num="1"/>
        </w:sectPr>
      </w:pPr>
    </w:p>
    <w:p w14:paraId="595D75FA">
      <w:pPr>
        <w:keepNext w:val="0"/>
        <w:keepLines w:val="0"/>
        <w:pageBreakBefore w:val="0"/>
        <w:widowControl/>
        <w:kinsoku w:val="0"/>
        <w:wordWrap/>
        <w:overflowPunct/>
        <w:topLinePunct w:val="0"/>
        <w:autoSpaceDE w:val="0"/>
        <w:autoSpaceDN w:val="0"/>
        <w:bidi w:val="0"/>
        <w:adjustRightInd w:val="0"/>
        <w:snapToGrid w:val="0"/>
        <w:spacing w:before="78" w:line="240" w:lineRule="auto"/>
        <w:ind w:left="2166"/>
        <w:textAlignment w:val="baseline"/>
        <w:rPr>
          <w:b/>
          <w:bCs/>
          <w:color w:val="auto"/>
          <w:highlight w:val="none"/>
        </w:rPr>
      </w:pPr>
      <w:bookmarkStart w:id="1416" w:name="sys6484048"/>
      <w:r>
        <w:rPr>
          <w:rFonts w:ascii="宋体" w:hAnsi="宋体" w:eastAsia="宋体" w:cs="宋体"/>
          <w:b/>
          <w:bCs/>
          <w:color w:val="auto"/>
          <w:spacing w:val="-3"/>
          <w:sz w:val="24"/>
          <w:szCs w:val="24"/>
          <w:highlight w:val="none"/>
        </w:rPr>
        <w:t>表</w:t>
      </w:r>
      <w:r>
        <w:rPr>
          <w:rFonts w:ascii="Times New Roman" w:hAnsi="Times New Roman" w:eastAsia="Times New Roman" w:cs="Times New Roman"/>
          <w:b/>
          <w:bCs/>
          <w:color w:val="auto"/>
          <w:spacing w:val="-3"/>
          <w:sz w:val="24"/>
          <w:szCs w:val="24"/>
          <w:highlight w:val="none"/>
        </w:rPr>
        <w:t>6.3-</w:t>
      </w:r>
      <w:r>
        <w:rPr>
          <w:rFonts w:hint="eastAsia" w:ascii="Times New Roman" w:hAnsi="Times New Roman" w:eastAsia="宋体" w:cs="Times New Roman"/>
          <w:b/>
          <w:bCs/>
          <w:color w:val="auto"/>
          <w:spacing w:val="-3"/>
          <w:sz w:val="24"/>
          <w:szCs w:val="24"/>
          <w:highlight w:val="none"/>
          <w:lang w:val="en-US" w:eastAsia="zh-CN"/>
        </w:rPr>
        <w:t>16（1）  地表水环境质量现状监测结果</w:t>
      </w:r>
      <w:r>
        <w:rPr>
          <w:rFonts w:hint="eastAsia" w:ascii="宋体" w:hAnsi="宋体" w:eastAsia="宋体" w:cs="宋体"/>
          <w:b/>
          <w:bCs/>
          <w:color w:val="auto"/>
          <w:spacing w:val="-3"/>
          <w:sz w:val="24"/>
          <w:szCs w:val="24"/>
          <w:highlight w:val="none"/>
          <w:lang w:val="en-US" w:eastAsia="zh-CN"/>
        </w:rPr>
        <w:t xml:space="preserve">   </w:t>
      </w:r>
      <w:r>
        <w:rPr>
          <w:rFonts w:ascii="宋体" w:hAnsi="宋体" w:eastAsia="宋体" w:cs="宋体"/>
          <w:b/>
          <w:bCs/>
          <w:color w:val="auto"/>
          <w:spacing w:val="-3"/>
          <w:sz w:val="24"/>
          <w:szCs w:val="24"/>
          <w:highlight w:val="none"/>
        </w:rPr>
        <w:t>单位：</w:t>
      </w:r>
      <w:r>
        <w:rPr>
          <w:rFonts w:ascii="Times New Roman" w:hAnsi="Times New Roman" w:eastAsia="Times New Roman" w:cs="Times New Roman"/>
          <w:b/>
          <w:bCs/>
          <w:color w:val="auto"/>
          <w:spacing w:val="-3"/>
          <w:sz w:val="24"/>
          <w:szCs w:val="24"/>
          <w:highlight w:val="none"/>
        </w:rPr>
        <w:t>mg/L</w:t>
      </w:r>
      <w:r>
        <w:rPr>
          <w:rFonts w:ascii="宋体" w:hAnsi="宋体" w:eastAsia="宋体" w:cs="宋体"/>
          <w:b/>
          <w:bCs/>
          <w:color w:val="auto"/>
          <w:spacing w:val="-3"/>
          <w:sz w:val="24"/>
          <w:szCs w:val="24"/>
          <w:highlight w:val="none"/>
        </w:rPr>
        <w:t>，水温单位为</w:t>
      </w:r>
      <w:r>
        <w:rPr>
          <w:rFonts w:ascii="Times New Roman" w:hAnsi="Times New Roman" w:eastAsia="Times New Roman" w:cs="Times New Roman"/>
          <w:b/>
          <w:bCs/>
          <w:color w:val="auto"/>
          <w:spacing w:val="-3"/>
          <w:sz w:val="24"/>
          <w:szCs w:val="24"/>
          <w:highlight w:val="none"/>
        </w:rPr>
        <w:t>℃</w:t>
      </w:r>
      <w:r>
        <w:rPr>
          <w:rFonts w:ascii="宋体" w:hAnsi="宋体" w:eastAsia="宋体" w:cs="宋体"/>
          <w:b/>
          <w:bCs/>
          <w:color w:val="auto"/>
          <w:spacing w:val="-3"/>
          <w:sz w:val="24"/>
          <w:szCs w:val="24"/>
          <w:highlight w:val="none"/>
        </w:rPr>
        <w:t>,</w:t>
      </w:r>
      <w:r>
        <w:rPr>
          <w:rFonts w:ascii="Times New Roman" w:hAnsi="Times New Roman" w:eastAsia="Times New Roman" w:cs="Times New Roman"/>
          <w:b/>
          <w:bCs/>
          <w:color w:val="auto"/>
          <w:spacing w:val="-3"/>
          <w:sz w:val="24"/>
          <w:szCs w:val="24"/>
          <w:highlight w:val="none"/>
        </w:rPr>
        <w:t>pH</w:t>
      </w:r>
      <w:r>
        <w:rPr>
          <w:rFonts w:ascii="宋体" w:hAnsi="宋体" w:eastAsia="宋体" w:cs="宋体"/>
          <w:b/>
          <w:bCs/>
          <w:color w:val="auto"/>
          <w:spacing w:val="-3"/>
          <w:sz w:val="24"/>
          <w:szCs w:val="24"/>
          <w:highlight w:val="none"/>
        </w:rPr>
        <w:t>无量纲</w:t>
      </w:r>
      <w:bookmarkEnd w:id="1416"/>
      <w:bookmarkStart w:id="1417" w:name="pindex6484"/>
      <w:bookmarkEnd w:id="1417"/>
    </w:p>
    <w:tbl>
      <w:tblPr>
        <w:tblStyle w:val="26"/>
        <w:tblW w:w="4996"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autofit"/>
        <w:tblCellMar>
          <w:top w:w="0" w:type="dxa"/>
          <w:left w:w="0" w:type="dxa"/>
          <w:bottom w:w="0" w:type="dxa"/>
          <w:right w:w="0" w:type="dxa"/>
        </w:tblCellMar>
      </w:tblPr>
      <w:tblGrid>
        <w:gridCol w:w="390"/>
        <w:gridCol w:w="607"/>
        <w:gridCol w:w="447"/>
        <w:gridCol w:w="441"/>
        <w:gridCol w:w="447"/>
        <w:gridCol w:w="408"/>
        <w:gridCol w:w="377"/>
        <w:gridCol w:w="394"/>
        <w:gridCol w:w="506"/>
        <w:gridCol w:w="641"/>
        <w:gridCol w:w="394"/>
        <w:gridCol w:w="394"/>
        <w:gridCol w:w="840"/>
        <w:gridCol w:w="483"/>
        <w:gridCol w:w="377"/>
        <w:gridCol w:w="506"/>
        <w:gridCol w:w="506"/>
        <w:gridCol w:w="483"/>
        <w:gridCol w:w="377"/>
        <w:gridCol w:w="725"/>
        <w:gridCol w:w="587"/>
        <w:gridCol w:w="616"/>
        <w:gridCol w:w="377"/>
        <w:gridCol w:w="377"/>
        <w:gridCol w:w="590"/>
        <w:gridCol w:w="483"/>
        <w:gridCol w:w="483"/>
        <w:gridCol w:w="379"/>
        <w:gridCol w:w="374"/>
      </w:tblGrid>
      <w:tr w14:paraId="57E54C4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blHeader/>
        </w:trPr>
        <w:tc>
          <w:tcPr>
            <w:tcW w:w="139" w:type="pct"/>
            <w:tcBorders>
              <w:tl2br w:val="nil"/>
              <w:tr2bl w:val="nil"/>
            </w:tcBorders>
            <w:vAlign w:val="center"/>
          </w:tcPr>
          <w:p w14:paraId="4296984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bookmarkStart w:id="1418" w:name="OLE_LINK1"/>
            <w:r>
              <w:rPr>
                <w:rFonts w:hint="default" w:ascii="Times New Roman" w:hAnsi="Times New Roman" w:eastAsia="宋体" w:cs="Times New Roman"/>
                <w:b/>
                <w:bCs/>
                <w:color w:val="auto"/>
                <w:sz w:val="18"/>
                <w:szCs w:val="18"/>
              </w:rPr>
              <w:t>监测断面</w:t>
            </w:r>
          </w:p>
        </w:tc>
        <w:tc>
          <w:tcPr>
            <w:tcW w:w="216" w:type="pct"/>
            <w:tcBorders>
              <w:tl2br w:val="nil"/>
              <w:tr2bl w:val="nil"/>
            </w:tcBorders>
            <w:vAlign w:val="center"/>
          </w:tcPr>
          <w:p w14:paraId="52E5989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监测项目</w:t>
            </w:r>
          </w:p>
        </w:tc>
        <w:tc>
          <w:tcPr>
            <w:tcW w:w="159" w:type="pct"/>
            <w:tcBorders>
              <w:tl2br w:val="nil"/>
              <w:tr2bl w:val="nil"/>
            </w:tcBorders>
            <w:vAlign w:val="center"/>
          </w:tcPr>
          <w:p w14:paraId="712C83C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水温℃</w:t>
            </w:r>
          </w:p>
        </w:tc>
        <w:tc>
          <w:tcPr>
            <w:tcW w:w="157" w:type="pct"/>
            <w:tcBorders>
              <w:tl2br w:val="nil"/>
              <w:tr2bl w:val="nil"/>
            </w:tcBorders>
            <w:vAlign w:val="center"/>
          </w:tcPr>
          <w:p w14:paraId="6895127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pH</w:t>
            </w:r>
            <w:r>
              <w:rPr>
                <w:rFonts w:hint="default" w:ascii="Times New Roman" w:hAnsi="Times New Roman" w:eastAsia="宋体" w:cs="Times New Roman"/>
                <w:b/>
                <w:bCs/>
                <w:color w:val="auto"/>
                <w:sz w:val="18"/>
                <w:szCs w:val="18"/>
                <w:lang w:eastAsia="zh-CN"/>
              </w:rPr>
              <w:t>（</w:t>
            </w:r>
            <w:r>
              <w:rPr>
                <w:rFonts w:hint="default" w:ascii="Times New Roman" w:hAnsi="Times New Roman" w:eastAsia="宋体" w:cs="Times New Roman"/>
                <w:b/>
                <w:bCs/>
                <w:color w:val="auto"/>
                <w:sz w:val="18"/>
                <w:szCs w:val="18"/>
              </w:rPr>
              <w:t>无量纲</w:t>
            </w:r>
            <w:r>
              <w:rPr>
                <w:rFonts w:hint="default" w:ascii="Times New Roman" w:hAnsi="Times New Roman" w:eastAsia="宋体" w:cs="Times New Roman"/>
                <w:b/>
                <w:bCs/>
                <w:color w:val="auto"/>
                <w:sz w:val="18"/>
                <w:szCs w:val="18"/>
                <w:lang w:eastAsia="zh-CN"/>
              </w:rPr>
              <w:t>）</w:t>
            </w:r>
          </w:p>
        </w:tc>
        <w:tc>
          <w:tcPr>
            <w:tcW w:w="159" w:type="pct"/>
            <w:tcBorders>
              <w:tl2br w:val="nil"/>
              <w:tr2bl w:val="nil"/>
            </w:tcBorders>
            <w:vAlign w:val="center"/>
          </w:tcPr>
          <w:p w14:paraId="0D50EB7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highlight w:val="none"/>
              </w:rPr>
              <w:t>溶解氧</w:t>
            </w:r>
          </w:p>
        </w:tc>
        <w:tc>
          <w:tcPr>
            <w:tcW w:w="145" w:type="pct"/>
            <w:tcBorders>
              <w:tl2br w:val="nil"/>
              <w:tr2bl w:val="nil"/>
            </w:tcBorders>
            <w:vAlign w:val="center"/>
          </w:tcPr>
          <w:p w14:paraId="2EF7AC7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2"/>
                <w:sz w:val="18"/>
                <w:szCs w:val="18"/>
                <w:highlight w:val="none"/>
                <w:lang w:val="en-US" w:eastAsia="zh-CN" w:bidi="ar-SA"/>
              </w:rPr>
              <w:t>五日生化需氧量</w:t>
            </w:r>
          </w:p>
        </w:tc>
        <w:tc>
          <w:tcPr>
            <w:tcW w:w="134" w:type="pct"/>
            <w:tcBorders>
              <w:tl2br w:val="nil"/>
              <w:tr2bl w:val="nil"/>
            </w:tcBorders>
            <w:vAlign w:val="center"/>
          </w:tcPr>
          <w:p w14:paraId="6837221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化学需氧量</w:t>
            </w:r>
          </w:p>
        </w:tc>
        <w:tc>
          <w:tcPr>
            <w:tcW w:w="140" w:type="pct"/>
            <w:tcBorders>
              <w:tl2br w:val="nil"/>
              <w:tr2bl w:val="nil"/>
            </w:tcBorders>
            <w:vAlign w:val="center"/>
          </w:tcPr>
          <w:p w14:paraId="73D4CA4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highlight w:val="none"/>
                <w:lang w:val="en-US" w:eastAsia="zh-CN"/>
              </w:rPr>
              <w:t>总氮</w:t>
            </w:r>
          </w:p>
        </w:tc>
        <w:tc>
          <w:tcPr>
            <w:tcW w:w="180" w:type="pct"/>
            <w:tcBorders>
              <w:tl2br w:val="nil"/>
              <w:tr2bl w:val="nil"/>
            </w:tcBorders>
            <w:vAlign w:val="center"/>
          </w:tcPr>
          <w:p w14:paraId="08CE52A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氨氮</w:t>
            </w:r>
          </w:p>
        </w:tc>
        <w:tc>
          <w:tcPr>
            <w:tcW w:w="228" w:type="pct"/>
            <w:tcBorders>
              <w:tl2br w:val="nil"/>
              <w:tr2bl w:val="nil"/>
            </w:tcBorders>
            <w:vAlign w:val="center"/>
          </w:tcPr>
          <w:p w14:paraId="650EBAD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总磷</w:t>
            </w:r>
          </w:p>
        </w:tc>
        <w:tc>
          <w:tcPr>
            <w:tcW w:w="140" w:type="pct"/>
            <w:tcBorders>
              <w:tl2br w:val="nil"/>
              <w:tr2bl w:val="nil"/>
            </w:tcBorders>
            <w:vAlign w:val="center"/>
          </w:tcPr>
          <w:p w14:paraId="1A4494D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石油类</w:t>
            </w:r>
          </w:p>
        </w:tc>
        <w:tc>
          <w:tcPr>
            <w:tcW w:w="140" w:type="pct"/>
            <w:tcBorders>
              <w:tl2br w:val="nil"/>
              <w:tr2bl w:val="nil"/>
            </w:tcBorders>
            <w:vAlign w:val="center"/>
          </w:tcPr>
          <w:p w14:paraId="3C3ED2F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硫化物</w:t>
            </w:r>
          </w:p>
        </w:tc>
        <w:tc>
          <w:tcPr>
            <w:tcW w:w="299" w:type="pct"/>
            <w:tcBorders>
              <w:tl2br w:val="nil"/>
              <w:tr2bl w:val="nil"/>
            </w:tcBorders>
            <w:vAlign w:val="center"/>
          </w:tcPr>
          <w:p w14:paraId="7BEAA44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镉</w:t>
            </w:r>
          </w:p>
        </w:tc>
        <w:tc>
          <w:tcPr>
            <w:tcW w:w="172" w:type="pct"/>
            <w:tcBorders>
              <w:tl2br w:val="nil"/>
              <w:tr2bl w:val="nil"/>
            </w:tcBorders>
            <w:vAlign w:val="center"/>
          </w:tcPr>
          <w:p w14:paraId="4240516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highlight w:val="none"/>
              </w:rPr>
              <w:t>六价铬</w:t>
            </w:r>
          </w:p>
        </w:tc>
        <w:tc>
          <w:tcPr>
            <w:tcW w:w="134" w:type="pct"/>
            <w:tcBorders>
              <w:tl2br w:val="nil"/>
              <w:tr2bl w:val="nil"/>
            </w:tcBorders>
            <w:vAlign w:val="center"/>
          </w:tcPr>
          <w:p w14:paraId="276A508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铬</w:t>
            </w:r>
          </w:p>
        </w:tc>
        <w:tc>
          <w:tcPr>
            <w:tcW w:w="180" w:type="pct"/>
            <w:tcBorders>
              <w:tl2br w:val="nil"/>
              <w:tr2bl w:val="nil"/>
            </w:tcBorders>
            <w:vAlign w:val="center"/>
          </w:tcPr>
          <w:p w14:paraId="7446A52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锌</w:t>
            </w:r>
          </w:p>
        </w:tc>
        <w:tc>
          <w:tcPr>
            <w:tcW w:w="180" w:type="pct"/>
            <w:tcBorders>
              <w:tl2br w:val="nil"/>
              <w:tr2bl w:val="nil"/>
            </w:tcBorders>
            <w:vAlign w:val="center"/>
          </w:tcPr>
          <w:p w14:paraId="4A9729A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2"/>
                <w:sz w:val="18"/>
                <w:szCs w:val="18"/>
                <w:highlight w:val="none"/>
                <w:lang w:val="en-US" w:eastAsia="zh-CN" w:bidi="ar-SA"/>
              </w:rPr>
              <w:t>锰</w:t>
            </w:r>
          </w:p>
        </w:tc>
        <w:tc>
          <w:tcPr>
            <w:tcW w:w="172" w:type="pct"/>
            <w:tcBorders>
              <w:tl2br w:val="nil"/>
              <w:tr2bl w:val="nil"/>
            </w:tcBorders>
            <w:vAlign w:val="center"/>
          </w:tcPr>
          <w:p w14:paraId="690423F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铜</w:t>
            </w:r>
          </w:p>
        </w:tc>
        <w:tc>
          <w:tcPr>
            <w:tcW w:w="134" w:type="pct"/>
            <w:tcBorders>
              <w:tl2br w:val="nil"/>
              <w:tr2bl w:val="nil"/>
            </w:tcBorders>
            <w:vAlign w:val="center"/>
          </w:tcPr>
          <w:p w14:paraId="4A6F3E8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铅</w:t>
            </w:r>
          </w:p>
        </w:tc>
        <w:tc>
          <w:tcPr>
            <w:tcW w:w="258" w:type="pct"/>
            <w:tcBorders>
              <w:tl2br w:val="nil"/>
              <w:tr2bl w:val="nil"/>
            </w:tcBorders>
            <w:vAlign w:val="center"/>
          </w:tcPr>
          <w:p w14:paraId="25716D2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汞</w:t>
            </w:r>
          </w:p>
        </w:tc>
        <w:tc>
          <w:tcPr>
            <w:tcW w:w="209" w:type="pct"/>
            <w:tcBorders>
              <w:tl2br w:val="nil"/>
              <w:tr2bl w:val="nil"/>
            </w:tcBorders>
            <w:vAlign w:val="center"/>
          </w:tcPr>
          <w:p w14:paraId="6E53DB0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硒</w:t>
            </w:r>
          </w:p>
        </w:tc>
        <w:tc>
          <w:tcPr>
            <w:tcW w:w="219" w:type="pct"/>
            <w:tcBorders>
              <w:tl2br w:val="nil"/>
              <w:tr2bl w:val="nil"/>
            </w:tcBorders>
            <w:vAlign w:val="center"/>
          </w:tcPr>
          <w:p w14:paraId="586D291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砷</w:t>
            </w:r>
          </w:p>
        </w:tc>
        <w:tc>
          <w:tcPr>
            <w:tcW w:w="134" w:type="pct"/>
            <w:tcBorders>
              <w:tl2br w:val="nil"/>
              <w:tr2bl w:val="nil"/>
            </w:tcBorders>
            <w:vAlign w:val="center"/>
          </w:tcPr>
          <w:p w14:paraId="79950C0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2"/>
                <w:sz w:val="18"/>
                <w:szCs w:val="18"/>
                <w:highlight w:val="none"/>
                <w:lang w:val="en-US" w:eastAsia="zh-CN" w:bidi="ar-SA"/>
              </w:rPr>
              <w:t>镍</w:t>
            </w:r>
          </w:p>
        </w:tc>
        <w:tc>
          <w:tcPr>
            <w:tcW w:w="134" w:type="pct"/>
            <w:tcBorders>
              <w:tl2br w:val="nil"/>
              <w:tr2bl w:val="nil"/>
            </w:tcBorders>
            <w:vAlign w:val="center"/>
          </w:tcPr>
          <w:p w14:paraId="4288B49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2"/>
                <w:sz w:val="18"/>
                <w:szCs w:val="18"/>
                <w:highlight w:val="none"/>
                <w:lang w:val="en-US" w:eastAsia="zh-CN" w:bidi="ar-SA"/>
              </w:rPr>
              <w:t>悬浮物</w:t>
            </w:r>
          </w:p>
        </w:tc>
        <w:tc>
          <w:tcPr>
            <w:tcW w:w="210" w:type="pct"/>
            <w:tcBorders>
              <w:tl2br w:val="nil"/>
              <w:tr2bl w:val="nil"/>
            </w:tcBorders>
            <w:vAlign w:val="center"/>
          </w:tcPr>
          <w:p w14:paraId="7E4DD29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2"/>
                <w:sz w:val="18"/>
                <w:szCs w:val="18"/>
                <w:highlight w:val="none"/>
                <w:lang w:val="en-US" w:eastAsia="zh-CN" w:bidi="ar-SA"/>
              </w:rPr>
              <w:t>挥发酚</w:t>
            </w:r>
          </w:p>
        </w:tc>
        <w:tc>
          <w:tcPr>
            <w:tcW w:w="172" w:type="pct"/>
            <w:tcBorders>
              <w:tl2br w:val="nil"/>
              <w:tr2bl w:val="nil"/>
            </w:tcBorders>
            <w:vAlign w:val="center"/>
          </w:tcPr>
          <w:p w14:paraId="088EA16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2"/>
                <w:sz w:val="18"/>
                <w:szCs w:val="18"/>
                <w:highlight w:val="none"/>
                <w:lang w:val="en-US" w:eastAsia="zh-CN" w:bidi="ar-SA"/>
              </w:rPr>
              <w:t>氰化物</w:t>
            </w:r>
          </w:p>
        </w:tc>
        <w:tc>
          <w:tcPr>
            <w:tcW w:w="172" w:type="pct"/>
            <w:tcBorders>
              <w:tl2br w:val="nil"/>
              <w:tr2bl w:val="nil"/>
            </w:tcBorders>
            <w:vAlign w:val="center"/>
          </w:tcPr>
          <w:p w14:paraId="23BC519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2"/>
                <w:sz w:val="18"/>
                <w:szCs w:val="18"/>
                <w:highlight w:val="none"/>
                <w:lang w:val="en-US" w:eastAsia="zh-CN" w:bidi="ar-SA"/>
              </w:rPr>
              <w:t>高锰酸盐指数</w:t>
            </w:r>
          </w:p>
        </w:tc>
        <w:tc>
          <w:tcPr>
            <w:tcW w:w="135" w:type="pct"/>
            <w:tcBorders>
              <w:tl2br w:val="nil"/>
              <w:tr2bl w:val="nil"/>
            </w:tcBorders>
            <w:vAlign w:val="center"/>
          </w:tcPr>
          <w:p w14:paraId="02CDE8C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2"/>
                <w:sz w:val="18"/>
                <w:szCs w:val="18"/>
                <w:highlight w:val="none"/>
                <w:lang w:val="en-US" w:eastAsia="zh-CN" w:bidi="ar-SA"/>
              </w:rPr>
              <w:t>氟化物</w:t>
            </w:r>
          </w:p>
        </w:tc>
        <w:tc>
          <w:tcPr>
            <w:tcW w:w="133" w:type="pct"/>
            <w:tcBorders>
              <w:tl2br w:val="nil"/>
              <w:tr2bl w:val="nil"/>
            </w:tcBorders>
            <w:vAlign w:val="center"/>
          </w:tcPr>
          <w:p w14:paraId="2C67C05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2"/>
                <w:sz w:val="18"/>
                <w:szCs w:val="18"/>
                <w:highlight w:val="none"/>
                <w:lang w:val="en-US" w:eastAsia="zh-CN" w:bidi="ar-SA"/>
              </w:rPr>
              <w:t>阴离子表面活性剂</w:t>
            </w:r>
          </w:p>
        </w:tc>
      </w:tr>
      <w:bookmarkEnd w:id="1418"/>
      <w:tr w14:paraId="4F402DA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355" w:type="pct"/>
            <w:gridSpan w:val="2"/>
            <w:tcBorders>
              <w:tl2br w:val="nil"/>
              <w:tr2bl w:val="nil"/>
            </w:tcBorders>
            <w:vAlign w:val="center"/>
          </w:tcPr>
          <w:p w14:paraId="329B5D1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Ⅳ类限值</w:t>
            </w:r>
          </w:p>
        </w:tc>
        <w:tc>
          <w:tcPr>
            <w:tcW w:w="159" w:type="pct"/>
            <w:tcBorders>
              <w:tl2br w:val="nil"/>
              <w:tr2bl w:val="nil"/>
            </w:tcBorders>
            <w:vAlign w:val="center"/>
          </w:tcPr>
          <w:p w14:paraId="3E8139B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w:t>
            </w:r>
          </w:p>
        </w:tc>
        <w:tc>
          <w:tcPr>
            <w:tcW w:w="157" w:type="pct"/>
            <w:tcBorders>
              <w:tl2br w:val="nil"/>
              <w:tr2bl w:val="nil"/>
            </w:tcBorders>
            <w:vAlign w:val="center"/>
          </w:tcPr>
          <w:p w14:paraId="7FF6136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6-9</w:t>
            </w:r>
          </w:p>
        </w:tc>
        <w:tc>
          <w:tcPr>
            <w:tcW w:w="159" w:type="pct"/>
            <w:tcBorders>
              <w:tl2br w:val="nil"/>
              <w:tr2bl w:val="nil"/>
            </w:tcBorders>
            <w:vAlign w:val="center"/>
          </w:tcPr>
          <w:p w14:paraId="4987CF0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red"/>
                <w:lang w:val="en-US" w:eastAsia="zh-CN"/>
              </w:rPr>
            </w:pPr>
            <w:r>
              <w:rPr>
                <w:rFonts w:hint="default" w:ascii="Times New Roman" w:hAnsi="Times New Roman" w:eastAsia="宋体" w:cs="Times New Roman"/>
                <w:snapToGrid w:val="0"/>
                <w:color w:val="auto"/>
                <w:kern w:val="0"/>
                <w:sz w:val="18"/>
                <w:szCs w:val="18"/>
                <w:highlight w:val="none"/>
                <w:lang w:val="en-US" w:eastAsia="zh-CN" w:bidi="ar-SA"/>
              </w:rPr>
              <w:t>3</w:t>
            </w:r>
          </w:p>
        </w:tc>
        <w:tc>
          <w:tcPr>
            <w:tcW w:w="145" w:type="pct"/>
            <w:tcBorders>
              <w:tl2br w:val="nil"/>
              <w:tr2bl w:val="nil"/>
            </w:tcBorders>
            <w:vAlign w:val="center"/>
          </w:tcPr>
          <w:p w14:paraId="484E6F6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6</w:t>
            </w:r>
          </w:p>
        </w:tc>
        <w:tc>
          <w:tcPr>
            <w:tcW w:w="134" w:type="pct"/>
            <w:tcBorders>
              <w:tl2br w:val="nil"/>
              <w:tr2bl w:val="nil"/>
            </w:tcBorders>
            <w:vAlign w:val="center"/>
          </w:tcPr>
          <w:p w14:paraId="1B6F1B8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30</w:t>
            </w:r>
          </w:p>
        </w:tc>
        <w:tc>
          <w:tcPr>
            <w:tcW w:w="140" w:type="pct"/>
            <w:tcBorders>
              <w:tl2br w:val="nil"/>
              <w:tr2bl w:val="nil"/>
            </w:tcBorders>
            <w:vAlign w:val="center"/>
          </w:tcPr>
          <w:p w14:paraId="128C1DD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snapToGrid w:val="0"/>
                <w:color w:val="auto"/>
                <w:kern w:val="0"/>
                <w:sz w:val="18"/>
                <w:szCs w:val="18"/>
                <w:highlight w:val="none"/>
                <w:lang w:val="en-US" w:eastAsia="zh-CN" w:bidi="ar-SA"/>
              </w:rPr>
              <w:t>/</w:t>
            </w:r>
          </w:p>
        </w:tc>
        <w:tc>
          <w:tcPr>
            <w:tcW w:w="180" w:type="pct"/>
            <w:tcBorders>
              <w:tl2br w:val="nil"/>
              <w:tr2bl w:val="nil"/>
            </w:tcBorders>
            <w:vAlign w:val="center"/>
          </w:tcPr>
          <w:p w14:paraId="3B4EFF8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1.5</w:t>
            </w:r>
          </w:p>
        </w:tc>
        <w:tc>
          <w:tcPr>
            <w:tcW w:w="228" w:type="pct"/>
            <w:tcBorders>
              <w:tl2br w:val="nil"/>
              <w:tr2bl w:val="nil"/>
            </w:tcBorders>
            <w:vAlign w:val="center"/>
          </w:tcPr>
          <w:p w14:paraId="3CADD22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0.3</w:t>
            </w:r>
          </w:p>
        </w:tc>
        <w:tc>
          <w:tcPr>
            <w:tcW w:w="140" w:type="pct"/>
            <w:tcBorders>
              <w:tl2br w:val="nil"/>
              <w:tr2bl w:val="nil"/>
            </w:tcBorders>
            <w:vAlign w:val="center"/>
          </w:tcPr>
          <w:p w14:paraId="5FB0F8A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0.5</w:t>
            </w:r>
          </w:p>
        </w:tc>
        <w:tc>
          <w:tcPr>
            <w:tcW w:w="140" w:type="pct"/>
            <w:tcBorders>
              <w:tl2br w:val="nil"/>
              <w:tr2bl w:val="nil"/>
            </w:tcBorders>
            <w:vAlign w:val="center"/>
          </w:tcPr>
          <w:p w14:paraId="5517725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0.5</w:t>
            </w:r>
          </w:p>
        </w:tc>
        <w:tc>
          <w:tcPr>
            <w:tcW w:w="299" w:type="pct"/>
            <w:tcBorders>
              <w:tl2br w:val="nil"/>
              <w:tr2bl w:val="nil"/>
            </w:tcBorders>
            <w:vAlign w:val="center"/>
          </w:tcPr>
          <w:p w14:paraId="62F73B6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red"/>
                <w:lang w:val="en-US" w:eastAsia="zh-CN"/>
              </w:rPr>
            </w:pPr>
            <w:r>
              <w:rPr>
                <w:rFonts w:hint="default" w:ascii="Times New Roman" w:hAnsi="Times New Roman" w:eastAsia="宋体" w:cs="Times New Roman"/>
                <w:snapToGrid w:val="0"/>
                <w:color w:val="auto"/>
                <w:kern w:val="0"/>
                <w:sz w:val="18"/>
                <w:szCs w:val="18"/>
                <w:highlight w:val="none"/>
                <w:lang w:val="en-US" w:eastAsia="zh-CN" w:bidi="ar-SA"/>
              </w:rPr>
              <w:t>0.005</w:t>
            </w:r>
          </w:p>
        </w:tc>
        <w:tc>
          <w:tcPr>
            <w:tcW w:w="172" w:type="pct"/>
            <w:tcBorders>
              <w:tl2br w:val="nil"/>
              <w:tr2bl w:val="nil"/>
            </w:tcBorders>
            <w:vAlign w:val="center"/>
          </w:tcPr>
          <w:p w14:paraId="346C562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0.05</w:t>
            </w:r>
          </w:p>
        </w:tc>
        <w:tc>
          <w:tcPr>
            <w:tcW w:w="134" w:type="pct"/>
            <w:tcBorders>
              <w:tl2br w:val="nil"/>
              <w:tr2bl w:val="nil"/>
            </w:tcBorders>
            <w:vAlign w:val="center"/>
          </w:tcPr>
          <w:p w14:paraId="1606C43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0.05</w:t>
            </w:r>
          </w:p>
        </w:tc>
        <w:tc>
          <w:tcPr>
            <w:tcW w:w="180" w:type="pct"/>
            <w:tcBorders>
              <w:tl2br w:val="nil"/>
              <w:tr2bl w:val="nil"/>
            </w:tcBorders>
            <w:vAlign w:val="center"/>
          </w:tcPr>
          <w:p w14:paraId="525A331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2.0</w:t>
            </w:r>
          </w:p>
        </w:tc>
        <w:tc>
          <w:tcPr>
            <w:tcW w:w="180" w:type="pct"/>
            <w:tcBorders>
              <w:tl2br w:val="nil"/>
              <w:tr2bl w:val="nil"/>
            </w:tcBorders>
            <w:vAlign w:val="center"/>
          </w:tcPr>
          <w:p w14:paraId="7F51DF7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0.1</w:t>
            </w:r>
          </w:p>
        </w:tc>
        <w:tc>
          <w:tcPr>
            <w:tcW w:w="172" w:type="pct"/>
            <w:tcBorders>
              <w:tl2br w:val="nil"/>
              <w:tr2bl w:val="nil"/>
            </w:tcBorders>
            <w:vAlign w:val="center"/>
          </w:tcPr>
          <w:p w14:paraId="3418094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1.0</w:t>
            </w:r>
          </w:p>
        </w:tc>
        <w:tc>
          <w:tcPr>
            <w:tcW w:w="134" w:type="pct"/>
            <w:tcBorders>
              <w:tl2br w:val="nil"/>
              <w:tr2bl w:val="nil"/>
            </w:tcBorders>
            <w:vAlign w:val="center"/>
          </w:tcPr>
          <w:p w14:paraId="42DA816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0.05</w:t>
            </w:r>
          </w:p>
        </w:tc>
        <w:tc>
          <w:tcPr>
            <w:tcW w:w="258" w:type="pct"/>
            <w:tcBorders>
              <w:tl2br w:val="nil"/>
              <w:tr2bl w:val="nil"/>
            </w:tcBorders>
            <w:vAlign w:val="center"/>
          </w:tcPr>
          <w:p w14:paraId="6F73896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bidi="ar-SA"/>
              </w:rPr>
              <w:t>0.001</w:t>
            </w:r>
          </w:p>
        </w:tc>
        <w:tc>
          <w:tcPr>
            <w:tcW w:w="209" w:type="pct"/>
            <w:tcBorders>
              <w:tl2br w:val="nil"/>
              <w:tr2bl w:val="nil"/>
            </w:tcBorders>
            <w:vAlign w:val="center"/>
          </w:tcPr>
          <w:p w14:paraId="7223242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0.02</w:t>
            </w:r>
          </w:p>
        </w:tc>
        <w:tc>
          <w:tcPr>
            <w:tcW w:w="219" w:type="pct"/>
            <w:tcBorders>
              <w:tl2br w:val="nil"/>
              <w:tr2bl w:val="nil"/>
            </w:tcBorders>
            <w:vAlign w:val="center"/>
          </w:tcPr>
          <w:p w14:paraId="379ABEE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bidi="ar-SA"/>
              </w:rPr>
              <w:t>0.1</w:t>
            </w:r>
          </w:p>
        </w:tc>
        <w:tc>
          <w:tcPr>
            <w:tcW w:w="134" w:type="pct"/>
            <w:tcBorders>
              <w:tl2br w:val="nil"/>
              <w:tr2bl w:val="nil"/>
            </w:tcBorders>
            <w:vAlign w:val="center"/>
          </w:tcPr>
          <w:p w14:paraId="3ABD6B3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0.02</w:t>
            </w:r>
          </w:p>
        </w:tc>
        <w:tc>
          <w:tcPr>
            <w:tcW w:w="134" w:type="pct"/>
            <w:tcBorders>
              <w:tl2br w:val="nil"/>
              <w:tr2bl w:val="nil"/>
            </w:tcBorders>
            <w:vAlign w:val="center"/>
          </w:tcPr>
          <w:p w14:paraId="41C5270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bookmarkStart w:id="1419" w:name="OLE_LINK477"/>
            <w:r>
              <w:rPr>
                <w:rFonts w:hint="eastAsia" w:ascii="Times New Roman" w:hAnsi="Times New Roman" w:eastAsia="宋体" w:cs="Times New Roman"/>
                <w:color w:val="auto"/>
                <w:sz w:val="18"/>
                <w:szCs w:val="18"/>
                <w:lang w:val="en-US" w:eastAsia="zh-CN"/>
              </w:rPr>
              <w:t>/</w:t>
            </w:r>
            <w:bookmarkEnd w:id="1419"/>
          </w:p>
        </w:tc>
        <w:tc>
          <w:tcPr>
            <w:tcW w:w="210" w:type="pct"/>
            <w:tcBorders>
              <w:tl2br w:val="nil"/>
              <w:tr2bl w:val="nil"/>
            </w:tcBorders>
            <w:vAlign w:val="center"/>
          </w:tcPr>
          <w:p w14:paraId="247ED5B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0.01</w:t>
            </w:r>
          </w:p>
        </w:tc>
        <w:tc>
          <w:tcPr>
            <w:tcW w:w="172" w:type="pct"/>
            <w:tcBorders>
              <w:tl2br w:val="nil"/>
              <w:tr2bl w:val="nil"/>
            </w:tcBorders>
            <w:vAlign w:val="center"/>
          </w:tcPr>
          <w:p w14:paraId="67424E4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0.2</w:t>
            </w:r>
          </w:p>
        </w:tc>
        <w:tc>
          <w:tcPr>
            <w:tcW w:w="172" w:type="pct"/>
            <w:tcBorders>
              <w:tl2br w:val="nil"/>
              <w:tr2bl w:val="nil"/>
            </w:tcBorders>
            <w:vAlign w:val="center"/>
          </w:tcPr>
          <w:p w14:paraId="11236C8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10</w:t>
            </w:r>
          </w:p>
        </w:tc>
        <w:tc>
          <w:tcPr>
            <w:tcW w:w="135" w:type="pct"/>
            <w:tcBorders>
              <w:tl2br w:val="nil"/>
              <w:tr2bl w:val="nil"/>
            </w:tcBorders>
            <w:vAlign w:val="center"/>
          </w:tcPr>
          <w:p w14:paraId="5641637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1.5</w:t>
            </w:r>
          </w:p>
        </w:tc>
        <w:tc>
          <w:tcPr>
            <w:tcW w:w="133" w:type="pct"/>
            <w:tcBorders>
              <w:tl2br w:val="nil"/>
              <w:tr2bl w:val="nil"/>
            </w:tcBorders>
            <w:vAlign w:val="center"/>
          </w:tcPr>
          <w:p w14:paraId="463DE44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0.3</w:t>
            </w:r>
          </w:p>
        </w:tc>
      </w:tr>
      <w:tr w14:paraId="3CA5A6E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355" w:type="pct"/>
            <w:gridSpan w:val="2"/>
            <w:tcBorders>
              <w:tl2br w:val="nil"/>
              <w:tr2bl w:val="nil"/>
            </w:tcBorders>
            <w:vAlign w:val="center"/>
          </w:tcPr>
          <w:p w14:paraId="042F341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检出限</w:t>
            </w:r>
          </w:p>
        </w:tc>
        <w:tc>
          <w:tcPr>
            <w:tcW w:w="159" w:type="pct"/>
            <w:tcBorders>
              <w:tl2br w:val="nil"/>
              <w:tr2bl w:val="nil"/>
            </w:tcBorders>
            <w:vAlign w:val="center"/>
          </w:tcPr>
          <w:p w14:paraId="7D4C6E1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w:t>
            </w:r>
          </w:p>
        </w:tc>
        <w:tc>
          <w:tcPr>
            <w:tcW w:w="157" w:type="pct"/>
            <w:tcBorders>
              <w:tl2br w:val="nil"/>
              <w:tr2bl w:val="nil"/>
            </w:tcBorders>
            <w:vAlign w:val="center"/>
          </w:tcPr>
          <w:p w14:paraId="40AB3F4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w:t>
            </w:r>
          </w:p>
        </w:tc>
        <w:tc>
          <w:tcPr>
            <w:tcW w:w="159" w:type="pct"/>
            <w:tcBorders>
              <w:tl2br w:val="nil"/>
              <w:tr2bl w:val="nil"/>
            </w:tcBorders>
            <w:vAlign w:val="center"/>
          </w:tcPr>
          <w:p w14:paraId="2B1D7E2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red"/>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w:t>
            </w:r>
          </w:p>
        </w:tc>
        <w:tc>
          <w:tcPr>
            <w:tcW w:w="145" w:type="pct"/>
            <w:tcBorders>
              <w:tl2br w:val="nil"/>
              <w:tr2bl w:val="nil"/>
            </w:tcBorders>
            <w:vAlign w:val="center"/>
          </w:tcPr>
          <w:p w14:paraId="054B15F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0.5</w:t>
            </w:r>
          </w:p>
        </w:tc>
        <w:tc>
          <w:tcPr>
            <w:tcW w:w="134" w:type="pct"/>
            <w:tcBorders>
              <w:tl2br w:val="nil"/>
              <w:tr2bl w:val="nil"/>
            </w:tcBorders>
            <w:vAlign w:val="center"/>
          </w:tcPr>
          <w:p w14:paraId="0C75889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4</w:t>
            </w:r>
          </w:p>
        </w:tc>
        <w:tc>
          <w:tcPr>
            <w:tcW w:w="140" w:type="pct"/>
            <w:tcBorders>
              <w:tl2br w:val="nil"/>
              <w:tr2bl w:val="nil"/>
            </w:tcBorders>
            <w:vAlign w:val="center"/>
          </w:tcPr>
          <w:p w14:paraId="13B79D3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0.05</w:t>
            </w:r>
          </w:p>
        </w:tc>
        <w:tc>
          <w:tcPr>
            <w:tcW w:w="180" w:type="pct"/>
            <w:tcBorders>
              <w:tl2br w:val="nil"/>
              <w:tr2bl w:val="nil"/>
            </w:tcBorders>
            <w:vAlign w:val="center"/>
          </w:tcPr>
          <w:p w14:paraId="7BA928A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0.025</w:t>
            </w:r>
          </w:p>
        </w:tc>
        <w:tc>
          <w:tcPr>
            <w:tcW w:w="228" w:type="pct"/>
            <w:tcBorders>
              <w:tl2br w:val="nil"/>
              <w:tr2bl w:val="nil"/>
            </w:tcBorders>
            <w:vAlign w:val="center"/>
          </w:tcPr>
          <w:p w14:paraId="0D9F481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0.01</w:t>
            </w:r>
          </w:p>
        </w:tc>
        <w:tc>
          <w:tcPr>
            <w:tcW w:w="140" w:type="pct"/>
            <w:tcBorders>
              <w:tl2br w:val="nil"/>
              <w:tr2bl w:val="nil"/>
            </w:tcBorders>
            <w:vAlign w:val="center"/>
          </w:tcPr>
          <w:p w14:paraId="7001D99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0.01</w:t>
            </w:r>
          </w:p>
        </w:tc>
        <w:tc>
          <w:tcPr>
            <w:tcW w:w="140" w:type="pct"/>
            <w:tcBorders>
              <w:tl2br w:val="nil"/>
              <w:tr2bl w:val="nil"/>
            </w:tcBorders>
            <w:vAlign w:val="center"/>
          </w:tcPr>
          <w:p w14:paraId="49682BB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0.01</w:t>
            </w:r>
          </w:p>
        </w:tc>
        <w:tc>
          <w:tcPr>
            <w:tcW w:w="299" w:type="pct"/>
            <w:tcBorders>
              <w:tl2br w:val="nil"/>
              <w:tr2bl w:val="nil"/>
            </w:tcBorders>
            <w:vAlign w:val="center"/>
          </w:tcPr>
          <w:p w14:paraId="293E20D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0.0001</w:t>
            </w:r>
          </w:p>
        </w:tc>
        <w:tc>
          <w:tcPr>
            <w:tcW w:w="172" w:type="pct"/>
            <w:tcBorders>
              <w:tl2br w:val="nil"/>
              <w:tr2bl w:val="nil"/>
            </w:tcBorders>
            <w:vAlign w:val="center"/>
          </w:tcPr>
          <w:p w14:paraId="39823E9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0.004</w:t>
            </w:r>
          </w:p>
        </w:tc>
        <w:tc>
          <w:tcPr>
            <w:tcW w:w="134" w:type="pct"/>
            <w:tcBorders>
              <w:tl2br w:val="nil"/>
              <w:tr2bl w:val="nil"/>
            </w:tcBorders>
            <w:vAlign w:val="center"/>
          </w:tcPr>
          <w:p w14:paraId="6EB2E08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0.03</w:t>
            </w:r>
          </w:p>
        </w:tc>
        <w:tc>
          <w:tcPr>
            <w:tcW w:w="180" w:type="pct"/>
            <w:tcBorders>
              <w:tl2br w:val="nil"/>
              <w:tr2bl w:val="nil"/>
            </w:tcBorders>
            <w:vAlign w:val="center"/>
          </w:tcPr>
          <w:p w14:paraId="356253B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0.004</w:t>
            </w:r>
          </w:p>
        </w:tc>
        <w:tc>
          <w:tcPr>
            <w:tcW w:w="180" w:type="pct"/>
            <w:tcBorders>
              <w:tl2br w:val="nil"/>
              <w:tr2bl w:val="nil"/>
            </w:tcBorders>
            <w:vAlign w:val="center"/>
          </w:tcPr>
          <w:p w14:paraId="5276D57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0.004</w:t>
            </w:r>
          </w:p>
        </w:tc>
        <w:tc>
          <w:tcPr>
            <w:tcW w:w="172" w:type="pct"/>
            <w:tcBorders>
              <w:tl2br w:val="nil"/>
              <w:tr2bl w:val="nil"/>
            </w:tcBorders>
            <w:vAlign w:val="center"/>
          </w:tcPr>
          <w:p w14:paraId="4A23848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0.006</w:t>
            </w:r>
          </w:p>
        </w:tc>
        <w:tc>
          <w:tcPr>
            <w:tcW w:w="134" w:type="pct"/>
            <w:tcBorders>
              <w:tl2br w:val="nil"/>
              <w:tr2bl w:val="nil"/>
            </w:tcBorders>
            <w:vAlign w:val="center"/>
          </w:tcPr>
          <w:p w14:paraId="2AC88C8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0.07</w:t>
            </w:r>
          </w:p>
        </w:tc>
        <w:tc>
          <w:tcPr>
            <w:tcW w:w="258" w:type="pct"/>
            <w:tcBorders>
              <w:tl2br w:val="nil"/>
              <w:tr2bl w:val="nil"/>
            </w:tcBorders>
            <w:vAlign w:val="center"/>
          </w:tcPr>
          <w:p w14:paraId="51CFA9D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0.00004</w:t>
            </w:r>
          </w:p>
        </w:tc>
        <w:tc>
          <w:tcPr>
            <w:tcW w:w="209" w:type="pct"/>
            <w:tcBorders>
              <w:tl2br w:val="nil"/>
              <w:tr2bl w:val="nil"/>
            </w:tcBorders>
            <w:vAlign w:val="center"/>
          </w:tcPr>
          <w:p w14:paraId="0233323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0.0004</w:t>
            </w:r>
          </w:p>
        </w:tc>
        <w:tc>
          <w:tcPr>
            <w:tcW w:w="219" w:type="pct"/>
            <w:tcBorders>
              <w:tl2br w:val="nil"/>
              <w:tr2bl w:val="nil"/>
            </w:tcBorders>
            <w:vAlign w:val="center"/>
          </w:tcPr>
          <w:p w14:paraId="12FAB42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0.0003</w:t>
            </w:r>
          </w:p>
        </w:tc>
        <w:tc>
          <w:tcPr>
            <w:tcW w:w="134" w:type="pct"/>
            <w:tcBorders>
              <w:tl2br w:val="nil"/>
              <w:tr2bl w:val="nil"/>
            </w:tcBorders>
            <w:vAlign w:val="center"/>
          </w:tcPr>
          <w:p w14:paraId="1179C91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0.02</w:t>
            </w:r>
          </w:p>
        </w:tc>
        <w:tc>
          <w:tcPr>
            <w:tcW w:w="134" w:type="pct"/>
            <w:tcBorders>
              <w:tl2br w:val="nil"/>
              <w:tr2bl w:val="nil"/>
            </w:tcBorders>
            <w:vAlign w:val="center"/>
          </w:tcPr>
          <w:p w14:paraId="2EB15C3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4</w:t>
            </w:r>
          </w:p>
        </w:tc>
        <w:tc>
          <w:tcPr>
            <w:tcW w:w="210" w:type="pct"/>
            <w:tcBorders>
              <w:tl2br w:val="nil"/>
              <w:tr2bl w:val="nil"/>
            </w:tcBorders>
            <w:vAlign w:val="center"/>
          </w:tcPr>
          <w:p w14:paraId="5343EFF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0.0003</w:t>
            </w:r>
          </w:p>
        </w:tc>
        <w:tc>
          <w:tcPr>
            <w:tcW w:w="172" w:type="pct"/>
            <w:tcBorders>
              <w:tl2br w:val="nil"/>
              <w:tr2bl w:val="nil"/>
            </w:tcBorders>
            <w:vAlign w:val="center"/>
          </w:tcPr>
          <w:p w14:paraId="3A851A1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0.001</w:t>
            </w:r>
          </w:p>
        </w:tc>
        <w:tc>
          <w:tcPr>
            <w:tcW w:w="172" w:type="pct"/>
            <w:tcBorders>
              <w:tl2br w:val="nil"/>
              <w:tr2bl w:val="nil"/>
            </w:tcBorders>
            <w:vAlign w:val="center"/>
          </w:tcPr>
          <w:p w14:paraId="520E3EF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0.125</w:t>
            </w:r>
          </w:p>
        </w:tc>
        <w:tc>
          <w:tcPr>
            <w:tcW w:w="135" w:type="pct"/>
            <w:tcBorders>
              <w:tl2br w:val="nil"/>
              <w:tr2bl w:val="nil"/>
            </w:tcBorders>
            <w:vAlign w:val="center"/>
          </w:tcPr>
          <w:p w14:paraId="52BB3CF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0.05</w:t>
            </w:r>
          </w:p>
        </w:tc>
        <w:tc>
          <w:tcPr>
            <w:tcW w:w="133" w:type="pct"/>
            <w:tcBorders>
              <w:tl2br w:val="nil"/>
              <w:tr2bl w:val="nil"/>
            </w:tcBorders>
            <w:vAlign w:val="center"/>
          </w:tcPr>
          <w:p w14:paraId="77819BA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0.05</w:t>
            </w:r>
          </w:p>
        </w:tc>
      </w:tr>
      <w:tr w14:paraId="385611B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restart"/>
            <w:tcBorders>
              <w:tl2br w:val="nil"/>
              <w:tr2bl w:val="nil"/>
            </w:tcBorders>
            <w:vAlign w:val="center"/>
          </w:tcPr>
          <w:p w14:paraId="66FA8FE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bookmarkStart w:id="1420" w:name="OLE_LINK383" w:colFirst="5" w:colLast="5"/>
            <w:bookmarkStart w:id="1421" w:name="OLE_LINK823" w:colFirst="5" w:colLast="5"/>
            <w:r>
              <w:rPr>
                <w:rFonts w:hint="default" w:ascii="Times New Roman" w:hAnsi="Times New Roman" w:cs="Times New Roman"/>
                <w:color w:val="auto"/>
                <w:kern w:val="2"/>
                <w:sz w:val="18"/>
                <w:szCs w:val="18"/>
                <w:highlight w:val="none"/>
                <w:lang w:val="en-US" w:eastAsia="zh-CN" w:bidi="ar-SA"/>
              </w:rPr>
              <w:t>W1-1</w:t>
            </w:r>
          </w:p>
        </w:tc>
        <w:tc>
          <w:tcPr>
            <w:tcW w:w="216" w:type="pct"/>
            <w:tcBorders>
              <w:tl2br w:val="nil"/>
              <w:tr2bl w:val="nil"/>
            </w:tcBorders>
            <w:vAlign w:val="center"/>
          </w:tcPr>
          <w:p w14:paraId="59FF247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最大值</w:t>
            </w:r>
          </w:p>
        </w:tc>
        <w:tc>
          <w:tcPr>
            <w:tcW w:w="159" w:type="pct"/>
            <w:tcBorders>
              <w:tl2br w:val="nil"/>
              <w:tr2bl w:val="nil"/>
            </w:tcBorders>
            <w:vAlign w:val="center"/>
          </w:tcPr>
          <w:p w14:paraId="7E26EB8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28.6</w:t>
            </w:r>
          </w:p>
        </w:tc>
        <w:tc>
          <w:tcPr>
            <w:tcW w:w="157" w:type="pct"/>
            <w:tcBorders>
              <w:tl2br w:val="nil"/>
              <w:tr2bl w:val="nil"/>
            </w:tcBorders>
            <w:vAlign w:val="center"/>
          </w:tcPr>
          <w:p w14:paraId="1A2D6FA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7.8</w:t>
            </w:r>
          </w:p>
        </w:tc>
        <w:tc>
          <w:tcPr>
            <w:tcW w:w="159" w:type="pct"/>
            <w:tcBorders>
              <w:tl2br w:val="nil"/>
              <w:tr2bl w:val="nil"/>
            </w:tcBorders>
            <w:vAlign w:val="center"/>
          </w:tcPr>
          <w:p w14:paraId="07807F8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5.8</w:t>
            </w:r>
          </w:p>
        </w:tc>
        <w:tc>
          <w:tcPr>
            <w:tcW w:w="145" w:type="pct"/>
            <w:tcBorders>
              <w:tl2br w:val="nil"/>
              <w:tr2bl w:val="nil"/>
            </w:tcBorders>
            <w:vAlign w:val="center"/>
          </w:tcPr>
          <w:p w14:paraId="5DB0B35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2.7</w:t>
            </w:r>
          </w:p>
        </w:tc>
        <w:tc>
          <w:tcPr>
            <w:tcW w:w="134" w:type="pct"/>
            <w:tcBorders>
              <w:tl2br w:val="nil"/>
              <w:tr2bl w:val="nil"/>
            </w:tcBorders>
            <w:vAlign w:val="center"/>
          </w:tcPr>
          <w:p w14:paraId="49621D5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13</w:t>
            </w:r>
          </w:p>
        </w:tc>
        <w:tc>
          <w:tcPr>
            <w:tcW w:w="140" w:type="pct"/>
            <w:tcBorders>
              <w:tl2br w:val="nil"/>
              <w:tr2bl w:val="nil"/>
            </w:tcBorders>
            <w:vAlign w:val="center"/>
          </w:tcPr>
          <w:p w14:paraId="27B0E53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1.71</w:t>
            </w:r>
          </w:p>
        </w:tc>
        <w:tc>
          <w:tcPr>
            <w:tcW w:w="180" w:type="pct"/>
            <w:tcBorders>
              <w:tl2br w:val="nil"/>
              <w:tr2bl w:val="nil"/>
            </w:tcBorders>
            <w:vAlign w:val="center"/>
          </w:tcPr>
          <w:p w14:paraId="00F80A5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0.463</w:t>
            </w:r>
          </w:p>
        </w:tc>
        <w:tc>
          <w:tcPr>
            <w:tcW w:w="228" w:type="pct"/>
            <w:tcBorders>
              <w:tl2br w:val="nil"/>
              <w:tr2bl w:val="nil"/>
            </w:tcBorders>
            <w:vAlign w:val="center"/>
          </w:tcPr>
          <w:p w14:paraId="09594E5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0.07</w:t>
            </w:r>
          </w:p>
        </w:tc>
        <w:tc>
          <w:tcPr>
            <w:tcW w:w="140" w:type="pct"/>
            <w:tcBorders>
              <w:tl2br w:val="nil"/>
              <w:tr2bl w:val="nil"/>
            </w:tcBorders>
            <w:vAlign w:val="center"/>
          </w:tcPr>
          <w:p w14:paraId="10DAD00E">
            <w:pPr>
              <w:keepNext w:val="0"/>
              <w:keepLines w:val="0"/>
              <w:pageBreakBefore w:val="0"/>
              <w:widowControl/>
              <w:suppressLineNumbers w:val="0"/>
              <w:kinsoku w:val="0"/>
              <w:wordWrap/>
              <w:overflowPunct/>
              <w:topLinePunct w:val="0"/>
              <w:autoSpaceDE w:val="0"/>
              <w:autoSpaceDN w:val="0"/>
              <w:bidi w:val="0"/>
              <w:adjustRightInd w:val="0"/>
              <w:snapToGrid w:val="0"/>
              <w:jc w:val="right"/>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0.04</w:t>
            </w:r>
          </w:p>
        </w:tc>
        <w:tc>
          <w:tcPr>
            <w:tcW w:w="140" w:type="pct"/>
            <w:tcBorders>
              <w:tl2br w:val="nil"/>
              <w:tr2bl w:val="nil"/>
            </w:tcBorders>
            <w:vAlign w:val="center"/>
          </w:tcPr>
          <w:p w14:paraId="54FEBC88">
            <w:pPr>
              <w:keepNext w:val="0"/>
              <w:keepLines w:val="0"/>
              <w:pageBreakBefore w:val="0"/>
              <w:widowControl/>
              <w:suppressLineNumbers w:val="0"/>
              <w:kinsoku w:val="0"/>
              <w:wordWrap/>
              <w:overflowPunct/>
              <w:topLinePunct w:val="0"/>
              <w:autoSpaceDE w:val="0"/>
              <w:autoSpaceDN w:val="0"/>
              <w:bidi w:val="0"/>
              <w:adjustRightInd w:val="0"/>
              <w:snapToGrid w:val="0"/>
              <w:jc w:val="right"/>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0.02</w:t>
            </w:r>
          </w:p>
        </w:tc>
        <w:tc>
          <w:tcPr>
            <w:tcW w:w="299" w:type="pct"/>
            <w:tcBorders>
              <w:tl2br w:val="nil"/>
              <w:tr2bl w:val="nil"/>
            </w:tcBorders>
            <w:vAlign w:val="center"/>
          </w:tcPr>
          <w:p w14:paraId="172632D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0.00114</w:t>
            </w:r>
          </w:p>
        </w:tc>
        <w:tc>
          <w:tcPr>
            <w:tcW w:w="172" w:type="pct"/>
            <w:tcBorders>
              <w:tl2br w:val="nil"/>
              <w:tr2bl w:val="nil"/>
            </w:tcBorders>
            <w:vAlign w:val="center"/>
          </w:tcPr>
          <w:p w14:paraId="6681F58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418EE01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vAlign w:val="center"/>
          </w:tcPr>
          <w:p w14:paraId="7D9EBBA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vAlign w:val="center"/>
          </w:tcPr>
          <w:p w14:paraId="13E9623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2586C97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0.008</w:t>
            </w:r>
          </w:p>
        </w:tc>
        <w:tc>
          <w:tcPr>
            <w:tcW w:w="134" w:type="pct"/>
            <w:tcBorders>
              <w:tl2br w:val="nil"/>
              <w:tr2bl w:val="nil"/>
            </w:tcBorders>
            <w:vAlign w:val="center"/>
          </w:tcPr>
          <w:p w14:paraId="55C9720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vAlign w:val="center"/>
          </w:tcPr>
          <w:p w14:paraId="00C951D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i w:val="0"/>
                <w:iCs w:val="0"/>
                <w:snapToGrid w:val="0"/>
                <w:color w:val="auto"/>
                <w:kern w:val="0"/>
                <w:sz w:val="18"/>
                <w:szCs w:val="18"/>
                <w:highlight w:val="none"/>
                <w:u w:val="none"/>
                <w:lang w:val="en-US" w:eastAsia="zh-CN" w:bidi="ar"/>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0.00032</w:t>
            </w:r>
          </w:p>
        </w:tc>
        <w:tc>
          <w:tcPr>
            <w:tcW w:w="209" w:type="pct"/>
            <w:tcBorders>
              <w:tl2br w:val="nil"/>
              <w:tr2bl w:val="nil"/>
            </w:tcBorders>
            <w:vAlign w:val="center"/>
          </w:tcPr>
          <w:p w14:paraId="1E72C03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vAlign w:val="center"/>
          </w:tcPr>
          <w:p w14:paraId="28D965C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0.0012</w:t>
            </w:r>
          </w:p>
        </w:tc>
        <w:tc>
          <w:tcPr>
            <w:tcW w:w="134" w:type="pct"/>
            <w:tcBorders>
              <w:tl2br w:val="nil"/>
              <w:tr2bl w:val="nil"/>
            </w:tcBorders>
            <w:vAlign w:val="center"/>
          </w:tcPr>
          <w:p w14:paraId="2F93D80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0F26692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27</w:t>
            </w:r>
          </w:p>
        </w:tc>
        <w:tc>
          <w:tcPr>
            <w:tcW w:w="210" w:type="pct"/>
            <w:tcBorders>
              <w:tl2br w:val="nil"/>
              <w:tr2bl w:val="nil"/>
            </w:tcBorders>
            <w:vAlign w:val="center"/>
          </w:tcPr>
          <w:p w14:paraId="39A608D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387DE33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77988BA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2.4</w:t>
            </w:r>
          </w:p>
        </w:tc>
        <w:tc>
          <w:tcPr>
            <w:tcW w:w="135" w:type="pct"/>
            <w:tcBorders>
              <w:tl2br w:val="nil"/>
              <w:tr2bl w:val="nil"/>
            </w:tcBorders>
            <w:vAlign w:val="center"/>
          </w:tcPr>
          <w:p w14:paraId="23FDA70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0.29</w:t>
            </w:r>
          </w:p>
        </w:tc>
        <w:tc>
          <w:tcPr>
            <w:tcW w:w="133" w:type="pct"/>
            <w:tcBorders>
              <w:tl2br w:val="nil"/>
              <w:tr2bl w:val="nil"/>
            </w:tcBorders>
            <w:vAlign w:val="center"/>
          </w:tcPr>
          <w:p w14:paraId="0319A41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r>
      <w:tr w14:paraId="1A6F112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139" w:type="pct"/>
            <w:vMerge w:val="continue"/>
            <w:tcBorders>
              <w:tl2br w:val="nil"/>
              <w:tr2bl w:val="nil"/>
            </w:tcBorders>
            <w:vAlign w:val="center"/>
          </w:tcPr>
          <w:p w14:paraId="2F65025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vAlign w:val="center"/>
          </w:tcPr>
          <w:p w14:paraId="175CC83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最小值</w:t>
            </w:r>
          </w:p>
        </w:tc>
        <w:tc>
          <w:tcPr>
            <w:tcW w:w="159" w:type="pct"/>
            <w:tcBorders>
              <w:tl2br w:val="nil"/>
              <w:tr2bl w:val="nil"/>
            </w:tcBorders>
            <w:vAlign w:val="center"/>
          </w:tcPr>
          <w:p w14:paraId="4F79115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28.2</w:t>
            </w:r>
          </w:p>
        </w:tc>
        <w:tc>
          <w:tcPr>
            <w:tcW w:w="157" w:type="pct"/>
            <w:tcBorders>
              <w:tl2br w:val="nil"/>
              <w:tr2bl w:val="nil"/>
            </w:tcBorders>
            <w:vAlign w:val="center"/>
          </w:tcPr>
          <w:p w14:paraId="09070D2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7.7</w:t>
            </w:r>
          </w:p>
        </w:tc>
        <w:tc>
          <w:tcPr>
            <w:tcW w:w="159" w:type="pct"/>
            <w:tcBorders>
              <w:tl2br w:val="nil"/>
              <w:tr2bl w:val="nil"/>
            </w:tcBorders>
            <w:vAlign w:val="center"/>
          </w:tcPr>
          <w:p w14:paraId="6A4122E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5.6</w:t>
            </w:r>
          </w:p>
        </w:tc>
        <w:tc>
          <w:tcPr>
            <w:tcW w:w="145" w:type="pct"/>
            <w:tcBorders>
              <w:tl2br w:val="nil"/>
              <w:tr2bl w:val="nil"/>
            </w:tcBorders>
            <w:vAlign w:val="center"/>
          </w:tcPr>
          <w:p w14:paraId="09CBBA0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1.8</w:t>
            </w:r>
          </w:p>
        </w:tc>
        <w:tc>
          <w:tcPr>
            <w:tcW w:w="134" w:type="pct"/>
            <w:tcBorders>
              <w:tl2br w:val="nil"/>
              <w:tr2bl w:val="nil"/>
            </w:tcBorders>
            <w:vAlign w:val="center"/>
          </w:tcPr>
          <w:p w14:paraId="6D2DF82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140" w:type="pct"/>
            <w:tcBorders>
              <w:tl2br w:val="nil"/>
              <w:tr2bl w:val="nil"/>
            </w:tcBorders>
            <w:vAlign w:val="center"/>
          </w:tcPr>
          <w:p w14:paraId="2CE4033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1.59</w:t>
            </w:r>
          </w:p>
        </w:tc>
        <w:tc>
          <w:tcPr>
            <w:tcW w:w="180" w:type="pct"/>
            <w:tcBorders>
              <w:tl2br w:val="nil"/>
              <w:tr2bl w:val="nil"/>
            </w:tcBorders>
            <w:vAlign w:val="center"/>
          </w:tcPr>
          <w:p w14:paraId="3EA600F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0.427</w:t>
            </w:r>
          </w:p>
        </w:tc>
        <w:tc>
          <w:tcPr>
            <w:tcW w:w="228" w:type="pct"/>
            <w:tcBorders>
              <w:tl2br w:val="nil"/>
              <w:tr2bl w:val="nil"/>
            </w:tcBorders>
            <w:vAlign w:val="center"/>
          </w:tcPr>
          <w:p w14:paraId="2FA872F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0.05</w:t>
            </w:r>
          </w:p>
        </w:tc>
        <w:tc>
          <w:tcPr>
            <w:tcW w:w="140" w:type="pct"/>
            <w:tcBorders>
              <w:tl2br w:val="nil"/>
              <w:tr2bl w:val="nil"/>
            </w:tcBorders>
            <w:vAlign w:val="center"/>
          </w:tcPr>
          <w:p w14:paraId="62E4F4CF">
            <w:pPr>
              <w:keepNext w:val="0"/>
              <w:keepLines w:val="0"/>
              <w:pageBreakBefore w:val="0"/>
              <w:widowControl/>
              <w:suppressLineNumbers w:val="0"/>
              <w:kinsoku w:val="0"/>
              <w:wordWrap/>
              <w:overflowPunct/>
              <w:topLinePunct w:val="0"/>
              <w:autoSpaceDE w:val="0"/>
              <w:autoSpaceDN w:val="0"/>
              <w:bidi w:val="0"/>
              <w:adjustRightInd w:val="0"/>
              <w:snapToGrid w:val="0"/>
              <w:jc w:val="right"/>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0.03</w:t>
            </w:r>
          </w:p>
        </w:tc>
        <w:tc>
          <w:tcPr>
            <w:tcW w:w="140" w:type="pct"/>
            <w:tcBorders>
              <w:tl2br w:val="nil"/>
              <w:tr2bl w:val="nil"/>
            </w:tcBorders>
            <w:vAlign w:val="center"/>
          </w:tcPr>
          <w:p w14:paraId="1D9D43B8">
            <w:pPr>
              <w:keepNext w:val="0"/>
              <w:keepLines w:val="0"/>
              <w:pageBreakBefore w:val="0"/>
              <w:widowControl/>
              <w:suppressLineNumbers w:val="0"/>
              <w:kinsoku w:val="0"/>
              <w:wordWrap/>
              <w:overflowPunct/>
              <w:topLinePunct w:val="0"/>
              <w:autoSpaceDE w:val="0"/>
              <w:autoSpaceDN w:val="0"/>
              <w:bidi w:val="0"/>
              <w:adjustRightInd w:val="0"/>
              <w:snapToGrid w:val="0"/>
              <w:jc w:val="right"/>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0.01</w:t>
            </w:r>
          </w:p>
        </w:tc>
        <w:tc>
          <w:tcPr>
            <w:tcW w:w="299" w:type="pct"/>
            <w:tcBorders>
              <w:tl2br w:val="nil"/>
              <w:tr2bl w:val="nil"/>
            </w:tcBorders>
            <w:vAlign w:val="center"/>
          </w:tcPr>
          <w:p w14:paraId="734D9A0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0.00104</w:t>
            </w:r>
          </w:p>
        </w:tc>
        <w:tc>
          <w:tcPr>
            <w:tcW w:w="172" w:type="pct"/>
            <w:tcBorders>
              <w:tl2br w:val="nil"/>
              <w:tr2bl w:val="nil"/>
            </w:tcBorders>
            <w:vAlign w:val="center"/>
          </w:tcPr>
          <w:p w14:paraId="46F91D2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026F9C7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vAlign w:val="center"/>
          </w:tcPr>
          <w:p w14:paraId="3DF3089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vAlign w:val="center"/>
          </w:tcPr>
          <w:p w14:paraId="0CD93E2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1D457F9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6DE5A4A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vAlign w:val="center"/>
          </w:tcPr>
          <w:p w14:paraId="4ADB794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i w:val="0"/>
                <w:iCs w:val="0"/>
                <w:snapToGrid w:val="0"/>
                <w:color w:val="auto"/>
                <w:kern w:val="0"/>
                <w:sz w:val="18"/>
                <w:szCs w:val="18"/>
                <w:highlight w:val="none"/>
                <w:u w:val="none"/>
                <w:lang w:val="en-US" w:eastAsia="zh-CN" w:bidi="ar"/>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0.00024</w:t>
            </w:r>
          </w:p>
        </w:tc>
        <w:tc>
          <w:tcPr>
            <w:tcW w:w="209" w:type="pct"/>
            <w:tcBorders>
              <w:tl2br w:val="nil"/>
              <w:tr2bl w:val="nil"/>
            </w:tcBorders>
            <w:vAlign w:val="center"/>
          </w:tcPr>
          <w:p w14:paraId="6F4577C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vAlign w:val="center"/>
          </w:tcPr>
          <w:p w14:paraId="74D5183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0.0012</w:t>
            </w:r>
          </w:p>
        </w:tc>
        <w:tc>
          <w:tcPr>
            <w:tcW w:w="134" w:type="pct"/>
            <w:tcBorders>
              <w:tl2br w:val="nil"/>
              <w:tr2bl w:val="nil"/>
            </w:tcBorders>
            <w:vAlign w:val="center"/>
          </w:tcPr>
          <w:p w14:paraId="3F28C5C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606F9EE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24</w:t>
            </w:r>
          </w:p>
        </w:tc>
        <w:tc>
          <w:tcPr>
            <w:tcW w:w="210" w:type="pct"/>
            <w:tcBorders>
              <w:tl2br w:val="nil"/>
              <w:tr2bl w:val="nil"/>
            </w:tcBorders>
            <w:vAlign w:val="center"/>
          </w:tcPr>
          <w:p w14:paraId="7E19610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5C859B2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1DE8F1E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2.2</w:t>
            </w:r>
          </w:p>
        </w:tc>
        <w:tc>
          <w:tcPr>
            <w:tcW w:w="135" w:type="pct"/>
            <w:tcBorders>
              <w:tl2br w:val="nil"/>
              <w:tr2bl w:val="nil"/>
            </w:tcBorders>
            <w:vAlign w:val="center"/>
          </w:tcPr>
          <w:p w14:paraId="7C48483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0.23</w:t>
            </w:r>
          </w:p>
        </w:tc>
        <w:tc>
          <w:tcPr>
            <w:tcW w:w="133" w:type="pct"/>
            <w:tcBorders>
              <w:tl2br w:val="nil"/>
              <w:tr2bl w:val="nil"/>
            </w:tcBorders>
            <w:vAlign w:val="center"/>
          </w:tcPr>
          <w:p w14:paraId="7EFDE28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20"/>
      <w:tr w14:paraId="2F69859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vAlign w:val="center"/>
          </w:tcPr>
          <w:p w14:paraId="46180EF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vAlign w:val="center"/>
          </w:tcPr>
          <w:p w14:paraId="2D269EC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平均浓度</w:t>
            </w:r>
          </w:p>
        </w:tc>
        <w:tc>
          <w:tcPr>
            <w:tcW w:w="159" w:type="pct"/>
            <w:tcBorders>
              <w:tl2br w:val="nil"/>
              <w:tr2bl w:val="nil"/>
            </w:tcBorders>
            <w:shd w:val="clear" w:color="auto" w:fill="auto"/>
            <w:vAlign w:val="center"/>
          </w:tcPr>
          <w:p w14:paraId="6B7B609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i w:val="0"/>
                <w:iCs w:val="0"/>
                <w:snapToGrid w:val="0"/>
                <w:color w:val="auto"/>
                <w:kern w:val="0"/>
                <w:sz w:val="18"/>
                <w:szCs w:val="18"/>
                <w:u w:val="none"/>
                <w:lang w:val="en-US" w:eastAsia="en-US" w:bidi="ar-SA"/>
              </w:rPr>
            </w:pPr>
            <w:r>
              <w:rPr>
                <w:rFonts w:hint="default" w:ascii="Times New Roman" w:hAnsi="Times New Roman" w:eastAsia="宋体" w:cs="Times New Roman"/>
                <w:color w:val="auto"/>
                <w:sz w:val="18"/>
                <w:szCs w:val="18"/>
                <w:lang w:val="en-US" w:eastAsia="zh-CN"/>
              </w:rPr>
              <w:t xml:space="preserve">28.4 </w:t>
            </w:r>
          </w:p>
        </w:tc>
        <w:tc>
          <w:tcPr>
            <w:tcW w:w="157" w:type="pct"/>
            <w:tcBorders>
              <w:tl2br w:val="nil"/>
              <w:tr2bl w:val="nil"/>
            </w:tcBorders>
            <w:vAlign w:val="center"/>
          </w:tcPr>
          <w:p w14:paraId="4693CF1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7.7</w:t>
            </w:r>
          </w:p>
        </w:tc>
        <w:tc>
          <w:tcPr>
            <w:tcW w:w="159" w:type="pct"/>
            <w:tcBorders>
              <w:tl2br w:val="nil"/>
              <w:tr2bl w:val="nil"/>
            </w:tcBorders>
            <w:vAlign w:val="center"/>
          </w:tcPr>
          <w:p w14:paraId="5CDCFFD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5.7</w:t>
            </w:r>
          </w:p>
        </w:tc>
        <w:tc>
          <w:tcPr>
            <w:tcW w:w="145" w:type="pct"/>
            <w:tcBorders>
              <w:tl2br w:val="nil"/>
              <w:tr2bl w:val="nil"/>
            </w:tcBorders>
            <w:vAlign w:val="center"/>
          </w:tcPr>
          <w:p w14:paraId="6B80275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2.4</w:t>
            </w:r>
          </w:p>
        </w:tc>
        <w:tc>
          <w:tcPr>
            <w:tcW w:w="134" w:type="pct"/>
            <w:tcBorders>
              <w:tl2br w:val="nil"/>
              <w:tr2bl w:val="nil"/>
            </w:tcBorders>
            <w:vAlign w:val="center"/>
          </w:tcPr>
          <w:p w14:paraId="4CE6E79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11</w:t>
            </w:r>
          </w:p>
        </w:tc>
        <w:tc>
          <w:tcPr>
            <w:tcW w:w="140" w:type="pct"/>
            <w:tcBorders>
              <w:tl2br w:val="nil"/>
              <w:tr2bl w:val="nil"/>
            </w:tcBorders>
            <w:vAlign w:val="center"/>
          </w:tcPr>
          <w:p w14:paraId="09E8EDD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1.64</w:t>
            </w:r>
          </w:p>
        </w:tc>
        <w:tc>
          <w:tcPr>
            <w:tcW w:w="180" w:type="pct"/>
            <w:tcBorders>
              <w:tl2br w:val="nil"/>
              <w:tr2bl w:val="nil"/>
            </w:tcBorders>
            <w:vAlign w:val="center"/>
          </w:tcPr>
          <w:p w14:paraId="06E3F6B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0.448</w:t>
            </w:r>
          </w:p>
        </w:tc>
        <w:tc>
          <w:tcPr>
            <w:tcW w:w="228" w:type="pct"/>
            <w:tcBorders>
              <w:tl2br w:val="nil"/>
              <w:tr2bl w:val="nil"/>
            </w:tcBorders>
            <w:vAlign w:val="center"/>
          </w:tcPr>
          <w:p w14:paraId="2D1BD92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0.06 </w:t>
            </w:r>
          </w:p>
        </w:tc>
        <w:tc>
          <w:tcPr>
            <w:tcW w:w="140" w:type="pct"/>
            <w:tcBorders>
              <w:tl2br w:val="nil"/>
              <w:tr2bl w:val="nil"/>
            </w:tcBorders>
            <w:vAlign w:val="center"/>
          </w:tcPr>
          <w:p w14:paraId="72C59503">
            <w:pPr>
              <w:keepNext w:val="0"/>
              <w:keepLines w:val="0"/>
              <w:pageBreakBefore w:val="0"/>
              <w:widowControl/>
              <w:suppressLineNumbers w:val="0"/>
              <w:kinsoku w:val="0"/>
              <w:wordWrap/>
              <w:overflowPunct/>
              <w:topLinePunct w:val="0"/>
              <w:autoSpaceDE w:val="0"/>
              <w:autoSpaceDN w:val="0"/>
              <w:bidi w:val="0"/>
              <w:adjustRightInd w:val="0"/>
              <w:snapToGrid w:val="0"/>
              <w:jc w:val="right"/>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40" w:type="pct"/>
            <w:tcBorders>
              <w:tl2br w:val="nil"/>
              <w:tr2bl w:val="nil"/>
            </w:tcBorders>
            <w:vAlign w:val="center"/>
          </w:tcPr>
          <w:p w14:paraId="2179D33F">
            <w:pPr>
              <w:keepNext w:val="0"/>
              <w:keepLines w:val="0"/>
              <w:pageBreakBefore w:val="0"/>
              <w:widowControl/>
              <w:suppressLineNumbers w:val="0"/>
              <w:kinsoku w:val="0"/>
              <w:wordWrap/>
              <w:overflowPunct/>
              <w:topLinePunct w:val="0"/>
              <w:autoSpaceDE w:val="0"/>
              <w:autoSpaceDN w:val="0"/>
              <w:bidi w:val="0"/>
              <w:adjustRightInd w:val="0"/>
              <w:snapToGrid w:val="0"/>
              <w:jc w:val="right"/>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299" w:type="pct"/>
            <w:tcBorders>
              <w:tl2br w:val="nil"/>
              <w:tr2bl w:val="nil"/>
            </w:tcBorders>
            <w:vAlign w:val="center"/>
          </w:tcPr>
          <w:p w14:paraId="37F96C0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0.00111</w:t>
            </w:r>
          </w:p>
        </w:tc>
        <w:tc>
          <w:tcPr>
            <w:tcW w:w="172" w:type="pct"/>
            <w:tcBorders>
              <w:tl2br w:val="nil"/>
              <w:tr2bl w:val="nil"/>
            </w:tcBorders>
            <w:vAlign w:val="center"/>
          </w:tcPr>
          <w:p w14:paraId="1DFD331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4183EFD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vAlign w:val="center"/>
          </w:tcPr>
          <w:p w14:paraId="07BD5F5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vAlign w:val="center"/>
          </w:tcPr>
          <w:p w14:paraId="068B78C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44DFA6F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134" w:type="pct"/>
            <w:tcBorders>
              <w:tl2br w:val="nil"/>
              <w:tr2bl w:val="nil"/>
            </w:tcBorders>
            <w:vAlign w:val="center"/>
          </w:tcPr>
          <w:p w14:paraId="2ADB412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vAlign w:val="center"/>
          </w:tcPr>
          <w:p w14:paraId="08EB6D4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i w:val="0"/>
                <w:iCs w:val="0"/>
                <w:snapToGrid w:val="0"/>
                <w:color w:val="auto"/>
                <w:kern w:val="0"/>
                <w:sz w:val="18"/>
                <w:szCs w:val="18"/>
                <w:highlight w:val="none"/>
                <w:u w:val="none"/>
                <w:lang w:val="en-US" w:eastAsia="zh-CN" w:bidi="ar"/>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0.00 29 </w:t>
            </w:r>
          </w:p>
        </w:tc>
        <w:tc>
          <w:tcPr>
            <w:tcW w:w="209" w:type="pct"/>
            <w:tcBorders>
              <w:tl2br w:val="nil"/>
              <w:tr2bl w:val="nil"/>
            </w:tcBorders>
            <w:vAlign w:val="center"/>
          </w:tcPr>
          <w:p w14:paraId="0855FB5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vAlign w:val="center"/>
          </w:tcPr>
          <w:p w14:paraId="0F4E5D8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0.0012 </w:t>
            </w:r>
          </w:p>
        </w:tc>
        <w:tc>
          <w:tcPr>
            <w:tcW w:w="134" w:type="pct"/>
            <w:tcBorders>
              <w:tl2br w:val="nil"/>
              <w:tr2bl w:val="nil"/>
            </w:tcBorders>
            <w:vAlign w:val="center"/>
          </w:tcPr>
          <w:p w14:paraId="520B344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6E6B43E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25</w:t>
            </w:r>
          </w:p>
        </w:tc>
        <w:tc>
          <w:tcPr>
            <w:tcW w:w="210" w:type="pct"/>
            <w:tcBorders>
              <w:tl2br w:val="nil"/>
              <w:tr2bl w:val="nil"/>
            </w:tcBorders>
            <w:vAlign w:val="center"/>
          </w:tcPr>
          <w:p w14:paraId="27B4EB7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6337D79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6E72450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2.3</w:t>
            </w:r>
          </w:p>
        </w:tc>
        <w:tc>
          <w:tcPr>
            <w:tcW w:w="135" w:type="pct"/>
            <w:tcBorders>
              <w:tl2br w:val="nil"/>
              <w:tr2bl w:val="nil"/>
            </w:tcBorders>
            <w:vAlign w:val="center"/>
          </w:tcPr>
          <w:p w14:paraId="104BCCA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0.26</w:t>
            </w:r>
          </w:p>
        </w:tc>
        <w:tc>
          <w:tcPr>
            <w:tcW w:w="133" w:type="pct"/>
            <w:tcBorders>
              <w:tl2br w:val="nil"/>
              <w:tr2bl w:val="nil"/>
            </w:tcBorders>
            <w:vAlign w:val="center"/>
          </w:tcPr>
          <w:p w14:paraId="34C779B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21"/>
      <w:tr w14:paraId="6D88D7B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extDirection w:val="tbRlV"/>
            <w:vAlign w:val="center"/>
          </w:tcPr>
          <w:p w14:paraId="03798A4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vAlign w:val="center"/>
          </w:tcPr>
          <w:p w14:paraId="01CD43F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最大单因子指数</w:t>
            </w:r>
          </w:p>
        </w:tc>
        <w:tc>
          <w:tcPr>
            <w:tcW w:w="159" w:type="pct"/>
            <w:tcBorders>
              <w:tl2br w:val="nil"/>
              <w:tr2bl w:val="nil"/>
            </w:tcBorders>
            <w:vAlign w:val="center"/>
          </w:tcPr>
          <w:p w14:paraId="6CEEF96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w:t>
            </w:r>
          </w:p>
        </w:tc>
        <w:tc>
          <w:tcPr>
            <w:tcW w:w="157" w:type="pct"/>
            <w:tcBorders>
              <w:tl2br w:val="nil"/>
              <w:tr2bl w:val="nil"/>
            </w:tcBorders>
            <w:vAlign w:val="center"/>
          </w:tcPr>
          <w:p w14:paraId="7162F98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w:t>
            </w:r>
            <w:r>
              <w:rPr>
                <w:rFonts w:hint="eastAsia" w:ascii="Times New Roman" w:hAnsi="Times New Roman" w:eastAsia="宋体" w:cs="Times New Roman"/>
                <w:i w:val="0"/>
                <w:iCs w:val="0"/>
                <w:snapToGrid w:val="0"/>
                <w:color w:val="auto"/>
                <w:kern w:val="0"/>
                <w:sz w:val="18"/>
                <w:szCs w:val="18"/>
                <w:u w:val="none"/>
                <w:lang w:val="en-US" w:eastAsia="zh-CN" w:bidi="ar"/>
              </w:rPr>
              <w:t>4</w:t>
            </w:r>
          </w:p>
        </w:tc>
        <w:tc>
          <w:tcPr>
            <w:tcW w:w="159" w:type="pct"/>
            <w:tcBorders>
              <w:tl2br w:val="nil"/>
              <w:tr2bl w:val="nil"/>
            </w:tcBorders>
            <w:vAlign w:val="center"/>
          </w:tcPr>
          <w:p w14:paraId="32E0A33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w:t>
            </w:r>
            <w:r>
              <w:rPr>
                <w:rFonts w:hint="eastAsia" w:ascii="Times New Roman" w:hAnsi="Times New Roman" w:eastAsia="宋体" w:cs="Times New Roman"/>
                <w:i w:val="0"/>
                <w:iCs w:val="0"/>
                <w:snapToGrid w:val="0"/>
                <w:color w:val="auto"/>
                <w:kern w:val="0"/>
                <w:sz w:val="18"/>
                <w:szCs w:val="18"/>
                <w:u w:val="none"/>
                <w:lang w:val="en-US" w:eastAsia="zh-CN" w:bidi="ar"/>
              </w:rPr>
              <w:t>42</w:t>
            </w:r>
            <w:r>
              <w:rPr>
                <w:rFonts w:hint="default" w:ascii="Times New Roman" w:hAnsi="Times New Roman" w:eastAsia="宋体" w:cs="Times New Roman"/>
                <w:i w:val="0"/>
                <w:iCs w:val="0"/>
                <w:snapToGrid w:val="0"/>
                <w:color w:val="auto"/>
                <w:kern w:val="0"/>
                <w:sz w:val="18"/>
                <w:szCs w:val="18"/>
                <w:u w:val="none"/>
                <w:lang w:val="en-US" w:eastAsia="zh-CN" w:bidi="ar"/>
              </w:rPr>
              <w:t xml:space="preserve"> </w:t>
            </w:r>
          </w:p>
        </w:tc>
        <w:tc>
          <w:tcPr>
            <w:tcW w:w="145" w:type="pct"/>
            <w:tcBorders>
              <w:tl2br w:val="nil"/>
              <w:tr2bl w:val="nil"/>
            </w:tcBorders>
            <w:vAlign w:val="center"/>
          </w:tcPr>
          <w:p w14:paraId="2D62AA5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45</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vAlign w:val="center"/>
          </w:tcPr>
          <w:p w14:paraId="6F594B0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w:t>
            </w:r>
            <w:r>
              <w:rPr>
                <w:rFonts w:hint="eastAsia" w:ascii="Times New Roman" w:hAnsi="Times New Roman" w:eastAsia="宋体" w:cs="Times New Roman"/>
                <w:i w:val="0"/>
                <w:iCs w:val="0"/>
                <w:snapToGrid w:val="0"/>
                <w:color w:val="auto"/>
                <w:kern w:val="0"/>
                <w:sz w:val="18"/>
                <w:szCs w:val="18"/>
                <w:u w:val="none"/>
                <w:lang w:val="en-US" w:eastAsia="zh-CN" w:bidi="ar"/>
              </w:rPr>
              <w:t>43</w:t>
            </w:r>
            <w:r>
              <w:rPr>
                <w:rFonts w:hint="default" w:ascii="Times New Roman" w:hAnsi="Times New Roman" w:eastAsia="宋体" w:cs="Times New Roman"/>
                <w:i w:val="0"/>
                <w:iCs w:val="0"/>
                <w:snapToGrid w:val="0"/>
                <w:color w:val="auto"/>
                <w:kern w:val="0"/>
                <w:sz w:val="18"/>
                <w:szCs w:val="18"/>
                <w:u w:val="none"/>
                <w:lang w:val="en-US" w:eastAsia="zh-CN" w:bidi="ar"/>
              </w:rPr>
              <w:t xml:space="preserve"> </w:t>
            </w:r>
          </w:p>
        </w:tc>
        <w:tc>
          <w:tcPr>
            <w:tcW w:w="140" w:type="pct"/>
            <w:tcBorders>
              <w:tl2br w:val="nil"/>
              <w:tr2bl w:val="nil"/>
            </w:tcBorders>
            <w:vAlign w:val="center"/>
          </w:tcPr>
          <w:p w14:paraId="2674B9C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bookmarkStart w:id="1422" w:name="OLE_LINK479"/>
            <w:r>
              <w:rPr>
                <w:rFonts w:hint="eastAsia" w:ascii="Times New Roman" w:hAnsi="Times New Roman" w:eastAsia="宋体" w:cs="Times New Roman"/>
                <w:i w:val="0"/>
                <w:iCs w:val="0"/>
                <w:snapToGrid w:val="0"/>
                <w:color w:val="auto"/>
                <w:kern w:val="0"/>
                <w:sz w:val="18"/>
                <w:szCs w:val="18"/>
                <w:u w:val="none"/>
                <w:lang w:val="en-US" w:eastAsia="zh-CN" w:bidi="ar"/>
              </w:rPr>
              <w:t>/</w:t>
            </w:r>
            <w:bookmarkEnd w:id="1422"/>
          </w:p>
        </w:tc>
        <w:tc>
          <w:tcPr>
            <w:tcW w:w="180" w:type="pct"/>
            <w:tcBorders>
              <w:tl2br w:val="nil"/>
              <w:tr2bl w:val="nil"/>
            </w:tcBorders>
            <w:vAlign w:val="center"/>
          </w:tcPr>
          <w:p w14:paraId="7A7AD9B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0.3</w:t>
            </w:r>
            <w:r>
              <w:rPr>
                <w:rFonts w:hint="eastAsia" w:ascii="Times New Roman" w:hAnsi="Times New Roman" w:eastAsia="宋体" w:cs="Times New Roman"/>
                <w:i w:val="0"/>
                <w:iCs w:val="0"/>
                <w:snapToGrid w:val="0"/>
                <w:color w:val="auto"/>
                <w:kern w:val="0"/>
                <w:sz w:val="18"/>
                <w:szCs w:val="18"/>
                <w:u w:val="none"/>
                <w:lang w:val="en-US" w:eastAsia="zh-CN" w:bidi="ar"/>
              </w:rPr>
              <w:t>1</w:t>
            </w:r>
            <w:r>
              <w:rPr>
                <w:rFonts w:hint="default" w:ascii="Times New Roman" w:hAnsi="Times New Roman" w:eastAsia="宋体" w:cs="Times New Roman"/>
                <w:i w:val="0"/>
                <w:iCs w:val="0"/>
                <w:snapToGrid w:val="0"/>
                <w:color w:val="auto"/>
                <w:kern w:val="0"/>
                <w:sz w:val="18"/>
                <w:szCs w:val="18"/>
                <w:u w:val="none"/>
                <w:lang w:val="en-US" w:eastAsia="zh-CN" w:bidi="ar"/>
              </w:rPr>
              <w:t xml:space="preserve"> </w:t>
            </w:r>
          </w:p>
        </w:tc>
        <w:tc>
          <w:tcPr>
            <w:tcW w:w="228" w:type="pct"/>
            <w:tcBorders>
              <w:tl2br w:val="nil"/>
              <w:tr2bl w:val="nil"/>
            </w:tcBorders>
            <w:vAlign w:val="center"/>
          </w:tcPr>
          <w:p w14:paraId="53B52DC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0.2</w:t>
            </w:r>
            <w:r>
              <w:rPr>
                <w:rFonts w:hint="eastAsia" w:ascii="Times New Roman" w:hAnsi="Times New Roman" w:eastAsia="宋体" w:cs="Times New Roman"/>
                <w:i w:val="0"/>
                <w:iCs w:val="0"/>
                <w:snapToGrid w:val="0"/>
                <w:color w:val="auto"/>
                <w:kern w:val="0"/>
                <w:sz w:val="18"/>
                <w:szCs w:val="18"/>
                <w:u w:val="none"/>
                <w:lang w:val="en-US" w:eastAsia="zh-CN" w:bidi="ar"/>
              </w:rPr>
              <w:t>3</w:t>
            </w:r>
            <w:r>
              <w:rPr>
                <w:rFonts w:hint="default" w:ascii="Times New Roman" w:hAnsi="Times New Roman" w:eastAsia="宋体" w:cs="Times New Roman"/>
                <w:i w:val="0"/>
                <w:iCs w:val="0"/>
                <w:snapToGrid w:val="0"/>
                <w:color w:val="auto"/>
                <w:kern w:val="0"/>
                <w:sz w:val="18"/>
                <w:szCs w:val="18"/>
                <w:u w:val="none"/>
                <w:lang w:val="en-US" w:eastAsia="zh-CN" w:bidi="ar"/>
              </w:rPr>
              <w:t xml:space="preserve"> </w:t>
            </w:r>
          </w:p>
        </w:tc>
        <w:tc>
          <w:tcPr>
            <w:tcW w:w="140" w:type="pct"/>
            <w:tcBorders>
              <w:tl2br w:val="nil"/>
              <w:tr2bl w:val="nil"/>
            </w:tcBorders>
            <w:vAlign w:val="center"/>
          </w:tcPr>
          <w:p w14:paraId="5587C73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0.08 </w:t>
            </w:r>
          </w:p>
        </w:tc>
        <w:tc>
          <w:tcPr>
            <w:tcW w:w="140" w:type="pct"/>
            <w:tcBorders>
              <w:tl2br w:val="nil"/>
              <w:tr2bl w:val="nil"/>
            </w:tcBorders>
            <w:vAlign w:val="center"/>
          </w:tcPr>
          <w:p w14:paraId="1442173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0.0</w:t>
            </w:r>
            <w:r>
              <w:rPr>
                <w:rFonts w:hint="eastAsia" w:ascii="Times New Roman" w:hAnsi="Times New Roman" w:eastAsia="宋体" w:cs="Times New Roman"/>
                <w:i w:val="0"/>
                <w:iCs w:val="0"/>
                <w:snapToGrid w:val="0"/>
                <w:color w:val="auto"/>
                <w:kern w:val="0"/>
                <w:sz w:val="18"/>
                <w:szCs w:val="18"/>
                <w:u w:val="none"/>
                <w:lang w:val="en-US" w:eastAsia="zh-CN" w:bidi="ar"/>
              </w:rPr>
              <w:t>4</w:t>
            </w:r>
            <w:r>
              <w:rPr>
                <w:rFonts w:hint="default" w:ascii="Times New Roman" w:hAnsi="Times New Roman" w:eastAsia="宋体" w:cs="Times New Roman"/>
                <w:i w:val="0"/>
                <w:iCs w:val="0"/>
                <w:snapToGrid w:val="0"/>
                <w:color w:val="auto"/>
                <w:kern w:val="0"/>
                <w:sz w:val="18"/>
                <w:szCs w:val="18"/>
                <w:u w:val="none"/>
                <w:lang w:val="en-US" w:eastAsia="zh-CN" w:bidi="ar"/>
              </w:rPr>
              <w:t xml:space="preserve"> </w:t>
            </w:r>
          </w:p>
        </w:tc>
        <w:tc>
          <w:tcPr>
            <w:tcW w:w="299" w:type="pct"/>
            <w:tcBorders>
              <w:tl2br w:val="nil"/>
              <w:tr2bl w:val="nil"/>
            </w:tcBorders>
            <w:vAlign w:val="center"/>
          </w:tcPr>
          <w:p w14:paraId="27DEA11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0.2</w:t>
            </w:r>
            <w:r>
              <w:rPr>
                <w:rFonts w:hint="eastAsia" w:ascii="Times New Roman" w:hAnsi="Times New Roman" w:eastAsia="宋体" w:cs="Times New Roman"/>
                <w:i w:val="0"/>
                <w:iCs w:val="0"/>
                <w:snapToGrid w:val="0"/>
                <w:color w:val="auto"/>
                <w:kern w:val="0"/>
                <w:sz w:val="18"/>
                <w:szCs w:val="18"/>
                <w:u w:val="none"/>
                <w:lang w:val="en-US" w:eastAsia="zh-CN" w:bidi="ar"/>
              </w:rPr>
              <w:t>3</w:t>
            </w:r>
            <w:r>
              <w:rPr>
                <w:rFonts w:hint="default" w:ascii="Times New Roman" w:hAnsi="Times New Roman" w:eastAsia="宋体" w:cs="Times New Roman"/>
                <w:i w:val="0"/>
                <w:iCs w:val="0"/>
                <w:snapToGrid w:val="0"/>
                <w:color w:val="auto"/>
                <w:kern w:val="0"/>
                <w:sz w:val="18"/>
                <w:szCs w:val="18"/>
                <w:u w:val="none"/>
                <w:lang w:val="en-US" w:eastAsia="zh-CN" w:bidi="ar"/>
              </w:rPr>
              <w:t xml:space="preserve"> </w:t>
            </w:r>
          </w:p>
        </w:tc>
        <w:tc>
          <w:tcPr>
            <w:tcW w:w="172" w:type="pct"/>
            <w:tcBorders>
              <w:tl2br w:val="nil"/>
              <w:tr2bl w:val="nil"/>
            </w:tcBorders>
            <w:vAlign w:val="center"/>
          </w:tcPr>
          <w:p w14:paraId="7FEEF86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0.04 </w:t>
            </w:r>
          </w:p>
        </w:tc>
        <w:tc>
          <w:tcPr>
            <w:tcW w:w="134" w:type="pct"/>
            <w:tcBorders>
              <w:tl2br w:val="nil"/>
              <w:tr2bl w:val="nil"/>
            </w:tcBorders>
            <w:vAlign w:val="center"/>
          </w:tcPr>
          <w:p w14:paraId="595DED0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0.30 </w:t>
            </w:r>
          </w:p>
        </w:tc>
        <w:tc>
          <w:tcPr>
            <w:tcW w:w="180" w:type="pct"/>
            <w:tcBorders>
              <w:tl2br w:val="nil"/>
              <w:tr2bl w:val="nil"/>
            </w:tcBorders>
            <w:vAlign w:val="center"/>
          </w:tcPr>
          <w:p w14:paraId="35A6C8B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0.00</w:t>
            </w:r>
            <w:r>
              <w:rPr>
                <w:rFonts w:hint="eastAsia" w:ascii="Times New Roman" w:hAnsi="Times New Roman" w:eastAsia="宋体" w:cs="Times New Roman"/>
                <w:i w:val="0"/>
                <w:iCs w:val="0"/>
                <w:snapToGrid w:val="0"/>
                <w:color w:val="auto"/>
                <w:kern w:val="0"/>
                <w:sz w:val="18"/>
                <w:szCs w:val="18"/>
                <w:u w:val="none"/>
                <w:lang w:val="en-US" w:eastAsia="zh-CN" w:bidi="ar"/>
              </w:rPr>
              <w:t>1</w:t>
            </w:r>
            <w:r>
              <w:rPr>
                <w:rFonts w:hint="default" w:ascii="Times New Roman" w:hAnsi="Times New Roman" w:eastAsia="宋体" w:cs="Times New Roman"/>
                <w:i w:val="0"/>
                <w:iCs w:val="0"/>
                <w:snapToGrid w:val="0"/>
                <w:color w:val="auto"/>
                <w:kern w:val="0"/>
                <w:sz w:val="18"/>
                <w:szCs w:val="18"/>
                <w:u w:val="none"/>
                <w:lang w:val="en-US" w:eastAsia="zh-CN" w:bidi="ar"/>
              </w:rPr>
              <w:t xml:space="preserve"> </w:t>
            </w:r>
          </w:p>
        </w:tc>
        <w:tc>
          <w:tcPr>
            <w:tcW w:w="180" w:type="pct"/>
            <w:tcBorders>
              <w:tl2br w:val="nil"/>
              <w:tr2bl w:val="nil"/>
            </w:tcBorders>
            <w:vAlign w:val="center"/>
          </w:tcPr>
          <w:p w14:paraId="3EF2186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72" w:type="pct"/>
            <w:tcBorders>
              <w:tl2br w:val="nil"/>
              <w:tr2bl w:val="nil"/>
            </w:tcBorders>
            <w:vAlign w:val="center"/>
          </w:tcPr>
          <w:p w14:paraId="66AF3B8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0.00</w:t>
            </w:r>
            <w:r>
              <w:rPr>
                <w:rFonts w:hint="eastAsia" w:ascii="Times New Roman" w:hAnsi="Times New Roman" w:eastAsia="宋体" w:cs="Times New Roman"/>
                <w:i w:val="0"/>
                <w:iCs w:val="0"/>
                <w:snapToGrid w:val="0"/>
                <w:color w:val="auto"/>
                <w:kern w:val="0"/>
                <w:sz w:val="18"/>
                <w:szCs w:val="18"/>
                <w:u w:val="none"/>
                <w:lang w:val="en-US" w:eastAsia="zh-CN" w:bidi="ar"/>
              </w:rPr>
              <w:t>8</w:t>
            </w:r>
            <w:r>
              <w:rPr>
                <w:rFonts w:hint="default" w:ascii="Times New Roman" w:hAnsi="Times New Roman" w:eastAsia="宋体" w:cs="Times New Roman"/>
                <w:i w:val="0"/>
                <w:iCs w:val="0"/>
                <w:snapToGrid w:val="0"/>
                <w:color w:val="auto"/>
                <w:kern w:val="0"/>
                <w:sz w:val="18"/>
                <w:szCs w:val="18"/>
                <w:u w:val="none"/>
                <w:lang w:val="en-US" w:eastAsia="zh-CN" w:bidi="ar"/>
              </w:rPr>
              <w:t xml:space="preserve"> </w:t>
            </w:r>
          </w:p>
        </w:tc>
        <w:tc>
          <w:tcPr>
            <w:tcW w:w="134" w:type="pct"/>
            <w:tcBorders>
              <w:tl2br w:val="nil"/>
              <w:tr2bl w:val="nil"/>
            </w:tcBorders>
            <w:vAlign w:val="center"/>
          </w:tcPr>
          <w:p w14:paraId="3F74358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0.70 </w:t>
            </w:r>
          </w:p>
        </w:tc>
        <w:tc>
          <w:tcPr>
            <w:tcW w:w="258" w:type="pct"/>
            <w:tcBorders>
              <w:tl2br w:val="nil"/>
              <w:tr2bl w:val="nil"/>
            </w:tcBorders>
            <w:vAlign w:val="center"/>
          </w:tcPr>
          <w:p w14:paraId="09F62E2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w:t>
            </w:r>
            <w:r>
              <w:rPr>
                <w:rFonts w:hint="eastAsia" w:ascii="Times New Roman" w:hAnsi="Times New Roman" w:eastAsia="宋体" w:cs="Times New Roman"/>
                <w:i w:val="0"/>
                <w:iCs w:val="0"/>
                <w:snapToGrid w:val="0"/>
                <w:color w:val="auto"/>
                <w:kern w:val="0"/>
                <w:sz w:val="18"/>
                <w:szCs w:val="18"/>
                <w:u w:val="none"/>
                <w:lang w:val="en-US" w:eastAsia="zh-CN" w:bidi="ar"/>
              </w:rPr>
              <w:t>32</w:t>
            </w:r>
            <w:r>
              <w:rPr>
                <w:rFonts w:hint="default" w:ascii="Times New Roman" w:hAnsi="Times New Roman" w:eastAsia="宋体" w:cs="Times New Roman"/>
                <w:i w:val="0"/>
                <w:iCs w:val="0"/>
                <w:snapToGrid w:val="0"/>
                <w:color w:val="auto"/>
                <w:kern w:val="0"/>
                <w:sz w:val="18"/>
                <w:szCs w:val="18"/>
                <w:u w:val="none"/>
                <w:lang w:val="en-US" w:eastAsia="zh-CN" w:bidi="ar"/>
              </w:rPr>
              <w:t xml:space="preserve"> </w:t>
            </w:r>
          </w:p>
        </w:tc>
        <w:tc>
          <w:tcPr>
            <w:tcW w:w="209" w:type="pct"/>
            <w:tcBorders>
              <w:tl2br w:val="nil"/>
              <w:tr2bl w:val="nil"/>
            </w:tcBorders>
            <w:vAlign w:val="center"/>
          </w:tcPr>
          <w:p w14:paraId="5FBE48F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219" w:type="pct"/>
            <w:tcBorders>
              <w:tl2br w:val="nil"/>
              <w:tr2bl w:val="nil"/>
            </w:tcBorders>
            <w:vAlign w:val="center"/>
          </w:tcPr>
          <w:p w14:paraId="6145CDB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134" w:type="pct"/>
            <w:tcBorders>
              <w:tl2br w:val="nil"/>
              <w:tr2bl w:val="nil"/>
            </w:tcBorders>
            <w:vAlign w:val="center"/>
          </w:tcPr>
          <w:p w14:paraId="38A0ACD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34" w:type="pct"/>
            <w:tcBorders>
              <w:tl2br w:val="nil"/>
              <w:tr2bl w:val="nil"/>
            </w:tcBorders>
            <w:vAlign w:val="center"/>
          </w:tcPr>
          <w:p w14:paraId="1E75825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bookmarkStart w:id="1423" w:name="OLE_LINK478"/>
            <w:r>
              <w:rPr>
                <w:rFonts w:hint="eastAsia" w:ascii="Times New Roman" w:hAnsi="Times New Roman" w:eastAsia="宋体" w:cs="Times New Roman"/>
                <w:i w:val="0"/>
                <w:iCs w:val="0"/>
                <w:snapToGrid w:val="0"/>
                <w:color w:val="auto"/>
                <w:kern w:val="0"/>
                <w:sz w:val="18"/>
                <w:szCs w:val="18"/>
                <w:u w:val="none"/>
                <w:lang w:val="en-US" w:eastAsia="zh-CN" w:bidi="ar"/>
              </w:rPr>
              <w:t>/</w:t>
            </w:r>
            <w:r>
              <w:rPr>
                <w:rFonts w:hint="default" w:ascii="Times New Roman" w:hAnsi="Times New Roman" w:eastAsia="宋体" w:cs="Times New Roman"/>
                <w:i w:val="0"/>
                <w:iCs w:val="0"/>
                <w:snapToGrid w:val="0"/>
                <w:color w:val="auto"/>
                <w:kern w:val="0"/>
                <w:sz w:val="18"/>
                <w:szCs w:val="18"/>
                <w:u w:val="none"/>
                <w:lang w:val="en-US" w:eastAsia="zh-CN" w:bidi="ar"/>
              </w:rPr>
              <w:t xml:space="preserve"> </w:t>
            </w:r>
            <w:bookmarkEnd w:id="1423"/>
          </w:p>
        </w:tc>
        <w:tc>
          <w:tcPr>
            <w:tcW w:w="210" w:type="pct"/>
            <w:tcBorders>
              <w:tl2br w:val="nil"/>
              <w:tr2bl w:val="nil"/>
            </w:tcBorders>
            <w:vAlign w:val="center"/>
          </w:tcPr>
          <w:p w14:paraId="75BDE29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72" w:type="pct"/>
            <w:tcBorders>
              <w:tl2br w:val="nil"/>
              <w:tr2bl w:val="nil"/>
            </w:tcBorders>
            <w:vAlign w:val="center"/>
          </w:tcPr>
          <w:p w14:paraId="6DC1AC1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0.00</w:t>
            </w:r>
            <w:r>
              <w:rPr>
                <w:rFonts w:hint="eastAsia" w:ascii="Times New Roman" w:hAnsi="Times New Roman" w:eastAsia="宋体" w:cs="Times New Roman"/>
                <w:i w:val="0"/>
                <w:iCs w:val="0"/>
                <w:snapToGrid w:val="0"/>
                <w:color w:val="auto"/>
                <w:kern w:val="0"/>
                <w:sz w:val="18"/>
                <w:szCs w:val="18"/>
                <w:u w:val="none"/>
                <w:lang w:val="en-US" w:eastAsia="zh-CN" w:bidi="ar"/>
              </w:rPr>
              <w:t>3</w:t>
            </w:r>
            <w:r>
              <w:rPr>
                <w:rFonts w:hint="default" w:ascii="Times New Roman" w:hAnsi="Times New Roman" w:eastAsia="宋体" w:cs="Times New Roman"/>
                <w:i w:val="0"/>
                <w:iCs w:val="0"/>
                <w:snapToGrid w:val="0"/>
                <w:color w:val="auto"/>
                <w:kern w:val="0"/>
                <w:sz w:val="18"/>
                <w:szCs w:val="18"/>
                <w:u w:val="none"/>
                <w:lang w:val="en-US" w:eastAsia="zh-CN" w:bidi="ar"/>
              </w:rPr>
              <w:t xml:space="preserve"> </w:t>
            </w:r>
          </w:p>
        </w:tc>
        <w:tc>
          <w:tcPr>
            <w:tcW w:w="172" w:type="pct"/>
            <w:tcBorders>
              <w:tl2br w:val="nil"/>
              <w:tr2bl w:val="nil"/>
            </w:tcBorders>
            <w:vAlign w:val="center"/>
          </w:tcPr>
          <w:p w14:paraId="544D5F8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0.2</w:t>
            </w:r>
            <w:r>
              <w:rPr>
                <w:rFonts w:hint="eastAsia" w:ascii="Times New Roman" w:hAnsi="Times New Roman" w:eastAsia="宋体" w:cs="Times New Roman"/>
                <w:i w:val="0"/>
                <w:iCs w:val="0"/>
                <w:snapToGrid w:val="0"/>
                <w:color w:val="auto"/>
                <w:kern w:val="0"/>
                <w:sz w:val="18"/>
                <w:szCs w:val="18"/>
                <w:u w:val="none"/>
                <w:lang w:val="en-US" w:eastAsia="zh-CN" w:bidi="ar"/>
              </w:rPr>
              <w:t>4</w:t>
            </w:r>
            <w:r>
              <w:rPr>
                <w:rFonts w:hint="default" w:ascii="Times New Roman" w:hAnsi="Times New Roman" w:eastAsia="宋体" w:cs="Times New Roman"/>
                <w:i w:val="0"/>
                <w:iCs w:val="0"/>
                <w:snapToGrid w:val="0"/>
                <w:color w:val="auto"/>
                <w:kern w:val="0"/>
                <w:sz w:val="18"/>
                <w:szCs w:val="18"/>
                <w:u w:val="none"/>
                <w:lang w:val="en-US" w:eastAsia="zh-CN" w:bidi="ar"/>
              </w:rPr>
              <w:t xml:space="preserve"> </w:t>
            </w:r>
          </w:p>
        </w:tc>
        <w:tc>
          <w:tcPr>
            <w:tcW w:w="135" w:type="pct"/>
            <w:tcBorders>
              <w:tl2br w:val="nil"/>
              <w:tr2bl w:val="nil"/>
            </w:tcBorders>
            <w:vAlign w:val="center"/>
          </w:tcPr>
          <w:p w14:paraId="7C6C7A8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0.1</w:t>
            </w:r>
            <w:r>
              <w:rPr>
                <w:rFonts w:hint="eastAsia" w:ascii="Times New Roman" w:hAnsi="Times New Roman" w:eastAsia="宋体" w:cs="Times New Roman"/>
                <w:i w:val="0"/>
                <w:iCs w:val="0"/>
                <w:snapToGrid w:val="0"/>
                <w:color w:val="auto"/>
                <w:kern w:val="0"/>
                <w:sz w:val="18"/>
                <w:szCs w:val="18"/>
                <w:u w:val="none"/>
                <w:lang w:val="en-US" w:eastAsia="zh-CN" w:bidi="ar"/>
              </w:rPr>
              <w:t>9</w:t>
            </w:r>
            <w:r>
              <w:rPr>
                <w:rFonts w:hint="default" w:ascii="Times New Roman" w:hAnsi="Times New Roman" w:eastAsia="宋体" w:cs="Times New Roman"/>
                <w:i w:val="0"/>
                <w:iCs w:val="0"/>
                <w:snapToGrid w:val="0"/>
                <w:color w:val="auto"/>
                <w:kern w:val="0"/>
                <w:sz w:val="18"/>
                <w:szCs w:val="18"/>
                <w:u w:val="none"/>
                <w:lang w:val="en-US" w:eastAsia="zh-CN" w:bidi="ar"/>
              </w:rPr>
              <w:t xml:space="preserve"> </w:t>
            </w:r>
          </w:p>
        </w:tc>
        <w:tc>
          <w:tcPr>
            <w:tcW w:w="133" w:type="pct"/>
            <w:tcBorders>
              <w:tl2br w:val="nil"/>
              <w:tr2bl w:val="nil"/>
            </w:tcBorders>
            <w:vAlign w:val="center"/>
          </w:tcPr>
          <w:p w14:paraId="64F6C72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0.08 </w:t>
            </w:r>
          </w:p>
        </w:tc>
      </w:tr>
      <w:tr w14:paraId="22C1194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vAlign w:val="center"/>
          </w:tcPr>
          <w:p w14:paraId="60FCB53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vAlign w:val="center"/>
          </w:tcPr>
          <w:p w14:paraId="65AC07A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超标率（%）</w:t>
            </w:r>
          </w:p>
        </w:tc>
        <w:tc>
          <w:tcPr>
            <w:tcW w:w="159" w:type="pct"/>
            <w:tcBorders>
              <w:tl2br w:val="nil"/>
              <w:tr2bl w:val="nil"/>
            </w:tcBorders>
            <w:vAlign w:val="center"/>
          </w:tcPr>
          <w:p w14:paraId="52F35FB0">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vAlign w:val="center"/>
          </w:tcPr>
          <w:p w14:paraId="099A3707">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59" w:type="pct"/>
            <w:tcBorders>
              <w:tl2br w:val="nil"/>
              <w:tr2bl w:val="nil"/>
            </w:tcBorders>
            <w:vAlign w:val="center"/>
          </w:tcPr>
          <w:p w14:paraId="4F0B070C">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p>
        </w:tc>
        <w:tc>
          <w:tcPr>
            <w:tcW w:w="145" w:type="pct"/>
            <w:tcBorders>
              <w:tl2br w:val="nil"/>
              <w:tr2bl w:val="nil"/>
            </w:tcBorders>
            <w:vAlign w:val="center"/>
          </w:tcPr>
          <w:p w14:paraId="2A6689FA">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p>
        </w:tc>
        <w:tc>
          <w:tcPr>
            <w:tcW w:w="134" w:type="pct"/>
            <w:tcBorders>
              <w:tl2br w:val="nil"/>
              <w:tr2bl w:val="nil"/>
            </w:tcBorders>
            <w:vAlign w:val="center"/>
          </w:tcPr>
          <w:p w14:paraId="766AA918">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vAlign w:val="center"/>
          </w:tcPr>
          <w:p w14:paraId="755228E0">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highlight w:val="none"/>
                <w:lang w:val="en-US" w:eastAsia="zh-CN"/>
              </w:rPr>
            </w:pPr>
            <w:bookmarkStart w:id="1424" w:name="OLE_LINK485"/>
            <w:r>
              <w:rPr>
                <w:rFonts w:hint="eastAsia" w:ascii="Times New Roman" w:hAnsi="Times New Roman" w:eastAsia="宋体" w:cs="Times New Roman"/>
                <w:color w:val="auto"/>
                <w:sz w:val="18"/>
                <w:szCs w:val="18"/>
                <w:highlight w:val="none"/>
                <w:lang w:val="en-US" w:eastAsia="zh-CN"/>
              </w:rPr>
              <w:t>/</w:t>
            </w:r>
            <w:bookmarkEnd w:id="1424"/>
          </w:p>
        </w:tc>
        <w:tc>
          <w:tcPr>
            <w:tcW w:w="180" w:type="pct"/>
            <w:tcBorders>
              <w:tl2br w:val="nil"/>
              <w:tr2bl w:val="nil"/>
            </w:tcBorders>
            <w:vAlign w:val="center"/>
          </w:tcPr>
          <w:p w14:paraId="10847327">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228" w:type="pct"/>
            <w:tcBorders>
              <w:tl2br w:val="nil"/>
              <w:tr2bl w:val="nil"/>
            </w:tcBorders>
            <w:vAlign w:val="center"/>
          </w:tcPr>
          <w:p w14:paraId="66BA51FF">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vAlign w:val="center"/>
          </w:tcPr>
          <w:p w14:paraId="663734FE">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vAlign w:val="center"/>
          </w:tcPr>
          <w:p w14:paraId="672CB578">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299" w:type="pct"/>
            <w:tcBorders>
              <w:tl2br w:val="nil"/>
              <w:tr2bl w:val="nil"/>
            </w:tcBorders>
            <w:vAlign w:val="center"/>
          </w:tcPr>
          <w:p w14:paraId="560CF7D8">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vAlign w:val="center"/>
          </w:tcPr>
          <w:p w14:paraId="4608897C">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vAlign w:val="center"/>
          </w:tcPr>
          <w:p w14:paraId="7827CB4D">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vAlign w:val="center"/>
          </w:tcPr>
          <w:p w14:paraId="57D6F671">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vAlign w:val="center"/>
          </w:tcPr>
          <w:p w14:paraId="632BB6A9">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vAlign w:val="center"/>
          </w:tcPr>
          <w:p w14:paraId="5B3FF786">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vAlign w:val="center"/>
          </w:tcPr>
          <w:p w14:paraId="736EC454">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258" w:type="pct"/>
            <w:tcBorders>
              <w:tl2br w:val="nil"/>
              <w:tr2bl w:val="nil"/>
            </w:tcBorders>
            <w:vAlign w:val="center"/>
          </w:tcPr>
          <w:p w14:paraId="091D7D07">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209" w:type="pct"/>
            <w:tcBorders>
              <w:tl2br w:val="nil"/>
              <w:tr2bl w:val="nil"/>
            </w:tcBorders>
            <w:vAlign w:val="center"/>
          </w:tcPr>
          <w:p w14:paraId="768CA9E6">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219" w:type="pct"/>
            <w:tcBorders>
              <w:tl2br w:val="nil"/>
              <w:tr2bl w:val="nil"/>
            </w:tcBorders>
            <w:vAlign w:val="center"/>
          </w:tcPr>
          <w:p w14:paraId="3823523D">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vAlign w:val="center"/>
          </w:tcPr>
          <w:p w14:paraId="76332D28">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vAlign w:val="center"/>
          </w:tcPr>
          <w:p w14:paraId="610A5F48">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vAlign w:val="center"/>
          </w:tcPr>
          <w:p w14:paraId="7FF6032D">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vAlign w:val="center"/>
          </w:tcPr>
          <w:p w14:paraId="19B2E4FC">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vAlign w:val="center"/>
          </w:tcPr>
          <w:p w14:paraId="5E4170C7">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35" w:type="pct"/>
            <w:tcBorders>
              <w:tl2br w:val="nil"/>
              <w:tr2bl w:val="nil"/>
            </w:tcBorders>
            <w:vAlign w:val="center"/>
          </w:tcPr>
          <w:p w14:paraId="78AE4160">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133" w:type="pct"/>
            <w:tcBorders>
              <w:tl2br w:val="nil"/>
              <w:tr2bl w:val="nil"/>
            </w:tcBorders>
            <w:vAlign w:val="center"/>
          </w:tcPr>
          <w:p w14:paraId="0137DB3F">
            <w:pPr>
              <w:keepNext w:val="0"/>
              <w:keepLines w:val="0"/>
              <w:pageBreakBefore w:val="0"/>
              <w:widowControl/>
              <w:kinsoku w:val="0"/>
              <w:wordWrap/>
              <w:overflowPunct/>
              <w:topLinePunct w:val="0"/>
              <w:autoSpaceDE w:val="0"/>
              <w:autoSpaceDN w:val="0"/>
              <w:bidi w:val="0"/>
              <w:adjustRightInd w:val="0"/>
              <w:snapToGrid w:val="0"/>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r>
      <w:tr w14:paraId="1C766F8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355" w:type="pct"/>
            <w:gridSpan w:val="2"/>
            <w:tcBorders>
              <w:tl2br w:val="nil"/>
              <w:tr2bl w:val="nil"/>
            </w:tcBorders>
            <w:vAlign w:val="center"/>
          </w:tcPr>
          <w:p w14:paraId="7B50468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Ⅳ类限值</w:t>
            </w:r>
          </w:p>
        </w:tc>
        <w:tc>
          <w:tcPr>
            <w:tcW w:w="159" w:type="pct"/>
            <w:tcBorders>
              <w:tl2br w:val="nil"/>
              <w:tr2bl w:val="nil"/>
            </w:tcBorders>
            <w:vAlign w:val="center"/>
          </w:tcPr>
          <w:p w14:paraId="5268448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w:t>
            </w:r>
          </w:p>
        </w:tc>
        <w:tc>
          <w:tcPr>
            <w:tcW w:w="157" w:type="pct"/>
            <w:tcBorders>
              <w:tl2br w:val="nil"/>
              <w:tr2bl w:val="nil"/>
            </w:tcBorders>
            <w:vAlign w:val="center"/>
          </w:tcPr>
          <w:p w14:paraId="5AFF754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6-9</w:t>
            </w:r>
          </w:p>
        </w:tc>
        <w:tc>
          <w:tcPr>
            <w:tcW w:w="159" w:type="pct"/>
            <w:tcBorders>
              <w:tl2br w:val="nil"/>
              <w:tr2bl w:val="nil"/>
            </w:tcBorders>
            <w:vAlign w:val="center"/>
          </w:tcPr>
          <w:p w14:paraId="62E3BBF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bidi="ar-SA"/>
              </w:rPr>
              <w:t>3</w:t>
            </w:r>
          </w:p>
        </w:tc>
        <w:tc>
          <w:tcPr>
            <w:tcW w:w="145" w:type="pct"/>
            <w:tcBorders>
              <w:tl2br w:val="nil"/>
              <w:tr2bl w:val="nil"/>
            </w:tcBorders>
            <w:vAlign w:val="center"/>
          </w:tcPr>
          <w:p w14:paraId="2A4B562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6</w:t>
            </w:r>
          </w:p>
        </w:tc>
        <w:tc>
          <w:tcPr>
            <w:tcW w:w="134" w:type="pct"/>
            <w:tcBorders>
              <w:tl2br w:val="nil"/>
              <w:tr2bl w:val="nil"/>
            </w:tcBorders>
            <w:vAlign w:val="center"/>
          </w:tcPr>
          <w:p w14:paraId="6B7BD1F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30</w:t>
            </w:r>
          </w:p>
        </w:tc>
        <w:tc>
          <w:tcPr>
            <w:tcW w:w="140" w:type="pct"/>
            <w:tcBorders>
              <w:tl2br w:val="nil"/>
              <w:tr2bl w:val="nil"/>
            </w:tcBorders>
            <w:vAlign w:val="center"/>
          </w:tcPr>
          <w:p w14:paraId="26581ED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rPr>
            </w:pPr>
            <w:r>
              <w:rPr>
                <w:rFonts w:hint="eastAsia" w:ascii="Times New Roman" w:hAnsi="Times New Roman" w:eastAsia="宋体" w:cs="Times New Roman"/>
                <w:snapToGrid w:val="0"/>
                <w:color w:val="auto"/>
                <w:kern w:val="0"/>
                <w:sz w:val="18"/>
                <w:szCs w:val="18"/>
                <w:highlight w:val="none"/>
                <w:lang w:val="en-US" w:eastAsia="zh-CN" w:bidi="ar-SA"/>
              </w:rPr>
              <w:t>/</w:t>
            </w:r>
          </w:p>
        </w:tc>
        <w:tc>
          <w:tcPr>
            <w:tcW w:w="180" w:type="pct"/>
            <w:tcBorders>
              <w:tl2br w:val="nil"/>
              <w:tr2bl w:val="nil"/>
            </w:tcBorders>
            <w:vAlign w:val="center"/>
          </w:tcPr>
          <w:p w14:paraId="7B87624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1.5</w:t>
            </w:r>
          </w:p>
        </w:tc>
        <w:tc>
          <w:tcPr>
            <w:tcW w:w="228" w:type="pct"/>
            <w:tcBorders>
              <w:tl2br w:val="nil"/>
              <w:tr2bl w:val="nil"/>
            </w:tcBorders>
            <w:vAlign w:val="center"/>
          </w:tcPr>
          <w:p w14:paraId="54299AE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0.3</w:t>
            </w:r>
          </w:p>
        </w:tc>
        <w:tc>
          <w:tcPr>
            <w:tcW w:w="140" w:type="pct"/>
            <w:tcBorders>
              <w:tl2br w:val="nil"/>
              <w:tr2bl w:val="nil"/>
            </w:tcBorders>
            <w:vAlign w:val="center"/>
          </w:tcPr>
          <w:p w14:paraId="304BA48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0.5</w:t>
            </w:r>
          </w:p>
        </w:tc>
        <w:tc>
          <w:tcPr>
            <w:tcW w:w="140" w:type="pct"/>
            <w:tcBorders>
              <w:tl2br w:val="nil"/>
              <w:tr2bl w:val="nil"/>
            </w:tcBorders>
            <w:vAlign w:val="center"/>
          </w:tcPr>
          <w:p w14:paraId="1766272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0.5</w:t>
            </w:r>
          </w:p>
        </w:tc>
        <w:tc>
          <w:tcPr>
            <w:tcW w:w="299" w:type="pct"/>
            <w:tcBorders>
              <w:tl2br w:val="nil"/>
              <w:tr2bl w:val="nil"/>
            </w:tcBorders>
            <w:vAlign w:val="center"/>
          </w:tcPr>
          <w:p w14:paraId="588F349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bidi="ar-SA"/>
              </w:rPr>
              <w:t>0.005</w:t>
            </w:r>
          </w:p>
        </w:tc>
        <w:tc>
          <w:tcPr>
            <w:tcW w:w="172" w:type="pct"/>
            <w:tcBorders>
              <w:tl2br w:val="nil"/>
              <w:tr2bl w:val="nil"/>
            </w:tcBorders>
            <w:vAlign w:val="center"/>
          </w:tcPr>
          <w:p w14:paraId="6237B0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0.05</w:t>
            </w:r>
          </w:p>
        </w:tc>
        <w:tc>
          <w:tcPr>
            <w:tcW w:w="134" w:type="pct"/>
            <w:tcBorders>
              <w:tl2br w:val="nil"/>
              <w:tr2bl w:val="nil"/>
            </w:tcBorders>
            <w:vAlign w:val="center"/>
          </w:tcPr>
          <w:p w14:paraId="7BB0BE1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0.05</w:t>
            </w:r>
          </w:p>
        </w:tc>
        <w:tc>
          <w:tcPr>
            <w:tcW w:w="180" w:type="pct"/>
            <w:tcBorders>
              <w:tl2br w:val="nil"/>
              <w:tr2bl w:val="nil"/>
            </w:tcBorders>
            <w:vAlign w:val="center"/>
          </w:tcPr>
          <w:p w14:paraId="706CBB7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2.0</w:t>
            </w:r>
          </w:p>
        </w:tc>
        <w:tc>
          <w:tcPr>
            <w:tcW w:w="180" w:type="pct"/>
            <w:tcBorders>
              <w:tl2br w:val="nil"/>
              <w:tr2bl w:val="nil"/>
            </w:tcBorders>
            <w:vAlign w:val="center"/>
          </w:tcPr>
          <w:p w14:paraId="48D2290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0.1</w:t>
            </w:r>
          </w:p>
        </w:tc>
        <w:tc>
          <w:tcPr>
            <w:tcW w:w="172" w:type="pct"/>
            <w:tcBorders>
              <w:tl2br w:val="nil"/>
              <w:tr2bl w:val="nil"/>
            </w:tcBorders>
            <w:vAlign w:val="center"/>
          </w:tcPr>
          <w:p w14:paraId="1092E4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1.0</w:t>
            </w:r>
          </w:p>
        </w:tc>
        <w:tc>
          <w:tcPr>
            <w:tcW w:w="134" w:type="pct"/>
            <w:tcBorders>
              <w:tl2br w:val="nil"/>
              <w:tr2bl w:val="nil"/>
            </w:tcBorders>
            <w:vAlign w:val="center"/>
          </w:tcPr>
          <w:p w14:paraId="027E3B3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0.05</w:t>
            </w:r>
          </w:p>
        </w:tc>
        <w:tc>
          <w:tcPr>
            <w:tcW w:w="258" w:type="pct"/>
            <w:tcBorders>
              <w:tl2br w:val="nil"/>
              <w:tr2bl w:val="nil"/>
            </w:tcBorders>
            <w:vAlign w:val="center"/>
          </w:tcPr>
          <w:p w14:paraId="06543CC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bidi="ar-SA"/>
              </w:rPr>
              <w:t>0.001</w:t>
            </w:r>
          </w:p>
        </w:tc>
        <w:tc>
          <w:tcPr>
            <w:tcW w:w="209" w:type="pct"/>
            <w:tcBorders>
              <w:tl2br w:val="nil"/>
              <w:tr2bl w:val="nil"/>
            </w:tcBorders>
            <w:vAlign w:val="center"/>
          </w:tcPr>
          <w:p w14:paraId="09CFCE5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0.02</w:t>
            </w:r>
          </w:p>
        </w:tc>
        <w:tc>
          <w:tcPr>
            <w:tcW w:w="219" w:type="pct"/>
            <w:tcBorders>
              <w:tl2br w:val="nil"/>
              <w:tr2bl w:val="nil"/>
            </w:tcBorders>
            <w:vAlign w:val="center"/>
          </w:tcPr>
          <w:p w14:paraId="19855ED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bidi="ar-SA"/>
              </w:rPr>
              <w:t>0.1</w:t>
            </w:r>
          </w:p>
        </w:tc>
        <w:tc>
          <w:tcPr>
            <w:tcW w:w="134" w:type="pct"/>
            <w:tcBorders>
              <w:tl2br w:val="nil"/>
              <w:tr2bl w:val="nil"/>
            </w:tcBorders>
            <w:vAlign w:val="center"/>
          </w:tcPr>
          <w:p w14:paraId="6E2AA6A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0.02</w:t>
            </w:r>
          </w:p>
        </w:tc>
        <w:tc>
          <w:tcPr>
            <w:tcW w:w="134" w:type="pct"/>
            <w:tcBorders>
              <w:tl2br w:val="nil"/>
              <w:tr2bl w:val="nil"/>
            </w:tcBorders>
            <w:vAlign w:val="center"/>
          </w:tcPr>
          <w:p w14:paraId="5D74714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vAlign w:val="center"/>
          </w:tcPr>
          <w:p w14:paraId="1E954A6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0.01</w:t>
            </w:r>
          </w:p>
        </w:tc>
        <w:tc>
          <w:tcPr>
            <w:tcW w:w="172" w:type="pct"/>
            <w:tcBorders>
              <w:tl2br w:val="nil"/>
              <w:tr2bl w:val="nil"/>
            </w:tcBorders>
            <w:vAlign w:val="center"/>
          </w:tcPr>
          <w:p w14:paraId="49611E1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0.2</w:t>
            </w:r>
          </w:p>
        </w:tc>
        <w:tc>
          <w:tcPr>
            <w:tcW w:w="172" w:type="pct"/>
            <w:tcBorders>
              <w:tl2br w:val="nil"/>
              <w:tr2bl w:val="nil"/>
            </w:tcBorders>
            <w:vAlign w:val="center"/>
          </w:tcPr>
          <w:p w14:paraId="4B282CE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10</w:t>
            </w:r>
          </w:p>
        </w:tc>
        <w:tc>
          <w:tcPr>
            <w:tcW w:w="135" w:type="pct"/>
            <w:tcBorders>
              <w:tl2br w:val="nil"/>
              <w:tr2bl w:val="nil"/>
            </w:tcBorders>
            <w:vAlign w:val="center"/>
          </w:tcPr>
          <w:p w14:paraId="32AE6E1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1.5</w:t>
            </w:r>
          </w:p>
        </w:tc>
        <w:tc>
          <w:tcPr>
            <w:tcW w:w="133" w:type="pct"/>
            <w:tcBorders>
              <w:tl2br w:val="nil"/>
              <w:tr2bl w:val="nil"/>
            </w:tcBorders>
            <w:vAlign w:val="center"/>
          </w:tcPr>
          <w:p w14:paraId="79D08B2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snapToGrid w:val="0"/>
                <w:color w:val="auto"/>
                <w:kern w:val="0"/>
                <w:sz w:val="18"/>
                <w:szCs w:val="18"/>
                <w:lang w:val="en-US" w:eastAsia="zh-CN" w:bidi="ar-SA"/>
              </w:rPr>
              <w:t>0.3</w:t>
            </w:r>
          </w:p>
        </w:tc>
      </w:tr>
      <w:tr w14:paraId="0D63282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restart"/>
            <w:tcBorders>
              <w:tl2br w:val="nil"/>
              <w:tr2bl w:val="nil"/>
            </w:tcBorders>
            <w:vAlign w:val="center"/>
          </w:tcPr>
          <w:p w14:paraId="62D4D64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bookmarkStart w:id="1425" w:name="OLE_LINK828" w:colFirst="5" w:colLast="5"/>
            <w:bookmarkStart w:id="1426" w:name="OLE_LINK850" w:colFirst="5" w:colLast="5"/>
            <w:r>
              <w:rPr>
                <w:rFonts w:hint="default" w:ascii="Times New Roman" w:hAnsi="Times New Roman" w:cs="Times New Roman"/>
                <w:color w:val="auto"/>
                <w:kern w:val="2"/>
                <w:sz w:val="18"/>
                <w:szCs w:val="18"/>
                <w:highlight w:val="none"/>
                <w:lang w:val="en-US" w:eastAsia="zh-CN" w:bidi="ar-SA"/>
              </w:rPr>
              <w:t>W1-2</w:t>
            </w:r>
          </w:p>
        </w:tc>
        <w:tc>
          <w:tcPr>
            <w:tcW w:w="216" w:type="pct"/>
            <w:tcBorders>
              <w:tl2br w:val="nil"/>
              <w:tr2bl w:val="nil"/>
            </w:tcBorders>
            <w:vAlign w:val="center"/>
          </w:tcPr>
          <w:p w14:paraId="3EC809B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最大值</w:t>
            </w:r>
          </w:p>
        </w:tc>
        <w:tc>
          <w:tcPr>
            <w:tcW w:w="159" w:type="pct"/>
            <w:tcBorders>
              <w:tl2br w:val="nil"/>
              <w:tr2bl w:val="nil"/>
            </w:tcBorders>
            <w:vAlign w:val="center"/>
          </w:tcPr>
          <w:p w14:paraId="6B75031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28.9</w:t>
            </w:r>
          </w:p>
        </w:tc>
        <w:tc>
          <w:tcPr>
            <w:tcW w:w="157" w:type="pct"/>
            <w:tcBorders>
              <w:tl2br w:val="nil"/>
              <w:tr2bl w:val="nil"/>
            </w:tcBorders>
            <w:vAlign w:val="center"/>
          </w:tcPr>
          <w:p w14:paraId="6F5B046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7.6</w:t>
            </w:r>
          </w:p>
        </w:tc>
        <w:tc>
          <w:tcPr>
            <w:tcW w:w="159" w:type="pct"/>
            <w:tcBorders>
              <w:tl2br w:val="nil"/>
              <w:tr2bl w:val="nil"/>
            </w:tcBorders>
            <w:vAlign w:val="center"/>
          </w:tcPr>
          <w:p w14:paraId="46785E5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5.8</w:t>
            </w:r>
          </w:p>
        </w:tc>
        <w:tc>
          <w:tcPr>
            <w:tcW w:w="145" w:type="pct"/>
            <w:tcBorders>
              <w:tl2br w:val="nil"/>
              <w:tr2bl w:val="nil"/>
            </w:tcBorders>
            <w:vAlign w:val="center"/>
          </w:tcPr>
          <w:p w14:paraId="0CE6694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2.3</w:t>
            </w:r>
          </w:p>
        </w:tc>
        <w:tc>
          <w:tcPr>
            <w:tcW w:w="134" w:type="pct"/>
            <w:tcBorders>
              <w:tl2br w:val="nil"/>
              <w:tr2bl w:val="nil"/>
            </w:tcBorders>
            <w:vAlign w:val="center"/>
          </w:tcPr>
          <w:p w14:paraId="77BC427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11</w:t>
            </w:r>
          </w:p>
        </w:tc>
        <w:tc>
          <w:tcPr>
            <w:tcW w:w="140" w:type="pct"/>
            <w:tcBorders>
              <w:tl2br w:val="nil"/>
              <w:tr2bl w:val="nil"/>
            </w:tcBorders>
            <w:vAlign w:val="center"/>
          </w:tcPr>
          <w:p w14:paraId="1C61BD1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1.58</w:t>
            </w:r>
          </w:p>
        </w:tc>
        <w:tc>
          <w:tcPr>
            <w:tcW w:w="180" w:type="pct"/>
            <w:tcBorders>
              <w:tl2br w:val="nil"/>
              <w:tr2bl w:val="nil"/>
            </w:tcBorders>
            <w:vAlign w:val="center"/>
          </w:tcPr>
          <w:p w14:paraId="15560FA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0.426</w:t>
            </w:r>
          </w:p>
        </w:tc>
        <w:tc>
          <w:tcPr>
            <w:tcW w:w="228" w:type="pct"/>
            <w:tcBorders>
              <w:tl2br w:val="nil"/>
              <w:tr2bl w:val="nil"/>
            </w:tcBorders>
            <w:vAlign w:val="center"/>
          </w:tcPr>
          <w:p w14:paraId="1F5EA16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0.09</w:t>
            </w:r>
          </w:p>
        </w:tc>
        <w:tc>
          <w:tcPr>
            <w:tcW w:w="140" w:type="pct"/>
            <w:tcBorders>
              <w:tl2br w:val="nil"/>
              <w:tr2bl w:val="nil"/>
            </w:tcBorders>
            <w:vAlign w:val="center"/>
          </w:tcPr>
          <w:p w14:paraId="63C0312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0.04</w:t>
            </w:r>
          </w:p>
        </w:tc>
        <w:tc>
          <w:tcPr>
            <w:tcW w:w="140" w:type="pct"/>
            <w:tcBorders>
              <w:tl2br w:val="nil"/>
              <w:tr2bl w:val="nil"/>
            </w:tcBorders>
            <w:vAlign w:val="center"/>
          </w:tcPr>
          <w:p w14:paraId="3A63A0A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99" w:type="pct"/>
            <w:tcBorders>
              <w:tl2br w:val="nil"/>
              <w:tr2bl w:val="nil"/>
            </w:tcBorders>
            <w:vAlign w:val="center"/>
          </w:tcPr>
          <w:p w14:paraId="4F6FC77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0.000921 </w:t>
            </w:r>
          </w:p>
        </w:tc>
        <w:tc>
          <w:tcPr>
            <w:tcW w:w="172" w:type="pct"/>
            <w:tcBorders>
              <w:tl2br w:val="nil"/>
              <w:tr2bl w:val="nil"/>
            </w:tcBorders>
            <w:vAlign w:val="center"/>
          </w:tcPr>
          <w:p w14:paraId="606C2C7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59F90DA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vAlign w:val="center"/>
          </w:tcPr>
          <w:p w14:paraId="154EE9E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vAlign w:val="center"/>
          </w:tcPr>
          <w:p w14:paraId="3AF7F3E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4E343D4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13765F0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vAlign w:val="center"/>
          </w:tcPr>
          <w:p w14:paraId="58D5AE8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0.0003</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4</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vAlign w:val="center"/>
          </w:tcPr>
          <w:p w14:paraId="622CD37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vAlign w:val="center"/>
          </w:tcPr>
          <w:p w14:paraId="39F2169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0.0014 </w:t>
            </w:r>
          </w:p>
        </w:tc>
        <w:tc>
          <w:tcPr>
            <w:tcW w:w="134" w:type="pct"/>
            <w:tcBorders>
              <w:tl2br w:val="nil"/>
              <w:tr2bl w:val="nil"/>
            </w:tcBorders>
            <w:vAlign w:val="center"/>
          </w:tcPr>
          <w:p w14:paraId="3A5AA2A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61E8D20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29</w:t>
            </w:r>
          </w:p>
        </w:tc>
        <w:tc>
          <w:tcPr>
            <w:tcW w:w="210" w:type="pct"/>
            <w:tcBorders>
              <w:tl2br w:val="nil"/>
              <w:tr2bl w:val="nil"/>
            </w:tcBorders>
            <w:vAlign w:val="center"/>
          </w:tcPr>
          <w:p w14:paraId="13E9C01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63170A9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6A0B928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2.2</w:t>
            </w:r>
          </w:p>
        </w:tc>
        <w:tc>
          <w:tcPr>
            <w:tcW w:w="135" w:type="pct"/>
            <w:tcBorders>
              <w:tl2br w:val="nil"/>
              <w:tr2bl w:val="nil"/>
            </w:tcBorders>
            <w:vAlign w:val="center"/>
          </w:tcPr>
          <w:p w14:paraId="520BD50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0.28</w:t>
            </w:r>
          </w:p>
        </w:tc>
        <w:tc>
          <w:tcPr>
            <w:tcW w:w="133" w:type="pct"/>
            <w:tcBorders>
              <w:tl2br w:val="nil"/>
              <w:tr2bl w:val="nil"/>
            </w:tcBorders>
            <w:vAlign w:val="center"/>
          </w:tcPr>
          <w:p w14:paraId="75C389C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r>
      <w:tr w14:paraId="1CC45BC7">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vAlign w:val="center"/>
          </w:tcPr>
          <w:p w14:paraId="4BE240D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vAlign w:val="center"/>
          </w:tcPr>
          <w:p w14:paraId="356183B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最小值</w:t>
            </w:r>
          </w:p>
        </w:tc>
        <w:tc>
          <w:tcPr>
            <w:tcW w:w="159" w:type="pct"/>
            <w:tcBorders>
              <w:tl2br w:val="nil"/>
              <w:tr2bl w:val="nil"/>
            </w:tcBorders>
            <w:vAlign w:val="center"/>
          </w:tcPr>
          <w:p w14:paraId="3812F94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28.7</w:t>
            </w:r>
          </w:p>
        </w:tc>
        <w:tc>
          <w:tcPr>
            <w:tcW w:w="157" w:type="pct"/>
            <w:tcBorders>
              <w:tl2br w:val="nil"/>
              <w:tr2bl w:val="nil"/>
            </w:tcBorders>
            <w:vAlign w:val="center"/>
          </w:tcPr>
          <w:p w14:paraId="4149711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7.5</w:t>
            </w:r>
          </w:p>
        </w:tc>
        <w:tc>
          <w:tcPr>
            <w:tcW w:w="159" w:type="pct"/>
            <w:tcBorders>
              <w:tl2br w:val="nil"/>
              <w:tr2bl w:val="nil"/>
            </w:tcBorders>
            <w:vAlign w:val="center"/>
          </w:tcPr>
          <w:p w14:paraId="0E6FE61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5.7</w:t>
            </w:r>
          </w:p>
        </w:tc>
        <w:tc>
          <w:tcPr>
            <w:tcW w:w="145" w:type="pct"/>
            <w:tcBorders>
              <w:tl2br w:val="nil"/>
              <w:tr2bl w:val="nil"/>
            </w:tcBorders>
            <w:vAlign w:val="center"/>
          </w:tcPr>
          <w:p w14:paraId="480A9BB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1.5</w:t>
            </w:r>
          </w:p>
        </w:tc>
        <w:tc>
          <w:tcPr>
            <w:tcW w:w="134" w:type="pct"/>
            <w:tcBorders>
              <w:tl2br w:val="nil"/>
              <w:tr2bl w:val="nil"/>
            </w:tcBorders>
            <w:vAlign w:val="center"/>
          </w:tcPr>
          <w:p w14:paraId="38A62A5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w:t>
            </w:r>
          </w:p>
        </w:tc>
        <w:tc>
          <w:tcPr>
            <w:tcW w:w="140" w:type="pct"/>
            <w:tcBorders>
              <w:tl2br w:val="nil"/>
              <w:tr2bl w:val="nil"/>
            </w:tcBorders>
            <w:vAlign w:val="center"/>
          </w:tcPr>
          <w:p w14:paraId="720841E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1.48</w:t>
            </w:r>
          </w:p>
        </w:tc>
        <w:tc>
          <w:tcPr>
            <w:tcW w:w="180" w:type="pct"/>
            <w:tcBorders>
              <w:tl2br w:val="nil"/>
              <w:tr2bl w:val="nil"/>
            </w:tcBorders>
            <w:vAlign w:val="center"/>
          </w:tcPr>
          <w:p w14:paraId="3AF703A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0.397</w:t>
            </w:r>
          </w:p>
        </w:tc>
        <w:tc>
          <w:tcPr>
            <w:tcW w:w="228" w:type="pct"/>
            <w:tcBorders>
              <w:tl2br w:val="nil"/>
              <w:tr2bl w:val="nil"/>
            </w:tcBorders>
            <w:vAlign w:val="center"/>
          </w:tcPr>
          <w:p w14:paraId="10BE947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0.05</w:t>
            </w:r>
          </w:p>
        </w:tc>
        <w:tc>
          <w:tcPr>
            <w:tcW w:w="140" w:type="pct"/>
            <w:tcBorders>
              <w:tl2br w:val="nil"/>
              <w:tr2bl w:val="nil"/>
            </w:tcBorders>
            <w:vAlign w:val="center"/>
          </w:tcPr>
          <w:p w14:paraId="6CB7893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0.02</w:t>
            </w:r>
          </w:p>
        </w:tc>
        <w:tc>
          <w:tcPr>
            <w:tcW w:w="140" w:type="pct"/>
            <w:tcBorders>
              <w:tl2br w:val="nil"/>
              <w:tr2bl w:val="nil"/>
            </w:tcBorders>
            <w:vAlign w:val="center"/>
          </w:tcPr>
          <w:p w14:paraId="6CA67C7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99" w:type="pct"/>
            <w:tcBorders>
              <w:tl2br w:val="nil"/>
              <w:tr2bl w:val="nil"/>
            </w:tcBorders>
            <w:vAlign w:val="center"/>
          </w:tcPr>
          <w:p w14:paraId="617C4B7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0.000858 </w:t>
            </w:r>
          </w:p>
        </w:tc>
        <w:tc>
          <w:tcPr>
            <w:tcW w:w="172" w:type="pct"/>
            <w:tcBorders>
              <w:tl2br w:val="nil"/>
              <w:tr2bl w:val="nil"/>
            </w:tcBorders>
            <w:vAlign w:val="center"/>
          </w:tcPr>
          <w:p w14:paraId="0520441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263F1FC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vAlign w:val="center"/>
          </w:tcPr>
          <w:p w14:paraId="7AA2F49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vAlign w:val="center"/>
          </w:tcPr>
          <w:p w14:paraId="336CE64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2EB0225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18E0278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vAlign w:val="center"/>
          </w:tcPr>
          <w:p w14:paraId="34C1A38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0.00027 </w:t>
            </w:r>
          </w:p>
        </w:tc>
        <w:tc>
          <w:tcPr>
            <w:tcW w:w="209" w:type="pct"/>
            <w:tcBorders>
              <w:tl2br w:val="nil"/>
              <w:tr2bl w:val="nil"/>
            </w:tcBorders>
            <w:vAlign w:val="center"/>
          </w:tcPr>
          <w:p w14:paraId="1678CE4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vAlign w:val="center"/>
          </w:tcPr>
          <w:p w14:paraId="3298395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0.0012</w:t>
            </w:r>
          </w:p>
        </w:tc>
        <w:tc>
          <w:tcPr>
            <w:tcW w:w="134" w:type="pct"/>
            <w:tcBorders>
              <w:tl2br w:val="nil"/>
              <w:tr2bl w:val="nil"/>
            </w:tcBorders>
            <w:vAlign w:val="center"/>
          </w:tcPr>
          <w:p w14:paraId="6A1A54A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1A74C72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25</w:t>
            </w:r>
          </w:p>
        </w:tc>
        <w:tc>
          <w:tcPr>
            <w:tcW w:w="210" w:type="pct"/>
            <w:tcBorders>
              <w:tl2br w:val="nil"/>
              <w:tr2bl w:val="nil"/>
            </w:tcBorders>
            <w:vAlign w:val="center"/>
          </w:tcPr>
          <w:p w14:paraId="4D6158D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31A2CA2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6D96915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2.0</w:t>
            </w:r>
          </w:p>
        </w:tc>
        <w:tc>
          <w:tcPr>
            <w:tcW w:w="135" w:type="pct"/>
            <w:tcBorders>
              <w:tl2br w:val="nil"/>
              <w:tr2bl w:val="nil"/>
            </w:tcBorders>
            <w:vAlign w:val="center"/>
          </w:tcPr>
          <w:p w14:paraId="4EA581D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0.25</w:t>
            </w:r>
          </w:p>
        </w:tc>
        <w:tc>
          <w:tcPr>
            <w:tcW w:w="133" w:type="pct"/>
            <w:tcBorders>
              <w:tl2br w:val="nil"/>
              <w:tr2bl w:val="nil"/>
            </w:tcBorders>
            <w:vAlign w:val="center"/>
          </w:tcPr>
          <w:p w14:paraId="189C269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r>
      <w:tr w14:paraId="64E14CE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extDirection w:val="tbRlV"/>
            <w:vAlign w:val="center"/>
          </w:tcPr>
          <w:p w14:paraId="3E86176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vAlign w:val="center"/>
          </w:tcPr>
          <w:p w14:paraId="1E56D18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平均浓度</w:t>
            </w:r>
          </w:p>
        </w:tc>
        <w:tc>
          <w:tcPr>
            <w:tcW w:w="159" w:type="pct"/>
            <w:tcBorders>
              <w:tl2br w:val="nil"/>
              <w:tr2bl w:val="nil"/>
            </w:tcBorders>
            <w:vAlign w:val="center"/>
          </w:tcPr>
          <w:p w14:paraId="64BD530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28.8</w:t>
            </w:r>
          </w:p>
        </w:tc>
        <w:tc>
          <w:tcPr>
            <w:tcW w:w="157" w:type="pct"/>
            <w:tcBorders>
              <w:tl2br w:val="nil"/>
              <w:tr2bl w:val="nil"/>
            </w:tcBorders>
            <w:vAlign w:val="center"/>
          </w:tcPr>
          <w:p w14:paraId="3B9C085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7.5</w:t>
            </w:r>
          </w:p>
        </w:tc>
        <w:tc>
          <w:tcPr>
            <w:tcW w:w="159" w:type="pct"/>
            <w:tcBorders>
              <w:tl2br w:val="nil"/>
              <w:tr2bl w:val="nil"/>
            </w:tcBorders>
            <w:vAlign w:val="center"/>
          </w:tcPr>
          <w:p w14:paraId="29E200A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5.7</w:t>
            </w:r>
          </w:p>
        </w:tc>
        <w:tc>
          <w:tcPr>
            <w:tcW w:w="145" w:type="pct"/>
            <w:tcBorders>
              <w:tl2br w:val="nil"/>
              <w:tr2bl w:val="nil"/>
            </w:tcBorders>
            <w:vAlign w:val="center"/>
          </w:tcPr>
          <w:p w14:paraId="24B71DF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1.</w:t>
            </w:r>
            <w:bookmarkStart w:id="1427" w:name="OLE_LINK825"/>
            <w:r>
              <w:rPr>
                <w:rFonts w:hint="eastAsia" w:ascii="Times New Roman" w:hAnsi="Times New Roman" w:eastAsia="宋体" w:cs="Times New Roman"/>
                <w:i w:val="0"/>
                <w:iCs w:val="0"/>
                <w:snapToGrid w:val="0"/>
                <w:color w:val="auto"/>
                <w:kern w:val="0"/>
                <w:sz w:val="18"/>
                <w:szCs w:val="18"/>
                <w:highlight w:val="none"/>
                <w:u w:val="none"/>
                <w:lang w:val="en-US" w:eastAsia="zh-CN" w:bidi="ar"/>
              </w:rPr>
              <w:t>9</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bookmarkEnd w:id="1427"/>
          </w:p>
        </w:tc>
        <w:tc>
          <w:tcPr>
            <w:tcW w:w="134" w:type="pct"/>
            <w:tcBorders>
              <w:tl2br w:val="nil"/>
              <w:tr2bl w:val="nil"/>
            </w:tcBorders>
            <w:vAlign w:val="center"/>
          </w:tcPr>
          <w:p w14:paraId="711A980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140" w:type="pct"/>
            <w:tcBorders>
              <w:tl2br w:val="nil"/>
              <w:tr2bl w:val="nil"/>
            </w:tcBorders>
            <w:vAlign w:val="center"/>
          </w:tcPr>
          <w:p w14:paraId="66FC752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1.53 </w:t>
            </w:r>
          </w:p>
        </w:tc>
        <w:tc>
          <w:tcPr>
            <w:tcW w:w="180" w:type="pct"/>
            <w:tcBorders>
              <w:tl2br w:val="nil"/>
              <w:tr2bl w:val="nil"/>
            </w:tcBorders>
            <w:vAlign w:val="center"/>
          </w:tcPr>
          <w:p w14:paraId="5D24718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0.41 </w:t>
            </w:r>
          </w:p>
        </w:tc>
        <w:tc>
          <w:tcPr>
            <w:tcW w:w="228" w:type="pct"/>
            <w:tcBorders>
              <w:tl2br w:val="nil"/>
              <w:tr2bl w:val="nil"/>
            </w:tcBorders>
            <w:vAlign w:val="center"/>
          </w:tcPr>
          <w:p w14:paraId="1F8A77E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0.07 </w:t>
            </w:r>
          </w:p>
        </w:tc>
        <w:tc>
          <w:tcPr>
            <w:tcW w:w="140" w:type="pct"/>
            <w:tcBorders>
              <w:tl2br w:val="nil"/>
              <w:tr2bl w:val="nil"/>
            </w:tcBorders>
            <w:vAlign w:val="center"/>
          </w:tcPr>
          <w:p w14:paraId="372E868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40" w:type="pct"/>
            <w:tcBorders>
              <w:tl2br w:val="nil"/>
              <w:tr2bl w:val="nil"/>
            </w:tcBorders>
            <w:vAlign w:val="center"/>
          </w:tcPr>
          <w:p w14:paraId="1F5177D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99" w:type="pct"/>
            <w:tcBorders>
              <w:tl2br w:val="nil"/>
              <w:tr2bl w:val="nil"/>
            </w:tcBorders>
            <w:vAlign w:val="center"/>
          </w:tcPr>
          <w:p w14:paraId="1E43F08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0.000882 </w:t>
            </w:r>
          </w:p>
        </w:tc>
        <w:tc>
          <w:tcPr>
            <w:tcW w:w="172" w:type="pct"/>
            <w:tcBorders>
              <w:tl2br w:val="nil"/>
              <w:tr2bl w:val="nil"/>
            </w:tcBorders>
            <w:vAlign w:val="center"/>
          </w:tcPr>
          <w:p w14:paraId="4CC11A2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2F1C468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vAlign w:val="center"/>
          </w:tcPr>
          <w:p w14:paraId="2D7D8FE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vAlign w:val="center"/>
          </w:tcPr>
          <w:p w14:paraId="53378D0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0819016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6BA25B3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vAlign w:val="center"/>
          </w:tcPr>
          <w:p w14:paraId="2440BA1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0.00033 </w:t>
            </w:r>
          </w:p>
        </w:tc>
        <w:tc>
          <w:tcPr>
            <w:tcW w:w="209" w:type="pct"/>
            <w:tcBorders>
              <w:tl2br w:val="nil"/>
              <w:tr2bl w:val="nil"/>
            </w:tcBorders>
            <w:vAlign w:val="center"/>
          </w:tcPr>
          <w:p w14:paraId="0488A04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vAlign w:val="center"/>
          </w:tcPr>
          <w:p w14:paraId="04BF3B9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0.0013</w:t>
            </w:r>
          </w:p>
        </w:tc>
        <w:tc>
          <w:tcPr>
            <w:tcW w:w="134" w:type="pct"/>
            <w:tcBorders>
              <w:tl2br w:val="nil"/>
              <w:tr2bl w:val="nil"/>
            </w:tcBorders>
            <w:vAlign w:val="center"/>
          </w:tcPr>
          <w:p w14:paraId="57CD9E5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vAlign w:val="center"/>
          </w:tcPr>
          <w:p w14:paraId="05DD20D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27</w:t>
            </w:r>
          </w:p>
        </w:tc>
        <w:tc>
          <w:tcPr>
            <w:tcW w:w="210" w:type="pct"/>
            <w:tcBorders>
              <w:tl2br w:val="nil"/>
              <w:tr2bl w:val="nil"/>
            </w:tcBorders>
            <w:vAlign w:val="center"/>
          </w:tcPr>
          <w:p w14:paraId="1D98ECA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40D403F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vAlign w:val="center"/>
          </w:tcPr>
          <w:p w14:paraId="22FF404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2.1</w:t>
            </w:r>
          </w:p>
        </w:tc>
        <w:tc>
          <w:tcPr>
            <w:tcW w:w="135" w:type="pct"/>
            <w:tcBorders>
              <w:tl2br w:val="nil"/>
              <w:tr2bl w:val="nil"/>
            </w:tcBorders>
            <w:vAlign w:val="center"/>
          </w:tcPr>
          <w:p w14:paraId="3D38CE1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0.26</w:t>
            </w:r>
          </w:p>
        </w:tc>
        <w:tc>
          <w:tcPr>
            <w:tcW w:w="133" w:type="pct"/>
            <w:tcBorders>
              <w:tl2br w:val="nil"/>
              <w:tr2bl w:val="nil"/>
            </w:tcBorders>
            <w:vAlign w:val="center"/>
          </w:tcPr>
          <w:p w14:paraId="703FAF0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25"/>
      <w:tr w14:paraId="5D6479A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vAlign w:val="center"/>
          </w:tcPr>
          <w:p w14:paraId="20627B6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bookmarkStart w:id="1428" w:name="OLE_LINK484" w:colFirst="2" w:colLast="28"/>
            <w:bookmarkStart w:id="1429" w:name="OLE_LINK486" w:colFirst="7" w:colLast="7"/>
          </w:p>
        </w:tc>
        <w:tc>
          <w:tcPr>
            <w:tcW w:w="216" w:type="pct"/>
            <w:tcBorders>
              <w:tl2br w:val="nil"/>
              <w:tr2bl w:val="nil"/>
            </w:tcBorders>
            <w:vAlign w:val="center"/>
          </w:tcPr>
          <w:p w14:paraId="16E46A1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最大单因子指数</w:t>
            </w:r>
          </w:p>
        </w:tc>
        <w:tc>
          <w:tcPr>
            <w:tcW w:w="159" w:type="pct"/>
            <w:tcBorders>
              <w:tl2br w:val="nil"/>
              <w:tr2bl w:val="nil"/>
            </w:tcBorders>
            <w:vAlign w:val="center"/>
          </w:tcPr>
          <w:p w14:paraId="43A9E222">
            <w:pPr>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vAlign w:val="center"/>
          </w:tcPr>
          <w:p w14:paraId="67DDB752">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0.3</w:t>
            </w:r>
          </w:p>
        </w:tc>
        <w:tc>
          <w:tcPr>
            <w:tcW w:w="159" w:type="pct"/>
            <w:tcBorders>
              <w:tl2br w:val="nil"/>
              <w:tr2bl w:val="nil"/>
            </w:tcBorders>
            <w:vAlign w:val="center"/>
          </w:tcPr>
          <w:p w14:paraId="7DEEABA0">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0.41 </w:t>
            </w:r>
          </w:p>
        </w:tc>
        <w:tc>
          <w:tcPr>
            <w:tcW w:w="145" w:type="pct"/>
            <w:tcBorders>
              <w:tl2br w:val="nil"/>
              <w:tr2bl w:val="nil"/>
            </w:tcBorders>
            <w:vAlign w:val="center"/>
          </w:tcPr>
          <w:p w14:paraId="4C248EE4">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0.3</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8</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vAlign w:val="center"/>
          </w:tcPr>
          <w:p w14:paraId="7A39A6C8">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0.37 </w:t>
            </w:r>
          </w:p>
        </w:tc>
        <w:tc>
          <w:tcPr>
            <w:tcW w:w="140" w:type="pct"/>
            <w:tcBorders>
              <w:tl2br w:val="nil"/>
              <w:tr2bl w:val="nil"/>
            </w:tcBorders>
            <w:vAlign w:val="center"/>
          </w:tcPr>
          <w:p w14:paraId="7EC8ACED">
            <w:pPr>
              <w:keepNext w:val="0"/>
              <w:keepLines w:val="0"/>
              <w:widowControl/>
              <w:suppressLineNumbers w:val="0"/>
              <w:jc w:val="center"/>
              <w:textAlignment w:val="center"/>
              <w:rPr>
                <w:rFonts w:hint="default" w:ascii="Times New Roman" w:hAnsi="Times New Roman" w:eastAsia="宋体" w:cs="Times New Roman"/>
                <w:color w:val="auto"/>
                <w:sz w:val="18"/>
                <w:szCs w:val="18"/>
              </w:rPr>
            </w:pPr>
            <w:bookmarkStart w:id="1430" w:name="OLE_LINK488"/>
            <w:r>
              <w:rPr>
                <w:rFonts w:hint="eastAsia" w:ascii="Times New Roman" w:hAnsi="Times New Roman" w:eastAsia="宋体" w:cs="Times New Roman"/>
                <w:color w:val="auto"/>
                <w:sz w:val="18"/>
                <w:szCs w:val="18"/>
                <w:highlight w:val="none"/>
                <w:lang w:val="en-US" w:eastAsia="zh-CN"/>
              </w:rPr>
              <w:t>/</w:t>
            </w:r>
            <w:bookmarkEnd w:id="1430"/>
          </w:p>
        </w:tc>
        <w:tc>
          <w:tcPr>
            <w:tcW w:w="180" w:type="pct"/>
            <w:tcBorders>
              <w:tl2br w:val="nil"/>
              <w:tr2bl w:val="nil"/>
            </w:tcBorders>
            <w:vAlign w:val="center"/>
          </w:tcPr>
          <w:p w14:paraId="5024A8B8">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0.28 </w:t>
            </w:r>
          </w:p>
        </w:tc>
        <w:tc>
          <w:tcPr>
            <w:tcW w:w="228" w:type="pct"/>
            <w:tcBorders>
              <w:tl2br w:val="nil"/>
              <w:tr2bl w:val="nil"/>
            </w:tcBorders>
            <w:vAlign w:val="center"/>
          </w:tcPr>
          <w:p w14:paraId="46BADBCB">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0.30 </w:t>
            </w:r>
          </w:p>
        </w:tc>
        <w:tc>
          <w:tcPr>
            <w:tcW w:w="140" w:type="pct"/>
            <w:tcBorders>
              <w:tl2br w:val="nil"/>
              <w:tr2bl w:val="nil"/>
            </w:tcBorders>
            <w:vAlign w:val="center"/>
          </w:tcPr>
          <w:p w14:paraId="18EB89EC">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0.08 </w:t>
            </w:r>
          </w:p>
        </w:tc>
        <w:tc>
          <w:tcPr>
            <w:tcW w:w="140" w:type="pct"/>
            <w:tcBorders>
              <w:tl2br w:val="nil"/>
              <w:tr2bl w:val="nil"/>
            </w:tcBorders>
            <w:vAlign w:val="center"/>
          </w:tcPr>
          <w:p w14:paraId="4F496A94">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299" w:type="pct"/>
            <w:tcBorders>
              <w:tl2br w:val="nil"/>
              <w:tr2bl w:val="nil"/>
            </w:tcBorders>
            <w:vAlign w:val="center"/>
          </w:tcPr>
          <w:p w14:paraId="69AE8649">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0.18 </w:t>
            </w:r>
          </w:p>
        </w:tc>
        <w:tc>
          <w:tcPr>
            <w:tcW w:w="172" w:type="pct"/>
            <w:tcBorders>
              <w:tl2br w:val="nil"/>
              <w:tr2bl w:val="nil"/>
            </w:tcBorders>
            <w:vAlign w:val="center"/>
          </w:tcPr>
          <w:p w14:paraId="394E09C3">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34" w:type="pct"/>
            <w:tcBorders>
              <w:tl2br w:val="nil"/>
              <w:tr2bl w:val="nil"/>
            </w:tcBorders>
            <w:vAlign w:val="center"/>
          </w:tcPr>
          <w:p w14:paraId="753B5014">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0.30 </w:t>
            </w:r>
          </w:p>
        </w:tc>
        <w:tc>
          <w:tcPr>
            <w:tcW w:w="180" w:type="pct"/>
            <w:tcBorders>
              <w:tl2br w:val="nil"/>
              <w:tr2bl w:val="nil"/>
            </w:tcBorders>
            <w:vAlign w:val="center"/>
          </w:tcPr>
          <w:p w14:paraId="34BD3248">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 </w:t>
            </w:r>
          </w:p>
        </w:tc>
        <w:tc>
          <w:tcPr>
            <w:tcW w:w="180" w:type="pct"/>
            <w:tcBorders>
              <w:tl2br w:val="nil"/>
              <w:tr2bl w:val="nil"/>
            </w:tcBorders>
            <w:vAlign w:val="center"/>
          </w:tcPr>
          <w:p w14:paraId="4A0383B5">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72" w:type="pct"/>
            <w:tcBorders>
              <w:tl2br w:val="nil"/>
              <w:tr2bl w:val="nil"/>
            </w:tcBorders>
            <w:vAlign w:val="center"/>
          </w:tcPr>
          <w:p w14:paraId="0B7EF3F7">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34" w:type="pct"/>
            <w:tcBorders>
              <w:tl2br w:val="nil"/>
              <w:tr2bl w:val="nil"/>
            </w:tcBorders>
            <w:vAlign w:val="center"/>
          </w:tcPr>
          <w:p w14:paraId="756F8331">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0.70 </w:t>
            </w:r>
          </w:p>
        </w:tc>
        <w:tc>
          <w:tcPr>
            <w:tcW w:w="258" w:type="pct"/>
            <w:tcBorders>
              <w:tl2br w:val="nil"/>
              <w:tr2bl w:val="nil"/>
            </w:tcBorders>
            <w:vAlign w:val="center"/>
          </w:tcPr>
          <w:p w14:paraId="54362B3A">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0.39 </w:t>
            </w:r>
          </w:p>
        </w:tc>
        <w:tc>
          <w:tcPr>
            <w:tcW w:w="209" w:type="pct"/>
            <w:tcBorders>
              <w:tl2br w:val="nil"/>
              <w:tr2bl w:val="nil"/>
            </w:tcBorders>
            <w:vAlign w:val="center"/>
          </w:tcPr>
          <w:p w14:paraId="1C578D76">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219" w:type="pct"/>
            <w:tcBorders>
              <w:tl2br w:val="nil"/>
              <w:tr2bl w:val="nil"/>
            </w:tcBorders>
            <w:vAlign w:val="center"/>
          </w:tcPr>
          <w:p w14:paraId="3A3CE437">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134" w:type="pct"/>
            <w:tcBorders>
              <w:tl2br w:val="nil"/>
              <w:tr2bl w:val="nil"/>
            </w:tcBorders>
            <w:vAlign w:val="center"/>
          </w:tcPr>
          <w:p w14:paraId="61D3B238">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34" w:type="pct"/>
            <w:tcBorders>
              <w:tl2br w:val="nil"/>
              <w:tr2bl w:val="nil"/>
            </w:tcBorders>
            <w:vAlign w:val="center"/>
          </w:tcPr>
          <w:p w14:paraId="0141FC69">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highlight w:val="none"/>
                <w:lang w:val="en-US" w:eastAsia="zh-CN"/>
              </w:rPr>
              <w:t>/</w:t>
            </w:r>
          </w:p>
        </w:tc>
        <w:tc>
          <w:tcPr>
            <w:tcW w:w="210" w:type="pct"/>
            <w:tcBorders>
              <w:tl2br w:val="nil"/>
              <w:tr2bl w:val="nil"/>
            </w:tcBorders>
            <w:vAlign w:val="center"/>
          </w:tcPr>
          <w:p w14:paraId="3667F18F">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72" w:type="pct"/>
            <w:tcBorders>
              <w:tl2br w:val="nil"/>
              <w:tr2bl w:val="nil"/>
            </w:tcBorders>
            <w:vAlign w:val="center"/>
          </w:tcPr>
          <w:p w14:paraId="7838C0DB">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72" w:type="pct"/>
            <w:tcBorders>
              <w:tl2br w:val="nil"/>
              <w:tr2bl w:val="nil"/>
            </w:tcBorders>
            <w:vAlign w:val="center"/>
          </w:tcPr>
          <w:p w14:paraId="2ECDD0E9">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0.22 </w:t>
            </w:r>
          </w:p>
        </w:tc>
        <w:tc>
          <w:tcPr>
            <w:tcW w:w="135" w:type="pct"/>
            <w:tcBorders>
              <w:tl2br w:val="nil"/>
              <w:tr2bl w:val="nil"/>
            </w:tcBorders>
            <w:vAlign w:val="center"/>
          </w:tcPr>
          <w:p w14:paraId="4AEA1F95">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0.19 </w:t>
            </w:r>
          </w:p>
        </w:tc>
        <w:tc>
          <w:tcPr>
            <w:tcW w:w="133" w:type="pct"/>
            <w:tcBorders>
              <w:tl2br w:val="nil"/>
              <w:tr2bl w:val="nil"/>
            </w:tcBorders>
            <w:vAlign w:val="center"/>
          </w:tcPr>
          <w:p w14:paraId="05EC6DC2">
            <w:pPr>
              <w:keepNext w:val="0"/>
              <w:keepLines w:val="0"/>
              <w:widowControl/>
              <w:suppressLineNumbers w:val="0"/>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0.08 </w:t>
            </w:r>
          </w:p>
        </w:tc>
      </w:tr>
      <w:bookmarkEnd w:id="1426"/>
      <w:bookmarkEnd w:id="1428"/>
      <w:tr w14:paraId="535E4E6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vAlign w:val="center"/>
          </w:tcPr>
          <w:p w14:paraId="6CB5B1E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vAlign w:val="center"/>
          </w:tcPr>
          <w:p w14:paraId="695E702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超标率（%）</w:t>
            </w:r>
          </w:p>
        </w:tc>
        <w:tc>
          <w:tcPr>
            <w:tcW w:w="159" w:type="pct"/>
            <w:tcBorders>
              <w:tl2br w:val="nil"/>
              <w:tr2bl w:val="nil"/>
            </w:tcBorders>
            <w:vAlign w:val="center"/>
          </w:tcPr>
          <w:p w14:paraId="6DA684E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vAlign w:val="center"/>
          </w:tcPr>
          <w:p w14:paraId="562D291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59" w:type="pct"/>
            <w:tcBorders>
              <w:tl2br w:val="nil"/>
              <w:tr2bl w:val="nil"/>
            </w:tcBorders>
            <w:vAlign w:val="center"/>
          </w:tcPr>
          <w:p w14:paraId="6650FA2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0</w:t>
            </w:r>
          </w:p>
        </w:tc>
        <w:tc>
          <w:tcPr>
            <w:tcW w:w="145" w:type="pct"/>
            <w:tcBorders>
              <w:tl2br w:val="nil"/>
              <w:tr2bl w:val="nil"/>
            </w:tcBorders>
            <w:vAlign w:val="center"/>
          </w:tcPr>
          <w:p w14:paraId="1C0C8C6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0</w:t>
            </w:r>
          </w:p>
        </w:tc>
        <w:tc>
          <w:tcPr>
            <w:tcW w:w="134" w:type="pct"/>
            <w:tcBorders>
              <w:tl2br w:val="nil"/>
              <w:tr2bl w:val="nil"/>
            </w:tcBorders>
            <w:vAlign w:val="center"/>
          </w:tcPr>
          <w:p w14:paraId="6281601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0</w:t>
            </w:r>
          </w:p>
        </w:tc>
        <w:tc>
          <w:tcPr>
            <w:tcW w:w="140" w:type="pct"/>
            <w:tcBorders>
              <w:tl2br w:val="nil"/>
              <w:tr2bl w:val="nil"/>
            </w:tcBorders>
            <w:vAlign w:val="center"/>
          </w:tcPr>
          <w:p w14:paraId="2C16543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w:t>
            </w:r>
          </w:p>
        </w:tc>
        <w:tc>
          <w:tcPr>
            <w:tcW w:w="180" w:type="pct"/>
            <w:tcBorders>
              <w:tl2br w:val="nil"/>
              <w:tr2bl w:val="nil"/>
            </w:tcBorders>
            <w:vAlign w:val="center"/>
          </w:tcPr>
          <w:p w14:paraId="513DFAE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228" w:type="pct"/>
            <w:tcBorders>
              <w:tl2br w:val="nil"/>
              <w:tr2bl w:val="nil"/>
            </w:tcBorders>
            <w:vAlign w:val="center"/>
          </w:tcPr>
          <w:p w14:paraId="40EE05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vAlign w:val="center"/>
          </w:tcPr>
          <w:p w14:paraId="0A94493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vAlign w:val="center"/>
          </w:tcPr>
          <w:p w14:paraId="640CAEA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299" w:type="pct"/>
            <w:tcBorders>
              <w:tl2br w:val="nil"/>
              <w:tr2bl w:val="nil"/>
            </w:tcBorders>
            <w:vAlign w:val="center"/>
          </w:tcPr>
          <w:p w14:paraId="3B70597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vAlign w:val="center"/>
          </w:tcPr>
          <w:p w14:paraId="2FD30B0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vAlign w:val="center"/>
          </w:tcPr>
          <w:p w14:paraId="07EE6C7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vAlign w:val="center"/>
          </w:tcPr>
          <w:p w14:paraId="7C91727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vAlign w:val="center"/>
          </w:tcPr>
          <w:p w14:paraId="06FB81F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vAlign w:val="center"/>
          </w:tcPr>
          <w:p w14:paraId="6A6A5F2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vAlign w:val="center"/>
          </w:tcPr>
          <w:p w14:paraId="0FC8C4B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258" w:type="pct"/>
            <w:tcBorders>
              <w:tl2br w:val="nil"/>
              <w:tr2bl w:val="nil"/>
            </w:tcBorders>
            <w:vAlign w:val="center"/>
          </w:tcPr>
          <w:p w14:paraId="3E24A4F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209" w:type="pct"/>
            <w:tcBorders>
              <w:tl2br w:val="nil"/>
              <w:tr2bl w:val="nil"/>
            </w:tcBorders>
            <w:vAlign w:val="center"/>
          </w:tcPr>
          <w:p w14:paraId="3C10996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219" w:type="pct"/>
            <w:tcBorders>
              <w:tl2br w:val="nil"/>
              <w:tr2bl w:val="nil"/>
            </w:tcBorders>
            <w:vAlign w:val="center"/>
          </w:tcPr>
          <w:p w14:paraId="73EF8F0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vAlign w:val="center"/>
          </w:tcPr>
          <w:p w14:paraId="142A215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vAlign w:val="center"/>
          </w:tcPr>
          <w:p w14:paraId="047E5C4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highlight w:val="none"/>
                <w:lang w:val="en-US" w:eastAsia="zh-CN"/>
              </w:rPr>
              <w:t>/</w:t>
            </w:r>
          </w:p>
        </w:tc>
        <w:tc>
          <w:tcPr>
            <w:tcW w:w="210" w:type="pct"/>
            <w:tcBorders>
              <w:tl2br w:val="nil"/>
              <w:tr2bl w:val="nil"/>
            </w:tcBorders>
            <w:vAlign w:val="center"/>
          </w:tcPr>
          <w:p w14:paraId="75B92CF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vAlign w:val="center"/>
          </w:tcPr>
          <w:p w14:paraId="3FC2883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vAlign w:val="center"/>
          </w:tcPr>
          <w:p w14:paraId="16D6789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35" w:type="pct"/>
            <w:tcBorders>
              <w:tl2br w:val="nil"/>
              <w:tr2bl w:val="nil"/>
            </w:tcBorders>
            <w:vAlign w:val="center"/>
          </w:tcPr>
          <w:p w14:paraId="6E37CCB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c>
          <w:tcPr>
            <w:tcW w:w="133" w:type="pct"/>
            <w:tcBorders>
              <w:tl2br w:val="nil"/>
              <w:tr2bl w:val="nil"/>
            </w:tcBorders>
            <w:vAlign w:val="center"/>
          </w:tcPr>
          <w:p w14:paraId="02D3B47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0</w:t>
            </w:r>
          </w:p>
        </w:tc>
      </w:tr>
      <w:bookmarkEnd w:id="1429"/>
      <w:tr w14:paraId="183D442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355" w:type="pct"/>
            <w:gridSpan w:val="2"/>
            <w:tcBorders>
              <w:tl2br w:val="nil"/>
              <w:tr2bl w:val="nil"/>
            </w:tcBorders>
            <w:shd w:val="clear" w:color="auto" w:fill="auto"/>
            <w:vAlign w:val="center"/>
          </w:tcPr>
          <w:p w14:paraId="607B752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color w:val="auto"/>
                <w:sz w:val="18"/>
                <w:szCs w:val="18"/>
                <w:lang w:val="en-US" w:eastAsia="zh-CN"/>
              </w:rPr>
              <w:t>Ⅳ类限值</w:t>
            </w:r>
          </w:p>
        </w:tc>
        <w:tc>
          <w:tcPr>
            <w:tcW w:w="159" w:type="pct"/>
            <w:tcBorders>
              <w:tl2br w:val="nil"/>
              <w:tr2bl w:val="nil"/>
            </w:tcBorders>
            <w:shd w:val="clear" w:color="auto" w:fill="auto"/>
            <w:vAlign w:val="center"/>
          </w:tcPr>
          <w:p w14:paraId="0C2FB2E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snapToGrid w:val="0"/>
                <w:color w:val="auto"/>
                <w:kern w:val="0"/>
                <w:sz w:val="18"/>
                <w:szCs w:val="18"/>
                <w:lang w:val="en-US" w:eastAsia="zh-CN" w:bidi="ar-SA"/>
              </w:rPr>
              <w:t>/</w:t>
            </w:r>
          </w:p>
        </w:tc>
        <w:tc>
          <w:tcPr>
            <w:tcW w:w="157" w:type="pct"/>
            <w:tcBorders>
              <w:tl2br w:val="nil"/>
              <w:tr2bl w:val="nil"/>
            </w:tcBorders>
            <w:shd w:val="clear" w:color="auto" w:fill="auto"/>
            <w:vAlign w:val="center"/>
          </w:tcPr>
          <w:p w14:paraId="478EA9C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snapToGrid w:val="0"/>
                <w:color w:val="auto"/>
                <w:kern w:val="0"/>
                <w:sz w:val="18"/>
                <w:szCs w:val="18"/>
                <w:lang w:val="en-US" w:eastAsia="zh-CN" w:bidi="ar-SA"/>
              </w:rPr>
              <w:t>6-9</w:t>
            </w:r>
          </w:p>
        </w:tc>
        <w:tc>
          <w:tcPr>
            <w:tcW w:w="159" w:type="pct"/>
            <w:tcBorders>
              <w:tl2br w:val="nil"/>
              <w:tr2bl w:val="nil"/>
            </w:tcBorders>
            <w:shd w:val="clear" w:color="auto" w:fill="auto"/>
            <w:vAlign w:val="center"/>
          </w:tcPr>
          <w:p w14:paraId="744A0EF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bidi="ar-SA"/>
              </w:rPr>
              <w:t>3</w:t>
            </w:r>
          </w:p>
        </w:tc>
        <w:tc>
          <w:tcPr>
            <w:tcW w:w="145" w:type="pct"/>
            <w:tcBorders>
              <w:tl2br w:val="nil"/>
              <w:tr2bl w:val="nil"/>
            </w:tcBorders>
            <w:shd w:val="clear" w:color="auto" w:fill="auto"/>
            <w:vAlign w:val="center"/>
          </w:tcPr>
          <w:p w14:paraId="2CAC1C1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snapToGrid w:val="0"/>
                <w:color w:val="auto"/>
                <w:kern w:val="0"/>
                <w:sz w:val="18"/>
                <w:szCs w:val="18"/>
                <w:lang w:val="en-US" w:eastAsia="zh-CN" w:bidi="ar-SA"/>
              </w:rPr>
              <w:t>6</w:t>
            </w:r>
          </w:p>
        </w:tc>
        <w:tc>
          <w:tcPr>
            <w:tcW w:w="134" w:type="pct"/>
            <w:tcBorders>
              <w:tl2br w:val="nil"/>
              <w:tr2bl w:val="nil"/>
            </w:tcBorders>
            <w:shd w:val="clear" w:color="auto" w:fill="auto"/>
            <w:vAlign w:val="center"/>
          </w:tcPr>
          <w:p w14:paraId="1CABB8F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snapToGrid w:val="0"/>
                <w:color w:val="auto"/>
                <w:kern w:val="0"/>
                <w:sz w:val="18"/>
                <w:szCs w:val="18"/>
                <w:lang w:val="en-US" w:eastAsia="zh-CN" w:bidi="ar-SA"/>
              </w:rPr>
              <w:t>30</w:t>
            </w:r>
          </w:p>
        </w:tc>
        <w:tc>
          <w:tcPr>
            <w:tcW w:w="140" w:type="pct"/>
            <w:tcBorders>
              <w:tl2br w:val="nil"/>
              <w:tr2bl w:val="nil"/>
            </w:tcBorders>
            <w:shd w:val="clear" w:color="auto" w:fill="auto"/>
            <w:vAlign w:val="center"/>
          </w:tcPr>
          <w:p w14:paraId="1DF3586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lang w:val="en-US" w:eastAsia="zh-CN"/>
              </w:rPr>
            </w:pPr>
            <w:r>
              <w:rPr>
                <w:rFonts w:hint="eastAsia" w:ascii="Times New Roman" w:hAnsi="Times New Roman" w:eastAsia="宋体" w:cs="Times New Roman"/>
                <w:snapToGrid w:val="0"/>
                <w:color w:val="auto"/>
                <w:kern w:val="0"/>
                <w:sz w:val="18"/>
                <w:szCs w:val="18"/>
                <w:lang w:val="en-US" w:eastAsia="zh-CN" w:bidi="ar-SA"/>
              </w:rPr>
              <w:t>/</w:t>
            </w:r>
          </w:p>
        </w:tc>
        <w:tc>
          <w:tcPr>
            <w:tcW w:w="180" w:type="pct"/>
            <w:tcBorders>
              <w:tl2br w:val="nil"/>
              <w:tr2bl w:val="nil"/>
            </w:tcBorders>
            <w:shd w:val="clear" w:color="auto" w:fill="auto"/>
            <w:vAlign w:val="center"/>
          </w:tcPr>
          <w:p w14:paraId="568BEF4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snapToGrid w:val="0"/>
                <w:color w:val="auto"/>
                <w:kern w:val="0"/>
                <w:sz w:val="18"/>
                <w:szCs w:val="18"/>
                <w:lang w:val="en-US" w:eastAsia="zh-CN" w:bidi="ar-SA"/>
              </w:rPr>
              <w:t>1.5</w:t>
            </w:r>
          </w:p>
        </w:tc>
        <w:tc>
          <w:tcPr>
            <w:tcW w:w="228" w:type="pct"/>
            <w:tcBorders>
              <w:tl2br w:val="nil"/>
              <w:tr2bl w:val="nil"/>
            </w:tcBorders>
            <w:shd w:val="clear" w:color="auto" w:fill="auto"/>
            <w:vAlign w:val="center"/>
          </w:tcPr>
          <w:p w14:paraId="6395355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snapToGrid w:val="0"/>
                <w:color w:val="auto"/>
                <w:kern w:val="0"/>
                <w:sz w:val="18"/>
                <w:szCs w:val="18"/>
                <w:lang w:val="en-US" w:eastAsia="zh-CN" w:bidi="ar-SA"/>
              </w:rPr>
              <w:t>0.3</w:t>
            </w:r>
          </w:p>
        </w:tc>
        <w:tc>
          <w:tcPr>
            <w:tcW w:w="140" w:type="pct"/>
            <w:tcBorders>
              <w:tl2br w:val="nil"/>
              <w:tr2bl w:val="nil"/>
            </w:tcBorders>
            <w:shd w:val="clear" w:color="auto" w:fill="auto"/>
            <w:vAlign w:val="center"/>
          </w:tcPr>
          <w:p w14:paraId="759CD2E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snapToGrid w:val="0"/>
                <w:color w:val="auto"/>
                <w:kern w:val="0"/>
                <w:sz w:val="18"/>
                <w:szCs w:val="18"/>
                <w:lang w:val="en-US" w:eastAsia="zh-CN" w:bidi="ar-SA"/>
              </w:rPr>
              <w:t>0.5</w:t>
            </w:r>
          </w:p>
        </w:tc>
        <w:tc>
          <w:tcPr>
            <w:tcW w:w="140" w:type="pct"/>
            <w:tcBorders>
              <w:tl2br w:val="nil"/>
              <w:tr2bl w:val="nil"/>
            </w:tcBorders>
            <w:shd w:val="clear" w:color="auto" w:fill="auto"/>
            <w:vAlign w:val="center"/>
          </w:tcPr>
          <w:p w14:paraId="705EFA4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snapToGrid w:val="0"/>
                <w:color w:val="auto"/>
                <w:kern w:val="0"/>
                <w:sz w:val="18"/>
                <w:szCs w:val="18"/>
                <w:lang w:val="en-US" w:eastAsia="zh-CN" w:bidi="ar-SA"/>
              </w:rPr>
              <w:t>0.5</w:t>
            </w:r>
          </w:p>
        </w:tc>
        <w:tc>
          <w:tcPr>
            <w:tcW w:w="299" w:type="pct"/>
            <w:tcBorders>
              <w:tl2br w:val="nil"/>
              <w:tr2bl w:val="nil"/>
            </w:tcBorders>
            <w:shd w:val="clear" w:color="auto" w:fill="auto"/>
            <w:vAlign w:val="center"/>
          </w:tcPr>
          <w:p w14:paraId="2FB1CA9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bidi="ar-SA"/>
              </w:rPr>
              <w:t>0.005</w:t>
            </w:r>
          </w:p>
        </w:tc>
        <w:tc>
          <w:tcPr>
            <w:tcW w:w="172" w:type="pct"/>
            <w:tcBorders>
              <w:tl2br w:val="nil"/>
              <w:tr2bl w:val="nil"/>
            </w:tcBorders>
            <w:shd w:val="clear" w:color="auto" w:fill="auto"/>
            <w:vAlign w:val="center"/>
          </w:tcPr>
          <w:p w14:paraId="5CB10A7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snapToGrid w:val="0"/>
                <w:color w:val="auto"/>
                <w:kern w:val="0"/>
                <w:sz w:val="18"/>
                <w:szCs w:val="18"/>
                <w:lang w:val="en-US" w:eastAsia="zh-CN" w:bidi="ar-SA"/>
              </w:rPr>
              <w:t>0.05</w:t>
            </w:r>
          </w:p>
        </w:tc>
        <w:tc>
          <w:tcPr>
            <w:tcW w:w="134" w:type="pct"/>
            <w:tcBorders>
              <w:tl2br w:val="nil"/>
              <w:tr2bl w:val="nil"/>
            </w:tcBorders>
            <w:shd w:val="clear" w:color="auto" w:fill="auto"/>
            <w:vAlign w:val="center"/>
          </w:tcPr>
          <w:p w14:paraId="38CEDFA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snapToGrid w:val="0"/>
                <w:color w:val="auto"/>
                <w:kern w:val="0"/>
                <w:sz w:val="18"/>
                <w:szCs w:val="18"/>
                <w:lang w:val="en-US" w:eastAsia="zh-CN" w:bidi="ar-SA"/>
              </w:rPr>
              <w:t>0.05</w:t>
            </w:r>
          </w:p>
        </w:tc>
        <w:tc>
          <w:tcPr>
            <w:tcW w:w="180" w:type="pct"/>
            <w:tcBorders>
              <w:tl2br w:val="nil"/>
              <w:tr2bl w:val="nil"/>
            </w:tcBorders>
            <w:shd w:val="clear" w:color="auto" w:fill="auto"/>
            <w:vAlign w:val="center"/>
          </w:tcPr>
          <w:p w14:paraId="24B568F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snapToGrid w:val="0"/>
                <w:color w:val="auto"/>
                <w:kern w:val="0"/>
                <w:sz w:val="18"/>
                <w:szCs w:val="18"/>
                <w:lang w:val="en-US" w:eastAsia="zh-CN" w:bidi="ar-SA"/>
              </w:rPr>
              <w:t>2.0</w:t>
            </w:r>
          </w:p>
        </w:tc>
        <w:tc>
          <w:tcPr>
            <w:tcW w:w="180" w:type="pct"/>
            <w:tcBorders>
              <w:tl2br w:val="nil"/>
              <w:tr2bl w:val="nil"/>
            </w:tcBorders>
            <w:shd w:val="clear" w:color="auto" w:fill="auto"/>
            <w:vAlign w:val="center"/>
          </w:tcPr>
          <w:p w14:paraId="186B682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snapToGrid w:val="0"/>
                <w:color w:val="auto"/>
                <w:kern w:val="0"/>
                <w:sz w:val="18"/>
                <w:szCs w:val="18"/>
                <w:lang w:val="en-US" w:eastAsia="zh-CN" w:bidi="ar-SA"/>
              </w:rPr>
              <w:t>0.1</w:t>
            </w:r>
          </w:p>
        </w:tc>
        <w:tc>
          <w:tcPr>
            <w:tcW w:w="172" w:type="pct"/>
            <w:tcBorders>
              <w:tl2br w:val="nil"/>
              <w:tr2bl w:val="nil"/>
            </w:tcBorders>
            <w:shd w:val="clear" w:color="auto" w:fill="auto"/>
            <w:vAlign w:val="center"/>
          </w:tcPr>
          <w:p w14:paraId="4DCDEE2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snapToGrid w:val="0"/>
                <w:color w:val="auto"/>
                <w:kern w:val="0"/>
                <w:sz w:val="18"/>
                <w:szCs w:val="18"/>
                <w:lang w:val="en-US" w:eastAsia="zh-CN" w:bidi="ar-SA"/>
              </w:rPr>
              <w:t>1.0</w:t>
            </w:r>
          </w:p>
        </w:tc>
        <w:tc>
          <w:tcPr>
            <w:tcW w:w="134" w:type="pct"/>
            <w:tcBorders>
              <w:tl2br w:val="nil"/>
              <w:tr2bl w:val="nil"/>
            </w:tcBorders>
            <w:shd w:val="clear" w:color="auto" w:fill="auto"/>
            <w:vAlign w:val="center"/>
          </w:tcPr>
          <w:p w14:paraId="1AF293D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snapToGrid w:val="0"/>
                <w:color w:val="auto"/>
                <w:kern w:val="0"/>
                <w:sz w:val="18"/>
                <w:szCs w:val="18"/>
                <w:highlight w:val="none"/>
                <w:lang w:val="en-US" w:eastAsia="zh-CN" w:bidi="ar-SA"/>
              </w:rPr>
              <w:t>0.05</w:t>
            </w:r>
          </w:p>
        </w:tc>
        <w:tc>
          <w:tcPr>
            <w:tcW w:w="258" w:type="pct"/>
            <w:tcBorders>
              <w:tl2br w:val="nil"/>
              <w:tr2bl w:val="nil"/>
            </w:tcBorders>
            <w:shd w:val="clear" w:color="auto" w:fill="auto"/>
            <w:vAlign w:val="center"/>
          </w:tcPr>
          <w:p w14:paraId="5B9AD74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bidi="ar-SA"/>
              </w:rPr>
              <w:t>0.001</w:t>
            </w:r>
          </w:p>
        </w:tc>
        <w:tc>
          <w:tcPr>
            <w:tcW w:w="209" w:type="pct"/>
            <w:tcBorders>
              <w:tl2br w:val="nil"/>
              <w:tr2bl w:val="nil"/>
            </w:tcBorders>
            <w:shd w:val="clear" w:color="auto" w:fill="auto"/>
            <w:vAlign w:val="center"/>
          </w:tcPr>
          <w:p w14:paraId="481800E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snapToGrid w:val="0"/>
                <w:color w:val="auto"/>
                <w:kern w:val="0"/>
                <w:sz w:val="18"/>
                <w:szCs w:val="18"/>
                <w:lang w:val="en-US" w:eastAsia="zh-CN" w:bidi="ar-SA"/>
              </w:rPr>
              <w:t>0.02</w:t>
            </w:r>
          </w:p>
        </w:tc>
        <w:tc>
          <w:tcPr>
            <w:tcW w:w="219" w:type="pct"/>
            <w:tcBorders>
              <w:tl2br w:val="nil"/>
              <w:tr2bl w:val="nil"/>
            </w:tcBorders>
            <w:shd w:val="clear" w:color="auto" w:fill="auto"/>
            <w:vAlign w:val="center"/>
          </w:tcPr>
          <w:p w14:paraId="228920C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bidi="ar-SA"/>
              </w:rPr>
              <w:t>0.1</w:t>
            </w:r>
          </w:p>
        </w:tc>
        <w:tc>
          <w:tcPr>
            <w:tcW w:w="134" w:type="pct"/>
            <w:tcBorders>
              <w:tl2br w:val="nil"/>
              <w:tr2bl w:val="nil"/>
            </w:tcBorders>
            <w:shd w:val="clear" w:color="auto" w:fill="auto"/>
            <w:vAlign w:val="center"/>
          </w:tcPr>
          <w:p w14:paraId="57A84E7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snapToGrid w:val="0"/>
                <w:color w:val="auto"/>
                <w:kern w:val="0"/>
                <w:sz w:val="18"/>
                <w:szCs w:val="18"/>
                <w:lang w:val="en-US" w:eastAsia="zh-CN" w:bidi="ar-SA"/>
              </w:rPr>
              <w:t>0.02</w:t>
            </w:r>
          </w:p>
        </w:tc>
        <w:tc>
          <w:tcPr>
            <w:tcW w:w="134" w:type="pct"/>
            <w:tcBorders>
              <w:tl2br w:val="nil"/>
              <w:tr2bl w:val="nil"/>
            </w:tcBorders>
            <w:shd w:val="clear" w:color="auto" w:fill="auto"/>
            <w:vAlign w:val="center"/>
          </w:tcPr>
          <w:p w14:paraId="798D3A5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1C26A76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snapToGrid w:val="0"/>
                <w:color w:val="auto"/>
                <w:kern w:val="0"/>
                <w:sz w:val="18"/>
                <w:szCs w:val="18"/>
                <w:lang w:val="en-US" w:eastAsia="zh-CN" w:bidi="ar-SA"/>
              </w:rPr>
              <w:t>0.01</w:t>
            </w:r>
          </w:p>
        </w:tc>
        <w:tc>
          <w:tcPr>
            <w:tcW w:w="172" w:type="pct"/>
            <w:tcBorders>
              <w:tl2br w:val="nil"/>
              <w:tr2bl w:val="nil"/>
            </w:tcBorders>
            <w:shd w:val="clear" w:color="auto" w:fill="auto"/>
            <w:vAlign w:val="center"/>
          </w:tcPr>
          <w:p w14:paraId="0FA4A5E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snapToGrid w:val="0"/>
                <w:color w:val="auto"/>
                <w:kern w:val="0"/>
                <w:sz w:val="18"/>
                <w:szCs w:val="18"/>
                <w:lang w:val="en-US" w:eastAsia="zh-CN" w:bidi="ar-SA"/>
              </w:rPr>
              <w:t>0.2</w:t>
            </w:r>
          </w:p>
        </w:tc>
        <w:tc>
          <w:tcPr>
            <w:tcW w:w="172" w:type="pct"/>
            <w:tcBorders>
              <w:tl2br w:val="nil"/>
              <w:tr2bl w:val="nil"/>
            </w:tcBorders>
            <w:shd w:val="clear" w:color="auto" w:fill="auto"/>
            <w:vAlign w:val="center"/>
          </w:tcPr>
          <w:p w14:paraId="0A92C5E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snapToGrid w:val="0"/>
                <w:color w:val="auto"/>
                <w:kern w:val="0"/>
                <w:sz w:val="18"/>
                <w:szCs w:val="18"/>
                <w:lang w:val="en-US" w:eastAsia="zh-CN" w:bidi="ar-SA"/>
              </w:rPr>
              <w:t>10</w:t>
            </w:r>
          </w:p>
        </w:tc>
        <w:tc>
          <w:tcPr>
            <w:tcW w:w="135" w:type="pct"/>
            <w:tcBorders>
              <w:tl2br w:val="nil"/>
              <w:tr2bl w:val="nil"/>
            </w:tcBorders>
            <w:shd w:val="clear" w:color="auto" w:fill="auto"/>
            <w:vAlign w:val="center"/>
          </w:tcPr>
          <w:p w14:paraId="2A14183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snapToGrid w:val="0"/>
                <w:color w:val="auto"/>
                <w:kern w:val="0"/>
                <w:sz w:val="18"/>
                <w:szCs w:val="18"/>
                <w:lang w:val="en-US" w:eastAsia="zh-CN" w:bidi="ar-SA"/>
              </w:rPr>
              <w:t>1.5</w:t>
            </w:r>
          </w:p>
        </w:tc>
        <w:tc>
          <w:tcPr>
            <w:tcW w:w="133" w:type="pct"/>
            <w:tcBorders>
              <w:tl2br w:val="nil"/>
              <w:tr2bl w:val="nil"/>
            </w:tcBorders>
            <w:shd w:val="clear" w:color="auto" w:fill="auto"/>
            <w:vAlign w:val="center"/>
          </w:tcPr>
          <w:p w14:paraId="1FBD6DB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snapToGrid w:val="0"/>
                <w:color w:val="auto"/>
                <w:kern w:val="0"/>
                <w:sz w:val="18"/>
                <w:szCs w:val="18"/>
                <w:lang w:val="en-US" w:eastAsia="zh-CN" w:bidi="ar-SA"/>
              </w:rPr>
              <w:t>0.3</w:t>
            </w:r>
          </w:p>
        </w:tc>
      </w:tr>
      <w:tr w14:paraId="573EEF6B">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72" w:hRule="atLeast"/>
        </w:trPr>
        <w:tc>
          <w:tcPr>
            <w:tcW w:w="139" w:type="pct"/>
            <w:vMerge w:val="restart"/>
            <w:tcBorders>
              <w:tl2br w:val="nil"/>
              <w:tr2bl w:val="nil"/>
            </w:tcBorders>
            <w:shd w:val="clear" w:color="auto" w:fill="auto"/>
            <w:vAlign w:val="center"/>
          </w:tcPr>
          <w:p w14:paraId="343F6EA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431" w:name="OLE_LINK649" w:colFirst="5" w:colLast="5"/>
            <w:bookmarkStart w:id="1432" w:name="OLE_LINK650" w:colFirst="8" w:colLast="8"/>
            <w:bookmarkStart w:id="1433" w:name="OLE_LINK852" w:colFirst="5" w:colLast="5"/>
            <w:bookmarkStart w:id="1434" w:name="OLE_LINK854" w:colFirst="19" w:colLast="19"/>
            <w:bookmarkStart w:id="1435" w:name="OLE_LINK853" w:colFirst="8" w:colLast="8"/>
            <w:bookmarkStart w:id="1436" w:name="OLE_LINK651" w:colFirst="19" w:colLast="19"/>
            <w:r>
              <w:rPr>
                <w:rFonts w:hint="default" w:ascii="Times New Roman" w:hAnsi="Times New Roman" w:cs="Times New Roman"/>
                <w:color w:val="auto"/>
                <w:kern w:val="2"/>
                <w:sz w:val="18"/>
                <w:szCs w:val="18"/>
                <w:highlight w:val="none"/>
                <w:lang w:val="en-US" w:eastAsia="zh-CN" w:bidi="ar-SA"/>
              </w:rPr>
              <w:t>W2-1</w:t>
            </w:r>
          </w:p>
        </w:tc>
        <w:tc>
          <w:tcPr>
            <w:tcW w:w="216" w:type="pct"/>
            <w:tcBorders>
              <w:tl2br w:val="nil"/>
              <w:tr2bl w:val="nil"/>
            </w:tcBorders>
            <w:shd w:val="clear" w:color="auto" w:fill="auto"/>
            <w:vAlign w:val="center"/>
          </w:tcPr>
          <w:p w14:paraId="717832E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最大值</w:t>
            </w:r>
          </w:p>
        </w:tc>
        <w:tc>
          <w:tcPr>
            <w:tcW w:w="159" w:type="pct"/>
            <w:tcBorders>
              <w:tl2br w:val="nil"/>
              <w:tr2bl w:val="nil"/>
            </w:tcBorders>
            <w:shd w:val="clear" w:color="auto" w:fill="auto"/>
            <w:vAlign w:val="center"/>
          </w:tcPr>
          <w:p w14:paraId="4963E1A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28.1</w:t>
            </w:r>
          </w:p>
        </w:tc>
        <w:tc>
          <w:tcPr>
            <w:tcW w:w="157" w:type="pct"/>
            <w:tcBorders>
              <w:tl2br w:val="nil"/>
              <w:tr2bl w:val="nil"/>
            </w:tcBorders>
            <w:shd w:val="clear" w:color="auto" w:fill="auto"/>
            <w:vAlign w:val="center"/>
          </w:tcPr>
          <w:p w14:paraId="7FD9550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7.7</w:t>
            </w:r>
          </w:p>
        </w:tc>
        <w:tc>
          <w:tcPr>
            <w:tcW w:w="159" w:type="pct"/>
            <w:tcBorders>
              <w:tl2br w:val="nil"/>
              <w:tr2bl w:val="nil"/>
            </w:tcBorders>
            <w:shd w:val="clear" w:color="auto" w:fill="auto"/>
            <w:vAlign w:val="center"/>
          </w:tcPr>
          <w:p w14:paraId="64B6201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5.7</w:t>
            </w:r>
          </w:p>
        </w:tc>
        <w:tc>
          <w:tcPr>
            <w:tcW w:w="145" w:type="pct"/>
            <w:tcBorders>
              <w:tl2br w:val="nil"/>
              <w:tr2bl w:val="nil"/>
            </w:tcBorders>
            <w:shd w:val="clear" w:color="auto" w:fill="auto"/>
            <w:vAlign w:val="center"/>
          </w:tcPr>
          <w:p w14:paraId="11BD50D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2.1</w:t>
            </w:r>
          </w:p>
        </w:tc>
        <w:tc>
          <w:tcPr>
            <w:tcW w:w="134" w:type="pct"/>
            <w:tcBorders>
              <w:tl2br w:val="nil"/>
              <w:tr2bl w:val="nil"/>
            </w:tcBorders>
            <w:shd w:val="clear" w:color="auto" w:fill="auto"/>
            <w:vAlign w:val="center"/>
          </w:tcPr>
          <w:p w14:paraId="4D43130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10</w:t>
            </w:r>
          </w:p>
        </w:tc>
        <w:tc>
          <w:tcPr>
            <w:tcW w:w="140" w:type="pct"/>
            <w:tcBorders>
              <w:tl2br w:val="nil"/>
              <w:tr2bl w:val="nil"/>
            </w:tcBorders>
            <w:shd w:val="clear" w:color="auto" w:fill="auto"/>
            <w:vAlign w:val="center"/>
          </w:tcPr>
          <w:p w14:paraId="63B3AE8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1.47 </w:t>
            </w:r>
          </w:p>
        </w:tc>
        <w:tc>
          <w:tcPr>
            <w:tcW w:w="180" w:type="pct"/>
            <w:tcBorders>
              <w:tl2br w:val="nil"/>
              <w:tr2bl w:val="nil"/>
            </w:tcBorders>
            <w:shd w:val="clear" w:color="auto" w:fill="auto"/>
            <w:vAlign w:val="center"/>
          </w:tcPr>
          <w:p w14:paraId="609FF29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0.405</w:t>
            </w:r>
          </w:p>
        </w:tc>
        <w:tc>
          <w:tcPr>
            <w:tcW w:w="228" w:type="pct"/>
            <w:tcBorders>
              <w:tl2br w:val="nil"/>
              <w:tr2bl w:val="nil"/>
            </w:tcBorders>
            <w:shd w:val="clear" w:color="auto" w:fill="auto"/>
            <w:vAlign w:val="center"/>
          </w:tcPr>
          <w:p w14:paraId="086C836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0.07 </w:t>
            </w:r>
          </w:p>
        </w:tc>
        <w:tc>
          <w:tcPr>
            <w:tcW w:w="140" w:type="pct"/>
            <w:tcBorders>
              <w:tl2br w:val="nil"/>
              <w:tr2bl w:val="nil"/>
            </w:tcBorders>
            <w:shd w:val="clear" w:color="auto" w:fill="auto"/>
            <w:vAlign w:val="center"/>
          </w:tcPr>
          <w:p w14:paraId="6734271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40" w:type="pct"/>
            <w:tcBorders>
              <w:tl2br w:val="nil"/>
              <w:tr2bl w:val="nil"/>
            </w:tcBorders>
            <w:shd w:val="clear" w:color="auto" w:fill="auto"/>
            <w:vAlign w:val="center"/>
          </w:tcPr>
          <w:p w14:paraId="28E4BDF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0.01</w:t>
            </w:r>
          </w:p>
        </w:tc>
        <w:tc>
          <w:tcPr>
            <w:tcW w:w="299" w:type="pct"/>
            <w:tcBorders>
              <w:tl2br w:val="nil"/>
              <w:tr2bl w:val="nil"/>
            </w:tcBorders>
            <w:shd w:val="clear" w:color="auto" w:fill="auto"/>
            <w:vAlign w:val="center"/>
          </w:tcPr>
          <w:p w14:paraId="11801DB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0.00128</w:t>
            </w:r>
          </w:p>
        </w:tc>
        <w:tc>
          <w:tcPr>
            <w:tcW w:w="172" w:type="pct"/>
            <w:tcBorders>
              <w:tl2br w:val="nil"/>
              <w:tr2bl w:val="nil"/>
            </w:tcBorders>
            <w:shd w:val="clear" w:color="auto" w:fill="auto"/>
            <w:vAlign w:val="center"/>
          </w:tcPr>
          <w:p w14:paraId="1486ABC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320A517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80" w:type="pct"/>
            <w:tcBorders>
              <w:tl2br w:val="nil"/>
              <w:tr2bl w:val="nil"/>
            </w:tcBorders>
            <w:shd w:val="clear" w:color="auto" w:fill="auto"/>
            <w:vAlign w:val="center"/>
          </w:tcPr>
          <w:p w14:paraId="12B8FB9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0.013 </w:t>
            </w:r>
          </w:p>
        </w:tc>
        <w:tc>
          <w:tcPr>
            <w:tcW w:w="180" w:type="pct"/>
            <w:tcBorders>
              <w:tl2br w:val="nil"/>
              <w:tr2bl w:val="nil"/>
            </w:tcBorders>
            <w:shd w:val="clear" w:color="auto" w:fill="auto"/>
            <w:vAlign w:val="center"/>
          </w:tcPr>
          <w:p w14:paraId="34B4513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52A4B3E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2B15F7C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6EEC6C4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33</w:t>
            </w:r>
          </w:p>
        </w:tc>
        <w:tc>
          <w:tcPr>
            <w:tcW w:w="209" w:type="pct"/>
            <w:tcBorders>
              <w:tl2br w:val="nil"/>
              <w:tr2bl w:val="nil"/>
            </w:tcBorders>
            <w:shd w:val="clear" w:color="auto" w:fill="auto"/>
            <w:vAlign w:val="center"/>
          </w:tcPr>
          <w:p w14:paraId="3271CE0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488C2CD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0.0017</w:t>
            </w:r>
          </w:p>
        </w:tc>
        <w:tc>
          <w:tcPr>
            <w:tcW w:w="134" w:type="pct"/>
            <w:tcBorders>
              <w:tl2br w:val="nil"/>
              <w:tr2bl w:val="nil"/>
            </w:tcBorders>
            <w:shd w:val="clear" w:color="auto" w:fill="auto"/>
            <w:vAlign w:val="center"/>
          </w:tcPr>
          <w:p w14:paraId="194CC1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625EB65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14</w:t>
            </w:r>
          </w:p>
        </w:tc>
        <w:tc>
          <w:tcPr>
            <w:tcW w:w="210" w:type="pct"/>
            <w:tcBorders>
              <w:tl2br w:val="nil"/>
              <w:tr2bl w:val="nil"/>
            </w:tcBorders>
            <w:shd w:val="clear" w:color="auto" w:fill="auto"/>
            <w:vAlign w:val="center"/>
          </w:tcPr>
          <w:p w14:paraId="25AC28F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40278D8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49A391A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2.4</w:t>
            </w:r>
          </w:p>
        </w:tc>
        <w:tc>
          <w:tcPr>
            <w:tcW w:w="135" w:type="pct"/>
            <w:tcBorders>
              <w:tl2br w:val="nil"/>
              <w:tr2bl w:val="nil"/>
            </w:tcBorders>
            <w:shd w:val="clear" w:color="auto" w:fill="auto"/>
            <w:vAlign w:val="center"/>
          </w:tcPr>
          <w:p w14:paraId="3EA793E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0.43</w:t>
            </w:r>
          </w:p>
        </w:tc>
        <w:tc>
          <w:tcPr>
            <w:tcW w:w="133" w:type="pct"/>
            <w:tcBorders>
              <w:tl2br w:val="nil"/>
              <w:tr2bl w:val="nil"/>
            </w:tcBorders>
            <w:shd w:val="clear" w:color="auto" w:fill="auto"/>
            <w:vAlign w:val="center"/>
          </w:tcPr>
          <w:p w14:paraId="19C4B07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tr w14:paraId="3161409B">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0620835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shd w:val="clear" w:color="auto" w:fill="auto"/>
            <w:vAlign w:val="center"/>
          </w:tcPr>
          <w:p w14:paraId="57B3344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最小值</w:t>
            </w:r>
          </w:p>
        </w:tc>
        <w:tc>
          <w:tcPr>
            <w:tcW w:w="159" w:type="pct"/>
            <w:tcBorders>
              <w:tl2br w:val="nil"/>
              <w:tr2bl w:val="nil"/>
            </w:tcBorders>
            <w:shd w:val="clear" w:color="auto" w:fill="auto"/>
            <w:vAlign w:val="center"/>
          </w:tcPr>
          <w:p w14:paraId="5C95E7B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27.9</w:t>
            </w:r>
          </w:p>
        </w:tc>
        <w:tc>
          <w:tcPr>
            <w:tcW w:w="157" w:type="pct"/>
            <w:tcBorders>
              <w:tl2br w:val="nil"/>
              <w:tr2bl w:val="nil"/>
            </w:tcBorders>
            <w:shd w:val="clear" w:color="auto" w:fill="auto"/>
            <w:vAlign w:val="center"/>
          </w:tcPr>
          <w:p w14:paraId="0DEC490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7.6</w:t>
            </w:r>
          </w:p>
        </w:tc>
        <w:tc>
          <w:tcPr>
            <w:tcW w:w="159" w:type="pct"/>
            <w:tcBorders>
              <w:tl2br w:val="nil"/>
              <w:tr2bl w:val="nil"/>
            </w:tcBorders>
            <w:shd w:val="clear" w:color="auto" w:fill="auto"/>
            <w:vAlign w:val="center"/>
          </w:tcPr>
          <w:p w14:paraId="0B3FED6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5.6</w:t>
            </w:r>
          </w:p>
        </w:tc>
        <w:tc>
          <w:tcPr>
            <w:tcW w:w="145" w:type="pct"/>
            <w:tcBorders>
              <w:tl2br w:val="nil"/>
              <w:tr2bl w:val="nil"/>
            </w:tcBorders>
            <w:shd w:val="clear" w:color="auto" w:fill="auto"/>
            <w:vAlign w:val="center"/>
          </w:tcPr>
          <w:p w14:paraId="7C189B0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1.3</w:t>
            </w:r>
          </w:p>
        </w:tc>
        <w:tc>
          <w:tcPr>
            <w:tcW w:w="134" w:type="pct"/>
            <w:tcBorders>
              <w:tl2br w:val="nil"/>
              <w:tr2bl w:val="nil"/>
            </w:tcBorders>
            <w:shd w:val="clear" w:color="auto" w:fill="auto"/>
            <w:vAlign w:val="center"/>
          </w:tcPr>
          <w:p w14:paraId="0642AA7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6</w:t>
            </w:r>
          </w:p>
        </w:tc>
        <w:tc>
          <w:tcPr>
            <w:tcW w:w="140" w:type="pct"/>
            <w:tcBorders>
              <w:tl2br w:val="nil"/>
              <w:tr2bl w:val="nil"/>
            </w:tcBorders>
            <w:shd w:val="clear" w:color="auto" w:fill="auto"/>
            <w:vAlign w:val="center"/>
          </w:tcPr>
          <w:p w14:paraId="608B0E5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1.38 </w:t>
            </w:r>
          </w:p>
        </w:tc>
        <w:tc>
          <w:tcPr>
            <w:tcW w:w="180" w:type="pct"/>
            <w:tcBorders>
              <w:tl2br w:val="nil"/>
              <w:tr2bl w:val="nil"/>
            </w:tcBorders>
            <w:shd w:val="clear" w:color="auto" w:fill="auto"/>
            <w:vAlign w:val="center"/>
          </w:tcPr>
          <w:p w14:paraId="39E6487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0.382</w:t>
            </w:r>
          </w:p>
        </w:tc>
        <w:tc>
          <w:tcPr>
            <w:tcW w:w="228" w:type="pct"/>
            <w:tcBorders>
              <w:tl2br w:val="nil"/>
              <w:tr2bl w:val="nil"/>
            </w:tcBorders>
            <w:shd w:val="clear" w:color="auto" w:fill="auto"/>
            <w:vAlign w:val="center"/>
          </w:tcPr>
          <w:p w14:paraId="6B60060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0.05 </w:t>
            </w:r>
          </w:p>
        </w:tc>
        <w:tc>
          <w:tcPr>
            <w:tcW w:w="140" w:type="pct"/>
            <w:tcBorders>
              <w:tl2br w:val="nil"/>
              <w:tr2bl w:val="nil"/>
            </w:tcBorders>
            <w:shd w:val="clear" w:color="auto" w:fill="auto"/>
            <w:vAlign w:val="center"/>
          </w:tcPr>
          <w:p w14:paraId="7439468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40" w:type="pct"/>
            <w:tcBorders>
              <w:tl2br w:val="nil"/>
              <w:tr2bl w:val="nil"/>
            </w:tcBorders>
            <w:shd w:val="clear" w:color="auto" w:fill="auto"/>
            <w:vAlign w:val="center"/>
          </w:tcPr>
          <w:p w14:paraId="36138C5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ND</w:t>
            </w:r>
          </w:p>
        </w:tc>
        <w:tc>
          <w:tcPr>
            <w:tcW w:w="299" w:type="pct"/>
            <w:tcBorders>
              <w:tl2br w:val="nil"/>
              <w:tr2bl w:val="nil"/>
            </w:tcBorders>
            <w:shd w:val="clear" w:color="auto" w:fill="auto"/>
            <w:vAlign w:val="center"/>
          </w:tcPr>
          <w:p w14:paraId="01AAE86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0.0011</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w:t>
            </w:r>
          </w:p>
        </w:tc>
        <w:tc>
          <w:tcPr>
            <w:tcW w:w="172" w:type="pct"/>
            <w:tcBorders>
              <w:tl2br w:val="nil"/>
              <w:tr2bl w:val="nil"/>
            </w:tcBorders>
            <w:shd w:val="clear" w:color="auto" w:fill="auto"/>
            <w:vAlign w:val="center"/>
          </w:tcPr>
          <w:p w14:paraId="55E679A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0911426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highlight w:val="none"/>
                <w:lang w:val="en-US" w:eastAsia="zh-CN" w:bidi="ar-SA"/>
              </w:rPr>
              <w:t>ND</w:t>
            </w:r>
          </w:p>
        </w:tc>
        <w:tc>
          <w:tcPr>
            <w:tcW w:w="180" w:type="pct"/>
            <w:tcBorders>
              <w:tl2br w:val="nil"/>
              <w:tr2bl w:val="nil"/>
            </w:tcBorders>
            <w:shd w:val="clear" w:color="auto" w:fill="auto"/>
            <w:vAlign w:val="center"/>
          </w:tcPr>
          <w:p w14:paraId="677347D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0.011 </w:t>
            </w:r>
          </w:p>
        </w:tc>
        <w:tc>
          <w:tcPr>
            <w:tcW w:w="180" w:type="pct"/>
            <w:tcBorders>
              <w:tl2br w:val="nil"/>
              <w:tr2bl w:val="nil"/>
            </w:tcBorders>
            <w:shd w:val="clear" w:color="auto" w:fill="auto"/>
            <w:vAlign w:val="center"/>
          </w:tcPr>
          <w:p w14:paraId="35B1396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13EFA69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highlight w:val="none"/>
                <w:u w:val="none"/>
                <w:lang w:val="en-US" w:eastAsia="zh-CN" w:bidi="ar"/>
              </w:rPr>
              <w:t>ND</w:t>
            </w:r>
          </w:p>
        </w:tc>
        <w:tc>
          <w:tcPr>
            <w:tcW w:w="134" w:type="pct"/>
            <w:tcBorders>
              <w:tl2br w:val="nil"/>
              <w:tr2bl w:val="nil"/>
            </w:tcBorders>
            <w:shd w:val="clear" w:color="auto" w:fill="auto"/>
            <w:vAlign w:val="center"/>
          </w:tcPr>
          <w:p w14:paraId="67DF5B0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77A8281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31</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237CC4B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7576F53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0.0013 </w:t>
            </w:r>
          </w:p>
        </w:tc>
        <w:tc>
          <w:tcPr>
            <w:tcW w:w="134" w:type="pct"/>
            <w:tcBorders>
              <w:tl2br w:val="nil"/>
              <w:tr2bl w:val="nil"/>
            </w:tcBorders>
            <w:shd w:val="clear" w:color="auto" w:fill="auto"/>
            <w:vAlign w:val="center"/>
          </w:tcPr>
          <w:p w14:paraId="1337950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7287442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12</w:t>
            </w:r>
          </w:p>
        </w:tc>
        <w:tc>
          <w:tcPr>
            <w:tcW w:w="210" w:type="pct"/>
            <w:tcBorders>
              <w:tl2br w:val="nil"/>
              <w:tr2bl w:val="nil"/>
            </w:tcBorders>
            <w:shd w:val="clear" w:color="auto" w:fill="auto"/>
            <w:vAlign w:val="center"/>
          </w:tcPr>
          <w:p w14:paraId="6E8F039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4028B47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7BBE99B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2.2</w:t>
            </w:r>
          </w:p>
        </w:tc>
        <w:tc>
          <w:tcPr>
            <w:tcW w:w="135" w:type="pct"/>
            <w:tcBorders>
              <w:tl2br w:val="nil"/>
              <w:tr2bl w:val="nil"/>
            </w:tcBorders>
            <w:shd w:val="clear" w:color="auto" w:fill="auto"/>
            <w:vAlign w:val="center"/>
          </w:tcPr>
          <w:p w14:paraId="337E5F5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0.38</w:t>
            </w:r>
          </w:p>
        </w:tc>
        <w:tc>
          <w:tcPr>
            <w:tcW w:w="133" w:type="pct"/>
            <w:tcBorders>
              <w:tl2br w:val="nil"/>
              <w:tr2bl w:val="nil"/>
            </w:tcBorders>
            <w:shd w:val="clear" w:color="auto" w:fill="auto"/>
            <w:vAlign w:val="center"/>
          </w:tcPr>
          <w:p w14:paraId="0588504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31"/>
      <w:bookmarkEnd w:id="1432"/>
      <w:tr w14:paraId="2292975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74F6489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shd w:val="clear" w:color="auto" w:fill="auto"/>
            <w:vAlign w:val="center"/>
          </w:tcPr>
          <w:p w14:paraId="2AB12D1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平均浓度</w:t>
            </w:r>
          </w:p>
        </w:tc>
        <w:tc>
          <w:tcPr>
            <w:tcW w:w="159" w:type="pct"/>
            <w:tcBorders>
              <w:tl2br w:val="nil"/>
              <w:tr2bl w:val="nil"/>
            </w:tcBorders>
            <w:shd w:val="clear" w:color="auto" w:fill="auto"/>
            <w:vAlign w:val="center"/>
          </w:tcPr>
          <w:p w14:paraId="0A773BE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28.0</w:t>
            </w:r>
          </w:p>
        </w:tc>
        <w:tc>
          <w:tcPr>
            <w:tcW w:w="157" w:type="pct"/>
            <w:tcBorders>
              <w:tl2br w:val="nil"/>
              <w:tr2bl w:val="nil"/>
            </w:tcBorders>
            <w:shd w:val="clear" w:color="auto" w:fill="auto"/>
            <w:vAlign w:val="center"/>
          </w:tcPr>
          <w:p w14:paraId="51A7B80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7.6</w:t>
            </w:r>
          </w:p>
        </w:tc>
        <w:tc>
          <w:tcPr>
            <w:tcW w:w="159" w:type="pct"/>
            <w:tcBorders>
              <w:tl2br w:val="nil"/>
              <w:tr2bl w:val="nil"/>
            </w:tcBorders>
            <w:shd w:val="clear" w:color="auto" w:fill="auto"/>
            <w:vAlign w:val="center"/>
          </w:tcPr>
          <w:p w14:paraId="2584E9D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5.6</w:t>
            </w:r>
          </w:p>
        </w:tc>
        <w:tc>
          <w:tcPr>
            <w:tcW w:w="145" w:type="pct"/>
            <w:tcBorders>
              <w:tl2br w:val="nil"/>
              <w:tr2bl w:val="nil"/>
            </w:tcBorders>
            <w:shd w:val="clear" w:color="auto" w:fill="auto"/>
            <w:vAlign w:val="center"/>
          </w:tcPr>
          <w:p w14:paraId="43736D4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1.</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6</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shd w:val="clear" w:color="auto" w:fill="auto"/>
            <w:vAlign w:val="center"/>
          </w:tcPr>
          <w:p w14:paraId="4AFCF06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7</w:t>
            </w:r>
          </w:p>
        </w:tc>
        <w:tc>
          <w:tcPr>
            <w:tcW w:w="140" w:type="pct"/>
            <w:tcBorders>
              <w:tl2br w:val="nil"/>
              <w:tr2bl w:val="nil"/>
            </w:tcBorders>
            <w:shd w:val="clear" w:color="auto" w:fill="auto"/>
            <w:vAlign w:val="center"/>
          </w:tcPr>
          <w:p w14:paraId="40C2D5E3">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1.41 </w:t>
            </w:r>
          </w:p>
        </w:tc>
        <w:tc>
          <w:tcPr>
            <w:tcW w:w="180" w:type="pct"/>
            <w:tcBorders>
              <w:tl2br w:val="nil"/>
              <w:tr2bl w:val="nil"/>
            </w:tcBorders>
            <w:shd w:val="clear" w:color="auto" w:fill="auto"/>
            <w:vAlign w:val="center"/>
          </w:tcPr>
          <w:p w14:paraId="532788A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0.3</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84</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28" w:type="pct"/>
            <w:tcBorders>
              <w:tl2br w:val="nil"/>
              <w:tr2bl w:val="nil"/>
            </w:tcBorders>
            <w:shd w:val="clear" w:color="auto" w:fill="auto"/>
            <w:vAlign w:val="center"/>
          </w:tcPr>
          <w:p w14:paraId="57FD565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0.06 </w:t>
            </w:r>
          </w:p>
        </w:tc>
        <w:tc>
          <w:tcPr>
            <w:tcW w:w="140" w:type="pct"/>
            <w:tcBorders>
              <w:tl2br w:val="nil"/>
              <w:tr2bl w:val="nil"/>
            </w:tcBorders>
            <w:shd w:val="clear" w:color="auto" w:fill="auto"/>
            <w:vAlign w:val="center"/>
          </w:tcPr>
          <w:p w14:paraId="5AA3DD1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0.03 </w:t>
            </w:r>
          </w:p>
        </w:tc>
        <w:tc>
          <w:tcPr>
            <w:tcW w:w="140" w:type="pct"/>
            <w:tcBorders>
              <w:tl2br w:val="nil"/>
              <w:tr2bl w:val="nil"/>
            </w:tcBorders>
            <w:shd w:val="clear" w:color="auto" w:fill="auto"/>
            <w:vAlign w:val="center"/>
          </w:tcPr>
          <w:p w14:paraId="0CABF77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w:t>
            </w:r>
          </w:p>
        </w:tc>
        <w:tc>
          <w:tcPr>
            <w:tcW w:w="299" w:type="pct"/>
            <w:tcBorders>
              <w:tl2br w:val="nil"/>
              <w:tr2bl w:val="nil"/>
            </w:tcBorders>
            <w:shd w:val="clear" w:color="auto" w:fill="auto"/>
            <w:vAlign w:val="center"/>
          </w:tcPr>
          <w:p w14:paraId="663193C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0.0012</w:t>
            </w:r>
          </w:p>
        </w:tc>
        <w:tc>
          <w:tcPr>
            <w:tcW w:w="172" w:type="pct"/>
            <w:tcBorders>
              <w:tl2br w:val="nil"/>
              <w:tr2bl w:val="nil"/>
            </w:tcBorders>
            <w:shd w:val="clear" w:color="auto" w:fill="auto"/>
            <w:vAlign w:val="center"/>
          </w:tcPr>
          <w:p w14:paraId="03BA18C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4B865AB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80" w:type="pct"/>
            <w:tcBorders>
              <w:tl2br w:val="nil"/>
              <w:tr2bl w:val="nil"/>
            </w:tcBorders>
            <w:shd w:val="clear" w:color="auto" w:fill="auto"/>
            <w:vAlign w:val="center"/>
          </w:tcPr>
          <w:p w14:paraId="1E34211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0.012 </w:t>
            </w:r>
          </w:p>
        </w:tc>
        <w:tc>
          <w:tcPr>
            <w:tcW w:w="180" w:type="pct"/>
            <w:tcBorders>
              <w:tl2br w:val="nil"/>
              <w:tr2bl w:val="nil"/>
            </w:tcBorders>
            <w:shd w:val="clear" w:color="auto" w:fill="auto"/>
            <w:vAlign w:val="center"/>
          </w:tcPr>
          <w:p w14:paraId="002382A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39BA7CF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541D0A5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highlight w:val="none"/>
                <w:u w:val="none"/>
                <w:lang w:val="en-US" w:eastAsia="zh-CN" w:bidi="ar"/>
              </w:rPr>
              <w:t>ND</w:t>
            </w:r>
          </w:p>
        </w:tc>
        <w:tc>
          <w:tcPr>
            <w:tcW w:w="258" w:type="pct"/>
            <w:tcBorders>
              <w:tl2br w:val="nil"/>
              <w:tr2bl w:val="nil"/>
            </w:tcBorders>
            <w:shd w:val="clear" w:color="auto" w:fill="auto"/>
            <w:vAlign w:val="center"/>
          </w:tcPr>
          <w:p w14:paraId="338CDF9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32</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4F62D64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2CA4751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0.0015</w:t>
            </w:r>
          </w:p>
        </w:tc>
        <w:tc>
          <w:tcPr>
            <w:tcW w:w="134" w:type="pct"/>
            <w:tcBorders>
              <w:tl2br w:val="nil"/>
              <w:tr2bl w:val="nil"/>
            </w:tcBorders>
            <w:shd w:val="clear" w:color="auto" w:fill="auto"/>
            <w:vAlign w:val="center"/>
          </w:tcPr>
          <w:p w14:paraId="0A71F7D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1613EAE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13</w:t>
            </w:r>
          </w:p>
        </w:tc>
        <w:tc>
          <w:tcPr>
            <w:tcW w:w="210" w:type="pct"/>
            <w:tcBorders>
              <w:tl2br w:val="nil"/>
              <w:tr2bl w:val="nil"/>
            </w:tcBorders>
            <w:shd w:val="clear" w:color="auto" w:fill="auto"/>
            <w:vAlign w:val="center"/>
          </w:tcPr>
          <w:p w14:paraId="72BBBDE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highlight w:val="none"/>
                <w:u w:val="none"/>
                <w:lang w:val="en-US" w:eastAsia="zh-CN" w:bidi="ar"/>
              </w:rPr>
              <w:t>ND</w:t>
            </w:r>
          </w:p>
        </w:tc>
        <w:tc>
          <w:tcPr>
            <w:tcW w:w="172" w:type="pct"/>
            <w:tcBorders>
              <w:tl2br w:val="nil"/>
              <w:tr2bl w:val="nil"/>
            </w:tcBorders>
            <w:shd w:val="clear" w:color="auto" w:fill="auto"/>
            <w:vAlign w:val="center"/>
          </w:tcPr>
          <w:p w14:paraId="376A99A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highlight w:val="none"/>
                <w:u w:val="none"/>
                <w:lang w:val="en-US" w:eastAsia="zh-CN" w:bidi="ar"/>
              </w:rPr>
              <w:t>ND</w:t>
            </w:r>
          </w:p>
        </w:tc>
        <w:tc>
          <w:tcPr>
            <w:tcW w:w="172" w:type="pct"/>
            <w:tcBorders>
              <w:tl2br w:val="nil"/>
              <w:tr2bl w:val="nil"/>
            </w:tcBorders>
            <w:shd w:val="clear" w:color="auto" w:fill="auto"/>
            <w:vAlign w:val="center"/>
          </w:tcPr>
          <w:p w14:paraId="600C014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2.3</w:t>
            </w:r>
          </w:p>
        </w:tc>
        <w:tc>
          <w:tcPr>
            <w:tcW w:w="135" w:type="pct"/>
            <w:tcBorders>
              <w:tl2br w:val="nil"/>
              <w:tr2bl w:val="nil"/>
            </w:tcBorders>
            <w:shd w:val="clear" w:color="auto" w:fill="auto"/>
            <w:vAlign w:val="center"/>
          </w:tcPr>
          <w:p w14:paraId="28F811D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0.41</w:t>
            </w:r>
          </w:p>
        </w:tc>
        <w:tc>
          <w:tcPr>
            <w:tcW w:w="133" w:type="pct"/>
            <w:tcBorders>
              <w:tl2br w:val="nil"/>
              <w:tr2bl w:val="nil"/>
            </w:tcBorders>
            <w:shd w:val="clear" w:color="auto" w:fill="auto"/>
            <w:vAlign w:val="center"/>
          </w:tcPr>
          <w:p w14:paraId="36E9354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33"/>
      <w:bookmarkEnd w:id="1434"/>
      <w:bookmarkEnd w:id="1435"/>
      <w:tr w14:paraId="1405EDD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7602635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bookmarkStart w:id="1437" w:name="OLE_LINK487" w:colFirst="2" w:colLast="28"/>
            <w:bookmarkStart w:id="1438" w:name="OLE_LINK489" w:colFirst="7" w:colLast="7"/>
            <w:bookmarkStart w:id="1439" w:name="OLE_LINK490" w:colFirst="23" w:colLast="23"/>
          </w:p>
        </w:tc>
        <w:tc>
          <w:tcPr>
            <w:tcW w:w="216" w:type="pct"/>
            <w:tcBorders>
              <w:tl2br w:val="nil"/>
              <w:tr2bl w:val="nil"/>
            </w:tcBorders>
            <w:shd w:val="clear" w:color="auto" w:fill="auto"/>
            <w:vAlign w:val="center"/>
          </w:tcPr>
          <w:p w14:paraId="233FD77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highlight w:val="none"/>
              </w:rPr>
              <w:t>最大单因子指数</w:t>
            </w:r>
          </w:p>
        </w:tc>
        <w:tc>
          <w:tcPr>
            <w:tcW w:w="159" w:type="pct"/>
            <w:tcBorders>
              <w:tl2br w:val="nil"/>
              <w:tr2bl w:val="nil"/>
            </w:tcBorders>
            <w:shd w:val="clear" w:color="auto" w:fill="auto"/>
            <w:vAlign w:val="center"/>
          </w:tcPr>
          <w:p w14:paraId="25C0A1EE">
            <w:pPr>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snapToGrid w:val="0"/>
                <w:color w:val="auto"/>
                <w:kern w:val="0"/>
                <w:sz w:val="18"/>
                <w:szCs w:val="18"/>
                <w:lang w:val="en-US" w:eastAsia="zh-CN" w:bidi="ar-SA"/>
              </w:rPr>
              <w:t>/</w:t>
            </w:r>
          </w:p>
        </w:tc>
        <w:tc>
          <w:tcPr>
            <w:tcW w:w="157" w:type="pct"/>
            <w:tcBorders>
              <w:tl2br w:val="nil"/>
              <w:tr2bl w:val="nil"/>
            </w:tcBorders>
            <w:shd w:val="clear" w:color="auto" w:fill="auto"/>
            <w:vAlign w:val="center"/>
          </w:tcPr>
          <w:p w14:paraId="43864CE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0.35</w:t>
            </w:r>
          </w:p>
        </w:tc>
        <w:tc>
          <w:tcPr>
            <w:tcW w:w="159" w:type="pct"/>
            <w:tcBorders>
              <w:tl2br w:val="nil"/>
              <w:tr2bl w:val="nil"/>
            </w:tcBorders>
            <w:shd w:val="clear" w:color="auto" w:fill="auto"/>
            <w:vAlign w:val="center"/>
          </w:tcPr>
          <w:p w14:paraId="03C1F7C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0.44 </w:t>
            </w:r>
          </w:p>
        </w:tc>
        <w:tc>
          <w:tcPr>
            <w:tcW w:w="145" w:type="pct"/>
            <w:tcBorders>
              <w:tl2br w:val="nil"/>
              <w:tr2bl w:val="nil"/>
            </w:tcBorders>
            <w:shd w:val="clear" w:color="auto" w:fill="auto"/>
            <w:vAlign w:val="center"/>
          </w:tcPr>
          <w:p w14:paraId="6AAC7B5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35</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shd w:val="clear" w:color="auto" w:fill="auto"/>
            <w:vAlign w:val="center"/>
          </w:tcPr>
          <w:p w14:paraId="7F7D3CE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0.33 </w:t>
            </w:r>
          </w:p>
        </w:tc>
        <w:tc>
          <w:tcPr>
            <w:tcW w:w="140" w:type="pct"/>
            <w:tcBorders>
              <w:tl2br w:val="nil"/>
              <w:tr2bl w:val="nil"/>
            </w:tcBorders>
            <w:shd w:val="clear" w:color="auto" w:fill="auto"/>
            <w:vAlign w:val="center"/>
          </w:tcPr>
          <w:p w14:paraId="75052B5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w:t>
            </w:r>
          </w:p>
        </w:tc>
        <w:tc>
          <w:tcPr>
            <w:tcW w:w="180" w:type="pct"/>
            <w:tcBorders>
              <w:tl2br w:val="nil"/>
              <w:tr2bl w:val="nil"/>
            </w:tcBorders>
            <w:shd w:val="clear" w:color="auto" w:fill="auto"/>
            <w:vAlign w:val="center"/>
          </w:tcPr>
          <w:p w14:paraId="7A4D092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0.27 </w:t>
            </w:r>
          </w:p>
        </w:tc>
        <w:tc>
          <w:tcPr>
            <w:tcW w:w="228" w:type="pct"/>
            <w:tcBorders>
              <w:tl2br w:val="nil"/>
              <w:tr2bl w:val="nil"/>
            </w:tcBorders>
            <w:shd w:val="clear" w:color="auto" w:fill="auto"/>
            <w:vAlign w:val="center"/>
          </w:tcPr>
          <w:p w14:paraId="0E5E239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0.23 </w:t>
            </w:r>
          </w:p>
        </w:tc>
        <w:tc>
          <w:tcPr>
            <w:tcW w:w="140" w:type="pct"/>
            <w:tcBorders>
              <w:tl2br w:val="nil"/>
              <w:tr2bl w:val="nil"/>
            </w:tcBorders>
            <w:shd w:val="clear" w:color="auto" w:fill="auto"/>
            <w:vAlign w:val="center"/>
          </w:tcPr>
          <w:p w14:paraId="7E9732F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0.08 </w:t>
            </w:r>
          </w:p>
        </w:tc>
        <w:tc>
          <w:tcPr>
            <w:tcW w:w="140" w:type="pct"/>
            <w:tcBorders>
              <w:tl2br w:val="nil"/>
              <w:tr2bl w:val="nil"/>
            </w:tcBorders>
            <w:shd w:val="clear" w:color="auto" w:fill="auto"/>
            <w:vAlign w:val="center"/>
          </w:tcPr>
          <w:p w14:paraId="2864699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299" w:type="pct"/>
            <w:tcBorders>
              <w:tl2br w:val="nil"/>
              <w:tr2bl w:val="nil"/>
            </w:tcBorders>
            <w:shd w:val="clear" w:color="auto" w:fill="auto"/>
            <w:vAlign w:val="center"/>
          </w:tcPr>
          <w:p w14:paraId="4574481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0.26 </w:t>
            </w:r>
          </w:p>
        </w:tc>
        <w:tc>
          <w:tcPr>
            <w:tcW w:w="172" w:type="pct"/>
            <w:tcBorders>
              <w:tl2br w:val="nil"/>
              <w:tr2bl w:val="nil"/>
            </w:tcBorders>
            <w:shd w:val="clear" w:color="auto" w:fill="auto"/>
            <w:vAlign w:val="center"/>
          </w:tcPr>
          <w:p w14:paraId="18E19AE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34" w:type="pct"/>
            <w:tcBorders>
              <w:tl2br w:val="nil"/>
              <w:tr2bl w:val="nil"/>
            </w:tcBorders>
            <w:shd w:val="clear" w:color="auto" w:fill="auto"/>
            <w:vAlign w:val="center"/>
          </w:tcPr>
          <w:p w14:paraId="0B81E81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0.30 </w:t>
            </w:r>
          </w:p>
        </w:tc>
        <w:tc>
          <w:tcPr>
            <w:tcW w:w="180" w:type="pct"/>
            <w:tcBorders>
              <w:tl2br w:val="nil"/>
              <w:tr2bl w:val="nil"/>
            </w:tcBorders>
            <w:shd w:val="clear" w:color="auto" w:fill="auto"/>
            <w:vAlign w:val="center"/>
          </w:tcPr>
          <w:p w14:paraId="53DD052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180" w:type="pct"/>
            <w:tcBorders>
              <w:tl2br w:val="nil"/>
              <w:tr2bl w:val="nil"/>
            </w:tcBorders>
            <w:shd w:val="clear" w:color="auto" w:fill="auto"/>
            <w:vAlign w:val="center"/>
          </w:tcPr>
          <w:p w14:paraId="0C83AC0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72" w:type="pct"/>
            <w:tcBorders>
              <w:tl2br w:val="nil"/>
              <w:tr2bl w:val="nil"/>
            </w:tcBorders>
            <w:shd w:val="clear" w:color="auto" w:fill="auto"/>
            <w:vAlign w:val="center"/>
          </w:tcPr>
          <w:p w14:paraId="3A86F24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34" w:type="pct"/>
            <w:tcBorders>
              <w:tl2br w:val="nil"/>
              <w:tr2bl w:val="nil"/>
            </w:tcBorders>
            <w:shd w:val="clear" w:color="auto" w:fill="auto"/>
            <w:vAlign w:val="center"/>
          </w:tcPr>
          <w:p w14:paraId="767DE11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0.70 </w:t>
            </w:r>
          </w:p>
        </w:tc>
        <w:tc>
          <w:tcPr>
            <w:tcW w:w="258" w:type="pct"/>
            <w:tcBorders>
              <w:tl2br w:val="nil"/>
              <w:tr2bl w:val="nil"/>
            </w:tcBorders>
            <w:shd w:val="clear" w:color="auto" w:fill="auto"/>
            <w:vAlign w:val="center"/>
          </w:tcPr>
          <w:p w14:paraId="6AC4196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33</w:t>
            </w:r>
          </w:p>
        </w:tc>
        <w:tc>
          <w:tcPr>
            <w:tcW w:w="209" w:type="pct"/>
            <w:tcBorders>
              <w:tl2br w:val="nil"/>
              <w:tr2bl w:val="nil"/>
            </w:tcBorders>
            <w:shd w:val="clear" w:color="auto" w:fill="auto"/>
            <w:vAlign w:val="center"/>
          </w:tcPr>
          <w:p w14:paraId="1FB4991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219" w:type="pct"/>
            <w:tcBorders>
              <w:tl2br w:val="nil"/>
              <w:tr2bl w:val="nil"/>
            </w:tcBorders>
            <w:shd w:val="clear" w:color="auto" w:fill="auto"/>
            <w:vAlign w:val="center"/>
          </w:tcPr>
          <w:p w14:paraId="4A84D99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0.02 </w:t>
            </w:r>
          </w:p>
        </w:tc>
        <w:tc>
          <w:tcPr>
            <w:tcW w:w="134" w:type="pct"/>
            <w:tcBorders>
              <w:tl2br w:val="nil"/>
              <w:tr2bl w:val="nil"/>
            </w:tcBorders>
            <w:shd w:val="clear" w:color="auto" w:fill="auto"/>
            <w:vAlign w:val="center"/>
          </w:tcPr>
          <w:p w14:paraId="0ED1610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34" w:type="pct"/>
            <w:tcBorders>
              <w:tl2br w:val="nil"/>
              <w:tr2bl w:val="nil"/>
            </w:tcBorders>
            <w:shd w:val="clear" w:color="auto" w:fill="auto"/>
            <w:vAlign w:val="center"/>
          </w:tcPr>
          <w:p w14:paraId="5E66C41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highlight w:val="none"/>
                <w:lang w:val="en-US" w:eastAsia="zh-CN"/>
              </w:rPr>
              <w:t>/</w:t>
            </w:r>
          </w:p>
        </w:tc>
        <w:tc>
          <w:tcPr>
            <w:tcW w:w="210" w:type="pct"/>
            <w:tcBorders>
              <w:tl2br w:val="nil"/>
              <w:tr2bl w:val="nil"/>
            </w:tcBorders>
            <w:shd w:val="clear" w:color="auto" w:fill="auto"/>
            <w:vAlign w:val="center"/>
          </w:tcPr>
          <w:p w14:paraId="158677C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72" w:type="pct"/>
            <w:tcBorders>
              <w:tl2br w:val="nil"/>
              <w:tr2bl w:val="nil"/>
            </w:tcBorders>
            <w:shd w:val="clear" w:color="auto" w:fill="auto"/>
            <w:vAlign w:val="center"/>
          </w:tcPr>
          <w:p w14:paraId="6ABFF6A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72" w:type="pct"/>
            <w:tcBorders>
              <w:tl2br w:val="nil"/>
              <w:tr2bl w:val="nil"/>
            </w:tcBorders>
            <w:shd w:val="clear" w:color="auto" w:fill="auto"/>
            <w:vAlign w:val="center"/>
          </w:tcPr>
          <w:p w14:paraId="3386FB9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0.24 </w:t>
            </w:r>
          </w:p>
        </w:tc>
        <w:tc>
          <w:tcPr>
            <w:tcW w:w="135" w:type="pct"/>
            <w:tcBorders>
              <w:tl2br w:val="nil"/>
              <w:tr2bl w:val="nil"/>
            </w:tcBorders>
            <w:shd w:val="clear" w:color="auto" w:fill="auto"/>
            <w:vAlign w:val="center"/>
          </w:tcPr>
          <w:p w14:paraId="575DE67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0.29 </w:t>
            </w:r>
          </w:p>
        </w:tc>
        <w:tc>
          <w:tcPr>
            <w:tcW w:w="133" w:type="pct"/>
            <w:tcBorders>
              <w:tl2br w:val="nil"/>
              <w:tr2bl w:val="nil"/>
            </w:tcBorders>
            <w:shd w:val="clear" w:color="auto" w:fill="auto"/>
            <w:vAlign w:val="center"/>
          </w:tcPr>
          <w:p w14:paraId="27428DE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0.08 </w:t>
            </w:r>
          </w:p>
        </w:tc>
      </w:tr>
      <w:bookmarkEnd w:id="1436"/>
      <w:bookmarkEnd w:id="1437"/>
      <w:tr w14:paraId="07466C6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73B1125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shd w:val="clear" w:color="auto" w:fill="auto"/>
            <w:vAlign w:val="center"/>
          </w:tcPr>
          <w:p w14:paraId="66A0A80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超标率（%）</w:t>
            </w:r>
          </w:p>
        </w:tc>
        <w:tc>
          <w:tcPr>
            <w:tcW w:w="159" w:type="pct"/>
            <w:tcBorders>
              <w:tl2br w:val="nil"/>
              <w:tr2bl w:val="nil"/>
            </w:tcBorders>
            <w:shd w:val="clear" w:color="auto" w:fill="auto"/>
            <w:vAlign w:val="center"/>
          </w:tcPr>
          <w:p w14:paraId="31BE8AD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highlight w:val="none"/>
                <w:lang w:val="en-US" w:eastAsia="zh-CN"/>
              </w:rPr>
              <w:t>/</w:t>
            </w:r>
          </w:p>
        </w:tc>
        <w:tc>
          <w:tcPr>
            <w:tcW w:w="157" w:type="pct"/>
            <w:tcBorders>
              <w:tl2br w:val="nil"/>
              <w:tr2bl w:val="nil"/>
            </w:tcBorders>
            <w:shd w:val="clear" w:color="auto" w:fill="auto"/>
            <w:vAlign w:val="center"/>
          </w:tcPr>
          <w:p w14:paraId="1C8C245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59" w:type="pct"/>
            <w:tcBorders>
              <w:tl2br w:val="nil"/>
              <w:tr2bl w:val="nil"/>
            </w:tcBorders>
            <w:shd w:val="clear" w:color="auto" w:fill="auto"/>
            <w:vAlign w:val="center"/>
          </w:tcPr>
          <w:p w14:paraId="0E81EE0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5" w:type="pct"/>
            <w:tcBorders>
              <w:tl2br w:val="nil"/>
              <w:tr2bl w:val="nil"/>
            </w:tcBorders>
            <w:shd w:val="clear" w:color="auto" w:fill="auto"/>
            <w:vAlign w:val="center"/>
          </w:tcPr>
          <w:p w14:paraId="00A958C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34" w:type="pct"/>
            <w:tcBorders>
              <w:tl2br w:val="nil"/>
              <w:tr2bl w:val="nil"/>
            </w:tcBorders>
            <w:shd w:val="clear" w:color="auto" w:fill="auto"/>
            <w:vAlign w:val="center"/>
          </w:tcPr>
          <w:p w14:paraId="64AC2AB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0" w:type="pct"/>
            <w:tcBorders>
              <w:tl2br w:val="nil"/>
              <w:tr2bl w:val="nil"/>
            </w:tcBorders>
            <w:shd w:val="clear" w:color="auto" w:fill="auto"/>
            <w:vAlign w:val="center"/>
          </w:tcPr>
          <w:p w14:paraId="3845205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w:t>
            </w:r>
          </w:p>
        </w:tc>
        <w:tc>
          <w:tcPr>
            <w:tcW w:w="180" w:type="pct"/>
            <w:tcBorders>
              <w:tl2br w:val="nil"/>
              <w:tr2bl w:val="nil"/>
            </w:tcBorders>
            <w:shd w:val="clear" w:color="auto" w:fill="auto"/>
            <w:vAlign w:val="center"/>
          </w:tcPr>
          <w:p w14:paraId="6D7D5CE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228" w:type="pct"/>
            <w:tcBorders>
              <w:tl2br w:val="nil"/>
              <w:tr2bl w:val="nil"/>
            </w:tcBorders>
            <w:shd w:val="clear" w:color="auto" w:fill="auto"/>
            <w:vAlign w:val="center"/>
          </w:tcPr>
          <w:p w14:paraId="4CC9768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71C7D67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0" w:type="pct"/>
            <w:tcBorders>
              <w:tl2br w:val="nil"/>
              <w:tr2bl w:val="nil"/>
            </w:tcBorders>
            <w:shd w:val="clear" w:color="auto" w:fill="auto"/>
            <w:vAlign w:val="center"/>
          </w:tcPr>
          <w:p w14:paraId="252BB26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99" w:type="pct"/>
            <w:tcBorders>
              <w:tl2br w:val="nil"/>
              <w:tr2bl w:val="nil"/>
            </w:tcBorders>
            <w:shd w:val="clear" w:color="auto" w:fill="auto"/>
            <w:vAlign w:val="center"/>
          </w:tcPr>
          <w:p w14:paraId="6A0DA3C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6CD3CA3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63D87A6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60F162C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6FEAA0F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73D7490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11E88F8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58" w:type="pct"/>
            <w:tcBorders>
              <w:tl2br w:val="nil"/>
              <w:tr2bl w:val="nil"/>
            </w:tcBorders>
            <w:shd w:val="clear" w:color="auto" w:fill="auto"/>
            <w:vAlign w:val="center"/>
          </w:tcPr>
          <w:p w14:paraId="451DE3C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09" w:type="pct"/>
            <w:tcBorders>
              <w:tl2br w:val="nil"/>
              <w:tr2bl w:val="nil"/>
            </w:tcBorders>
            <w:shd w:val="clear" w:color="auto" w:fill="auto"/>
            <w:vAlign w:val="center"/>
          </w:tcPr>
          <w:p w14:paraId="351135C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19" w:type="pct"/>
            <w:tcBorders>
              <w:tl2br w:val="nil"/>
              <w:tr2bl w:val="nil"/>
            </w:tcBorders>
            <w:shd w:val="clear" w:color="auto" w:fill="auto"/>
            <w:vAlign w:val="center"/>
          </w:tcPr>
          <w:p w14:paraId="1965640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34" w:type="pct"/>
            <w:tcBorders>
              <w:tl2br w:val="nil"/>
              <w:tr2bl w:val="nil"/>
            </w:tcBorders>
            <w:shd w:val="clear" w:color="auto" w:fill="auto"/>
            <w:vAlign w:val="center"/>
          </w:tcPr>
          <w:p w14:paraId="260D375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2CA627B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highlight w:val="none"/>
                <w:lang w:val="en-US" w:eastAsia="zh-CN"/>
              </w:rPr>
              <w:t>/</w:t>
            </w:r>
          </w:p>
        </w:tc>
        <w:tc>
          <w:tcPr>
            <w:tcW w:w="210" w:type="pct"/>
            <w:tcBorders>
              <w:tl2br w:val="nil"/>
              <w:tr2bl w:val="nil"/>
            </w:tcBorders>
            <w:shd w:val="clear" w:color="auto" w:fill="auto"/>
            <w:vAlign w:val="center"/>
          </w:tcPr>
          <w:p w14:paraId="692375A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64901AD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48C8D35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5" w:type="pct"/>
            <w:tcBorders>
              <w:tl2br w:val="nil"/>
              <w:tr2bl w:val="nil"/>
            </w:tcBorders>
            <w:shd w:val="clear" w:color="auto" w:fill="auto"/>
            <w:vAlign w:val="center"/>
          </w:tcPr>
          <w:p w14:paraId="3839076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3" w:type="pct"/>
            <w:tcBorders>
              <w:tl2br w:val="nil"/>
              <w:tr2bl w:val="nil"/>
            </w:tcBorders>
            <w:shd w:val="clear" w:color="auto" w:fill="auto"/>
            <w:vAlign w:val="center"/>
          </w:tcPr>
          <w:p w14:paraId="1767261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r>
      <w:bookmarkEnd w:id="1438"/>
      <w:bookmarkEnd w:id="1439"/>
      <w:tr w14:paraId="2205641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355" w:type="pct"/>
            <w:gridSpan w:val="2"/>
            <w:tcBorders>
              <w:tl2br w:val="nil"/>
              <w:tr2bl w:val="nil"/>
            </w:tcBorders>
            <w:vAlign w:val="center"/>
          </w:tcPr>
          <w:p w14:paraId="3F13267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Ⅲ类限值</w:t>
            </w:r>
          </w:p>
        </w:tc>
        <w:tc>
          <w:tcPr>
            <w:tcW w:w="159" w:type="pct"/>
            <w:tcBorders>
              <w:tl2br w:val="nil"/>
              <w:tr2bl w:val="nil"/>
            </w:tcBorders>
            <w:shd w:val="clear" w:color="auto" w:fill="auto"/>
            <w:vAlign w:val="center"/>
          </w:tcPr>
          <w:p w14:paraId="464FF68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b/>
                <w:bCs/>
                <w:color w:val="auto"/>
                <w:sz w:val="18"/>
                <w:szCs w:val="18"/>
                <w:lang w:val="en-US" w:eastAsia="zh-CN"/>
              </w:rPr>
              <w:t>/</w:t>
            </w:r>
          </w:p>
        </w:tc>
        <w:tc>
          <w:tcPr>
            <w:tcW w:w="157" w:type="pct"/>
            <w:tcBorders>
              <w:tl2br w:val="nil"/>
              <w:tr2bl w:val="nil"/>
            </w:tcBorders>
            <w:shd w:val="clear" w:color="auto" w:fill="auto"/>
            <w:vAlign w:val="center"/>
          </w:tcPr>
          <w:p w14:paraId="2ABB72B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6-9</w:t>
            </w:r>
          </w:p>
        </w:tc>
        <w:tc>
          <w:tcPr>
            <w:tcW w:w="159" w:type="pct"/>
            <w:tcBorders>
              <w:tl2br w:val="nil"/>
              <w:tr2bl w:val="nil"/>
            </w:tcBorders>
            <w:shd w:val="clear" w:color="auto" w:fill="auto"/>
            <w:vAlign w:val="center"/>
          </w:tcPr>
          <w:p w14:paraId="3B828BF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highlight w:val="none"/>
                <w:lang w:val="en-US" w:eastAsia="en-US" w:bidi="ar-SA"/>
              </w:rPr>
            </w:pPr>
            <w:r>
              <w:rPr>
                <w:rFonts w:hint="default" w:ascii="Times New Roman" w:hAnsi="Times New Roman" w:eastAsia="宋体" w:cs="Times New Roman"/>
                <w:b w:val="0"/>
                <w:bCs w:val="0"/>
                <w:color w:val="auto"/>
                <w:sz w:val="18"/>
                <w:szCs w:val="18"/>
                <w:highlight w:val="none"/>
                <w:lang w:val="en-US" w:eastAsia="zh-CN"/>
              </w:rPr>
              <w:t>5</w:t>
            </w:r>
          </w:p>
        </w:tc>
        <w:tc>
          <w:tcPr>
            <w:tcW w:w="145" w:type="pct"/>
            <w:tcBorders>
              <w:tl2br w:val="nil"/>
              <w:tr2bl w:val="nil"/>
            </w:tcBorders>
            <w:shd w:val="clear" w:color="auto" w:fill="auto"/>
            <w:vAlign w:val="center"/>
          </w:tcPr>
          <w:p w14:paraId="6ECFE7C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4</w:t>
            </w:r>
          </w:p>
        </w:tc>
        <w:tc>
          <w:tcPr>
            <w:tcW w:w="134" w:type="pct"/>
            <w:tcBorders>
              <w:tl2br w:val="nil"/>
              <w:tr2bl w:val="nil"/>
            </w:tcBorders>
            <w:shd w:val="clear" w:color="auto" w:fill="auto"/>
            <w:vAlign w:val="center"/>
          </w:tcPr>
          <w:p w14:paraId="59C26A8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20</w:t>
            </w:r>
          </w:p>
        </w:tc>
        <w:tc>
          <w:tcPr>
            <w:tcW w:w="140" w:type="pct"/>
            <w:tcBorders>
              <w:tl2br w:val="nil"/>
              <w:tr2bl w:val="nil"/>
            </w:tcBorders>
            <w:shd w:val="clear" w:color="auto" w:fill="auto"/>
            <w:vAlign w:val="center"/>
          </w:tcPr>
          <w:p w14:paraId="6E17015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highlight w:val="none"/>
                <w:lang w:val="en-US" w:eastAsia="en-US" w:bidi="ar-SA"/>
              </w:rPr>
            </w:pPr>
            <w:r>
              <w:rPr>
                <w:rFonts w:hint="eastAsia" w:ascii="Times New Roman" w:hAnsi="Times New Roman" w:eastAsia="宋体" w:cs="Times New Roman"/>
                <w:b w:val="0"/>
                <w:bCs w:val="0"/>
                <w:color w:val="auto"/>
                <w:sz w:val="18"/>
                <w:szCs w:val="18"/>
                <w:highlight w:val="none"/>
                <w:lang w:val="en-US" w:eastAsia="zh-CN"/>
              </w:rPr>
              <w:t>/</w:t>
            </w:r>
          </w:p>
        </w:tc>
        <w:tc>
          <w:tcPr>
            <w:tcW w:w="180" w:type="pct"/>
            <w:tcBorders>
              <w:tl2br w:val="nil"/>
              <w:tr2bl w:val="nil"/>
            </w:tcBorders>
            <w:shd w:val="clear" w:color="auto" w:fill="auto"/>
            <w:vAlign w:val="center"/>
          </w:tcPr>
          <w:p w14:paraId="0F9AB44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highlight w:val="none"/>
                <w:lang w:val="en-US" w:eastAsia="zh-CN"/>
              </w:rPr>
              <w:t>1.0</w:t>
            </w:r>
          </w:p>
        </w:tc>
        <w:tc>
          <w:tcPr>
            <w:tcW w:w="228" w:type="pct"/>
            <w:tcBorders>
              <w:tl2br w:val="nil"/>
              <w:tr2bl w:val="nil"/>
            </w:tcBorders>
            <w:shd w:val="clear" w:color="auto" w:fill="auto"/>
            <w:vAlign w:val="center"/>
          </w:tcPr>
          <w:p w14:paraId="778E314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0.2</w:t>
            </w:r>
          </w:p>
        </w:tc>
        <w:tc>
          <w:tcPr>
            <w:tcW w:w="140" w:type="pct"/>
            <w:tcBorders>
              <w:tl2br w:val="nil"/>
              <w:tr2bl w:val="nil"/>
            </w:tcBorders>
            <w:shd w:val="clear" w:color="auto" w:fill="auto"/>
            <w:vAlign w:val="center"/>
          </w:tcPr>
          <w:p w14:paraId="0C509FD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0.05</w:t>
            </w:r>
          </w:p>
        </w:tc>
        <w:tc>
          <w:tcPr>
            <w:tcW w:w="140" w:type="pct"/>
            <w:tcBorders>
              <w:tl2br w:val="nil"/>
              <w:tr2bl w:val="nil"/>
            </w:tcBorders>
            <w:shd w:val="clear" w:color="auto" w:fill="auto"/>
            <w:vAlign w:val="center"/>
          </w:tcPr>
          <w:p w14:paraId="28D211A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0.2</w:t>
            </w:r>
          </w:p>
        </w:tc>
        <w:tc>
          <w:tcPr>
            <w:tcW w:w="299" w:type="pct"/>
            <w:tcBorders>
              <w:tl2br w:val="nil"/>
              <w:tr2bl w:val="nil"/>
            </w:tcBorders>
            <w:shd w:val="clear" w:color="auto" w:fill="auto"/>
            <w:vAlign w:val="center"/>
          </w:tcPr>
          <w:p w14:paraId="392D38C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highlight w:val="none"/>
                <w:lang w:val="en-US" w:eastAsia="en-US" w:bidi="ar-SA"/>
              </w:rPr>
            </w:pPr>
            <w:r>
              <w:rPr>
                <w:rFonts w:hint="default" w:ascii="Times New Roman" w:hAnsi="Times New Roman" w:eastAsia="宋体" w:cs="Times New Roman"/>
                <w:b w:val="0"/>
                <w:bCs w:val="0"/>
                <w:color w:val="auto"/>
                <w:sz w:val="18"/>
                <w:szCs w:val="18"/>
                <w:highlight w:val="none"/>
                <w:lang w:val="en-US" w:eastAsia="zh-CN"/>
              </w:rPr>
              <w:t>0.005</w:t>
            </w:r>
          </w:p>
        </w:tc>
        <w:tc>
          <w:tcPr>
            <w:tcW w:w="172" w:type="pct"/>
            <w:tcBorders>
              <w:tl2br w:val="nil"/>
              <w:tr2bl w:val="nil"/>
            </w:tcBorders>
            <w:shd w:val="clear" w:color="auto" w:fill="auto"/>
            <w:vAlign w:val="center"/>
          </w:tcPr>
          <w:p w14:paraId="2620FF9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highlight w:val="none"/>
                <w:lang w:val="en-US" w:eastAsia="zh-CN"/>
              </w:rPr>
              <w:t>0.05</w:t>
            </w:r>
          </w:p>
        </w:tc>
        <w:tc>
          <w:tcPr>
            <w:tcW w:w="134" w:type="pct"/>
            <w:tcBorders>
              <w:tl2br w:val="nil"/>
              <w:tr2bl w:val="nil"/>
            </w:tcBorders>
            <w:shd w:val="clear" w:color="auto" w:fill="auto"/>
            <w:vAlign w:val="center"/>
          </w:tcPr>
          <w:p w14:paraId="38BA5BE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0.05</w:t>
            </w:r>
          </w:p>
        </w:tc>
        <w:tc>
          <w:tcPr>
            <w:tcW w:w="180" w:type="pct"/>
            <w:tcBorders>
              <w:tl2br w:val="nil"/>
              <w:tr2bl w:val="nil"/>
            </w:tcBorders>
            <w:shd w:val="clear" w:color="auto" w:fill="auto"/>
            <w:vAlign w:val="center"/>
          </w:tcPr>
          <w:p w14:paraId="40BCD25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1.0</w:t>
            </w:r>
          </w:p>
        </w:tc>
        <w:tc>
          <w:tcPr>
            <w:tcW w:w="180" w:type="pct"/>
            <w:tcBorders>
              <w:tl2br w:val="nil"/>
              <w:tr2bl w:val="nil"/>
            </w:tcBorders>
            <w:shd w:val="clear" w:color="auto" w:fill="auto"/>
            <w:vAlign w:val="center"/>
          </w:tcPr>
          <w:p w14:paraId="1B441F6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0.1</w:t>
            </w:r>
          </w:p>
        </w:tc>
        <w:tc>
          <w:tcPr>
            <w:tcW w:w="172" w:type="pct"/>
            <w:tcBorders>
              <w:tl2br w:val="nil"/>
              <w:tr2bl w:val="nil"/>
            </w:tcBorders>
            <w:shd w:val="clear" w:color="auto" w:fill="auto"/>
            <w:vAlign w:val="center"/>
          </w:tcPr>
          <w:p w14:paraId="3EF9BA2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1.0</w:t>
            </w:r>
          </w:p>
        </w:tc>
        <w:tc>
          <w:tcPr>
            <w:tcW w:w="134" w:type="pct"/>
            <w:tcBorders>
              <w:tl2br w:val="nil"/>
              <w:tr2bl w:val="nil"/>
            </w:tcBorders>
            <w:shd w:val="clear" w:color="auto" w:fill="auto"/>
            <w:vAlign w:val="center"/>
          </w:tcPr>
          <w:p w14:paraId="440BD5A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0.05</w:t>
            </w:r>
          </w:p>
        </w:tc>
        <w:tc>
          <w:tcPr>
            <w:tcW w:w="258" w:type="pct"/>
            <w:tcBorders>
              <w:tl2br w:val="nil"/>
              <w:tr2bl w:val="nil"/>
            </w:tcBorders>
            <w:shd w:val="clear" w:color="auto" w:fill="auto"/>
            <w:vAlign w:val="center"/>
          </w:tcPr>
          <w:p w14:paraId="575DFF5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highlight w:val="red"/>
                <w:lang w:val="en-US" w:eastAsia="en-US" w:bidi="ar-SA"/>
              </w:rPr>
            </w:pPr>
            <w:r>
              <w:rPr>
                <w:rFonts w:hint="default" w:ascii="Times New Roman" w:hAnsi="Times New Roman" w:eastAsia="宋体" w:cs="Times New Roman"/>
                <w:b w:val="0"/>
                <w:bCs w:val="0"/>
                <w:color w:val="auto"/>
                <w:sz w:val="18"/>
                <w:szCs w:val="18"/>
                <w:highlight w:val="none"/>
                <w:lang w:val="en-US" w:eastAsia="zh-CN"/>
              </w:rPr>
              <w:t>0.</w:t>
            </w:r>
            <w:bookmarkStart w:id="1440" w:name="OLE_LINK304"/>
            <w:r>
              <w:rPr>
                <w:rFonts w:hint="default" w:ascii="Times New Roman" w:hAnsi="Times New Roman" w:eastAsia="宋体" w:cs="Times New Roman"/>
                <w:b w:val="0"/>
                <w:bCs w:val="0"/>
                <w:color w:val="auto"/>
                <w:sz w:val="18"/>
                <w:szCs w:val="18"/>
                <w:highlight w:val="none"/>
                <w:lang w:val="en-US" w:eastAsia="zh-CN"/>
              </w:rPr>
              <w:t>000</w:t>
            </w:r>
            <w:bookmarkEnd w:id="1440"/>
            <w:r>
              <w:rPr>
                <w:rFonts w:hint="default" w:ascii="Times New Roman" w:hAnsi="Times New Roman" w:eastAsia="宋体" w:cs="Times New Roman"/>
                <w:b w:val="0"/>
                <w:bCs w:val="0"/>
                <w:color w:val="auto"/>
                <w:sz w:val="18"/>
                <w:szCs w:val="18"/>
                <w:highlight w:val="none"/>
                <w:lang w:val="en-US" w:eastAsia="zh-CN"/>
              </w:rPr>
              <w:t>1</w:t>
            </w:r>
          </w:p>
        </w:tc>
        <w:tc>
          <w:tcPr>
            <w:tcW w:w="209" w:type="pct"/>
            <w:tcBorders>
              <w:tl2br w:val="nil"/>
              <w:tr2bl w:val="nil"/>
            </w:tcBorders>
            <w:shd w:val="clear" w:color="auto" w:fill="auto"/>
            <w:vAlign w:val="center"/>
          </w:tcPr>
          <w:p w14:paraId="5C60472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0.01</w:t>
            </w:r>
          </w:p>
        </w:tc>
        <w:tc>
          <w:tcPr>
            <w:tcW w:w="219" w:type="pct"/>
            <w:tcBorders>
              <w:tl2br w:val="nil"/>
              <w:tr2bl w:val="nil"/>
            </w:tcBorders>
            <w:shd w:val="clear" w:color="auto" w:fill="auto"/>
            <w:vAlign w:val="center"/>
          </w:tcPr>
          <w:p w14:paraId="0E6D66C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highlight w:val="none"/>
                <w:lang w:val="en-US" w:eastAsia="en-US" w:bidi="ar-SA"/>
              </w:rPr>
            </w:pPr>
            <w:r>
              <w:rPr>
                <w:rFonts w:hint="default" w:ascii="Times New Roman" w:hAnsi="Times New Roman" w:eastAsia="宋体" w:cs="Times New Roman"/>
                <w:b w:val="0"/>
                <w:bCs w:val="0"/>
                <w:color w:val="auto"/>
                <w:sz w:val="18"/>
                <w:szCs w:val="18"/>
                <w:highlight w:val="none"/>
                <w:lang w:val="en-US" w:eastAsia="zh-CN"/>
              </w:rPr>
              <w:t>0.05</w:t>
            </w:r>
          </w:p>
        </w:tc>
        <w:tc>
          <w:tcPr>
            <w:tcW w:w="134" w:type="pct"/>
            <w:tcBorders>
              <w:tl2br w:val="nil"/>
              <w:tr2bl w:val="nil"/>
            </w:tcBorders>
            <w:shd w:val="clear" w:color="auto" w:fill="auto"/>
            <w:vAlign w:val="center"/>
          </w:tcPr>
          <w:p w14:paraId="1706729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0.02</w:t>
            </w:r>
          </w:p>
        </w:tc>
        <w:tc>
          <w:tcPr>
            <w:tcW w:w="134" w:type="pct"/>
            <w:tcBorders>
              <w:tl2br w:val="nil"/>
              <w:tr2bl w:val="nil"/>
            </w:tcBorders>
            <w:shd w:val="clear" w:color="auto" w:fill="auto"/>
            <w:vAlign w:val="center"/>
          </w:tcPr>
          <w:p w14:paraId="7831FE2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eastAsia" w:ascii="Times New Roman" w:hAnsi="Times New Roman" w:eastAsia="宋体" w:cs="Times New Roman"/>
                <w:color w:val="auto"/>
                <w:sz w:val="18"/>
                <w:szCs w:val="18"/>
                <w:highlight w:val="none"/>
                <w:lang w:val="en-US" w:eastAsia="zh-CN"/>
              </w:rPr>
              <w:t>/</w:t>
            </w:r>
          </w:p>
        </w:tc>
        <w:tc>
          <w:tcPr>
            <w:tcW w:w="210" w:type="pct"/>
            <w:tcBorders>
              <w:tl2br w:val="nil"/>
              <w:tr2bl w:val="nil"/>
            </w:tcBorders>
            <w:shd w:val="clear" w:color="auto" w:fill="auto"/>
            <w:vAlign w:val="center"/>
          </w:tcPr>
          <w:p w14:paraId="4833264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0.005</w:t>
            </w:r>
          </w:p>
        </w:tc>
        <w:tc>
          <w:tcPr>
            <w:tcW w:w="172" w:type="pct"/>
            <w:tcBorders>
              <w:tl2br w:val="nil"/>
              <w:tr2bl w:val="nil"/>
            </w:tcBorders>
            <w:shd w:val="clear" w:color="auto" w:fill="auto"/>
            <w:vAlign w:val="center"/>
          </w:tcPr>
          <w:p w14:paraId="65A812B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c>
          <w:tcPr>
            <w:tcW w:w="172" w:type="pct"/>
            <w:tcBorders>
              <w:tl2br w:val="nil"/>
              <w:tr2bl w:val="nil"/>
            </w:tcBorders>
            <w:shd w:val="clear" w:color="auto" w:fill="auto"/>
            <w:vAlign w:val="center"/>
          </w:tcPr>
          <w:p w14:paraId="6BC8BA2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6</w:t>
            </w:r>
          </w:p>
        </w:tc>
        <w:tc>
          <w:tcPr>
            <w:tcW w:w="135" w:type="pct"/>
            <w:tcBorders>
              <w:tl2br w:val="nil"/>
              <w:tr2bl w:val="nil"/>
            </w:tcBorders>
            <w:shd w:val="clear" w:color="auto" w:fill="auto"/>
            <w:vAlign w:val="center"/>
          </w:tcPr>
          <w:p w14:paraId="04D368F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1.0</w:t>
            </w:r>
          </w:p>
        </w:tc>
        <w:tc>
          <w:tcPr>
            <w:tcW w:w="133" w:type="pct"/>
            <w:tcBorders>
              <w:tl2br w:val="nil"/>
              <w:tr2bl w:val="nil"/>
            </w:tcBorders>
            <w:shd w:val="clear" w:color="auto" w:fill="auto"/>
            <w:vAlign w:val="center"/>
          </w:tcPr>
          <w:p w14:paraId="288142F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r>
      <w:tr w14:paraId="017D935C">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restart"/>
            <w:tcBorders>
              <w:tl2br w:val="nil"/>
              <w:tr2bl w:val="nil"/>
            </w:tcBorders>
            <w:shd w:val="clear" w:color="auto" w:fill="auto"/>
            <w:vAlign w:val="center"/>
          </w:tcPr>
          <w:p w14:paraId="7805005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441" w:name="OLE_LINK57" w:colFirst="5" w:colLast="5"/>
            <w:bookmarkStart w:id="1442" w:name="OLE_LINK856" w:colFirst="5" w:colLast="5"/>
            <w:bookmarkStart w:id="1443" w:name="OLE_LINK865" w:colFirst="10" w:colLast="10"/>
            <w:bookmarkStart w:id="1444" w:name="OLE_LINK867" w:colFirst="19" w:colLast="19"/>
            <w:bookmarkStart w:id="1445" w:name="OLE_LINK306" w:colFirst="19" w:colLast="19"/>
            <w:r>
              <w:rPr>
                <w:rFonts w:hint="default" w:ascii="Times New Roman" w:hAnsi="Times New Roman" w:cs="Times New Roman"/>
                <w:color w:val="auto"/>
                <w:kern w:val="2"/>
                <w:sz w:val="18"/>
                <w:szCs w:val="18"/>
                <w:highlight w:val="none"/>
                <w:lang w:val="en-US" w:eastAsia="zh-CN" w:bidi="ar-SA"/>
              </w:rPr>
              <w:t>W2-2</w:t>
            </w:r>
          </w:p>
        </w:tc>
        <w:tc>
          <w:tcPr>
            <w:tcW w:w="216" w:type="pct"/>
            <w:tcBorders>
              <w:tl2br w:val="nil"/>
              <w:tr2bl w:val="nil"/>
            </w:tcBorders>
            <w:shd w:val="clear" w:color="auto" w:fill="auto"/>
            <w:vAlign w:val="center"/>
          </w:tcPr>
          <w:p w14:paraId="7835023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最大值</w:t>
            </w:r>
          </w:p>
        </w:tc>
        <w:tc>
          <w:tcPr>
            <w:tcW w:w="159" w:type="pct"/>
            <w:tcBorders>
              <w:tl2br w:val="nil"/>
              <w:tr2bl w:val="nil"/>
            </w:tcBorders>
            <w:shd w:val="clear" w:color="auto" w:fill="auto"/>
            <w:vAlign w:val="center"/>
          </w:tcPr>
          <w:p w14:paraId="676E779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28.3</w:t>
            </w:r>
          </w:p>
        </w:tc>
        <w:tc>
          <w:tcPr>
            <w:tcW w:w="157" w:type="pct"/>
            <w:tcBorders>
              <w:tl2br w:val="nil"/>
              <w:tr2bl w:val="nil"/>
            </w:tcBorders>
            <w:shd w:val="clear" w:color="auto" w:fill="auto"/>
            <w:vAlign w:val="center"/>
          </w:tcPr>
          <w:p w14:paraId="76413A8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7.8</w:t>
            </w:r>
          </w:p>
        </w:tc>
        <w:tc>
          <w:tcPr>
            <w:tcW w:w="159" w:type="pct"/>
            <w:tcBorders>
              <w:tl2br w:val="nil"/>
              <w:tr2bl w:val="nil"/>
            </w:tcBorders>
            <w:shd w:val="clear" w:color="auto" w:fill="auto"/>
            <w:vAlign w:val="center"/>
          </w:tcPr>
          <w:p w14:paraId="72BE676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5.8</w:t>
            </w:r>
          </w:p>
        </w:tc>
        <w:tc>
          <w:tcPr>
            <w:tcW w:w="145" w:type="pct"/>
            <w:tcBorders>
              <w:tl2br w:val="nil"/>
              <w:tr2bl w:val="nil"/>
            </w:tcBorders>
            <w:shd w:val="clear" w:color="auto" w:fill="auto"/>
            <w:vAlign w:val="center"/>
          </w:tcPr>
          <w:p w14:paraId="30921B3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i w:val="0"/>
                <w:iCs w:val="0"/>
                <w:snapToGrid w:val="0"/>
                <w:color w:val="auto"/>
                <w:kern w:val="0"/>
                <w:sz w:val="18"/>
                <w:szCs w:val="18"/>
                <w:highlight w:val="none"/>
                <w:u w:val="none"/>
                <w:lang w:val="en-US" w:eastAsia="zh-CN" w:bidi="ar"/>
              </w:rPr>
              <w:t>2.1</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shd w:val="clear" w:color="auto" w:fill="auto"/>
            <w:vAlign w:val="center"/>
          </w:tcPr>
          <w:p w14:paraId="37FF36C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10</w:t>
            </w:r>
          </w:p>
        </w:tc>
        <w:tc>
          <w:tcPr>
            <w:tcW w:w="140" w:type="pct"/>
            <w:tcBorders>
              <w:tl2br w:val="nil"/>
              <w:tr2bl w:val="nil"/>
            </w:tcBorders>
            <w:shd w:val="clear" w:color="auto" w:fill="auto"/>
            <w:vAlign w:val="center"/>
          </w:tcPr>
          <w:p w14:paraId="158905E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1.50 </w:t>
            </w:r>
          </w:p>
        </w:tc>
        <w:tc>
          <w:tcPr>
            <w:tcW w:w="180" w:type="pct"/>
            <w:tcBorders>
              <w:tl2br w:val="nil"/>
              <w:tr2bl w:val="nil"/>
            </w:tcBorders>
            <w:shd w:val="clear" w:color="auto" w:fill="auto"/>
            <w:vAlign w:val="center"/>
          </w:tcPr>
          <w:p w14:paraId="73F70C9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0.417 </w:t>
            </w:r>
          </w:p>
        </w:tc>
        <w:tc>
          <w:tcPr>
            <w:tcW w:w="228" w:type="pct"/>
            <w:tcBorders>
              <w:tl2br w:val="nil"/>
              <w:tr2bl w:val="nil"/>
            </w:tcBorders>
            <w:shd w:val="clear" w:color="auto" w:fill="auto"/>
            <w:vAlign w:val="center"/>
          </w:tcPr>
          <w:p w14:paraId="2DAF150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0.09 </w:t>
            </w:r>
          </w:p>
        </w:tc>
        <w:tc>
          <w:tcPr>
            <w:tcW w:w="140" w:type="pct"/>
            <w:tcBorders>
              <w:tl2br w:val="nil"/>
              <w:tr2bl w:val="nil"/>
            </w:tcBorders>
            <w:shd w:val="clear" w:color="auto" w:fill="auto"/>
            <w:vAlign w:val="center"/>
          </w:tcPr>
          <w:p w14:paraId="46599B6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4</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40" w:type="pct"/>
            <w:tcBorders>
              <w:tl2br w:val="nil"/>
              <w:tr2bl w:val="nil"/>
            </w:tcBorders>
            <w:shd w:val="clear" w:color="auto" w:fill="auto"/>
            <w:vAlign w:val="center"/>
          </w:tcPr>
          <w:p w14:paraId="104D470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0.02</w:t>
            </w:r>
          </w:p>
        </w:tc>
        <w:tc>
          <w:tcPr>
            <w:tcW w:w="299" w:type="pct"/>
            <w:tcBorders>
              <w:tl2br w:val="nil"/>
              <w:tr2bl w:val="nil"/>
            </w:tcBorders>
            <w:shd w:val="clear" w:color="auto" w:fill="auto"/>
            <w:vAlign w:val="center"/>
          </w:tcPr>
          <w:p w14:paraId="051BE5B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0.000953 </w:t>
            </w:r>
          </w:p>
        </w:tc>
        <w:tc>
          <w:tcPr>
            <w:tcW w:w="172" w:type="pct"/>
            <w:tcBorders>
              <w:tl2br w:val="nil"/>
              <w:tr2bl w:val="nil"/>
            </w:tcBorders>
            <w:shd w:val="clear" w:color="auto" w:fill="auto"/>
            <w:vAlign w:val="center"/>
          </w:tcPr>
          <w:p w14:paraId="1BD081E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7DD3D3B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highlight w:val="none"/>
                <w:lang w:val="en-US" w:eastAsia="zh-CN" w:bidi="ar-SA"/>
              </w:rPr>
              <w:t>ND</w:t>
            </w:r>
          </w:p>
        </w:tc>
        <w:tc>
          <w:tcPr>
            <w:tcW w:w="180" w:type="pct"/>
            <w:tcBorders>
              <w:tl2br w:val="nil"/>
              <w:tr2bl w:val="nil"/>
            </w:tcBorders>
            <w:shd w:val="clear" w:color="auto" w:fill="auto"/>
            <w:vAlign w:val="center"/>
          </w:tcPr>
          <w:p w14:paraId="61CA40E3">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0.012 </w:t>
            </w:r>
          </w:p>
        </w:tc>
        <w:tc>
          <w:tcPr>
            <w:tcW w:w="180" w:type="pct"/>
            <w:tcBorders>
              <w:tl2br w:val="nil"/>
              <w:tr2bl w:val="nil"/>
            </w:tcBorders>
            <w:shd w:val="clear" w:color="auto" w:fill="auto"/>
            <w:vAlign w:val="center"/>
          </w:tcPr>
          <w:p w14:paraId="155D754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72" w:type="pct"/>
            <w:tcBorders>
              <w:tl2br w:val="nil"/>
              <w:tr2bl w:val="nil"/>
            </w:tcBorders>
            <w:shd w:val="clear" w:color="auto" w:fill="auto"/>
            <w:vAlign w:val="center"/>
          </w:tcPr>
          <w:p w14:paraId="347B4C2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0099309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258" w:type="pct"/>
            <w:tcBorders>
              <w:tl2br w:val="nil"/>
              <w:tr2bl w:val="nil"/>
            </w:tcBorders>
            <w:shd w:val="clear" w:color="auto" w:fill="auto"/>
            <w:vAlign w:val="center"/>
          </w:tcPr>
          <w:p w14:paraId="346EA3E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w:t>
            </w:r>
            <w:bookmarkStart w:id="1446" w:name="OLE_LINK303"/>
            <w:r>
              <w:rPr>
                <w:rFonts w:hint="default" w:ascii="Times New Roman" w:hAnsi="Times New Roman" w:eastAsia="宋体" w:cs="Times New Roman"/>
                <w:i w:val="0"/>
                <w:iCs w:val="0"/>
                <w:snapToGrid w:val="0"/>
                <w:color w:val="auto"/>
                <w:kern w:val="0"/>
                <w:sz w:val="18"/>
                <w:szCs w:val="18"/>
                <w:highlight w:val="none"/>
                <w:u w:val="none"/>
                <w:lang w:val="en-US" w:eastAsia="zh-CN" w:bidi="ar"/>
              </w:rPr>
              <w:t>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w:t>
            </w:r>
            <w:bookmarkEnd w:id="1446"/>
            <w:r>
              <w:rPr>
                <w:rFonts w:hint="eastAsia" w:ascii="Times New Roman" w:hAnsi="Times New Roman" w:eastAsia="宋体" w:cs="Times New Roman"/>
                <w:i w:val="0"/>
                <w:iCs w:val="0"/>
                <w:snapToGrid w:val="0"/>
                <w:color w:val="auto"/>
                <w:kern w:val="0"/>
                <w:sz w:val="18"/>
                <w:szCs w:val="18"/>
                <w:highlight w:val="none"/>
                <w:u w:val="none"/>
                <w:lang w:val="en-US" w:eastAsia="zh-CN" w:bidi="ar"/>
              </w:rPr>
              <w:t>9</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7657D05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219" w:type="pct"/>
            <w:tcBorders>
              <w:tl2br w:val="nil"/>
              <w:tr2bl w:val="nil"/>
            </w:tcBorders>
            <w:shd w:val="clear" w:color="auto" w:fill="auto"/>
            <w:vAlign w:val="center"/>
          </w:tcPr>
          <w:p w14:paraId="077D225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0.0016 </w:t>
            </w:r>
          </w:p>
        </w:tc>
        <w:tc>
          <w:tcPr>
            <w:tcW w:w="134" w:type="pct"/>
            <w:tcBorders>
              <w:tl2br w:val="nil"/>
              <w:tr2bl w:val="nil"/>
            </w:tcBorders>
            <w:shd w:val="clear" w:color="auto" w:fill="auto"/>
            <w:vAlign w:val="center"/>
          </w:tcPr>
          <w:p w14:paraId="7E82162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611F24E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17</w:t>
            </w:r>
          </w:p>
        </w:tc>
        <w:tc>
          <w:tcPr>
            <w:tcW w:w="210" w:type="pct"/>
            <w:tcBorders>
              <w:tl2br w:val="nil"/>
              <w:tr2bl w:val="nil"/>
            </w:tcBorders>
            <w:shd w:val="clear" w:color="auto" w:fill="auto"/>
            <w:vAlign w:val="center"/>
          </w:tcPr>
          <w:p w14:paraId="511C521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72" w:type="pct"/>
            <w:tcBorders>
              <w:tl2br w:val="nil"/>
              <w:tr2bl w:val="nil"/>
            </w:tcBorders>
            <w:shd w:val="clear" w:color="auto" w:fill="auto"/>
            <w:vAlign w:val="center"/>
          </w:tcPr>
          <w:p w14:paraId="7006153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2E9EC7C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2.4</w:t>
            </w:r>
          </w:p>
        </w:tc>
        <w:tc>
          <w:tcPr>
            <w:tcW w:w="135" w:type="pct"/>
            <w:tcBorders>
              <w:tl2br w:val="nil"/>
              <w:tr2bl w:val="nil"/>
            </w:tcBorders>
            <w:shd w:val="clear" w:color="auto" w:fill="auto"/>
            <w:vAlign w:val="center"/>
          </w:tcPr>
          <w:p w14:paraId="1A36A5D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0.41</w:t>
            </w:r>
          </w:p>
        </w:tc>
        <w:tc>
          <w:tcPr>
            <w:tcW w:w="133" w:type="pct"/>
            <w:tcBorders>
              <w:tl2br w:val="nil"/>
              <w:tr2bl w:val="nil"/>
            </w:tcBorders>
            <w:shd w:val="clear" w:color="auto" w:fill="auto"/>
            <w:vAlign w:val="center"/>
          </w:tcPr>
          <w:p w14:paraId="54663DE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tr w14:paraId="58E57F9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52C9356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shd w:val="clear" w:color="auto" w:fill="auto"/>
            <w:vAlign w:val="center"/>
          </w:tcPr>
          <w:p w14:paraId="6AE9596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最小值</w:t>
            </w:r>
          </w:p>
        </w:tc>
        <w:tc>
          <w:tcPr>
            <w:tcW w:w="159" w:type="pct"/>
            <w:tcBorders>
              <w:tl2br w:val="nil"/>
              <w:tr2bl w:val="nil"/>
            </w:tcBorders>
            <w:shd w:val="clear" w:color="auto" w:fill="auto"/>
            <w:vAlign w:val="center"/>
          </w:tcPr>
          <w:p w14:paraId="5F89ADF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28.1</w:t>
            </w:r>
          </w:p>
        </w:tc>
        <w:tc>
          <w:tcPr>
            <w:tcW w:w="157" w:type="pct"/>
            <w:tcBorders>
              <w:tl2br w:val="nil"/>
              <w:tr2bl w:val="nil"/>
            </w:tcBorders>
            <w:shd w:val="clear" w:color="auto" w:fill="auto"/>
            <w:vAlign w:val="center"/>
          </w:tcPr>
          <w:p w14:paraId="3DC003B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7.7</w:t>
            </w:r>
          </w:p>
        </w:tc>
        <w:tc>
          <w:tcPr>
            <w:tcW w:w="159" w:type="pct"/>
            <w:tcBorders>
              <w:tl2br w:val="nil"/>
              <w:tr2bl w:val="nil"/>
            </w:tcBorders>
            <w:shd w:val="clear" w:color="auto" w:fill="auto"/>
            <w:vAlign w:val="center"/>
          </w:tcPr>
          <w:p w14:paraId="46EC198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5.7</w:t>
            </w:r>
          </w:p>
        </w:tc>
        <w:tc>
          <w:tcPr>
            <w:tcW w:w="145" w:type="pct"/>
            <w:tcBorders>
              <w:tl2br w:val="nil"/>
              <w:tr2bl w:val="nil"/>
            </w:tcBorders>
            <w:shd w:val="clear" w:color="auto" w:fill="auto"/>
            <w:vAlign w:val="center"/>
          </w:tcPr>
          <w:p w14:paraId="41339E3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1.</w:t>
            </w:r>
            <w:bookmarkStart w:id="1447" w:name="OLE_LINK58"/>
            <w:r>
              <w:rPr>
                <w:rFonts w:hint="eastAsia" w:ascii="Times New Roman" w:hAnsi="Times New Roman" w:eastAsia="宋体" w:cs="Times New Roman"/>
                <w:i w:val="0"/>
                <w:iCs w:val="0"/>
                <w:snapToGrid w:val="0"/>
                <w:color w:val="auto"/>
                <w:kern w:val="0"/>
                <w:sz w:val="18"/>
                <w:szCs w:val="18"/>
                <w:highlight w:val="none"/>
                <w:u w:val="none"/>
                <w:lang w:val="en-US" w:eastAsia="zh-CN" w:bidi="ar"/>
              </w:rPr>
              <w:t>3</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bookmarkEnd w:id="1447"/>
          </w:p>
        </w:tc>
        <w:tc>
          <w:tcPr>
            <w:tcW w:w="134" w:type="pct"/>
            <w:tcBorders>
              <w:tl2br w:val="nil"/>
              <w:tr2bl w:val="nil"/>
            </w:tcBorders>
            <w:shd w:val="clear" w:color="auto" w:fill="auto"/>
            <w:vAlign w:val="center"/>
          </w:tcPr>
          <w:p w14:paraId="42C335A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6</w:t>
            </w:r>
          </w:p>
        </w:tc>
        <w:tc>
          <w:tcPr>
            <w:tcW w:w="140" w:type="pct"/>
            <w:tcBorders>
              <w:tl2br w:val="nil"/>
              <w:tr2bl w:val="nil"/>
            </w:tcBorders>
            <w:shd w:val="clear" w:color="auto" w:fill="auto"/>
            <w:vAlign w:val="center"/>
          </w:tcPr>
          <w:p w14:paraId="1005EE6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1.42 </w:t>
            </w:r>
          </w:p>
        </w:tc>
        <w:tc>
          <w:tcPr>
            <w:tcW w:w="180" w:type="pct"/>
            <w:tcBorders>
              <w:tl2br w:val="nil"/>
              <w:tr2bl w:val="nil"/>
            </w:tcBorders>
            <w:shd w:val="clear" w:color="auto" w:fill="auto"/>
            <w:vAlign w:val="center"/>
          </w:tcPr>
          <w:p w14:paraId="7396D00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0.385 </w:t>
            </w:r>
          </w:p>
        </w:tc>
        <w:tc>
          <w:tcPr>
            <w:tcW w:w="228" w:type="pct"/>
            <w:tcBorders>
              <w:tl2br w:val="nil"/>
              <w:tr2bl w:val="nil"/>
            </w:tcBorders>
            <w:shd w:val="clear" w:color="auto" w:fill="auto"/>
            <w:vAlign w:val="center"/>
          </w:tcPr>
          <w:p w14:paraId="3B31175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0.07 </w:t>
            </w:r>
          </w:p>
        </w:tc>
        <w:tc>
          <w:tcPr>
            <w:tcW w:w="140" w:type="pct"/>
            <w:tcBorders>
              <w:tl2br w:val="nil"/>
              <w:tr2bl w:val="nil"/>
            </w:tcBorders>
            <w:shd w:val="clear" w:color="auto" w:fill="auto"/>
            <w:vAlign w:val="center"/>
          </w:tcPr>
          <w:p w14:paraId="3769BC3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3</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40" w:type="pct"/>
            <w:tcBorders>
              <w:tl2br w:val="nil"/>
              <w:tr2bl w:val="nil"/>
            </w:tcBorders>
            <w:shd w:val="clear" w:color="auto" w:fill="auto"/>
            <w:vAlign w:val="center"/>
          </w:tcPr>
          <w:p w14:paraId="16559BF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ND</w:t>
            </w:r>
          </w:p>
        </w:tc>
        <w:tc>
          <w:tcPr>
            <w:tcW w:w="299" w:type="pct"/>
            <w:tcBorders>
              <w:tl2br w:val="nil"/>
              <w:tr2bl w:val="nil"/>
            </w:tcBorders>
            <w:shd w:val="clear" w:color="auto" w:fill="auto"/>
            <w:vAlign w:val="center"/>
          </w:tcPr>
          <w:p w14:paraId="4F03541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0.000805 </w:t>
            </w:r>
          </w:p>
        </w:tc>
        <w:tc>
          <w:tcPr>
            <w:tcW w:w="172" w:type="pct"/>
            <w:tcBorders>
              <w:tl2br w:val="nil"/>
              <w:tr2bl w:val="nil"/>
            </w:tcBorders>
            <w:shd w:val="clear" w:color="auto" w:fill="auto"/>
            <w:vAlign w:val="center"/>
          </w:tcPr>
          <w:p w14:paraId="229E690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655BA18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80" w:type="pct"/>
            <w:tcBorders>
              <w:tl2br w:val="nil"/>
              <w:tr2bl w:val="nil"/>
            </w:tcBorders>
            <w:shd w:val="clear" w:color="auto" w:fill="auto"/>
            <w:vAlign w:val="center"/>
          </w:tcPr>
          <w:p w14:paraId="779069A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0.010 </w:t>
            </w:r>
          </w:p>
        </w:tc>
        <w:tc>
          <w:tcPr>
            <w:tcW w:w="180" w:type="pct"/>
            <w:tcBorders>
              <w:tl2br w:val="nil"/>
              <w:tr2bl w:val="nil"/>
            </w:tcBorders>
            <w:shd w:val="clear" w:color="auto" w:fill="auto"/>
            <w:vAlign w:val="center"/>
          </w:tcPr>
          <w:p w14:paraId="653BC1A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72" w:type="pct"/>
            <w:tcBorders>
              <w:tl2br w:val="nil"/>
              <w:tr2bl w:val="nil"/>
            </w:tcBorders>
            <w:shd w:val="clear" w:color="auto" w:fill="auto"/>
            <w:vAlign w:val="center"/>
          </w:tcPr>
          <w:p w14:paraId="2BA3CA3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4DBE08A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258" w:type="pct"/>
            <w:tcBorders>
              <w:tl2br w:val="nil"/>
              <w:tr2bl w:val="nil"/>
            </w:tcBorders>
            <w:shd w:val="clear" w:color="auto" w:fill="auto"/>
            <w:vAlign w:val="center"/>
          </w:tcPr>
          <w:p w14:paraId="38604923">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07</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507CDB2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219" w:type="pct"/>
            <w:tcBorders>
              <w:tl2br w:val="nil"/>
              <w:tr2bl w:val="nil"/>
            </w:tcBorders>
            <w:shd w:val="clear" w:color="auto" w:fill="auto"/>
            <w:vAlign w:val="center"/>
          </w:tcPr>
          <w:p w14:paraId="0980C17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0.0014 </w:t>
            </w:r>
          </w:p>
        </w:tc>
        <w:tc>
          <w:tcPr>
            <w:tcW w:w="134" w:type="pct"/>
            <w:tcBorders>
              <w:tl2br w:val="nil"/>
              <w:tr2bl w:val="nil"/>
            </w:tcBorders>
            <w:shd w:val="clear" w:color="auto" w:fill="auto"/>
            <w:vAlign w:val="center"/>
          </w:tcPr>
          <w:p w14:paraId="244DDF2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730023D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14</w:t>
            </w:r>
          </w:p>
        </w:tc>
        <w:tc>
          <w:tcPr>
            <w:tcW w:w="210" w:type="pct"/>
            <w:tcBorders>
              <w:tl2br w:val="nil"/>
              <w:tr2bl w:val="nil"/>
            </w:tcBorders>
            <w:shd w:val="clear" w:color="auto" w:fill="auto"/>
            <w:vAlign w:val="center"/>
          </w:tcPr>
          <w:p w14:paraId="13631ED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72" w:type="pct"/>
            <w:tcBorders>
              <w:tl2br w:val="nil"/>
              <w:tr2bl w:val="nil"/>
            </w:tcBorders>
            <w:shd w:val="clear" w:color="auto" w:fill="auto"/>
            <w:vAlign w:val="center"/>
          </w:tcPr>
          <w:p w14:paraId="6FBE60D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23AB3AB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2.2</w:t>
            </w:r>
          </w:p>
        </w:tc>
        <w:tc>
          <w:tcPr>
            <w:tcW w:w="135" w:type="pct"/>
            <w:tcBorders>
              <w:tl2br w:val="nil"/>
              <w:tr2bl w:val="nil"/>
            </w:tcBorders>
            <w:shd w:val="clear" w:color="auto" w:fill="auto"/>
            <w:vAlign w:val="center"/>
          </w:tcPr>
          <w:p w14:paraId="43C7390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0.35</w:t>
            </w:r>
          </w:p>
        </w:tc>
        <w:tc>
          <w:tcPr>
            <w:tcW w:w="133" w:type="pct"/>
            <w:tcBorders>
              <w:tl2br w:val="nil"/>
              <w:tr2bl w:val="nil"/>
            </w:tcBorders>
            <w:shd w:val="clear" w:color="auto" w:fill="auto"/>
            <w:vAlign w:val="center"/>
          </w:tcPr>
          <w:p w14:paraId="317020E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41"/>
      <w:tr w14:paraId="7DB4D797">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6E42EA5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bookmarkStart w:id="1448" w:name="OLE_LINK73" w:colFirst="5" w:colLast="5"/>
          </w:p>
        </w:tc>
        <w:tc>
          <w:tcPr>
            <w:tcW w:w="216" w:type="pct"/>
            <w:tcBorders>
              <w:tl2br w:val="nil"/>
              <w:tr2bl w:val="nil"/>
            </w:tcBorders>
            <w:shd w:val="clear" w:color="auto" w:fill="auto"/>
            <w:vAlign w:val="center"/>
          </w:tcPr>
          <w:p w14:paraId="79ED3C5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平均浓度</w:t>
            </w:r>
          </w:p>
        </w:tc>
        <w:tc>
          <w:tcPr>
            <w:tcW w:w="159" w:type="pct"/>
            <w:tcBorders>
              <w:tl2br w:val="nil"/>
              <w:tr2bl w:val="nil"/>
            </w:tcBorders>
            <w:shd w:val="clear" w:color="auto" w:fill="auto"/>
            <w:vAlign w:val="center"/>
          </w:tcPr>
          <w:p w14:paraId="5EAF63B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28.2</w:t>
            </w:r>
          </w:p>
        </w:tc>
        <w:tc>
          <w:tcPr>
            <w:tcW w:w="157" w:type="pct"/>
            <w:tcBorders>
              <w:tl2br w:val="nil"/>
              <w:tr2bl w:val="nil"/>
            </w:tcBorders>
            <w:shd w:val="clear" w:color="auto" w:fill="auto"/>
            <w:vAlign w:val="center"/>
          </w:tcPr>
          <w:p w14:paraId="4A6C8B8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7.7</w:t>
            </w:r>
          </w:p>
        </w:tc>
        <w:tc>
          <w:tcPr>
            <w:tcW w:w="159" w:type="pct"/>
            <w:tcBorders>
              <w:tl2br w:val="nil"/>
              <w:tr2bl w:val="nil"/>
            </w:tcBorders>
            <w:shd w:val="clear" w:color="auto" w:fill="auto"/>
            <w:vAlign w:val="center"/>
          </w:tcPr>
          <w:p w14:paraId="19B2075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5.7</w:t>
            </w:r>
          </w:p>
        </w:tc>
        <w:tc>
          <w:tcPr>
            <w:tcW w:w="145" w:type="pct"/>
            <w:tcBorders>
              <w:tl2br w:val="nil"/>
              <w:tr2bl w:val="nil"/>
            </w:tcBorders>
            <w:shd w:val="clear" w:color="auto" w:fill="auto"/>
            <w:vAlign w:val="center"/>
          </w:tcPr>
          <w:p w14:paraId="5D81DE2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1.</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6</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shd w:val="clear" w:color="auto" w:fill="auto"/>
            <w:vAlign w:val="center"/>
          </w:tcPr>
          <w:p w14:paraId="1E00B2B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w:t>
            </w:r>
          </w:p>
        </w:tc>
        <w:tc>
          <w:tcPr>
            <w:tcW w:w="140" w:type="pct"/>
            <w:tcBorders>
              <w:tl2br w:val="nil"/>
              <w:tr2bl w:val="nil"/>
            </w:tcBorders>
            <w:shd w:val="clear" w:color="auto" w:fill="auto"/>
            <w:vAlign w:val="center"/>
          </w:tcPr>
          <w:p w14:paraId="2EB6D6E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1.46 </w:t>
            </w:r>
          </w:p>
        </w:tc>
        <w:tc>
          <w:tcPr>
            <w:tcW w:w="180" w:type="pct"/>
            <w:tcBorders>
              <w:tl2br w:val="nil"/>
              <w:tr2bl w:val="nil"/>
            </w:tcBorders>
            <w:shd w:val="clear" w:color="auto" w:fill="auto"/>
            <w:vAlign w:val="center"/>
          </w:tcPr>
          <w:p w14:paraId="7ABD756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0.401 </w:t>
            </w:r>
          </w:p>
        </w:tc>
        <w:tc>
          <w:tcPr>
            <w:tcW w:w="228" w:type="pct"/>
            <w:tcBorders>
              <w:tl2br w:val="nil"/>
              <w:tr2bl w:val="nil"/>
            </w:tcBorders>
            <w:shd w:val="clear" w:color="auto" w:fill="auto"/>
            <w:vAlign w:val="center"/>
          </w:tcPr>
          <w:p w14:paraId="4CFBDEE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0.08 </w:t>
            </w:r>
          </w:p>
        </w:tc>
        <w:tc>
          <w:tcPr>
            <w:tcW w:w="140" w:type="pct"/>
            <w:tcBorders>
              <w:tl2br w:val="nil"/>
              <w:tr2bl w:val="nil"/>
            </w:tcBorders>
            <w:shd w:val="clear" w:color="auto" w:fill="auto"/>
            <w:vAlign w:val="center"/>
          </w:tcPr>
          <w:p w14:paraId="548FA363">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4</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40" w:type="pct"/>
            <w:tcBorders>
              <w:tl2br w:val="nil"/>
              <w:tr2bl w:val="nil"/>
            </w:tcBorders>
            <w:shd w:val="clear" w:color="auto" w:fill="auto"/>
            <w:vAlign w:val="center"/>
          </w:tcPr>
          <w:p w14:paraId="52BED84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w:t>
            </w:r>
          </w:p>
        </w:tc>
        <w:tc>
          <w:tcPr>
            <w:tcW w:w="299" w:type="pct"/>
            <w:tcBorders>
              <w:tl2br w:val="nil"/>
              <w:tr2bl w:val="nil"/>
            </w:tcBorders>
            <w:shd w:val="clear" w:color="auto" w:fill="auto"/>
            <w:vAlign w:val="center"/>
          </w:tcPr>
          <w:p w14:paraId="1DE4ADB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0.000868 </w:t>
            </w:r>
          </w:p>
        </w:tc>
        <w:tc>
          <w:tcPr>
            <w:tcW w:w="172" w:type="pct"/>
            <w:tcBorders>
              <w:tl2br w:val="nil"/>
              <w:tr2bl w:val="nil"/>
            </w:tcBorders>
            <w:shd w:val="clear" w:color="auto" w:fill="auto"/>
            <w:vAlign w:val="center"/>
          </w:tcPr>
          <w:p w14:paraId="4BA8363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39C65E1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80" w:type="pct"/>
            <w:tcBorders>
              <w:tl2br w:val="nil"/>
              <w:tr2bl w:val="nil"/>
            </w:tcBorders>
            <w:shd w:val="clear" w:color="auto" w:fill="auto"/>
            <w:vAlign w:val="center"/>
          </w:tcPr>
          <w:p w14:paraId="3E64C8F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0.011 </w:t>
            </w:r>
          </w:p>
        </w:tc>
        <w:tc>
          <w:tcPr>
            <w:tcW w:w="180" w:type="pct"/>
            <w:tcBorders>
              <w:tl2br w:val="nil"/>
              <w:tr2bl w:val="nil"/>
            </w:tcBorders>
            <w:shd w:val="clear" w:color="auto" w:fill="auto"/>
            <w:vAlign w:val="center"/>
          </w:tcPr>
          <w:p w14:paraId="1D96D87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72" w:type="pct"/>
            <w:tcBorders>
              <w:tl2br w:val="nil"/>
              <w:tr2bl w:val="nil"/>
            </w:tcBorders>
            <w:shd w:val="clear" w:color="auto" w:fill="auto"/>
            <w:vAlign w:val="center"/>
          </w:tcPr>
          <w:p w14:paraId="4006A17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2AFBE3A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258" w:type="pct"/>
            <w:tcBorders>
              <w:tl2br w:val="nil"/>
              <w:tr2bl w:val="nil"/>
            </w:tcBorders>
            <w:shd w:val="clear" w:color="auto" w:fill="auto"/>
            <w:vAlign w:val="center"/>
          </w:tcPr>
          <w:p w14:paraId="1836A4B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08</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618D47F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219" w:type="pct"/>
            <w:tcBorders>
              <w:tl2br w:val="nil"/>
              <w:tr2bl w:val="nil"/>
            </w:tcBorders>
            <w:shd w:val="clear" w:color="auto" w:fill="auto"/>
            <w:vAlign w:val="center"/>
          </w:tcPr>
          <w:p w14:paraId="318D2EE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0.0015</w:t>
            </w:r>
          </w:p>
        </w:tc>
        <w:tc>
          <w:tcPr>
            <w:tcW w:w="134" w:type="pct"/>
            <w:tcBorders>
              <w:tl2br w:val="nil"/>
              <w:tr2bl w:val="nil"/>
            </w:tcBorders>
            <w:shd w:val="clear" w:color="auto" w:fill="auto"/>
            <w:vAlign w:val="center"/>
          </w:tcPr>
          <w:p w14:paraId="40A48C5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672A6C1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15</w:t>
            </w:r>
          </w:p>
        </w:tc>
        <w:tc>
          <w:tcPr>
            <w:tcW w:w="210" w:type="pct"/>
            <w:tcBorders>
              <w:tl2br w:val="nil"/>
              <w:tr2bl w:val="nil"/>
            </w:tcBorders>
            <w:shd w:val="clear" w:color="auto" w:fill="auto"/>
            <w:vAlign w:val="center"/>
          </w:tcPr>
          <w:p w14:paraId="0019070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snapToGrid w:val="0"/>
                <w:color w:val="auto"/>
                <w:kern w:val="0"/>
                <w:sz w:val="18"/>
                <w:szCs w:val="18"/>
                <w:lang w:val="en-US" w:eastAsia="zh-CN" w:bidi="ar-SA"/>
              </w:rPr>
              <w:t>ND</w:t>
            </w:r>
          </w:p>
        </w:tc>
        <w:tc>
          <w:tcPr>
            <w:tcW w:w="172" w:type="pct"/>
            <w:tcBorders>
              <w:tl2br w:val="nil"/>
              <w:tr2bl w:val="nil"/>
            </w:tcBorders>
            <w:shd w:val="clear" w:color="auto" w:fill="auto"/>
            <w:vAlign w:val="center"/>
          </w:tcPr>
          <w:p w14:paraId="703961A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5BF4011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2.3</w:t>
            </w:r>
          </w:p>
        </w:tc>
        <w:tc>
          <w:tcPr>
            <w:tcW w:w="135" w:type="pct"/>
            <w:tcBorders>
              <w:tl2br w:val="nil"/>
              <w:tr2bl w:val="nil"/>
            </w:tcBorders>
            <w:shd w:val="clear" w:color="auto" w:fill="auto"/>
            <w:vAlign w:val="center"/>
          </w:tcPr>
          <w:p w14:paraId="6787460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0.38</w:t>
            </w:r>
          </w:p>
        </w:tc>
        <w:tc>
          <w:tcPr>
            <w:tcW w:w="133" w:type="pct"/>
            <w:tcBorders>
              <w:tl2br w:val="nil"/>
              <w:tr2bl w:val="nil"/>
            </w:tcBorders>
            <w:shd w:val="clear" w:color="auto" w:fill="auto"/>
            <w:vAlign w:val="center"/>
          </w:tcPr>
          <w:p w14:paraId="75B1A68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42"/>
      <w:bookmarkEnd w:id="1443"/>
      <w:bookmarkEnd w:id="1444"/>
      <w:tr w14:paraId="5EF44E9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638F95E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bookmarkStart w:id="1449" w:name="OLE_LINK491" w:colFirst="2" w:colLast="28"/>
            <w:bookmarkStart w:id="1450" w:name="OLE_LINK493" w:colFirst="7" w:colLast="7"/>
            <w:bookmarkStart w:id="1451" w:name="OLE_LINK494" w:colFirst="23" w:colLast="23"/>
          </w:p>
        </w:tc>
        <w:tc>
          <w:tcPr>
            <w:tcW w:w="216" w:type="pct"/>
            <w:tcBorders>
              <w:tl2br w:val="nil"/>
              <w:tr2bl w:val="nil"/>
            </w:tcBorders>
            <w:shd w:val="clear" w:color="auto" w:fill="auto"/>
            <w:vAlign w:val="center"/>
          </w:tcPr>
          <w:p w14:paraId="2FBE305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最大单因子指数</w:t>
            </w:r>
          </w:p>
        </w:tc>
        <w:tc>
          <w:tcPr>
            <w:tcW w:w="159" w:type="pct"/>
            <w:tcBorders>
              <w:tl2br w:val="nil"/>
              <w:tr2bl w:val="nil"/>
            </w:tcBorders>
            <w:shd w:val="clear" w:color="auto" w:fill="auto"/>
            <w:vAlign w:val="center"/>
          </w:tcPr>
          <w:p w14:paraId="4C0E3584">
            <w:pPr>
              <w:jc w:val="center"/>
              <w:rPr>
                <w:rFonts w:hint="eastAsia"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shd w:val="clear" w:color="auto" w:fill="auto"/>
            <w:vAlign w:val="center"/>
          </w:tcPr>
          <w:p w14:paraId="286EDCE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0.4</w:t>
            </w:r>
          </w:p>
        </w:tc>
        <w:tc>
          <w:tcPr>
            <w:tcW w:w="159" w:type="pct"/>
            <w:tcBorders>
              <w:tl2br w:val="nil"/>
              <w:tr2bl w:val="nil"/>
            </w:tcBorders>
            <w:shd w:val="clear" w:color="auto" w:fill="auto"/>
            <w:vAlign w:val="center"/>
          </w:tcPr>
          <w:p w14:paraId="788014D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0.72 </w:t>
            </w:r>
          </w:p>
        </w:tc>
        <w:tc>
          <w:tcPr>
            <w:tcW w:w="145" w:type="pct"/>
            <w:tcBorders>
              <w:tl2br w:val="nil"/>
              <w:tr2bl w:val="nil"/>
            </w:tcBorders>
            <w:shd w:val="clear" w:color="auto" w:fill="auto"/>
            <w:vAlign w:val="center"/>
          </w:tcPr>
          <w:p w14:paraId="4FD6207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53</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shd w:val="clear" w:color="auto" w:fill="auto"/>
            <w:vAlign w:val="center"/>
          </w:tcPr>
          <w:p w14:paraId="3965167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40" w:type="pct"/>
            <w:tcBorders>
              <w:tl2br w:val="nil"/>
              <w:tr2bl w:val="nil"/>
            </w:tcBorders>
            <w:shd w:val="clear" w:color="auto" w:fill="auto"/>
            <w:vAlign w:val="center"/>
          </w:tcPr>
          <w:p w14:paraId="3F9F478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bookmarkStart w:id="1452" w:name="OLE_LINK497"/>
            <w:r>
              <w:rPr>
                <w:rFonts w:hint="eastAsia" w:ascii="Times New Roman" w:hAnsi="Times New Roman" w:eastAsia="宋体" w:cs="Times New Roman"/>
                <w:color w:val="auto"/>
                <w:sz w:val="18"/>
                <w:szCs w:val="18"/>
                <w:lang w:val="en-US" w:eastAsia="zh-CN"/>
              </w:rPr>
              <w:t>/</w:t>
            </w:r>
            <w:bookmarkEnd w:id="1452"/>
          </w:p>
        </w:tc>
        <w:tc>
          <w:tcPr>
            <w:tcW w:w="180" w:type="pct"/>
            <w:tcBorders>
              <w:tl2br w:val="nil"/>
              <w:tr2bl w:val="nil"/>
            </w:tcBorders>
            <w:shd w:val="clear" w:color="auto" w:fill="auto"/>
            <w:vAlign w:val="center"/>
          </w:tcPr>
          <w:p w14:paraId="3413583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0.42 </w:t>
            </w:r>
          </w:p>
        </w:tc>
        <w:tc>
          <w:tcPr>
            <w:tcW w:w="228" w:type="pct"/>
            <w:tcBorders>
              <w:tl2br w:val="nil"/>
              <w:tr2bl w:val="nil"/>
            </w:tcBorders>
            <w:shd w:val="clear" w:color="auto" w:fill="auto"/>
            <w:vAlign w:val="center"/>
          </w:tcPr>
          <w:p w14:paraId="6B7641F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0.45 </w:t>
            </w:r>
          </w:p>
        </w:tc>
        <w:tc>
          <w:tcPr>
            <w:tcW w:w="140" w:type="pct"/>
            <w:tcBorders>
              <w:tl2br w:val="nil"/>
              <w:tr2bl w:val="nil"/>
            </w:tcBorders>
            <w:shd w:val="clear" w:color="auto" w:fill="auto"/>
            <w:vAlign w:val="center"/>
          </w:tcPr>
          <w:p w14:paraId="337DBA9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i w:val="0"/>
                <w:iCs w:val="0"/>
                <w:snapToGrid w:val="0"/>
                <w:color w:val="auto"/>
                <w:kern w:val="0"/>
                <w:sz w:val="18"/>
                <w:szCs w:val="18"/>
                <w:highlight w:val="none"/>
                <w:u w:val="none"/>
                <w:lang w:val="en-US" w:eastAsia="zh-CN" w:bidi="ar"/>
              </w:rPr>
              <w:t>0.8</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 </w:t>
            </w:r>
          </w:p>
        </w:tc>
        <w:tc>
          <w:tcPr>
            <w:tcW w:w="140" w:type="pct"/>
            <w:tcBorders>
              <w:tl2br w:val="nil"/>
              <w:tr2bl w:val="nil"/>
            </w:tcBorders>
            <w:shd w:val="clear" w:color="auto" w:fill="auto"/>
            <w:vAlign w:val="center"/>
          </w:tcPr>
          <w:p w14:paraId="726FE29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0.10 </w:t>
            </w:r>
          </w:p>
        </w:tc>
        <w:tc>
          <w:tcPr>
            <w:tcW w:w="299" w:type="pct"/>
            <w:tcBorders>
              <w:tl2br w:val="nil"/>
              <w:tr2bl w:val="nil"/>
            </w:tcBorders>
            <w:shd w:val="clear" w:color="auto" w:fill="auto"/>
            <w:vAlign w:val="center"/>
          </w:tcPr>
          <w:p w14:paraId="7C236B3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0.19 </w:t>
            </w:r>
          </w:p>
        </w:tc>
        <w:tc>
          <w:tcPr>
            <w:tcW w:w="172" w:type="pct"/>
            <w:tcBorders>
              <w:tl2br w:val="nil"/>
              <w:tr2bl w:val="nil"/>
            </w:tcBorders>
            <w:shd w:val="clear" w:color="auto" w:fill="auto"/>
            <w:vAlign w:val="center"/>
          </w:tcPr>
          <w:p w14:paraId="1568AF7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34" w:type="pct"/>
            <w:tcBorders>
              <w:tl2br w:val="nil"/>
              <w:tr2bl w:val="nil"/>
            </w:tcBorders>
            <w:shd w:val="clear" w:color="auto" w:fill="auto"/>
            <w:vAlign w:val="center"/>
          </w:tcPr>
          <w:p w14:paraId="537E369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0.30 </w:t>
            </w:r>
          </w:p>
        </w:tc>
        <w:tc>
          <w:tcPr>
            <w:tcW w:w="180" w:type="pct"/>
            <w:tcBorders>
              <w:tl2br w:val="nil"/>
              <w:tr2bl w:val="nil"/>
            </w:tcBorders>
            <w:shd w:val="clear" w:color="auto" w:fill="auto"/>
            <w:vAlign w:val="center"/>
          </w:tcPr>
          <w:p w14:paraId="6FA9558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180" w:type="pct"/>
            <w:tcBorders>
              <w:tl2br w:val="nil"/>
              <w:tr2bl w:val="nil"/>
            </w:tcBorders>
            <w:shd w:val="clear" w:color="auto" w:fill="auto"/>
            <w:vAlign w:val="center"/>
          </w:tcPr>
          <w:p w14:paraId="297E473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72" w:type="pct"/>
            <w:tcBorders>
              <w:tl2br w:val="nil"/>
              <w:tr2bl w:val="nil"/>
            </w:tcBorders>
            <w:shd w:val="clear" w:color="auto" w:fill="auto"/>
            <w:vAlign w:val="center"/>
          </w:tcPr>
          <w:p w14:paraId="4D92A60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34" w:type="pct"/>
            <w:tcBorders>
              <w:tl2br w:val="nil"/>
              <w:tr2bl w:val="nil"/>
            </w:tcBorders>
            <w:shd w:val="clear" w:color="auto" w:fill="auto"/>
            <w:vAlign w:val="center"/>
          </w:tcPr>
          <w:p w14:paraId="50FF8C0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0.70 </w:t>
            </w:r>
          </w:p>
        </w:tc>
        <w:tc>
          <w:tcPr>
            <w:tcW w:w="258" w:type="pct"/>
            <w:tcBorders>
              <w:tl2br w:val="nil"/>
              <w:tr2bl w:val="nil"/>
            </w:tcBorders>
            <w:shd w:val="clear" w:color="auto" w:fill="auto"/>
            <w:vAlign w:val="center"/>
          </w:tcPr>
          <w:p w14:paraId="75D6129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i w:val="0"/>
                <w:iCs w:val="0"/>
                <w:snapToGrid w:val="0"/>
                <w:color w:val="auto"/>
                <w:kern w:val="0"/>
                <w:sz w:val="18"/>
                <w:szCs w:val="18"/>
                <w:highlight w:val="none"/>
                <w:u w:val="none"/>
                <w:lang w:val="en-US" w:eastAsia="zh-CN" w:bidi="ar"/>
              </w:rPr>
              <w:t>0.9</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14F39EC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219" w:type="pct"/>
            <w:tcBorders>
              <w:tl2br w:val="nil"/>
              <w:tr2bl w:val="nil"/>
            </w:tcBorders>
            <w:shd w:val="clear" w:color="auto" w:fill="auto"/>
            <w:vAlign w:val="center"/>
          </w:tcPr>
          <w:p w14:paraId="554438F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34" w:type="pct"/>
            <w:tcBorders>
              <w:tl2br w:val="nil"/>
              <w:tr2bl w:val="nil"/>
            </w:tcBorders>
            <w:shd w:val="clear" w:color="auto" w:fill="auto"/>
            <w:vAlign w:val="center"/>
          </w:tcPr>
          <w:p w14:paraId="6847657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34" w:type="pct"/>
            <w:tcBorders>
              <w:tl2br w:val="nil"/>
              <w:tr2bl w:val="nil"/>
            </w:tcBorders>
            <w:shd w:val="clear" w:color="auto" w:fill="auto"/>
            <w:vAlign w:val="center"/>
          </w:tcPr>
          <w:p w14:paraId="6E8050F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24FE3AB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72" w:type="pct"/>
            <w:tcBorders>
              <w:tl2br w:val="nil"/>
              <w:tr2bl w:val="nil"/>
            </w:tcBorders>
            <w:shd w:val="clear" w:color="auto" w:fill="auto"/>
            <w:vAlign w:val="center"/>
          </w:tcPr>
          <w:p w14:paraId="1F1CDF0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72" w:type="pct"/>
            <w:tcBorders>
              <w:tl2br w:val="nil"/>
              <w:tr2bl w:val="nil"/>
            </w:tcBorders>
            <w:shd w:val="clear" w:color="auto" w:fill="auto"/>
            <w:vAlign w:val="center"/>
          </w:tcPr>
          <w:p w14:paraId="14C2929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0.40 </w:t>
            </w:r>
          </w:p>
        </w:tc>
        <w:tc>
          <w:tcPr>
            <w:tcW w:w="135" w:type="pct"/>
            <w:tcBorders>
              <w:tl2br w:val="nil"/>
              <w:tr2bl w:val="nil"/>
            </w:tcBorders>
            <w:shd w:val="clear" w:color="auto" w:fill="auto"/>
            <w:vAlign w:val="center"/>
          </w:tcPr>
          <w:p w14:paraId="277CC51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0.41 </w:t>
            </w:r>
          </w:p>
        </w:tc>
        <w:tc>
          <w:tcPr>
            <w:tcW w:w="133" w:type="pct"/>
            <w:tcBorders>
              <w:tl2br w:val="nil"/>
              <w:tr2bl w:val="nil"/>
            </w:tcBorders>
            <w:shd w:val="clear" w:color="auto" w:fill="auto"/>
            <w:vAlign w:val="center"/>
          </w:tcPr>
          <w:p w14:paraId="5505B25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0.13 </w:t>
            </w:r>
          </w:p>
        </w:tc>
      </w:tr>
      <w:bookmarkEnd w:id="1445"/>
      <w:bookmarkEnd w:id="1448"/>
      <w:bookmarkEnd w:id="1449"/>
      <w:tr w14:paraId="60694E4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71A4CF6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shd w:val="clear" w:color="auto" w:fill="auto"/>
            <w:vAlign w:val="center"/>
          </w:tcPr>
          <w:p w14:paraId="54DDC54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超标率（%）</w:t>
            </w:r>
          </w:p>
        </w:tc>
        <w:tc>
          <w:tcPr>
            <w:tcW w:w="159" w:type="pct"/>
            <w:tcBorders>
              <w:tl2br w:val="nil"/>
              <w:tr2bl w:val="nil"/>
            </w:tcBorders>
            <w:shd w:val="clear" w:color="auto" w:fill="auto"/>
            <w:vAlign w:val="center"/>
          </w:tcPr>
          <w:p w14:paraId="7A4782F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453" w:name="OLE_LINK492"/>
            <w:r>
              <w:rPr>
                <w:rFonts w:hint="eastAsia" w:ascii="Times New Roman" w:hAnsi="Times New Roman" w:eastAsia="宋体" w:cs="Times New Roman"/>
                <w:color w:val="auto"/>
                <w:sz w:val="18"/>
                <w:szCs w:val="18"/>
                <w:lang w:val="en-US" w:eastAsia="zh-CN"/>
              </w:rPr>
              <w:t>/</w:t>
            </w:r>
            <w:bookmarkEnd w:id="1453"/>
          </w:p>
        </w:tc>
        <w:tc>
          <w:tcPr>
            <w:tcW w:w="157" w:type="pct"/>
            <w:tcBorders>
              <w:tl2br w:val="nil"/>
              <w:tr2bl w:val="nil"/>
            </w:tcBorders>
            <w:shd w:val="clear" w:color="auto" w:fill="auto"/>
            <w:vAlign w:val="center"/>
          </w:tcPr>
          <w:p w14:paraId="352F931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59" w:type="pct"/>
            <w:tcBorders>
              <w:tl2br w:val="nil"/>
              <w:tr2bl w:val="nil"/>
            </w:tcBorders>
            <w:shd w:val="clear" w:color="auto" w:fill="auto"/>
            <w:vAlign w:val="center"/>
          </w:tcPr>
          <w:p w14:paraId="2025E37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5" w:type="pct"/>
            <w:tcBorders>
              <w:tl2br w:val="nil"/>
              <w:tr2bl w:val="nil"/>
            </w:tcBorders>
            <w:shd w:val="clear" w:color="auto" w:fill="auto"/>
            <w:vAlign w:val="center"/>
          </w:tcPr>
          <w:p w14:paraId="4C40ABA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34" w:type="pct"/>
            <w:tcBorders>
              <w:tl2br w:val="nil"/>
              <w:tr2bl w:val="nil"/>
            </w:tcBorders>
            <w:shd w:val="clear" w:color="auto" w:fill="auto"/>
            <w:vAlign w:val="center"/>
          </w:tcPr>
          <w:p w14:paraId="431D3B5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0" w:type="pct"/>
            <w:tcBorders>
              <w:tl2br w:val="nil"/>
              <w:tr2bl w:val="nil"/>
            </w:tcBorders>
            <w:shd w:val="clear" w:color="auto" w:fill="auto"/>
            <w:vAlign w:val="center"/>
          </w:tcPr>
          <w:p w14:paraId="3DC7B08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353FF08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28" w:type="pct"/>
            <w:tcBorders>
              <w:tl2br w:val="nil"/>
              <w:tr2bl w:val="nil"/>
            </w:tcBorders>
            <w:shd w:val="clear" w:color="auto" w:fill="auto"/>
            <w:vAlign w:val="center"/>
          </w:tcPr>
          <w:p w14:paraId="47D2A15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48AB011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454" w:name="OLE_LINK866"/>
            <w:r>
              <w:rPr>
                <w:rFonts w:hint="eastAsia" w:ascii="Times New Roman" w:hAnsi="Times New Roman" w:eastAsia="宋体" w:cs="Times New Roman"/>
                <w:color w:val="auto"/>
                <w:sz w:val="18"/>
                <w:szCs w:val="18"/>
                <w:highlight w:val="none"/>
                <w:lang w:val="en-US" w:eastAsia="zh-CN"/>
              </w:rPr>
              <w:t>0</w:t>
            </w:r>
            <w:bookmarkEnd w:id="1454"/>
          </w:p>
        </w:tc>
        <w:tc>
          <w:tcPr>
            <w:tcW w:w="140" w:type="pct"/>
            <w:tcBorders>
              <w:tl2br w:val="nil"/>
              <w:tr2bl w:val="nil"/>
            </w:tcBorders>
            <w:shd w:val="clear" w:color="auto" w:fill="auto"/>
            <w:vAlign w:val="center"/>
          </w:tcPr>
          <w:p w14:paraId="3F724C7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99" w:type="pct"/>
            <w:tcBorders>
              <w:tl2br w:val="nil"/>
              <w:tr2bl w:val="nil"/>
            </w:tcBorders>
            <w:shd w:val="clear" w:color="auto" w:fill="auto"/>
            <w:vAlign w:val="center"/>
          </w:tcPr>
          <w:p w14:paraId="5D15C61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07DB32B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029CF55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6EB6DCF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4EFD9E2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1D3B89C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333E8B5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58" w:type="pct"/>
            <w:tcBorders>
              <w:tl2br w:val="nil"/>
              <w:tr2bl w:val="nil"/>
            </w:tcBorders>
            <w:shd w:val="clear" w:color="auto" w:fill="auto"/>
            <w:vAlign w:val="center"/>
          </w:tcPr>
          <w:p w14:paraId="3410E35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209" w:type="pct"/>
            <w:tcBorders>
              <w:tl2br w:val="nil"/>
              <w:tr2bl w:val="nil"/>
            </w:tcBorders>
            <w:shd w:val="clear" w:color="auto" w:fill="auto"/>
            <w:vAlign w:val="center"/>
          </w:tcPr>
          <w:p w14:paraId="702CD4E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19" w:type="pct"/>
            <w:tcBorders>
              <w:tl2br w:val="nil"/>
              <w:tr2bl w:val="nil"/>
            </w:tcBorders>
            <w:shd w:val="clear" w:color="auto" w:fill="auto"/>
            <w:vAlign w:val="center"/>
          </w:tcPr>
          <w:p w14:paraId="11DAD5E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4E29253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7426844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1F6FA80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5038F7B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2530E74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5" w:type="pct"/>
            <w:tcBorders>
              <w:tl2br w:val="nil"/>
              <w:tr2bl w:val="nil"/>
            </w:tcBorders>
            <w:shd w:val="clear" w:color="auto" w:fill="auto"/>
            <w:vAlign w:val="center"/>
          </w:tcPr>
          <w:p w14:paraId="02C6613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3" w:type="pct"/>
            <w:tcBorders>
              <w:tl2br w:val="nil"/>
              <w:tr2bl w:val="nil"/>
            </w:tcBorders>
            <w:shd w:val="clear" w:color="auto" w:fill="auto"/>
            <w:vAlign w:val="center"/>
          </w:tcPr>
          <w:p w14:paraId="027F4AD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r>
      <w:bookmarkEnd w:id="1450"/>
      <w:bookmarkEnd w:id="1451"/>
      <w:tr w14:paraId="6D984E3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98" w:hRule="atLeast"/>
        </w:trPr>
        <w:tc>
          <w:tcPr>
            <w:tcW w:w="355" w:type="pct"/>
            <w:gridSpan w:val="2"/>
            <w:tcBorders>
              <w:tl2br w:val="nil"/>
              <w:tr2bl w:val="nil"/>
            </w:tcBorders>
            <w:shd w:val="clear" w:color="auto" w:fill="auto"/>
            <w:vAlign w:val="center"/>
          </w:tcPr>
          <w:p w14:paraId="78893C8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color w:val="auto"/>
                <w:sz w:val="18"/>
                <w:szCs w:val="18"/>
                <w:lang w:val="en-US" w:eastAsia="zh-CN"/>
              </w:rPr>
              <w:t>Ⅲ类限值</w:t>
            </w:r>
          </w:p>
        </w:tc>
        <w:tc>
          <w:tcPr>
            <w:tcW w:w="159" w:type="pct"/>
            <w:tcBorders>
              <w:tl2br w:val="nil"/>
              <w:tr2bl w:val="nil"/>
            </w:tcBorders>
            <w:shd w:val="clear" w:color="auto" w:fill="auto"/>
            <w:vAlign w:val="center"/>
          </w:tcPr>
          <w:p w14:paraId="5210D0A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lang w:val="en-US" w:eastAsia="zh-CN"/>
              </w:rPr>
              <w:t>/</w:t>
            </w:r>
          </w:p>
        </w:tc>
        <w:tc>
          <w:tcPr>
            <w:tcW w:w="157" w:type="pct"/>
            <w:tcBorders>
              <w:tl2br w:val="nil"/>
              <w:tr2bl w:val="nil"/>
            </w:tcBorders>
            <w:shd w:val="clear" w:color="auto" w:fill="auto"/>
            <w:vAlign w:val="center"/>
          </w:tcPr>
          <w:p w14:paraId="2736421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6-9</w:t>
            </w:r>
          </w:p>
        </w:tc>
        <w:tc>
          <w:tcPr>
            <w:tcW w:w="159" w:type="pct"/>
            <w:tcBorders>
              <w:tl2br w:val="nil"/>
              <w:tr2bl w:val="nil"/>
            </w:tcBorders>
            <w:shd w:val="clear" w:color="auto" w:fill="auto"/>
            <w:vAlign w:val="center"/>
          </w:tcPr>
          <w:p w14:paraId="2F58B58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lang w:val="en-US" w:eastAsia="zh-CN"/>
              </w:rPr>
              <w:t>5</w:t>
            </w:r>
          </w:p>
        </w:tc>
        <w:tc>
          <w:tcPr>
            <w:tcW w:w="145" w:type="pct"/>
            <w:tcBorders>
              <w:tl2br w:val="nil"/>
              <w:tr2bl w:val="nil"/>
            </w:tcBorders>
            <w:shd w:val="clear" w:color="auto" w:fill="auto"/>
            <w:vAlign w:val="center"/>
          </w:tcPr>
          <w:p w14:paraId="1DDCD12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4</w:t>
            </w:r>
          </w:p>
        </w:tc>
        <w:tc>
          <w:tcPr>
            <w:tcW w:w="134" w:type="pct"/>
            <w:tcBorders>
              <w:tl2br w:val="nil"/>
              <w:tr2bl w:val="nil"/>
            </w:tcBorders>
            <w:shd w:val="clear" w:color="auto" w:fill="auto"/>
            <w:vAlign w:val="center"/>
          </w:tcPr>
          <w:p w14:paraId="017D93F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20</w:t>
            </w:r>
          </w:p>
        </w:tc>
        <w:tc>
          <w:tcPr>
            <w:tcW w:w="140" w:type="pct"/>
            <w:tcBorders>
              <w:tl2br w:val="nil"/>
              <w:tr2bl w:val="nil"/>
            </w:tcBorders>
            <w:shd w:val="clear" w:color="auto" w:fill="auto"/>
            <w:vAlign w:val="center"/>
          </w:tcPr>
          <w:p w14:paraId="0305F41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w:t>
            </w:r>
          </w:p>
        </w:tc>
        <w:tc>
          <w:tcPr>
            <w:tcW w:w="180" w:type="pct"/>
            <w:tcBorders>
              <w:tl2br w:val="nil"/>
              <w:tr2bl w:val="nil"/>
            </w:tcBorders>
            <w:shd w:val="clear" w:color="auto" w:fill="auto"/>
            <w:vAlign w:val="center"/>
          </w:tcPr>
          <w:p w14:paraId="7190179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1.0</w:t>
            </w:r>
          </w:p>
        </w:tc>
        <w:tc>
          <w:tcPr>
            <w:tcW w:w="228" w:type="pct"/>
            <w:tcBorders>
              <w:tl2br w:val="nil"/>
              <w:tr2bl w:val="nil"/>
            </w:tcBorders>
            <w:shd w:val="clear" w:color="auto" w:fill="auto"/>
            <w:vAlign w:val="center"/>
          </w:tcPr>
          <w:p w14:paraId="62476A2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0.2</w:t>
            </w:r>
          </w:p>
        </w:tc>
        <w:tc>
          <w:tcPr>
            <w:tcW w:w="140" w:type="pct"/>
            <w:tcBorders>
              <w:tl2br w:val="nil"/>
              <w:tr2bl w:val="nil"/>
            </w:tcBorders>
            <w:shd w:val="clear" w:color="auto" w:fill="auto"/>
            <w:vAlign w:val="center"/>
          </w:tcPr>
          <w:p w14:paraId="4624E3C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highlight w:val="none"/>
                <w:lang w:val="en-US" w:eastAsia="zh-CN"/>
              </w:rPr>
              <w:t>0.05</w:t>
            </w:r>
          </w:p>
        </w:tc>
        <w:tc>
          <w:tcPr>
            <w:tcW w:w="140" w:type="pct"/>
            <w:tcBorders>
              <w:tl2br w:val="nil"/>
              <w:tr2bl w:val="nil"/>
            </w:tcBorders>
            <w:shd w:val="clear" w:color="auto" w:fill="auto"/>
            <w:vAlign w:val="center"/>
          </w:tcPr>
          <w:p w14:paraId="6CB03A2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0.2</w:t>
            </w:r>
          </w:p>
        </w:tc>
        <w:tc>
          <w:tcPr>
            <w:tcW w:w="299" w:type="pct"/>
            <w:tcBorders>
              <w:tl2br w:val="nil"/>
              <w:tr2bl w:val="nil"/>
            </w:tcBorders>
            <w:shd w:val="clear" w:color="auto" w:fill="auto"/>
            <w:vAlign w:val="center"/>
          </w:tcPr>
          <w:p w14:paraId="41101CA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lang w:val="en-US" w:eastAsia="zh-CN"/>
              </w:rPr>
              <w:t>0.005</w:t>
            </w:r>
          </w:p>
        </w:tc>
        <w:tc>
          <w:tcPr>
            <w:tcW w:w="172" w:type="pct"/>
            <w:tcBorders>
              <w:tl2br w:val="nil"/>
              <w:tr2bl w:val="nil"/>
            </w:tcBorders>
            <w:shd w:val="clear" w:color="auto" w:fill="auto"/>
            <w:vAlign w:val="center"/>
          </w:tcPr>
          <w:p w14:paraId="70F2B14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0.05</w:t>
            </w:r>
          </w:p>
        </w:tc>
        <w:tc>
          <w:tcPr>
            <w:tcW w:w="134" w:type="pct"/>
            <w:tcBorders>
              <w:tl2br w:val="nil"/>
              <w:tr2bl w:val="nil"/>
            </w:tcBorders>
            <w:shd w:val="clear" w:color="auto" w:fill="auto"/>
            <w:vAlign w:val="center"/>
          </w:tcPr>
          <w:p w14:paraId="631C886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0.05</w:t>
            </w:r>
          </w:p>
        </w:tc>
        <w:tc>
          <w:tcPr>
            <w:tcW w:w="180" w:type="pct"/>
            <w:tcBorders>
              <w:tl2br w:val="nil"/>
              <w:tr2bl w:val="nil"/>
            </w:tcBorders>
            <w:shd w:val="clear" w:color="auto" w:fill="auto"/>
            <w:vAlign w:val="center"/>
          </w:tcPr>
          <w:p w14:paraId="04CEB56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1.0</w:t>
            </w:r>
          </w:p>
        </w:tc>
        <w:tc>
          <w:tcPr>
            <w:tcW w:w="180" w:type="pct"/>
            <w:tcBorders>
              <w:tl2br w:val="nil"/>
              <w:tr2bl w:val="nil"/>
            </w:tcBorders>
            <w:shd w:val="clear" w:color="auto" w:fill="auto"/>
            <w:vAlign w:val="center"/>
          </w:tcPr>
          <w:p w14:paraId="0F29A0D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0.1</w:t>
            </w:r>
          </w:p>
        </w:tc>
        <w:tc>
          <w:tcPr>
            <w:tcW w:w="172" w:type="pct"/>
            <w:tcBorders>
              <w:tl2br w:val="nil"/>
              <w:tr2bl w:val="nil"/>
            </w:tcBorders>
            <w:shd w:val="clear" w:color="auto" w:fill="auto"/>
            <w:vAlign w:val="center"/>
          </w:tcPr>
          <w:p w14:paraId="190A7ED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1.0</w:t>
            </w:r>
          </w:p>
        </w:tc>
        <w:tc>
          <w:tcPr>
            <w:tcW w:w="134" w:type="pct"/>
            <w:tcBorders>
              <w:tl2br w:val="nil"/>
              <w:tr2bl w:val="nil"/>
            </w:tcBorders>
            <w:shd w:val="clear" w:color="auto" w:fill="auto"/>
            <w:vAlign w:val="center"/>
          </w:tcPr>
          <w:p w14:paraId="1C93671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0.05</w:t>
            </w:r>
          </w:p>
        </w:tc>
        <w:tc>
          <w:tcPr>
            <w:tcW w:w="258" w:type="pct"/>
            <w:tcBorders>
              <w:tl2br w:val="nil"/>
              <w:tr2bl w:val="nil"/>
            </w:tcBorders>
            <w:shd w:val="clear" w:color="auto" w:fill="auto"/>
            <w:vAlign w:val="center"/>
          </w:tcPr>
          <w:p w14:paraId="467A27D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lang w:val="en-US" w:eastAsia="zh-CN"/>
              </w:rPr>
              <w:t>0.0001</w:t>
            </w:r>
          </w:p>
        </w:tc>
        <w:tc>
          <w:tcPr>
            <w:tcW w:w="209" w:type="pct"/>
            <w:tcBorders>
              <w:tl2br w:val="nil"/>
              <w:tr2bl w:val="nil"/>
            </w:tcBorders>
            <w:shd w:val="clear" w:color="auto" w:fill="auto"/>
            <w:vAlign w:val="center"/>
          </w:tcPr>
          <w:p w14:paraId="2760744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0.01</w:t>
            </w:r>
          </w:p>
        </w:tc>
        <w:tc>
          <w:tcPr>
            <w:tcW w:w="219" w:type="pct"/>
            <w:tcBorders>
              <w:tl2br w:val="nil"/>
              <w:tr2bl w:val="nil"/>
            </w:tcBorders>
            <w:shd w:val="clear" w:color="auto" w:fill="auto"/>
            <w:vAlign w:val="center"/>
          </w:tcPr>
          <w:p w14:paraId="08DF166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lang w:val="en-US" w:eastAsia="zh-CN"/>
              </w:rPr>
              <w:t>0.05</w:t>
            </w:r>
          </w:p>
        </w:tc>
        <w:tc>
          <w:tcPr>
            <w:tcW w:w="134" w:type="pct"/>
            <w:tcBorders>
              <w:tl2br w:val="nil"/>
              <w:tr2bl w:val="nil"/>
            </w:tcBorders>
            <w:shd w:val="clear" w:color="auto" w:fill="auto"/>
            <w:vAlign w:val="center"/>
          </w:tcPr>
          <w:p w14:paraId="020E17A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0.02</w:t>
            </w:r>
          </w:p>
        </w:tc>
        <w:tc>
          <w:tcPr>
            <w:tcW w:w="134" w:type="pct"/>
            <w:tcBorders>
              <w:tl2br w:val="nil"/>
              <w:tr2bl w:val="nil"/>
            </w:tcBorders>
            <w:shd w:val="clear" w:color="auto" w:fill="auto"/>
            <w:vAlign w:val="center"/>
          </w:tcPr>
          <w:p w14:paraId="01A84F3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686F044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0.005</w:t>
            </w:r>
          </w:p>
        </w:tc>
        <w:tc>
          <w:tcPr>
            <w:tcW w:w="172" w:type="pct"/>
            <w:tcBorders>
              <w:tl2br w:val="nil"/>
              <w:tr2bl w:val="nil"/>
            </w:tcBorders>
            <w:shd w:val="clear" w:color="auto" w:fill="auto"/>
            <w:vAlign w:val="center"/>
          </w:tcPr>
          <w:p w14:paraId="1258C38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c>
          <w:tcPr>
            <w:tcW w:w="172" w:type="pct"/>
            <w:tcBorders>
              <w:tl2br w:val="nil"/>
              <w:tr2bl w:val="nil"/>
            </w:tcBorders>
            <w:shd w:val="clear" w:color="auto" w:fill="auto"/>
            <w:vAlign w:val="center"/>
          </w:tcPr>
          <w:p w14:paraId="2C1A141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6</w:t>
            </w:r>
          </w:p>
        </w:tc>
        <w:tc>
          <w:tcPr>
            <w:tcW w:w="135" w:type="pct"/>
            <w:tcBorders>
              <w:tl2br w:val="nil"/>
              <w:tr2bl w:val="nil"/>
            </w:tcBorders>
            <w:shd w:val="clear" w:color="auto" w:fill="auto"/>
            <w:vAlign w:val="center"/>
          </w:tcPr>
          <w:p w14:paraId="4BBC740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1.0</w:t>
            </w:r>
          </w:p>
        </w:tc>
        <w:tc>
          <w:tcPr>
            <w:tcW w:w="133" w:type="pct"/>
            <w:tcBorders>
              <w:tl2br w:val="nil"/>
              <w:tr2bl w:val="nil"/>
            </w:tcBorders>
            <w:shd w:val="clear" w:color="auto" w:fill="auto"/>
            <w:vAlign w:val="center"/>
          </w:tcPr>
          <w:p w14:paraId="6E9EF7A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r>
      <w:tr w14:paraId="2BC3F2A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restart"/>
            <w:tcBorders>
              <w:tl2br w:val="nil"/>
              <w:tr2bl w:val="nil"/>
            </w:tcBorders>
            <w:shd w:val="clear" w:color="auto" w:fill="auto"/>
            <w:vAlign w:val="center"/>
          </w:tcPr>
          <w:p w14:paraId="3B6AECC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455" w:name="OLE_LINK364" w:colFirst="10" w:colLast="10"/>
            <w:bookmarkStart w:id="1456" w:name="OLE_LINK331" w:colFirst="5" w:colLast="5"/>
            <w:bookmarkStart w:id="1457" w:name="OLE_LINK868" w:colFirst="5" w:colLast="5"/>
            <w:bookmarkStart w:id="1458" w:name="OLE_LINK869" w:colFirst="10" w:colLast="10"/>
            <w:bookmarkStart w:id="1459" w:name="OLE_LINK870" w:colFirst="19" w:colLast="19"/>
            <w:bookmarkStart w:id="1460" w:name="OLE_LINK381" w:colFirst="10" w:colLast="10"/>
            <w:r>
              <w:rPr>
                <w:rFonts w:hint="default" w:ascii="Times New Roman" w:hAnsi="Times New Roman" w:cs="Times New Roman"/>
                <w:color w:val="auto"/>
                <w:kern w:val="2"/>
                <w:sz w:val="18"/>
                <w:szCs w:val="18"/>
                <w:highlight w:val="none"/>
                <w:lang w:val="en-US" w:eastAsia="zh-CN" w:bidi="ar-SA"/>
              </w:rPr>
              <w:t>W3-1</w:t>
            </w:r>
          </w:p>
        </w:tc>
        <w:tc>
          <w:tcPr>
            <w:tcW w:w="216" w:type="pct"/>
            <w:tcBorders>
              <w:tl2br w:val="nil"/>
              <w:tr2bl w:val="nil"/>
            </w:tcBorders>
            <w:shd w:val="clear" w:color="auto" w:fill="auto"/>
            <w:vAlign w:val="center"/>
          </w:tcPr>
          <w:p w14:paraId="6EA638F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最大值</w:t>
            </w:r>
          </w:p>
        </w:tc>
        <w:tc>
          <w:tcPr>
            <w:tcW w:w="159" w:type="pct"/>
            <w:tcBorders>
              <w:tl2br w:val="nil"/>
              <w:tr2bl w:val="nil"/>
            </w:tcBorders>
            <w:shd w:val="clear" w:color="auto" w:fill="auto"/>
            <w:vAlign w:val="center"/>
          </w:tcPr>
          <w:p w14:paraId="7891654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27.8</w:t>
            </w:r>
          </w:p>
        </w:tc>
        <w:tc>
          <w:tcPr>
            <w:tcW w:w="157" w:type="pct"/>
            <w:tcBorders>
              <w:tl2br w:val="nil"/>
              <w:tr2bl w:val="nil"/>
            </w:tcBorders>
            <w:shd w:val="clear" w:color="auto" w:fill="auto"/>
            <w:vAlign w:val="center"/>
          </w:tcPr>
          <w:p w14:paraId="15BF132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7.8</w:t>
            </w:r>
          </w:p>
        </w:tc>
        <w:tc>
          <w:tcPr>
            <w:tcW w:w="159" w:type="pct"/>
            <w:tcBorders>
              <w:tl2br w:val="nil"/>
              <w:tr2bl w:val="nil"/>
            </w:tcBorders>
            <w:shd w:val="clear" w:color="auto" w:fill="auto"/>
            <w:vAlign w:val="center"/>
          </w:tcPr>
          <w:p w14:paraId="6492C24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5.9</w:t>
            </w:r>
          </w:p>
        </w:tc>
        <w:tc>
          <w:tcPr>
            <w:tcW w:w="145" w:type="pct"/>
            <w:tcBorders>
              <w:tl2br w:val="nil"/>
              <w:tr2bl w:val="nil"/>
            </w:tcBorders>
            <w:shd w:val="clear" w:color="auto" w:fill="auto"/>
            <w:vAlign w:val="center"/>
          </w:tcPr>
          <w:p w14:paraId="38A9AED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2.5</w:t>
            </w:r>
          </w:p>
        </w:tc>
        <w:tc>
          <w:tcPr>
            <w:tcW w:w="134" w:type="pct"/>
            <w:tcBorders>
              <w:tl2br w:val="nil"/>
              <w:tr2bl w:val="nil"/>
            </w:tcBorders>
            <w:shd w:val="clear" w:color="auto" w:fill="auto"/>
            <w:vAlign w:val="center"/>
          </w:tcPr>
          <w:p w14:paraId="48D7B3B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11</w:t>
            </w:r>
          </w:p>
        </w:tc>
        <w:tc>
          <w:tcPr>
            <w:tcW w:w="140" w:type="pct"/>
            <w:tcBorders>
              <w:tl2br w:val="nil"/>
              <w:tr2bl w:val="nil"/>
            </w:tcBorders>
            <w:shd w:val="clear" w:color="auto" w:fill="auto"/>
            <w:vAlign w:val="center"/>
          </w:tcPr>
          <w:p w14:paraId="5C76B213">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5.63 </w:t>
            </w:r>
          </w:p>
        </w:tc>
        <w:tc>
          <w:tcPr>
            <w:tcW w:w="180" w:type="pct"/>
            <w:tcBorders>
              <w:tl2br w:val="nil"/>
              <w:tr2bl w:val="nil"/>
            </w:tcBorders>
            <w:shd w:val="clear" w:color="auto" w:fill="auto"/>
            <w:vAlign w:val="center"/>
          </w:tcPr>
          <w:p w14:paraId="49988BA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0.626 </w:t>
            </w:r>
          </w:p>
        </w:tc>
        <w:tc>
          <w:tcPr>
            <w:tcW w:w="228" w:type="pct"/>
            <w:tcBorders>
              <w:tl2br w:val="nil"/>
              <w:tr2bl w:val="nil"/>
            </w:tcBorders>
            <w:shd w:val="clear" w:color="auto" w:fill="auto"/>
            <w:vAlign w:val="center"/>
          </w:tcPr>
          <w:p w14:paraId="24B42E9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0.08 </w:t>
            </w:r>
          </w:p>
        </w:tc>
        <w:tc>
          <w:tcPr>
            <w:tcW w:w="140" w:type="pct"/>
            <w:tcBorders>
              <w:tl2br w:val="nil"/>
              <w:tr2bl w:val="nil"/>
            </w:tcBorders>
            <w:shd w:val="clear" w:color="auto" w:fill="auto"/>
            <w:vAlign w:val="center"/>
          </w:tcPr>
          <w:p w14:paraId="4685C1B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0.04</w:t>
            </w:r>
          </w:p>
        </w:tc>
        <w:tc>
          <w:tcPr>
            <w:tcW w:w="140" w:type="pct"/>
            <w:tcBorders>
              <w:tl2br w:val="nil"/>
              <w:tr2bl w:val="nil"/>
            </w:tcBorders>
            <w:shd w:val="clear" w:color="auto" w:fill="auto"/>
            <w:vAlign w:val="center"/>
          </w:tcPr>
          <w:p w14:paraId="6C3691C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0.01</w:t>
            </w:r>
          </w:p>
        </w:tc>
        <w:tc>
          <w:tcPr>
            <w:tcW w:w="299" w:type="pct"/>
            <w:tcBorders>
              <w:tl2br w:val="nil"/>
              <w:tr2bl w:val="nil"/>
            </w:tcBorders>
            <w:shd w:val="clear" w:color="auto" w:fill="auto"/>
            <w:vAlign w:val="center"/>
          </w:tcPr>
          <w:p w14:paraId="25408FE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0.000753 </w:t>
            </w:r>
          </w:p>
        </w:tc>
        <w:tc>
          <w:tcPr>
            <w:tcW w:w="172" w:type="pct"/>
            <w:tcBorders>
              <w:tl2br w:val="nil"/>
              <w:tr2bl w:val="nil"/>
            </w:tcBorders>
            <w:shd w:val="clear" w:color="auto" w:fill="auto"/>
            <w:vAlign w:val="center"/>
          </w:tcPr>
          <w:p w14:paraId="458919B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4316563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1486433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0.005</w:t>
            </w:r>
          </w:p>
        </w:tc>
        <w:tc>
          <w:tcPr>
            <w:tcW w:w="180" w:type="pct"/>
            <w:tcBorders>
              <w:tl2br w:val="nil"/>
              <w:tr2bl w:val="nil"/>
            </w:tcBorders>
            <w:shd w:val="clear" w:color="auto" w:fill="auto"/>
            <w:vAlign w:val="center"/>
          </w:tcPr>
          <w:p w14:paraId="6778FCC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02AA060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0.006</w:t>
            </w:r>
          </w:p>
        </w:tc>
        <w:tc>
          <w:tcPr>
            <w:tcW w:w="134" w:type="pct"/>
            <w:tcBorders>
              <w:tl2br w:val="nil"/>
              <w:tr2bl w:val="nil"/>
            </w:tcBorders>
            <w:shd w:val="clear" w:color="auto" w:fill="auto"/>
            <w:vAlign w:val="center"/>
          </w:tcPr>
          <w:p w14:paraId="037A238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660884F3">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9 </w:t>
            </w:r>
          </w:p>
        </w:tc>
        <w:tc>
          <w:tcPr>
            <w:tcW w:w="209" w:type="pct"/>
            <w:tcBorders>
              <w:tl2br w:val="nil"/>
              <w:tr2bl w:val="nil"/>
            </w:tcBorders>
            <w:shd w:val="clear" w:color="auto" w:fill="auto"/>
            <w:vAlign w:val="center"/>
          </w:tcPr>
          <w:p w14:paraId="435ECBB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70FB7D0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0.0016 </w:t>
            </w:r>
          </w:p>
        </w:tc>
        <w:tc>
          <w:tcPr>
            <w:tcW w:w="134" w:type="pct"/>
            <w:tcBorders>
              <w:tl2br w:val="nil"/>
              <w:tr2bl w:val="nil"/>
            </w:tcBorders>
            <w:shd w:val="clear" w:color="auto" w:fill="auto"/>
            <w:vAlign w:val="center"/>
          </w:tcPr>
          <w:p w14:paraId="24ACCA1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229D742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27</w:t>
            </w:r>
          </w:p>
        </w:tc>
        <w:tc>
          <w:tcPr>
            <w:tcW w:w="210" w:type="pct"/>
            <w:tcBorders>
              <w:tl2br w:val="nil"/>
              <w:tr2bl w:val="nil"/>
            </w:tcBorders>
            <w:shd w:val="clear" w:color="auto" w:fill="auto"/>
            <w:vAlign w:val="center"/>
          </w:tcPr>
          <w:p w14:paraId="097F018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0A7A5E6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790BEAB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3.7</w:t>
            </w:r>
          </w:p>
        </w:tc>
        <w:tc>
          <w:tcPr>
            <w:tcW w:w="135" w:type="pct"/>
            <w:tcBorders>
              <w:tl2br w:val="nil"/>
              <w:tr2bl w:val="nil"/>
            </w:tcBorders>
            <w:shd w:val="clear" w:color="auto" w:fill="auto"/>
            <w:vAlign w:val="center"/>
          </w:tcPr>
          <w:p w14:paraId="600EBA2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0.44</w:t>
            </w:r>
          </w:p>
        </w:tc>
        <w:tc>
          <w:tcPr>
            <w:tcW w:w="133" w:type="pct"/>
            <w:tcBorders>
              <w:tl2br w:val="nil"/>
              <w:tr2bl w:val="nil"/>
            </w:tcBorders>
            <w:shd w:val="clear" w:color="auto" w:fill="auto"/>
            <w:vAlign w:val="center"/>
          </w:tcPr>
          <w:p w14:paraId="32F8D4A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tr w14:paraId="3226777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148FC0B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shd w:val="clear" w:color="auto" w:fill="auto"/>
            <w:vAlign w:val="center"/>
          </w:tcPr>
          <w:p w14:paraId="7F315F3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最小值</w:t>
            </w:r>
          </w:p>
        </w:tc>
        <w:tc>
          <w:tcPr>
            <w:tcW w:w="159" w:type="pct"/>
            <w:tcBorders>
              <w:tl2br w:val="nil"/>
              <w:tr2bl w:val="nil"/>
            </w:tcBorders>
            <w:shd w:val="clear" w:color="auto" w:fill="auto"/>
            <w:vAlign w:val="center"/>
          </w:tcPr>
          <w:p w14:paraId="5F55FA0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27.7</w:t>
            </w:r>
          </w:p>
        </w:tc>
        <w:tc>
          <w:tcPr>
            <w:tcW w:w="157" w:type="pct"/>
            <w:tcBorders>
              <w:tl2br w:val="nil"/>
              <w:tr2bl w:val="nil"/>
            </w:tcBorders>
            <w:shd w:val="clear" w:color="auto" w:fill="auto"/>
            <w:vAlign w:val="center"/>
          </w:tcPr>
          <w:p w14:paraId="787E01B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7.7</w:t>
            </w:r>
          </w:p>
        </w:tc>
        <w:tc>
          <w:tcPr>
            <w:tcW w:w="159" w:type="pct"/>
            <w:tcBorders>
              <w:tl2br w:val="nil"/>
              <w:tr2bl w:val="nil"/>
            </w:tcBorders>
            <w:shd w:val="clear" w:color="auto" w:fill="auto"/>
            <w:vAlign w:val="center"/>
          </w:tcPr>
          <w:p w14:paraId="3F90DD5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5.8</w:t>
            </w:r>
          </w:p>
        </w:tc>
        <w:tc>
          <w:tcPr>
            <w:tcW w:w="145" w:type="pct"/>
            <w:tcBorders>
              <w:tl2br w:val="nil"/>
              <w:tr2bl w:val="nil"/>
            </w:tcBorders>
            <w:shd w:val="clear" w:color="auto" w:fill="auto"/>
            <w:vAlign w:val="center"/>
          </w:tcPr>
          <w:p w14:paraId="56508B0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1.3</w:t>
            </w:r>
          </w:p>
        </w:tc>
        <w:tc>
          <w:tcPr>
            <w:tcW w:w="134" w:type="pct"/>
            <w:tcBorders>
              <w:tl2br w:val="nil"/>
              <w:tr2bl w:val="nil"/>
            </w:tcBorders>
            <w:shd w:val="clear" w:color="auto" w:fill="auto"/>
            <w:vAlign w:val="center"/>
          </w:tcPr>
          <w:p w14:paraId="7F5B1E8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6</w:t>
            </w:r>
          </w:p>
        </w:tc>
        <w:tc>
          <w:tcPr>
            <w:tcW w:w="140" w:type="pct"/>
            <w:tcBorders>
              <w:tl2br w:val="nil"/>
              <w:tr2bl w:val="nil"/>
            </w:tcBorders>
            <w:shd w:val="clear" w:color="auto" w:fill="auto"/>
            <w:vAlign w:val="center"/>
          </w:tcPr>
          <w:p w14:paraId="0388D51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5.48 </w:t>
            </w:r>
          </w:p>
        </w:tc>
        <w:tc>
          <w:tcPr>
            <w:tcW w:w="180" w:type="pct"/>
            <w:tcBorders>
              <w:tl2br w:val="nil"/>
              <w:tr2bl w:val="nil"/>
            </w:tcBorders>
            <w:shd w:val="clear" w:color="auto" w:fill="auto"/>
            <w:vAlign w:val="center"/>
          </w:tcPr>
          <w:p w14:paraId="70A1030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0.608 </w:t>
            </w:r>
          </w:p>
        </w:tc>
        <w:tc>
          <w:tcPr>
            <w:tcW w:w="228" w:type="pct"/>
            <w:tcBorders>
              <w:tl2br w:val="nil"/>
              <w:tr2bl w:val="nil"/>
            </w:tcBorders>
            <w:shd w:val="clear" w:color="auto" w:fill="auto"/>
            <w:vAlign w:val="center"/>
          </w:tcPr>
          <w:p w14:paraId="0791484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0.05 </w:t>
            </w:r>
          </w:p>
        </w:tc>
        <w:tc>
          <w:tcPr>
            <w:tcW w:w="140" w:type="pct"/>
            <w:tcBorders>
              <w:tl2br w:val="nil"/>
              <w:tr2bl w:val="nil"/>
            </w:tcBorders>
            <w:shd w:val="clear" w:color="auto" w:fill="auto"/>
            <w:vAlign w:val="center"/>
          </w:tcPr>
          <w:p w14:paraId="0F1659C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0.03</w:t>
            </w:r>
          </w:p>
        </w:tc>
        <w:tc>
          <w:tcPr>
            <w:tcW w:w="140" w:type="pct"/>
            <w:tcBorders>
              <w:tl2br w:val="nil"/>
              <w:tr2bl w:val="nil"/>
            </w:tcBorders>
            <w:shd w:val="clear" w:color="auto" w:fill="auto"/>
            <w:vAlign w:val="center"/>
          </w:tcPr>
          <w:p w14:paraId="4F471BC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ND</w:t>
            </w:r>
          </w:p>
        </w:tc>
        <w:tc>
          <w:tcPr>
            <w:tcW w:w="299" w:type="pct"/>
            <w:tcBorders>
              <w:tl2br w:val="nil"/>
              <w:tr2bl w:val="nil"/>
            </w:tcBorders>
            <w:shd w:val="clear" w:color="auto" w:fill="auto"/>
            <w:vAlign w:val="center"/>
          </w:tcPr>
          <w:p w14:paraId="11C0B8E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0.000668 </w:t>
            </w:r>
          </w:p>
        </w:tc>
        <w:tc>
          <w:tcPr>
            <w:tcW w:w="172" w:type="pct"/>
            <w:tcBorders>
              <w:tl2br w:val="nil"/>
              <w:tr2bl w:val="nil"/>
            </w:tcBorders>
            <w:shd w:val="clear" w:color="auto" w:fill="auto"/>
            <w:vAlign w:val="center"/>
          </w:tcPr>
          <w:p w14:paraId="149022F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2E82445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52FC511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ND</w:t>
            </w:r>
          </w:p>
        </w:tc>
        <w:tc>
          <w:tcPr>
            <w:tcW w:w="180" w:type="pct"/>
            <w:tcBorders>
              <w:tl2br w:val="nil"/>
              <w:tr2bl w:val="nil"/>
            </w:tcBorders>
            <w:shd w:val="clear" w:color="auto" w:fill="auto"/>
            <w:vAlign w:val="center"/>
          </w:tcPr>
          <w:p w14:paraId="36486E2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31C51D8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39CD54C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1A99FA7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07</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2033F90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0CE4DAF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0.0013</w:t>
            </w:r>
          </w:p>
        </w:tc>
        <w:tc>
          <w:tcPr>
            <w:tcW w:w="134" w:type="pct"/>
            <w:tcBorders>
              <w:tl2br w:val="nil"/>
              <w:tr2bl w:val="nil"/>
            </w:tcBorders>
            <w:shd w:val="clear" w:color="auto" w:fill="auto"/>
            <w:vAlign w:val="center"/>
          </w:tcPr>
          <w:p w14:paraId="44AAC97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7FC8602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21</w:t>
            </w:r>
          </w:p>
        </w:tc>
        <w:tc>
          <w:tcPr>
            <w:tcW w:w="210" w:type="pct"/>
            <w:tcBorders>
              <w:tl2br w:val="nil"/>
              <w:tr2bl w:val="nil"/>
            </w:tcBorders>
            <w:shd w:val="clear" w:color="auto" w:fill="auto"/>
            <w:vAlign w:val="center"/>
          </w:tcPr>
          <w:p w14:paraId="266871A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2FC17A5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42010BC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3.6</w:t>
            </w:r>
          </w:p>
        </w:tc>
        <w:tc>
          <w:tcPr>
            <w:tcW w:w="135" w:type="pct"/>
            <w:tcBorders>
              <w:tl2br w:val="nil"/>
              <w:tr2bl w:val="nil"/>
            </w:tcBorders>
            <w:shd w:val="clear" w:color="auto" w:fill="auto"/>
            <w:vAlign w:val="center"/>
          </w:tcPr>
          <w:p w14:paraId="7B243E3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0.43</w:t>
            </w:r>
          </w:p>
        </w:tc>
        <w:tc>
          <w:tcPr>
            <w:tcW w:w="133" w:type="pct"/>
            <w:tcBorders>
              <w:tl2br w:val="nil"/>
              <w:tr2bl w:val="nil"/>
            </w:tcBorders>
            <w:shd w:val="clear" w:color="auto" w:fill="auto"/>
            <w:vAlign w:val="center"/>
          </w:tcPr>
          <w:p w14:paraId="255126D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55"/>
      <w:bookmarkEnd w:id="1456"/>
      <w:tr w14:paraId="6C21902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3909D73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shd w:val="clear" w:color="auto" w:fill="auto"/>
            <w:vAlign w:val="center"/>
          </w:tcPr>
          <w:p w14:paraId="52A7085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平均浓度</w:t>
            </w:r>
          </w:p>
        </w:tc>
        <w:tc>
          <w:tcPr>
            <w:tcW w:w="159" w:type="pct"/>
            <w:tcBorders>
              <w:tl2br w:val="nil"/>
              <w:tr2bl w:val="nil"/>
            </w:tcBorders>
            <w:shd w:val="clear" w:color="auto" w:fill="auto"/>
            <w:vAlign w:val="center"/>
          </w:tcPr>
          <w:p w14:paraId="54127B1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27.7</w:t>
            </w:r>
          </w:p>
        </w:tc>
        <w:tc>
          <w:tcPr>
            <w:tcW w:w="157" w:type="pct"/>
            <w:tcBorders>
              <w:tl2br w:val="nil"/>
              <w:tr2bl w:val="nil"/>
            </w:tcBorders>
            <w:shd w:val="clear" w:color="auto" w:fill="auto"/>
            <w:vAlign w:val="center"/>
          </w:tcPr>
          <w:p w14:paraId="10D9092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7.7</w:t>
            </w:r>
          </w:p>
        </w:tc>
        <w:tc>
          <w:tcPr>
            <w:tcW w:w="159" w:type="pct"/>
            <w:tcBorders>
              <w:tl2br w:val="nil"/>
              <w:tr2bl w:val="nil"/>
            </w:tcBorders>
            <w:shd w:val="clear" w:color="auto" w:fill="auto"/>
            <w:vAlign w:val="center"/>
          </w:tcPr>
          <w:p w14:paraId="5383B93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5.8</w:t>
            </w:r>
          </w:p>
        </w:tc>
        <w:tc>
          <w:tcPr>
            <w:tcW w:w="145" w:type="pct"/>
            <w:tcBorders>
              <w:tl2br w:val="nil"/>
              <w:tr2bl w:val="nil"/>
            </w:tcBorders>
            <w:shd w:val="clear" w:color="auto" w:fill="auto"/>
            <w:vAlign w:val="center"/>
          </w:tcPr>
          <w:p w14:paraId="30907DB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i w:val="0"/>
                <w:iCs w:val="0"/>
                <w:snapToGrid w:val="0"/>
                <w:color w:val="auto"/>
                <w:kern w:val="0"/>
                <w:sz w:val="18"/>
                <w:szCs w:val="18"/>
                <w:highlight w:val="none"/>
                <w:u w:val="none"/>
                <w:lang w:val="en-US" w:eastAsia="zh-CN" w:bidi="ar"/>
              </w:rPr>
              <w:t>2.1</w:t>
            </w:r>
          </w:p>
        </w:tc>
        <w:tc>
          <w:tcPr>
            <w:tcW w:w="134" w:type="pct"/>
            <w:tcBorders>
              <w:tl2br w:val="nil"/>
              <w:tr2bl w:val="nil"/>
            </w:tcBorders>
            <w:shd w:val="clear" w:color="auto" w:fill="auto"/>
            <w:vAlign w:val="center"/>
          </w:tcPr>
          <w:p w14:paraId="0A32A71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9</w:t>
            </w:r>
          </w:p>
        </w:tc>
        <w:tc>
          <w:tcPr>
            <w:tcW w:w="140" w:type="pct"/>
            <w:tcBorders>
              <w:tl2br w:val="nil"/>
              <w:tr2bl w:val="nil"/>
            </w:tcBorders>
            <w:shd w:val="clear" w:color="auto" w:fill="auto"/>
            <w:vAlign w:val="center"/>
          </w:tcPr>
          <w:p w14:paraId="27ADD29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5.55 </w:t>
            </w:r>
          </w:p>
        </w:tc>
        <w:tc>
          <w:tcPr>
            <w:tcW w:w="180" w:type="pct"/>
            <w:tcBorders>
              <w:tl2br w:val="nil"/>
              <w:tr2bl w:val="nil"/>
            </w:tcBorders>
            <w:shd w:val="clear" w:color="auto" w:fill="auto"/>
            <w:vAlign w:val="center"/>
          </w:tcPr>
          <w:p w14:paraId="0BF3723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0.617 </w:t>
            </w:r>
          </w:p>
        </w:tc>
        <w:tc>
          <w:tcPr>
            <w:tcW w:w="228" w:type="pct"/>
            <w:tcBorders>
              <w:tl2br w:val="nil"/>
              <w:tr2bl w:val="nil"/>
            </w:tcBorders>
            <w:shd w:val="clear" w:color="auto" w:fill="auto"/>
            <w:vAlign w:val="center"/>
          </w:tcPr>
          <w:p w14:paraId="541B8D2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0.07 </w:t>
            </w:r>
          </w:p>
        </w:tc>
        <w:tc>
          <w:tcPr>
            <w:tcW w:w="140" w:type="pct"/>
            <w:tcBorders>
              <w:tl2br w:val="nil"/>
              <w:tr2bl w:val="nil"/>
            </w:tcBorders>
            <w:shd w:val="clear" w:color="auto" w:fill="auto"/>
            <w:vAlign w:val="center"/>
          </w:tcPr>
          <w:p w14:paraId="14921A53">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4</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40" w:type="pct"/>
            <w:tcBorders>
              <w:tl2br w:val="nil"/>
              <w:tr2bl w:val="nil"/>
            </w:tcBorders>
            <w:shd w:val="clear" w:color="auto" w:fill="auto"/>
            <w:vAlign w:val="center"/>
          </w:tcPr>
          <w:p w14:paraId="54E5D25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w:t>
            </w:r>
          </w:p>
        </w:tc>
        <w:tc>
          <w:tcPr>
            <w:tcW w:w="299" w:type="pct"/>
            <w:tcBorders>
              <w:tl2br w:val="nil"/>
              <w:tr2bl w:val="nil"/>
            </w:tcBorders>
            <w:shd w:val="clear" w:color="auto" w:fill="auto"/>
            <w:vAlign w:val="center"/>
          </w:tcPr>
          <w:p w14:paraId="1C726C6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0.000707 </w:t>
            </w:r>
          </w:p>
        </w:tc>
        <w:tc>
          <w:tcPr>
            <w:tcW w:w="172" w:type="pct"/>
            <w:tcBorders>
              <w:tl2br w:val="nil"/>
              <w:tr2bl w:val="nil"/>
            </w:tcBorders>
            <w:shd w:val="clear" w:color="auto" w:fill="auto"/>
            <w:vAlign w:val="center"/>
          </w:tcPr>
          <w:p w14:paraId="6933D70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39F8540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6B95D3B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w:t>
            </w:r>
          </w:p>
        </w:tc>
        <w:tc>
          <w:tcPr>
            <w:tcW w:w="180" w:type="pct"/>
            <w:tcBorders>
              <w:tl2br w:val="nil"/>
              <w:tr2bl w:val="nil"/>
            </w:tcBorders>
            <w:shd w:val="clear" w:color="auto" w:fill="auto"/>
            <w:vAlign w:val="center"/>
          </w:tcPr>
          <w:p w14:paraId="4360732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71480C7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w:t>
            </w:r>
          </w:p>
        </w:tc>
        <w:tc>
          <w:tcPr>
            <w:tcW w:w="134" w:type="pct"/>
            <w:tcBorders>
              <w:tl2br w:val="nil"/>
              <w:tr2bl w:val="nil"/>
            </w:tcBorders>
            <w:shd w:val="clear" w:color="auto" w:fill="auto"/>
            <w:vAlign w:val="center"/>
          </w:tcPr>
          <w:p w14:paraId="6E00539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0961B9F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08</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12A165D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232A1743">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0.0015</w:t>
            </w:r>
          </w:p>
        </w:tc>
        <w:tc>
          <w:tcPr>
            <w:tcW w:w="134" w:type="pct"/>
            <w:tcBorders>
              <w:tl2br w:val="nil"/>
              <w:tr2bl w:val="nil"/>
            </w:tcBorders>
            <w:shd w:val="clear" w:color="auto" w:fill="auto"/>
            <w:vAlign w:val="center"/>
          </w:tcPr>
          <w:p w14:paraId="02AAC85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34438AC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24</w:t>
            </w:r>
          </w:p>
        </w:tc>
        <w:tc>
          <w:tcPr>
            <w:tcW w:w="210" w:type="pct"/>
            <w:tcBorders>
              <w:tl2br w:val="nil"/>
              <w:tr2bl w:val="nil"/>
            </w:tcBorders>
            <w:shd w:val="clear" w:color="auto" w:fill="auto"/>
            <w:vAlign w:val="center"/>
          </w:tcPr>
          <w:p w14:paraId="0E2E3BC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48CE39F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1BF3584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3.6</w:t>
            </w:r>
          </w:p>
        </w:tc>
        <w:tc>
          <w:tcPr>
            <w:tcW w:w="135" w:type="pct"/>
            <w:tcBorders>
              <w:tl2br w:val="nil"/>
              <w:tr2bl w:val="nil"/>
            </w:tcBorders>
            <w:shd w:val="clear" w:color="auto" w:fill="auto"/>
            <w:vAlign w:val="center"/>
          </w:tcPr>
          <w:p w14:paraId="7911EA5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0.44</w:t>
            </w:r>
          </w:p>
        </w:tc>
        <w:tc>
          <w:tcPr>
            <w:tcW w:w="133" w:type="pct"/>
            <w:tcBorders>
              <w:tl2br w:val="nil"/>
              <w:tr2bl w:val="nil"/>
            </w:tcBorders>
            <w:shd w:val="clear" w:color="auto" w:fill="auto"/>
            <w:vAlign w:val="center"/>
          </w:tcPr>
          <w:p w14:paraId="2E58132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57"/>
      <w:bookmarkEnd w:id="1458"/>
      <w:bookmarkEnd w:id="1459"/>
      <w:tr w14:paraId="13DFEAB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31D0E5A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bookmarkStart w:id="1461" w:name="OLE_LINK495" w:colFirst="2" w:colLast="28"/>
            <w:bookmarkStart w:id="1462" w:name="OLE_LINK496" w:colFirst="7" w:colLast="7"/>
            <w:bookmarkStart w:id="1463" w:name="OLE_LINK498" w:colFirst="2" w:colLast="2"/>
            <w:bookmarkStart w:id="1464" w:name="OLE_LINK499" w:colFirst="23" w:colLast="23"/>
          </w:p>
        </w:tc>
        <w:tc>
          <w:tcPr>
            <w:tcW w:w="216" w:type="pct"/>
            <w:tcBorders>
              <w:tl2br w:val="nil"/>
              <w:tr2bl w:val="nil"/>
            </w:tcBorders>
            <w:shd w:val="clear" w:color="auto" w:fill="auto"/>
            <w:vAlign w:val="center"/>
          </w:tcPr>
          <w:p w14:paraId="4B3B143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最大单因子指数</w:t>
            </w:r>
          </w:p>
        </w:tc>
        <w:tc>
          <w:tcPr>
            <w:tcW w:w="159" w:type="pct"/>
            <w:tcBorders>
              <w:tl2br w:val="nil"/>
              <w:tr2bl w:val="nil"/>
            </w:tcBorders>
            <w:shd w:val="clear" w:color="auto" w:fill="auto"/>
            <w:vAlign w:val="center"/>
          </w:tcPr>
          <w:p w14:paraId="7ED71274">
            <w:pPr>
              <w:jc w:val="center"/>
              <w:rPr>
                <w:rFonts w:hint="eastAsia"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shd w:val="clear" w:color="auto" w:fill="auto"/>
            <w:vAlign w:val="center"/>
          </w:tcPr>
          <w:p w14:paraId="57D992B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0.4</w:t>
            </w:r>
          </w:p>
        </w:tc>
        <w:tc>
          <w:tcPr>
            <w:tcW w:w="159" w:type="pct"/>
            <w:tcBorders>
              <w:tl2br w:val="nil"/>
              <w:tr2bl w:val="nil"/>
            </w:tcBorders>
            <w:shd w:val="clear" w:color="auto" w:fill="auto"/>
            <w:vAlign w:val="center"/>
          </w:tcPr>
          <w:p w14:paraId="0E8B1FC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0.69 </w:t>
            </w:r>
          </w:p>
        </w:tc>
        <w:tc>
          <w:tcPr>
            <w:tcW w:w="145" w:type="pct"/>
            <w:tcBorders>
              <w:tl2br w:val="nil"/>
              <w:tr2bl w:val="nil"/>
            </w:tcBorders>
            <w:shd w:val="clear" w:color="auto" w:fill="auto"/>
            <w:vAlign w:val="center"/>
          </w:tcPr>
          <w:p w14:paraId="4C6A5A2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63</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shd w:val="clear" w:color="auto" w:fill="auto"/>
            <w:vAlign w:val="center"/>
          </w:tcPr>
          <w:p w14:paraId="223E6B0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0.55 </w:t>
            </w:r>
          </w:p>
        </w:tc>
        <w:tc>
          <w:tcPr>
            <w:tcW w:w="140" w:type="pct"/>
            <w:tcBorders>
              <w:tl2br w:val="nil"/>
              <w:tr2bl w:val="nil"/>
            </w:tcBorders>
            <w:shd w:val="clear" w:color="auto" w:fill="auto"/>
            <w:vAlign w:val="center"/>
          </w:tcPr>
          <w:p w14:paraId="6D9035E0">
            <w:pPr>
              <w:jc w:val="center"/>
              <w:rPr>
                <w:rFonts w:hint="default" w:ascii="Times New Roman" w:hAnsi="Times New Roman" w:eastAsia="宋体" w:cs="Times New Roman"/>
                <w:snapToGrid w:val="0"/>
                <w:color w:val="auto"/>
                <w:kern w:val="0"/>
                <w:sz w:val="18"/>
                <w:szCs w:val="18"/>
                <w:lang w:val="en-US" w:eastAsia="en-US" w:bidi="ar-SA"/>
              </w:rPr>
            </w:pPr>
            <w:bookmarkStart w:id="1465" w:name="OLE_LINK501"/>
            <w:r>
              <w:rPr>
                <w:rFonts w:hint="eastAsia" w:ascii="Times New Roman" w:hAnsi="Times New Roman" w:eastAsia="宋体" w:cs="Times New Roman"/>
                <w:color w:val="auto"/>
                <w:sz w:val="18"/>
                <w:szCs w:val="18"/>
                <w:lang w:val="en-US" w:eastAsia="zh-CN"/>
              </w:rPr>
              <w:t>/</w:t>
            </w:r>
            <w:bookmarkEnd w:id="1465"/>
          </w:p>
        </w:tc>
        <w:tc>
          <w:tcPr>
            <w:tcW w:w="180" w:type="pct"/>
            <w:tcBorders>
              <w:tl2br w:val="nil"/>
              <w:tr2bl w:val="nil"/>
            </w:tcBorders>
            <w:shd w:val="clear" w:color="auto" w:fill="auto"/>
            <w:vAlign w:val="center"/>
          </w:tcPr>
          <w:p w14:paraId="214209A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0.63 </w:t>
            </w:r>
          </w:p>
        </w:tc>
        <w:tc>
          <w:tcPr>
            <w:tcW w:w="228" w:type="pct"/>
            <w:tcBorders>
              <w:tl2br w:val="nil"/>
              <w:tr2bl w:val="nil"/>
            </w:tcBorders>
            <w:shd w:val="clear" w:color="auto" w:fill="auto"/>
            <w:vAlign w:val="center"/>
          </w:tcPr>
          <w:p w14:paraId="1A882F5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0.40 </w:t>
            </w:r>
          </w:p>
        </w:tc>
        <w:tc>
          <w:tcPr>
            <w:tcW w:w="140" w:type="pct"/>
            <w:tcBorders>
              <w:tl2br w:val="nil"/>
              <w:tr2bl w:val="nil"/>
            </w:tcBorders>
            <w:shd w:val="clear" w:color="auto" w:fill="auto"/>
            <w:vAlign w:val="center"/>
          </w:tcPr>
          <w:p w14:paraId="1F3FB8A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i w:val="0"/>
                <w:iCs w:val="0"/>
                <w:snapToGrid w:val="0"/>
                <w:color w:val="auto"/>
                <w:kern w:val="0"/>
                <w:sz w:val="18"/>
                <w:szCs w:val="18"/>
                <w:highlight w:val="none"/>
                <w:u w:val="none"/>
                <w:lang w:val="en-US" w:eastAsia="zh-CN" w:bidi="ar"/>
              </w:rPr>
              <w:t>0.80</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40" w:type="pct"/>
            <w:tcBorders>
              <w:tl2br w:val="nil"/>
              <w:tr2bl w:val="nil"/>
            </w:tcBorders>
            <w:shd w:val="clear" w:color="auto" w:fill="auto"/>
            <w:vAlign w:val="center"/>
          </w:tcPr>
          <w:p w14:paraId="362BA23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0.05 </w:t>
            </w:r>
          </w:p>
        </w:tc>
        <w:tc>
          <w:tcPr>
            <w:tcW w:w="299" w:type="pct"/>
            <w:tcBorders>
              <w:tl2br w:val="nil"/>
              <w:tr2bl w:val="nil"/>
            </w:tcBorders>
            <w:shd w:val="clear" w:color="auto" w:fill="auto"/>
            <w:vAlign w:val="center"/>
          </w:tcPr>
          <w:p w14:paraId="4E78B7B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0.15 </w:t>
            </w:r>
          </w:p>
        </w:tc>
        <w:tc>
          <w:tcPr>
            <w:tcW w:w="172" w:type="pct"/>
            <w:tcBorders>
              <w:tl2br w:val="nil"/>
              <w:tr2bl w:val="nil"/>
            </w:tcBorders>
            <w:shd w:val="clear" w:color="auto" w:fill="auto"/>
            <w:vAlign w:val="center"/>
          </w:tcPr>
          <w:p w14:paraId="7A62CFB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34" w:type="pct"/>
            <w:tcBorders>
              <w:tl2br w:val="nil"/>
              <w:tr2bl w:val="nil"/>
            </w:tcBorders>
            <w:shd w:val="clear" w:color="auto" w:fill="auto"/>
            <w:vAlign w:val="center"/>
          </w:tcPr>
          <w:p w14:paraId="5F752F7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0.30 </w:t>
            </w:r>
          </w:p>
        </w:tc>
        <w:tc>
          <w:tcPr>
            <w:tcW w:w="180" w:type="pct"/>
            <w:tcBorders>
              <w:tl2br w:val="nil"/>
              <w:tr2bl w:val="nil"/>
            </w:tcBorders>
            <w:shd w:val="clear" w:color="auto" w:fill="auto"/>
            <w:vAlign w:val="center"/>
          </w:tcPr>
          <w:p w14:paraId="688FB44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180" w:type="pct"/>
            <w:tcBorders>
              <w:tl2br w:val="nil"/>
              <w:tr2bl w:val="nil"/>
            </w:tcBorders>
            <w:shd w:val="clear" w:color="auto" w:fill="auto"/>
            <w:vAlign w:val="center"/>
          </w:tcPr>
          <w:p w14:paraId="5CA7CB1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72" w:type="pct"/>
            <w:tcBorders>
              <w:tl2br w:val="nil"/>
              <w:tr2bl w:val="nil"/>
            </w:tcBorders>
            <w:shd w:val="clear" w:color="auto" w:fill="auto"/>
            <w:vAlign w:val="center"/>
          </w:tcPr>
          <w:p w14:paraId="4D551CD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0.006 </w:t>
            </w:r>
          </w:p>
        </w:tc>
        <w:tc>
          <w:tcPr>
            <w:tcW w:w="134" w:type="pct"/>
            <w:tcBorders>
              <w:tl2br w:val="nil"/>
              <w:tr2bl w:val="nil"/>
            </w:tcBorders>
            <w:shd w:val="clear" w:color="auto" w:fill="auto"/>
            <w:vAlign w:val="center"/>
          </w:tcPr>
          <w:p w14:paraId="2BD33BE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0.70 </w:t>
            </w:r>
          </w:p>
        </w:tc>
        <w:tc>
          <w:tcPr>
            <w:tcW w:w="258" w:type="pct"/>
            <w:tcBorders>
              <w:tl2br w:val="nil"/>
              <w:tr2bl w:val="nil"/>
            </w:tcBorders>
            <w:shd w:val="clear" w:color="auto" w:fill="auto"/>
            <w:vAlign w:val="center"/>
          </w:tcPr>
          <w:p w14:paraId="302BDA5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i w:val="0"/>
                <w:iCs w:val="0"/>
                <w:snapToGrid w:val="0"/>
                <w:color w:val="auto"/>
                <w:kern w:val="0"/>
                <w:sz w:val="18"/>
                <w:szCs w:val="18"/>
                <w:highlight w:val="none"/>
                <w:u w:val="none"/>
                <w:lang w:val="en-US" w:eastAsia="zh-CN" w:bidi="ar"/>
              </w:rPr>
              <w:t>0</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.90 </w:t>
            </w:r>
          </w:p>
        </w:tc>
        <w:tc>
          <w:tcPr>
            <w:tcW w:w="209" w:type="pct"/>
            <w:tcBorders>
              <w:tl2br w:val="nil"/>
              <w:tr2bl w:val="nil"/>
            </w:tcBorders>
            <w:shd w:val="clear" w:color="auto" w:fill="auto"/>
            <w:vAlign w:val="center"/>
          </w:tcPr>
          <w:p w14:paraId="63B3453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219" w:type="pct"/>
            <w:tcBorders>
              <w:tl2br w:val="nil"/>
              <w:tr2bl w:val="nil"/>
            </w:tcBorders>
            <w:shd w:val="clear" w:color="auto" w:fill="auto"/>
            <w:vAlign w:val="center"/>
          </w:tcPr>
          <w:p w14:paraId="4B72AD1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34" w:type="pct"/>
            <w:tcBorders>
              <w:tl2br w:val="nil"/>
              <w:tr2bl w:val="nil"/>
            </w:tcBorders>
            <w:shd w:val="clear" w:color="auto" w:fill="auto"/>
            <w:vAlign w:val="center"/>
          </w:tcPr>
          <w:p w14:paraId="1FC2A10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34" w:type="pct"/>
            <w:tcBorders>
              <w:tl2br w:val="nil"/>
              <w:tr2bl w:val="nil"/>
            </w:tcBorders>
            <w:shd w:val="clear" w:color="auto" w:fill="auto"/>
            <w:vAlign w:val="center"/>
          </w:tcPr>
          <w:p w14:paraId="06C2A48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4DBB999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72" w:type="pct"/>
            <w:tcBorders>
              <w:tl2br w:val="nil"/>
              <w:tr2bl w:val="nil"/>
            </w:tcBorders>
            <w:shd w:val="clear" w:color="auto" w:fill="auto"/>
            <w:vAlign w:val="center"/>
          </w:tcPr>
          <w:p w14:paraId="4521E8A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72" w:type="pct"/>
            <w:tcBorders>
              <w:tl2br w:val="nil"/>
              <w:tr2bl w:val="nil"/>
            </w:tcBorders>
            <w:shd w:val="clear" w:color="auto" w:fill="auto"/>
            <w:vAlign w:val="center"/>
          </w:tcPr>
          <w:p w14:paraId="71CDB1A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0.62 </w:t>
            </w:r>
          </w:p>
        </w:tc>
        <w:tc>
          <w:tcPr>
            <w:tcW w:w="135" w:type="pct"/>
            <w:tcBorders>
              <w:tl2br w:val="nil"/>
              <w:tr2bl w:val="nil"/>
            </w:tcBorders>
            <w:shd w:val="clear" w:color="auto" w:fill="auto"/>
            <w:vAlign w:val="center"/>
          </w:tcPr>
          <w:p w14:paraId="15D2810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0.44 </w:t>
            </w:r>
          </w:p>
        </w:tc>
        <w:tc>
          <w:tcPr>
            <w:tcW w:w="133" w:type="pct"/>
            <w:tcBorders>
              <w:tl2br w:val="nil"/>
              <w:tr2bl w:val="nil"/>
            </w:tcBorders>
            <w:shd w:val="clear" w:color="auto" w:fill="auto"/>
            <w:vAlign w:val="center"/>
          </w:tcPr>
          <w:p w14:paraId="0FFCFCF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0.13 </w:t>
            </w:r>
          </w:p>
        </w:tc>
      </w:tr>
      <w:bookmarkEnd w:id="1460"/>
      <w:bookmarkEnd w:id="1461"/>
      <w:tr w14:paraId="671FA60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6FB9496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shd w:val="clear" w:color="auto" w:fill="auto"/>
            <w:vAlign w:val="center"/>
          </w:tcPr>
          <w:p w14:paraId="153FD1D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超标率（%）</w:t>
            </w:r>
          </w:p>
        </w:tc>
        <w:tc>
          <w:tcPr>
            <w:tcW w:w="159" w:type="pct"/>
            <w:tcBorders>
              <w:tl2br w:val="nil"/>
              <w:tr2bl w:val="nil"/>
            </w:tcBorders>
            <w:shd w:val="clear" w:color="auto" w:fill="auto"/>
            <w:vAlign w:val="center"/>
          </w:tcPr>
          <w:p w14:paraId="539F591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shd w:val="clear" w:color="auto" w:fill="auto"/>
            <w:vAlign w:val="center"/>
          </w:tcPr>
          <w:p w14:paraId="60AE796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59" w:type="pct"/>
            <w:tcBorders>
              <w:tl2br w:val="nil"/>
              <w:tr2bl w:val="nil"/>
            </w:tcBorders>
            <w:shd w:val="clear" w:color="auto" w:fill="auto"/>
            <w:vAlign w:val="center"/>
          </w:tcPr>
          <w:p w14:paraId="03BB796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5" w:type="pct"/>
            <w:tcBorders>
              <w:tl2br w:val="nil"/>
              <w:tr2bl w:val="nil"/>
            </w:tcBorders>
            <w:shd w:val="clear" w:color="auto" w:fill="auto"/>
            <w:vAlign w:val="center"/>
          </w:tcPr>
          <w:p w14:paraId="707FC1C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77FC619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5B1BEF0B">
            <w:pPr>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61960AE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28" w:type="pct"/>
            <w:tcBorders>
              <w:tl2br w:val="nil"/>
              <w:tr2bl w:val="nil"/>
            </w:tcBorders>
            <w:shd w:val="clear" w:color="auto" w:fill="auto"/>
            <w:vAlign w:val="center"/>
          </w:tcPr>
          <w:p w14:paraId="3888866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4324D17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163AEEA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99" w:type="pct"/>
            <w:tcBorders>
              <w:tl2br w:val="nil"/>
              <w:tr2bl w:val="nil"/>
            </w:tcBorders>
            <w:shd w:val="clear" w:color="auto" w:fill="auto"/>
            <w:vAlign w:val="center"/>
          </w:tcPr>
          <w:p w14:paraId="63F3888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0D17670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15DFCEF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2B9453F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3DF9E53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5FFCB90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2B94A0F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58" w:type="pct"/>
            <w:tcBorders>
              <w:tl2br w:val="nil"/>
              <w:tr2bl w:val="nil"/>
            </w:tcBorders>
            <w:shd w:val="clear" w:color="auto" w:fill="auto"/>
            <w:vAlign w:val="center"/>
          </w:tcPr>
          <w:p w14:paraId="7B253C4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209" w:type="pct"/>
            <w:tcBorders>
              <w:tl2br w:val="nil"/>
              <w:tr2bl w:val="nil"/>
            </w:tcBorders>
            <w:shd w:val="clear" w:color="auto" w:fill="auto"/>
            <w:vAlign w:val="center"/>
          </w:tcPr>
          <w:p w14:paraId="61EB280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19" w:type="pct"/>
            <w:tcBorders>
              <w:tl2br w:val="nil"/>
              <w:tr2bl w:val="nil"/>
            </w:tcBorders>
            <w:shd w:val="clear" w:color="auto" w:fill="auto"/>
            <w:vAlign w:val="center"/>
          </w:tcPr>
          <w:p w14:paraId="7D682FD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042458C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538CDEC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3473D2C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4DB8F07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65E389B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5" w:type="pct"/>
            <w:tcBorders>
              <w:tl2br w:val="nil"/>
              <w:tr2bl w:val="nil"/>
            </w:tcBorders>
            <w:shd w:val="clear" w:color="auto" w:fill="auto"/>
            <w:vAlign w:val="center"/>
          </w:tcPr>
          <w:p w14:paraId="1DD6A2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3" w:type="pct"/>
            <w:tcBorders>
              <w:tl2br w:val="nil"/>
              <w:tr2bl w:val="nil"/>
            </w:tcBorders>
            <w:shd w:val="clear" w:color="auto" w:fill="auto"/>
            <w:vAlign w:val="center"/>
          </w:tcPr>
          <w:p w14:paraId="455B72F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r>
      <w:bookmarkEnd w:id="1462"/>
      <w:bookmarkEnd w:id="1463"/>
      <w:bookmarkEnd w:id="1464"/>
      <w:tr w14:paraId="52EB4B1C">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355" w:type="pct"/>
            <w:gridSpan w:val="2"/>
            <w:tcBorders>
              <w:tl2br w:val="nil"/>
              <w:tr2bl w:val="nil"/>
            </w:tcBorders>
            <w:vAlign w:val="center"/>
          </w:tcPr>
          <w:p w14:paraId="3D38FAC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Ⅲ类限值</w:t>
            </w:r>
          </w:p>
        </w:tc>
        <w:tc>
          <w:tcPr>
            <w:tcW w:w="159" w:type="pct"/>
            <w:tcBorders>
              <w:tl2br w:val="nil"/>
              <w:tr2bl w:val="nil"/>
            </w:tcBorders>
            <w:shd w:val="clear" w:color="auto" w:fill="auto"/>
            <w:vAlign w:val="center"/>
          </w:tcPr>
          <w:p w14:paraId="1A76C7A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b/>
                <w:bCs/>
                <w:color w:val="auto"/>
                <w:sz w:val="18"/>
                <w:szCs w:val="18"/>
                <w:lang w:val="en-US" w:eastAsia="zh-CN"/>
              </w:rPr>
              <w:t>/</w:t>
            </w:r>
          </w:p>
        </w:tc>
        <w:tc>
          <w:tcPr>
            <w:tcW w:w="157" w:type="pct"/>
            <w:tcBorders>
              <w:tl2br w:val="nil"/>
              <w:tr2bl w:val="nil"/>
            </w:tcBorders>
            <w:shd w:val="clear" w:color="auto" w:fill="auto"/>
            <w:vAlign w:val="center"/>
          </w:tcPr>
          <w:p w14:paraId="1A28C5B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6-9</w:t>
            </w:r>
          </w:p>
        </w:tc>
        <w:tc>
          <w:tcPr>
            <w:tcW w:w="159" w:type="pct"/>
            <w:tcBorders>
              <w:tl2br w:val="nil"/>
              <w:tr2bl w:val="nil"/>
            </w:tcBorders>
            <w:shd w:val="clear" w:color="auto" w:fill="auto"/>
            <w:vAlign w:val="center"/>
          </w:tcPr>
          <w:p w14:paraId="63C0CF8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highlight w:val="none"/>
                <w:lang w:val="en-US" w:eastAsia="en-US" w:bidi="ar-SA"/>
              </w:rPr>
            </w:pPr>
            <w:r>
              <w:rPr>
                <w:rFonts w:hint="default" w:ascii="Times New Roman" w:hAnsi="Times New Roman" w:eastAsia="宋体" w:cs="Times New Roman"/>
                <w:b w:val="0"/>
                <w:bCs w:val="0"/>
                <w:color w:val="auto"/>
                <w:sz w:val="18"/>
                <w:szCs w:val="18"/>
                <w:highlight w:val="none"/>
                <w:lang w:val="en-US" w:eastAsia="zh-CN"/>
              </w:rPr>
              <w:t>5</w:t>
            </w:r>
          </w:p>
        </w:tc>
        <w:tc>
          <w:tcPr>
            <w:tcW w:w="145" w:type="pct"/>
            <w:tcBorders>
              <w:tl2br w:val="nil"/>
              <w:tr2bl w:val="nil"/>
            </w:tcBorders>
            <w:shd w:val="clear" w:color="auto" w:fill="auto"/>
            <w:vAlign w:val="center"/>
          </w:tcPr>
          <w:p w14:paraId="54F65F6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4</w:t>
            </w:r>
          </w:p>
        </w:tc>
        <w:tc>
          <w:tcPr>
            <w:tcW w:w="134" w:type="pct"/>
            <w:tcBorders>
              <w:tl2br w:val="nil"/>
              <w:tr2bl w:val="nil"/>
            </w:tcBorders>
            <w:shd w:val="clear" w:color="auto" w:fill="auto"/>
            <w:vAlign w:val="center"/>
          </w:tcPr>
          <w:p w14:paraId="658FCBB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20</w:t>
            </w:r>
          </w:p>
        </w:tc>
        <w:tc>
          <w:tcPr>
            <w:tcW w:w="140" w:type="pct"/>
            <w:tcBorders>
              <w:tl2br w:val="nil"/>
              <w:tr2bl w:val="nil"/>
            </w:tcBorders>
            <w:shd w:val="clear" w:color="auto" w:fill="auto"/>
            <w:vAlign w:val="center"/>
          </w:tcPr>
          <w:p w14:paraId="21D7148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highlight w:val="none"/>
                <w:lang w:val="en-US" w:eastAsia="en-US" w:bidi="ar-SA"/>
              </w:rPr>
            </w:pPr>
            <w:r>
              <w:rPr>
                <w:rFonts w:hint="eastAsia" w:ascii="Times New Roman" w:hAnsi="Times New Roman" w:eastAsia="宋体" w:cs="Times New Roman"/>
                <w:b w:val="0"/>
                <w:bCs w:val="0"/>
                <w:color w:val="auto"/>
                <w:sz w:val="18"/>
                <w:szCs w:val="18"/>
                <w:highlight w:val="none"/>
                <w:lang w:val="en-US" w:eastAsia="zh-CN"/>
              </w:rPr>
              <w:t>/</w:t>
            </w:r>
          </w:p>
        </w:tc>
        <w:tc>
          <w:tcPr>
            <w:tcW w:w="180" w:type="pct"/>
            <w:tcBorders>
              <w:tl2br w:val="nil"/>
              <w:tr2bl w:val="nil"/>
            </w:tcBorders>
            <w:shd w:val="clear" w:color="auto" w:fill="auto"/>
            <w:vAlign w:val="center"/>
          </w:tcPr>
          <w:p w14:paraId="450928F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1.0</w:t>
            </w:r>
          </w:p>
        </w:tc>
        <w:tc>
          <w:tcPr>
            <w:tcW w:w="228" w:type="pct"/>
            <w:tcBorders>
              <w:tl2br w:val="nil"/>
              <w:tr2bl w:val="nil"/>
            </w:tcBorders>
            <w:shd w:val="clear" w:color="auto" w:fill="auto"/>
            <w:vAlign w:val="center"/>
          </w:tcPr>
          <w:p w14:paraId="5E2FAA9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0.2</w:t>
            </w:r>
          </w:p>
        </w:tc>
        <w:tc>
          <w:tcPr>
            <w:tcW w:w="140" w:type="pct"/>
            <w:tcBorders>
              <w:tl2br w:val="nil"/>
              <w:tr2bl w:val="nil"/>
            </w:tcBorders>
            <w:shd w:val="clear" w:color="auto" w:fill="auto"/>
            <w:vAlign w:val="center"/>
          </w:tcPr>
          <w:p w14:paraId="0BE9D44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0.05</w:t>
            </w:r>
          </w:p>
        </w:tc>
        <w:tc>
          <w:tcPr>
            <w:tcW w:w="140" w:type="pct"/>
            <w:tcBorders>
              <w:tl2br w:val="nil"/>
              <w:tr2bl w:val="nil"/>
            </w:tcBorders>
            <w:shd w:val="clear" w:color="auto" w:fill="auto"/>
            <w:vAlign w:val="center"/>
          </w:tcPr>
          <w:p w14:paraId="6C1A86F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0.2</w:t>
            </w:r>
          </w:p>
        </w:tc>
        <w:tc>
          <w:tcPr>
            <w:tcW w:w="299" w:type="pct"/>
            <w:tcBorders>
              <w:tl2br w:val="nil"/>
              <w:tr2bl w:val="nil"/>
            </w:tcBorders>
            <w:shd w:val="clear" w:color="auto" w:fill="auto"/>
            <w:vAlign w:val="center"/>
          </w:tcPr>
          <w:p w14:paraId="4CAB6F4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highlight w:val="none"/>
                <w:lang w:val="en-US" w:eastAsia="en-US" w:bidi="ar-SA"/>
              </w:rPr>
            </w:pPr>
            <w:r>
              <w:rPr>
                <w:rFonts w:hint="default" w:ascii="Times New Roman" w:hAnsi="Times New Roman" w:eastAsia="宋体" w:cs="Times New Roman"/>
                <w:b w:val="0"/>
                <w:bCs w:val="0"/>
                <w:color w:val="auto"/>
                <w:sz w:val="18"/>
                <w:szCs w:val="18"/>
                <w:highlight w:val="none"/>
                <w:lang w:val="en-US" w:eastAsia="zh-CN"/>
              </w:rPr>
              <w:t>0.005</w:t>
            </w:r>
          </w:p>
        </w:tc>
        <w:tc>
          <w:tcPr>
            <w:tcW w:w="172" w:type="pct"/>
            <w:tcBorders>
              <w:tl2br w:val="nil"/>
              <w:tr2bl w:val="nil"/>
            </w:tcBorders>
            <w:shd w:val="clear" w:color="auto" w:fill="auto"/>
            <w:vAlign w:val="center"/>
          </w:tcPr>
          <w:p w14:paraId="2CD897A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0.05</w:t>
            </w:r>
          </w:p>
        </w:tc>
        <w:tc>
          <w:tcPr>
            <w:tcW w:w="134" w:type="pct"/>
            <w:tcBorders>
              <w:tl2br w:val="nil"/>
              <w:tr2bl w:val="nil"/>
            </w:tcBorders>
            <w:shd w:val="clear" w:color="auto" w:fill="auto"/>
            <w:vAlign w:val="center"/>
          </w:tcPr>
          <w:p w14:paraId="531B839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0.05</w:t>
            </w:r>
          </w:p>
        </w:tc>
        <w:tc>
          <w:tcPr>
            <w:tcW w:w="180" w:type="pct"/>
            <w:tcBorders>
              <w:tl2br w:val="nil"/>
              <w:tr2bl w:val="nil"/>
            </w:tcBorders>
            <w:shd w:val="clear" w:color="auto" w:fill="auto"/>
            <w:vAlign w:val="center"/>
          </w:tcPr>
          <w:p w14:paraId="137CA1F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1.0</w:t>
            </w:r>
          </w:p>
        </w:tc>
        <w:tc>
          <w:tcPr>
            <w:tcW w:w="180" w:type="pct"/>
            <w:tcBorders>
              <w:tl2br w:val="nil"/>
              <w:tr2bl w:val="nil"/>
            </w:tcBorders>
            <w:shd w:val="clear" w:color="auto" w:fill="auto"/>
            <w:vAlign w:val="center"/>
          </w:tcPr>
          <w:p w14:paraId="6277EDF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0.1</w:t>
            </w:r>
          </w:p>
        </w:tc>
        <w:tc>
          <w:tcPr>
            <w:tcW w:w="172" w:type="pct"/>
            <w:tcBorders>
              <w:tl2br w:val="nil"/>
              <w:tr2bl w:val="nil"/>
            </w:tcBorders>
            <w:shd w:val="clear" w:color="auto" w:fill="auto"/>
            <w:vAlign w:val="center"/>
          </w:tcPr>
          <w:p w14:paraId="7780A36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1.0</w:t>
            </w:r>
          </w:p>
        </w:tc>
        <w:tc>
          <w:tcPr>
            <w:tcW w:w="134" w:type="pct"/>
            <w:tcBorders>
              <w:tl2br w:val="nil"/>
              <w:tr2bl w:val="nil"/>
            </w:tcBorders>
            <w:shd w:val="clear" w:color="auto" w:fill="auto"/>
            <w:vAlign w:val="center"/>
          </w:tcPr>
          <w:p w14:paraId="1D1E0C5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0.05</w:t>
            </w:r>
          </w:p>
        </w:tc>
        <w:tc>
          <w:tcPr>
            <w:tcW w:w="258" w:type="pct"/>
            <w:tcBorders>
              <w:tl2br w:val="nil"/>
              <w:tr2bl w:val="nil"/>
            </w:tcBorders>
            <w:shd w:val="clear" w:color="auto" w:fill="auto"/>
            <w:vAlign w:val="center"/>
          </w:tcPr>
          <w:p w14:paraId="1AA7469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highlight w:val="none"/>
                <w:lang w:val="en-US" w:eastAsia="en-US" w:bidi="ar-SA"/>
              </w:rPr>
            </w:pPr>
            <w:r>
              <w:rPr>
                <w:rFonts w:hint="default" w:ascii="Times New Roman" w:hAnsi="Times New Roman" w:eastAsia="宋体" w:cs="Times New Roman"/>
                <w:b w:val="0"/>
                <w:bCs w:val="0"/>
                <w:color w:val="auto"/>
                <w:sz w:val="18"/>
                <w:szCs w:val="18"/>
                <w:highlight w:val="none"/>
                <w:lang w:val="en-US" w:eastAsia="zh-CN"/>
              </w:rPr>
              <w:t>0.0001</w:t>
            </w:r>
          </w:p>
        </w:tc>
        <w:tc>
          <w:tcPr>
            <w:tcW w:w="209" w:type="pct"/>
            <w:tcBorders>
              <w:tl2br w:val="nil"/>
              <w:tr2bl w:val="nil"/>
            </w:tcBorders>
            <w:shd w:val="clear" w:color="auto" w:fill="auto"/>
            <w:vAlign w:val="center"/>
          </w:tcPr>
          <w:p w14:paraId="53B452B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0.01</w:t>
            </w:r>
          </w:p>
        </w:tc>
        <w:tc>
          <w:tcPr>
            <w:tcW w:w="219" w:type="pct"/>
            <w:tcBorders>
              <w:tl2br w:val="nil"/>
              <w:tr2bl w:val="nil"/>
            </w:tcBorders>
            <w:shd w:val="clear" w:color="auto" w:fill="auto"/>
            <w:vAlign w:val="center"/>
          </w:tcPr>
          <w:p w14:paraId="4FF19F0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highlight w:val="none"/>
                <w:lang w:val="en-US" w:eastAsia="en-US" w:bidi="ar-SA"/>
              </w:rPr>
            </w:pPr>
            <w:r>
              <w:rPr>
                <w:rFonts w:hint="default" w:ascii="Times New Roman" w:hAnsi="Times New Roman" w:eastAsia="宋体" w:cs="Times New Roman"/>
                <w:b w:val="0"/>
                <w:bCs w:val="0"/>
                <w:color w:val="auto"/>
                <w:sz w:val="18"/>
                <w:szCs w:val="18"/>
                <w:highlight w:val="none"/>
                <w:lang w:val="en-US" w:eastAsia="zh-CN"/>
              </w:rPr>
              <w:t>0.05</w:t>
            </w:r>
          </w:p>
        </w:tc>
        <w:tc>
          <w:tcPr>
            <w:tcW w:w="134" w:type="pct"/>
            <w:tcBorders>
              <w:tl2br w:val="nil"/>
              <w:tr2bl w:val="nil"/>
            </w:tcBorders>
            <w:shd w:val="clear" w:color="auto" w:fill="auto"/>
            <w:vAlign w:val="center"/>
          </w:tcPr>
          <w:p w14:paraId="0EC17E2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0.02</w:t>
            </w:r>
          </w:p>
        </w:tc>
        <w:tc>
          <w:tcPr>
            <w:tcW w:w="134" w:type="pct"/>
            <w:tcBorders>
              <w:tl2br w:val="nil"/>
              <w:tr2bl w:val="nil"/>
            </w:tcBorders>
            <w:shd w:val="clear" w:color="auto" w:fill="auto"/>
            <w:vAlign w:val="center"/>
          </w:tcPr>
          <w:p w14:paraId="2B4CACA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7B2DF48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0.005</w:t>
            </w:r>
          </w:p>
        </w:tc>
        <w:tc>
          <w:tcPr>
            <w:tcW w:w="172" w:type="pct"/>
            <w:tcBorders>
              <w:tl2br w:val="nil"/>
              <w:tr2bl w:val="nil"/>
            </w:tcBorders>
            <w:shd w:val="clear" w:color="auto" w:fill="auto"/>
            <w:vAlign w:val="center"/>
          </w:tcPr>
          <w:p w14:paraId="66B112E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c>
          <w:tcPr>
            <w:tcW w:w="172" w:type="pct"/>
            <w:tcBorders>
              <w:tl2br w:val="nil"/>
              <w:tr2bl w:val="nil"/>
            </w:tcBorders>
            <w:shd w:val="clear" w:color="auto" w:fill="auto"/>
            <w:vAlign w:val="center"/>
          </w:tcPr>
          <w:p w14:paraId="2F9E794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6</w:t>
            </w:r>
          </w:p>
        </w:tc>
        <w:tc>
          <w:tcPr>
            <w:tcW w:w="135" w:type="pct"/>
            <w:tcBorders>
              <w:tl2br w:val="nil"/>
              <w:tr2bl w:val="nil"/>
            </w:tcBorders>
            <w:shd w:val="clear" w:color="auto" w:fill="auto"/>
            <w:vAlign w:val="center"/>
          </w:tcPr>
          <w:p w14:paraId="2D95DFA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1.0</w:t>
            </w:r>
          </w:p>
        </w:tc>
        <w:tc>
          <w:tcPr>
            <w:tcW w:w="133" w:type="pct"/>
            <w:tcBorders>
              <w:tl2br w:val="nil"/>
              <w:tr2bl w:val="nil"/>
            </w:tcBorders>
            <w:shd w:val="clear" w:color="auto" w:fill="auto"/>
            <w:vAlign w:val="center"/>
          </w:tcPr>
          <w:p w14:paraId="63BFD1C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r>
      <w:tr w14:paraId="7F3F51D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restart"/>
            <w:tcBorders>
              <w:tl2br w:val="nil"/>
              <w:tr2bl w:val="nil"/>
            </w:tcBorders>
            <w:shd w:val="clear" w:color="auto" w:fill="auto"/>
            <w:vAlign w:val="center"/>
          </w:tcPr>
          <w:p w14:paraId="6E9DCE9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466" w:name="OLE_LINK873" w:colFirst="19" w:colLast="19"/>
            <w:r>
              <w:rPr>
                <w:rFonts w:hint="default" w:ascii="Times New Roman" w:hAnsi="Times New Roman" w:cs="Times New Roman"/>
                <w:color w:val="auto"/>
                <w:kern w:val="2"/>
                <w:sz w:val="18"/>
                <w:szCs w:val="18"/>
                <w:highlight w:val="none"/>
                <w:lang w:val="en-US" w:eastAsia="zh-CN" w:bidi="ar-SA"/>
              </w:rPr>
              <w:t>W4-1</w:t>
            </w:r>
          </w:p>
        </w:tc>
        <w:tc>
          <w:tcPr>
            <w:tcW w:w="216" w:type="pct"/>
            <w:tcBorders>
              <w:tl2br w:val="nil"/>
              <w:tr2bl w:val="nil"/>
            </w:tcBorders>
            <w:shd w:val="clear" w:color="auto" w:fill="auto"/>
            <w:vAlign w:val="center"/>
          </w:tcPr>
          <w:p w14:paraId="6C11E88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最大值</w:t>
            </w:r>
          </w:p>
        </w:tc>
        <w:tc>
          <w:tcPr>
            <w:tcW w:w="159" w:type="pct"/>
            <w:tcBorders>
              <w:tl2br w:val="nil"/>
              <w:tr2bl w:val="nil"/>
            </w:tcBorders>
            <w:shd w:val="clear" w:color="auto" w:fill="auto"/>
            <w:vAlign w:val="center"/>
          </w:tcPr>
          <w:p w14:paraId="57D8B8B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28.5</w:t>
            </w:r>
          </w:p>
        </w:tc>
        <w:tc>
          <w:tcPr>
            <w:tcW w:w="157" w:type="pct"/>
            <w:tcBorders>
              <w:tl2br w:val="nil"/>
              <w:tr2bl w:val="nil"/>
            </w:tcBorders>
            <w:shd w:val="clear" w:color="auto" w:fill="auto"/>
            <w:vAlign w:val="center"/>
          </w:tcPr>
          <w:p w14:paraId="0A72B18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7.6</w:t>
            </w:r>
          </w:p>
        </w:tc>
        <w:tc>
          <w:tcPr>
            <w:tcW w:w="159" w:type="pct"/>
            <w:tcBorders>
              <w:tl2br w:val="nil"/>
              <w:tr2bl w:val="nil"/>
            </w:tcBorders>
            <w:shd w:val="clear" w:color="auto" w:fill="auto"/>
            <w:vAlign w:val="center"/>
          </w:tcPr>
          <w:p w14:paraId="0B46626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5.3</w:t>
            </w:r>
          </w:p>
        </w:tc>
        <w:tc>
          <w:tcPr>
            <w:tcW w:w="145" w:type="pct"/>
            <w:tcBorders>
              <w:tl2br w:val="nil"/>
              <w:tr2bl w:val="nil"/>
            </w:tcBorders>
            <w:shd w:val="clear" w:color="auto" w:fill="auto"/>
            <w:vAlign w:val="center"/>
          </w:tcPr>
          <w:p w14:paraId="6FDA47D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2.2 </w:t>
            </w:r>
          </w:p>
        </w:tc>
        <w:tc>
          <w:tcPr>
            <w:tcW w:w="134" w:type="pct"/>
            <w:tcBorders>
              <w:tl2br w:val="nil"/>
              <w:tr2bl w:val="nil"/>
            </w:tcBorders>
            <w:shd w:val="clear" w:color="auto" w:fill="auto"/>
            <w:vAlign w:val="center"/>
          </w:tcPr>
          <w:p w14:paraId="1A42FED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9</w:t>
            </w:r>
          </w:p>
        </w:tc>
        <w:tc>
          <w:tcPr>
            <w:tcW w:w="140" w:type="pct"/>
            <w:tcBorders>
              <w:tl2br w:val="nil"/>
              <w:tr2bl w:val="nil"/>
            </w:tcBorders>
            <w:shd w:val="clear" w:color="auto" w:fill="auto"/>
            <w:vAlign w:val="center"/>
          </w:tcPr>
          <w:p w14:paraId="4D8D357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4.83 </w:t>
            </w:r>
          </w:p>
        </w:tc>
        <w:tc>
          <w:tcPr>
            <w:tcW w:w="180" w:type="pct"/>
            <w:tcBorders>
              <w:tl2br w:val="nil"/>
              <w:tr2bl w:val="nil"/>
            </w:tcBorders>
            <w:shd w:val="clear" w:color="auto" w:fill="auto"/>
            <w:vAlign w:val="center"/>
          </w:tcPr>
          <w:p w14:paraId="46C9841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0.527 </w:t>
            </w:r>
          </w:p>
        </w:tc>
        <w:tc>
          <w:tcPr>
            <w:tcW w:w="228" w:type="pct"/>
            <w:tcBorders>
              <w:tl2br w:val="nil"/>
              <w:tr2bl w:val="nil"/>
            </w:tcBorders>
            <w:shd w:val="clear" w:color="auto" w:fill="auto"/>
            <w:vAlign w:val="center"/>
          </w:tcPr>
          <w:p w14:paraId="26C2D44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0.07 </w:t>
            </w:r>
          </w:p>
        </w:tc>
        <w:tc>
          <w:tcPr>
            <w:tcW w:w="140" w:type="pct"/>
            <w:tcBorders>
              <w:tl2br w:val="nil"/>
              <w:tr2bl w:val="nil"/>
            </w:tcBorders>
            <w:shd w:val="clear" w:color="auto" w:fill="auto"/>
            <w:vAlign w:val="center"/>
          </w:tcPr>
          <w:p w14:paraId="77A77F2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40" w:type="pct"/>
            <w:tcBorders>
              <w:tl2br w:val="nil"/>
              <w:tr2bl w:val="nil"/>
            </w:tcBorders>
            <w:shd w:val="clear" w:color="auto" w:fill="auto"/>
            <w:vAlign w:val="center"/>
          </w:tcPr>
          <w:p w14:paraId="2492EF6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99" w:type="pct"/>
            <w:tcBorders>
              <w:tl2br w:val="nil"/>
              <w:tr2bl w:val="nil"/>
            </w:tcBorders>
            <w:shd w:val="clear" w:color="auto" w:fill="auto"/>
            <w:vAlign w:val="center"/>
          </w:tcPr>
          <w:p w14:paraId="7528A5D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0.000689 </w:t>
            </w:r>
          </w:p>
        </w:tc>
        <w:tc>
          <w:tcPr>
            <w:tcW w:w="172" w:type="pct"/>
            <w:tcBorders>
              <w:tl2br w:val="nil"/>
              <w:tr2bl w:val="nil"/>
            </w:tcBorders>
            <w:shd w:val="clear" w:color="auto" w:fill="auto"/>
            <w:vAlign w:val="center"/>
          </w:tcPr>
          <w:p w14:paraId="42046E1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25D6AA0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10CFB89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0.006 </w:t>
            </w:r>
          </w:p>
        </w:tc>
        <w:tc>
          <w:tcPr>
            <w:tcW w:w="180" w:type="pct"/>
            <w:tcBorders>
              <w:tl2br w:val="nil"/>
              <w:tr2bl w:val="nil"/>
            </w:tcBorders>
            <w:shd w:val="clear" w:color="auto" w:fill="auto"/>
            <w:vAlign w:val="center"/>
          </w:tcPr>
          <w:p w14:paraId="141C629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275B007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5F19C9F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460650A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w:t>
            </w:r>
            <w:bookmarkStart w:id="1467" w:name="OLE_LINK652"/>
            <w:r>
              <w:rPr>
                <w:rFonts w:hint="default" w:ascii="Times New Roman" w:hAnsi="Times New Roman" w:eastAsia="宋体" w:cs="Times New Roman"/>
                <w:i w:val="0"/>
                <w:iCs w:val="0"/>
                <w:snapToGrid w:val="0"/>
                <w:color w:val="auto"/>
                <w:kern w:val="0"/>
                <w:sz w:val="18"/>
                <w:szCs w:val="18"/>
                <w:highlight w:val="none"/>
                <w:u w:val="none"/>
                <w:lang w:val="en-US" w:eastAsia="zh-CN" w:bidi="ar"/>
              </w:rPr>
              <w:t>.00</w:t>
            </w:r>
            <w:bookmarkStart w:id="1468" w:name="OLE_LINK872"/>
            <w:r>
              <w:rPr>
                <w:rFonts w:hint="default" w:ascii="Times New Roman" w:hAnsi="Times New Roman" w:eastAsia="宋体" w:cs="Times New Roman"/>
                <w:i w:val="0"/>
                <w:iCs w:val="0"/>
                <w:snapToGrid w:val="0"/>
                <w:color w:val="auto"/>
                <w:kern w:val="0"/>
                <w:sz w:val="18"/>
                <w:szCs w:val="18"/>
                <w:highlight w:val="none"/>
                <w:u w:val="none"/>
                <w:lang w:val="en-US" w:eastAsia="zh-CN" w:bidi="ar"/>
              </w:rPr>
              <w:t>0</w:t>
            </w:r>
            <w:bookmarkEnd w:id="1468"/>
            <w:r>
              <w:rPr>
                <w:rFonts w:hint="eastAsia" w:ascii="Times New Roman" w:hAnsi="Times New Roman" w:eastAsia="宋体" w:cs="Times New Roman"/>
                <w:i w:val="0"/>
                <w:iCs w:val="0"/>
                <w:snapToGrid w:val="0"/>
                <w:color w:val="auto"/>
                <w:kern w:val="0"/>
                <w:sz w:val="18"/>
                <w:szCs w:val="18"/>
                <w:highlight w:val="none"/>
                <w:u w:val="none"/>
                <w:lang w:val="en-US" w:eastAsia="zh-CN" w:bidi="ar"/>
              </w:rPr>
              <w:t>09</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bookmarkEnd w:id="1467"/>
          </w:p>
        </w:tc>
        <w:tc>
          <w:tcPr>
            <w:tcW w:w="209" w:type="pct"/>
            <w:tcBorders>
              <w:tl2br w:val="nil"/>
              <w:tr2bl w:val="nil"/>
            </w:tcBorders>
            <w:shd w:val="clear" w:color="auto" w:fill="auto"/>
            <w:vAlign w:val="center"/>
          </w:tcPr>
          <w:p w14:paraId="2ECF046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104506D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0.0018 </w:t>
            </w:r>
          </w:p>
        </w:tc>
        <w:tc>
          <w:tcPr>
            <w:tcW w:w="134" w:type="pct"/>
            <w:tcBorders>
              <w:tl2br w:val="nil"/>
              <w:tr2bl w:val="nil"/>
            </w:tcBorders>
            <w:shd w:val="clear" w:color="auto" w:fill="auto"/>
            <w:vAlign w:val="center"/>
          </w:tcPr>
          <w:p w14:paraId="12121DC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7D59297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25</w:t>
            </w:r>
          </w:p>
        </w:tc>
        <w:tc>
          <w:tcPr>
            <w:tcW w:w="210" w:type="pct"/>
            <w:tcBorders>
              <w:tl2br w:val="nil"/>
              <w:tr2bl w:val="nil"/>
            </w:tcBorders>
            <w:shd w:val="clear" w:color="auto" w:fill="auto"/>
            <w:vAlign w:val="center"/>
          </w:tcPr>
          <w:p w14:paraId="7D68F73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0E25317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33FFE59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3.5</w:t>
            </w:r>
          </w:p>
        </w:tc>
        <w:tc>
          <w:tcPr>
            <w:tcW w:w="135" w:type="pct"/>
            <w:tcBorders>
              <w:tl2br w:val="nil"/>
              <w:tr2bl w:val="nil"/>
            </w:tcBorders>
            <w:shd w:val="clear" w:color="auto" w:fill="auto"/>
            <w:vAlign w:val="center"/>
          </w:tcPr>
          <w:p w14:paraId="249352F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0.91</w:t>
            </w:r>
          </w:p>
        </w:tc>
        <w:tc>
          <w:tcPr>
            <w:tcW w:w="133" w:type="pct"/>
            <w:tcBorders>
              <w:tl2br w:val="nil"/>
              <w:tr2bl w:val="nil"/>
            </w:tcBorders>
            <w:shd w:val="clear" w:color="auto" w:fill="auto"/>
            <w:vAlign w:val="center"/>
          </w:tcPr>
          <w:p w14:paraId="4D9A728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tr w14:paraId="2FDF1EA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1BEC3D2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shd w:val="clear" w:color="auto" w:fill="auto"/>
            <w:vAlign w:val="center"/>
          </w:tcPr>
          <w:p w14:paraId="29D5914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最小值</w:t>
            </w:r>
          </w:p>
        </w:tc>
        <w:tc>
          <w:tcPr>
            <w:tcW w:w="159" w:type="pct"/>
            <w:tcBorders>
              <w:tl2br w:val="nil"/>
              <w:tr2bl w:val="nil"/>
            </w:tcBorders>
            <w:shd w:val="clear" w:color="auto" w:fill="auto"/>
            <w:vAlign w:val="center"/>
          </w:tcPr>
          <w:p w14:paraId="6D64B16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28.3</w:t>
            </w:r>
          </w:p>
        </w:tc>
        <w:tc>
          <w:tcPr>
            <w:tcW w:w="157" w:type="pct"/>
            <w:tcBorders>
              <w:tl2br w:val="nil"/>
              <w:tr2bl w:val="nil"/>
            </w:tcBorders>
            <w:shd w:val="clear" w:color="auto" w:fill="auto"/>
            <w:vAlign w:val="center"/>
          </w:tcPr>
          <w:p w14:paraId="4B639A9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7.5</w:t>
            </w:r>
          </w:p>
        </w:tc>
        <w:tc>
          <w:tcPr>
            <w:tcW w:w="159" w:type="pct"/>
            <w:tcBorders>
              <w:tl2br w:val="nil"/>
              <w:tr2bl w:val="nil"/>
            </w:tcBorders>
            <w:shd w:val="clear" w:color="auto" w:fill="auto"/>
            <w:vAlign w:val="center"/>
          </w:tcPr>
          <w:p w14:paraId="1151FEA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5.2</w:t>
            </w:r>
          </w:p>
        </w:tc>
        <w:tc>
          <w:tcPr>
            <w:tcW w:w="145" w:type="pct"/>
            <w:tcBorders>
              <w:tl2br w:val="nil"/>
              <w:tr2bl w:val="nil"/>
            </w:tcBorders>
            <w:shd w:val="clear" w:color="auto" w:fill="auto"/>
            <w:vAlign w:val="center"/>
          </w:tcPr>
          <w:p w14:paraId="36CD436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2.1 </w:t>
            </w:r>
          </w:p>
        </w:tc>
        <w:tc>
          <w:tcPr>
            <w:tcW w:w="134" w:type="pct"/>
            <w:tcBorders>
              <w:tl2br w:val="nil"/>
              <w:tr2bl w:val="nil"/>
            </w:tcBorders>
            <w:shd w:val="clear" w:color="auto" w:fill="auto"/>
            <w:vAlign w:val="center"/>
          </w:tcPr>
          <w:p w14:paraId="5167EC1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8</w:t>
            </w:r>
          </w:p>
        </w:tc>
        <w:tc>
          <w:tcPr>
            <w:tcW w:w="140" w:type="pct"/>
            <w:tcBorders>
              <w:tl2br w:val="nil"/>
              <w:tr2bl w:val="nil"/>
            </w:tcBorders>
            <w:shd w:val="clear" w:color="auto" w:fill="auto"/>
            <w:vAlign w:val="center"/>
          </w:tcPr>
          <w:p w14:paraId="4BDECC9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4.69 </w:t>
            </w:r>
          </w:p>
        </w:tc>
        <w:tc>
          <w:tcPr>
            <w:tcW w:w="180" w:type="pct"/>
            <w:tcBorders>
              <w:tl2br w:val="nil"/>
              <w:tr2bl w:val="nil"/>
            </w:tcBorders>
            <w:shd w:val="clear" w:color="auto" w:fill="auto"/>
            <w:vAlign w:val="center"/>
          </w:tcPr>
          <w:p w14:paraId="0E19323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0.504 </w:t>
            </w:r>
          </w:p>
        </w:tc>
        <w:tc>
          <w:tcPr>
            <w:tcW w:w="228" w:type="pct"/>
            <w:tcBorders>
              <w:tl2br w:val="nil"/>
              <w:tr2bl w:val="nil"/>
            </w:tcBorders>
            <w:shd w:val="clear" w:color="auto" w:fill="auto"/>
            <w:vAlign w:val="center"/>
          </w:tcPr>
          <w:p w14:paraId="1EC33D5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0.06 </w:t>
            </w:r>
          </w:p>
        </w:tc>
        <w:tc>
          <w:tcPr>
            <w:tcW w:w="140" w:type="pct"/>
            <w:tcBorders>
              <w:tl2br w:val="nil"/>
              <w:tr2bl w:val="nil"/>
            </w:tcBorders>
            <w:shd w:val="clear" w:color="auto" w:fill="auto"/>
            <w:vAlign w:val="center"/>
          </w:tcPr>
          <w:p w14:paraId="1C82B65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40" w:type="pct"/>
            <w:tcBorders>
              <w:tl2br w:val="nil"/>
              <w:tr2bl w:val="nil"/>
            </w:tcBorders>
            <w:shd w:val="clear" w:color="auto" w:fill="auto"/>
            <w:vAlign w:val="center"/>
          </w:tcPr>
          <w:p w14:paraId="109FE7B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99" w:type="pct"/>
            <w:tcBorders>
              <w:tl2br w:val="nil"/>
              <w:tr2bl w:val="nil"/>
            </w:tcBorders>
            <w:shd w:val="clear" w:color="auto" w:fill="auto"/>
            <w:vAlign w:val="center"/>
          </w:tcPr>
          <w:p w14:paraId="0575ECF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0.000658 </w:t>
            </w:r>
          </w:p>
        </w:tc>
        <w:tc>
          <w:tcPr>
            <w:tcW w:w="172" w:type="pct"/>
            <w:tcBorders>
              <w:tl2br w:val="nil"/>
              <w:tr2bl w:val="nil"/>
            </w:tcBorders>
            <w:shd w:val="clear" w:color="auto" w:fill="auto"/>
            <w:vAlign w:val="center"/>
          </w:tcPr>
          <w:p w14:paraId="59FE4FA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1DBF92E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02031FC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0.004 </w:t>
            </w:r>
          </w:p>
        </w:tc>
        <w:tc>
          <w:tcPr>
            <w:tcW w:w="180" w:type="pct"/>
            <w:tcBorders>
              <w:tl2br w:val="nil"/>
              <w:tr2bl w:val="nil"/>
            </w:tcBorders>
            <w:shd w:val="clear" w:color="auto" w:fill="auto"/>
            <w:vAlign w:val="center"/>
          </w:tcPr>
          <w:p w14:paraId="7021FFF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15D1138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1AFD2A4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599B1FE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bookmarkStart w:id="1469" w:name="OLE_LINK871"/>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09</w:t>
            </w:r>
            <w:bookmarkEnd w:id="1469"/>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2DD251D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622D1AE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0.0016</w:t>
            </w:r>
          </w:p>
        </w:tc>
        <w:tc>
          <w:tcPr>
            <w:tcW w:w="134" w:type="pct"/>
            <w:tcBorders>
              <w:tl2br w:val="nil"/>
              <w:tr2bl w:val="nil"/>
            </w:tcBorders>
            <w:shd w:val="clear" w:color="auto" w:fill="auto"/>
            <w:vAlign w:val="center"/>
          </w:tcPr>
          <w:p w14:paraId="1D42D69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5DA5F6B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22</w:t>
            </w:r>
          </w:p>
        </w:tc>
        <w:tc>
          <w:tcPr>
            <w:tcW w:w="210" w:type="pct"/>
            <w:tcBorders>
              <w:tl2br w:val="nil"/>
              <w:tr2bl w:val="nil"/>
            </w:tcBorders>
            <w:shd w:val="clear" w:color="auto" w:fill="auto"/>
            <w:vAlign w:val="center"/>
          </w:tcPr>
          <w:p w14:paraId="664A72C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3A2A63B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2A3B1A8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3.4</w:t>
            </w:r>
          </w:p>
        </w:tc>
        <w:tc>
          <w:tcPr>
            <w:tcW w:w="135" w:type="pct"/>
            <w:tcBorders>
              <w:tl2br w:val="nil"/>
              <w:tr2bl w:val="nil"/>
            </w:tcBorders>
            <w:shd w:val="clear" w:color="auto" w:fill="auto"/>
            <w:vAlign w:val="center"/>
          </w:tcPr>
          <w:p w14:paraId="55FF40C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0.81</w:t>
            </w:r>
          </w:p>
        </w:tc>
        <w:tc>
          <w:tcPr>
            <w:tcW w:w="133" w:type="pct"/>
            <w:tcBorders>
              <w:tl2br w:val="nil"/>
              <w:tr2bl w:val="nil"/>
            </w:tcBorders>
            <w:shd w:val="clear" w:color="auto" w:fill="auto"/>
            <w:vAlign w:val="center"/>
          </w:tcPr>
          <w:p w14:paraId="77AC574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tr w14:paraId="7D171A6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76E37F2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p>
        </w:tc>
        <w:tc>
          <w:tcPr>
            <w:tcW w:w="216" w:type="pct"/>
            <w:tcBorders>
              <w:tl2br w:val="nil"/>
              <w:tr2bl w:val="nil"/>
            </w:tcBorders>
            <w:shd w:val="clear" w:color="auto" w:fill="auto"/>
            <w:vAlign w:val="center"/>
          </w:tcPr>
          <w:p w14:paraId="0542FED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平均浓度</w:t>
            </w:r>
          </w:p>
        </w:tc>
        <w:tc>
          <w:tcPr>
            <w:tcW w:w="159" w:type="pct"/>
            <w:tcBorders>
              <w:tl2br w:val="nil"/>
              <w:tr2bl w:val="nil"/>
            </w:tcBorders>
            <w:shd w:val="clear" w:color="auto" w:fill="auto"/>
            <w:vAlign w:val="center"/>
          </w:tcPr>
          <w:p w14:paraId="235D056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28.4</w:t>
            </w:r>
          </w:p>
        </w:tc>
        <w:tc>
          <w:tcPr>
            <w:tcW w:w="157" w:type="pct"/>
            <w:tcBorders>
              <w:tl2br w:val="nil"/>
              <w:tr2bl w:val="nil"/>
            </w:tcBorders>
            <w:shd w:val="clear" w:color="auto" w:fill="auto"/>
            <w:vAlign w:val="center"/>
          </w:tcPr>
          <w:p w14:paraId="0BB3465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7.5</w:t>
            </w:r>
          </w:p>
        </w:tc>
        <w:tc>
          <w:tcPr>
            <w:tcW w:w="159" w:type="pct"/>
            <w:tcBorders>
              <w:tl2br w:val="nil"/>
              <w:tr2bl w:val="nil"/>
            </w:tcBorders>
            <w:shd w:val="clear" w:color="auto" w:fill="auto"/>
            <w:vAlign w:val="center"/>
          </w:tcPr>
          <w:p w14:paraId="5362213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5.2</w:t>
            </w:r>
          </w:p>
        </w:tc>
        <w:tc>
          <w:tcPr>
            <w:tcW w:w="145" w:type="pct"/>
            <w:tcBorders>
              <w:tl2br w:val="nil"/>
              <w:tr2bl w:val="nil"/>
            </w:tcBorders>
            <w:shd w:val="clear" w:color="auto" w:fill="auto"/>
            <w:vAlign w:val="center"/>
          </w:tcPr>
          <w:p w14:paraId="4FF5DDC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2.1 </w:t>
            </w:r>
          </w:p>
        </w:tc>
        <w:tc>
          <w:tcPr>
            <w:tcW w:w="134" w:type="pct"/>
            <w:tcBorders>
              <w:tl2br w:val="nil"/>
              <w:tr2bl w:val="nil"/>
            </w:tcBorders>
            <w:shd w:val="clear" w:color="auto" w:fill="auto"/>
            <w:vAlign w:val="center"/>
          </w:tcPr>
          <w:p w14:paraId="3C90724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8</w:t>
            </w:r>
          </w:p>
        </w:tc>
        <w:tc>
          <w:tcPr>
            <w:tcW w:w="140" w:type="pct"/>
            <w:tcBorders>
              <w:tl2br w:val="nil"/>
              <w:tr2bl w:val="nil"/>
            </w:tcBorders>
            <w:shd w:val="clear" w:color="auto" w:fill="auto"/>
            <w:vAlign w:val="center"/>
          </w:tcPr>
          <w:p w14:paraId="36CE4B2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4.75 </w:t>
            </w:r>
          </w:p>
        </w:tc>
        <w:tc>
          <w:tcPr>
            <w:tcW w:w="180" w:type="pct"/>
            <w:tcBorders>
              <w:tl2br w:val="nil"/>
              <w:tr2bl w:val="nil"/>
            </w:tcBorders>
            <w:shd w:val="clear" w:color="auto" w:fill="auto"/>
            <w:vAlign w:val="center"/>
          </w:tcPr>
          <w:p w14:paraId="4166A8D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0.515 </w:t>
            </w:r>
          </w:p>
        </w:tc>
        <w:tc>
          <w:tcPr>
            <w:tcW w:w="228" w:type="pct"/>
            <w:tcBorders>
              <w:tl2br w:val="nil"/>
              <w:tr2bl w:val="nil"/>
            </w:tcBorders>
            <w:shd w:val="clear" w:color="auto" w:fill="auto"/>
            <w:vAlign w:val="center"/>
          </w:tcPr>
          <w:p w14:paraId="10A4266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0.07 </w:t>
            </w:r>
          </w:p>
        </w:tc>
        <w:tc>
          <w:tcPr>
            <w:tcW w:w="140" w:type="pct"/>
            <w:tcBorders>
              <w:tl2br w:val="nil"/>
              <w:tr2bl w:val="nil"/>
            </w:tcBorders>
            <w:shd w:val="clear" w:color="auto" w:fill="auto"/>
            <w:vAlign w:val="center"/>
          </w:tcPr>
          <w:p w14:paraId="0089AE4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40" w:type="pct"/>
            <w:tcBorders>
              <w:tl2br w:val="nil"/>
              <w:tr2bl w:val="nil"/>
            </w:tcBorders>
            <w:shd w:val="clear" w:color="auto" w:fill="auto"/>
            <w:vAlign w:val="center"/>
          </w:tcPr>
          <w:p w14:paraId="5EF9F4A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99" w:type="pct"/>
            <w:tcBorders>
              <w:tl2br w:val="nil"/>
              <w:tr2bl w:val="nil"/>
            </w:tcBorders>
            <w:shd w:val="clear" w:color="auto" w:fill="auto"/>
            <w:vAlign w:val="center"/>
          </w:tcPr>
          <w:p w14:paraId="0C32161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0.000672 </w:t>
            </w:r>
          </w:p>
        </w:tc>
        <w:tc>
          <w:tcPr>
            <w:tcW w:w="172" w:type="pct"/>
            <w:tcBorders>
              <w:tl2br w:val="nil"/>
              <w:tr2bl w:val="nil"/>
            </w:tcBorders>
            <w:shd w:val="clear" w:color="auto" w:fill="auto"/>
            <w:vAlign w:val="center"/>
          </w:tcPr>
          <w:p w14:paraId="5B4C1C1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47A2143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37FCAAD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0.005 </w:t>
            </w:r>
          </w:p>
        </w:tc>
        <w:tc>
          <w:tcPr>
            <w:tcW w:w="180" w:type="pct"/>
            <w:tcBorders>
              <w:tl2br w:val="nil"/>
              <w:tr2bl w:val="nil"/>
            </w:tcBorders>
            <w:shd w:val="clear" w:color="auto" w:fill="auto"/>
            <w:vAlign w:val="center"/>
          </w:tcPr>
          <w:p w14:paraId="3F306F5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highlight w:val="none"/>
                <w:u w:val="none"/>
                <w:lang w:val="en-US" w:eastAsia="zh-CN" w:bidi="ar"/>
              </w:rPr>
              <w:t>ND</w:t>
            </w:r>
          </w:p>
        </w:tc>
        <w:tc>
          <w:tcPr>
            <w:tcW w:w="172" w:type="pct"/>
            <w:tcBorders>
              <w:tl2br w:val="nil"/>
              <w:tr2bl w:val="nil"/>
            </w:tcBorders>
            <w:shd w:val="clear" w:color="auto" w:fill="auto"/>
            <w:vAlign w:val="center"/>
          </w:tcPr>
          <w:p w14:paraId="2DFA366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2CE98D2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0907CA6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09</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20A551C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54847CF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0.0017</w:t>
            </w:r>
          </w:p>
        </w:tc>
        <w:tc>
          <w:tcPr>
            <w:tcW w:w="134" w:type="pct"/>
            <w:tcBorders>
              <w:tl2br w:val="nil"/>
              <w:tr2bl w:val="nil"/>
            </w:tcBorders>
            <w:shd w:val="clear" w:color="auto" w:fill="auto"/>
            <w:vAlign w:val="center"/>
          </w:tcPr>
          <w:p w14:paraId="3462FE6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328A857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24</w:t>
            </w:r>
          </w:p>
        </w:tc>
        <w:tc>
          <w:tcPr>
            <w:tcW w:w="210" w:type="pct"/>
            <w:tcBorders>
              <w:tl2br w:val="nil"/>
              <w:tr2bl w:val="nil"/>
            </w:tcBorders>
            <w:shd w:val="clear" w:color="auto" w:fill="auto"/>
            <w:vAlign w:val="center"/>
          </w:tcPr>
          <w:p w14:paraId="4E34655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70AEFCE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6DFF5AC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3.4</w:t>
            </w:r>
          </w:p>
        </w:tc>
        <w:tc>
          <w:tcPr>
            <w:tcW w:w="135" w:type="pct"/>
            <w:tcBorders>
              <w:tl2br w:val="nil"/>
              <w:tr2bl w:val="nil"/>
            </w:tcBorders>
            <w:shd w:val="clear" w:color="auto" w:fill="auto"/>
            <w:vAlign w:val="center"/>
          </w:tcPr>
          <w:p w14:paraId="5A7356C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0.85</w:t>
            </w:r>
          </w:p>
        </w:tc>
        <w:tc>
          <w:tcPr>
            <w:tcW w:w="133" w:type="pct"/>
            <w:tcBorders>
              <w:tl2br w:val="nil"/>
              <w:tr2bl w:val="nil"/>
            </w:tcBorders>
            <w:shd w:val="clear" w:color="auto" w:fill="auto"/>
            <w:vAlign w:val="center"/>
          </w:tcPr>
          <w:p w14:paraId="7F60662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66"/>
      <w:tr w14:paraId="3C69108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61418F1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bookmarkStart w:id="1470" w:name="OLE_LINK500" w:colFirst="2" w:colLast="28"/>
            <w:bookmarkStart w:id="1471" w:name="OLE_LINK502" w:colFirst="7" w:colLast="7"/>
            <w:bookmarkStart w:id="1472" w:name="OLE_LINK503" w:colFirst="23" w:colLast="23"/>
          </w:p>
        </w:tc>
        <w:tc>
          <w:tcPr>
            <w:tcW w:w="216" w:type="pct"/>
            <w:tcBorders>
              <w:tl2br w:val="nil"/>
              <w:tr2bl w:val="nil"/>
            </w:tcBorders>
            <w:shd w:val="clear" w:color="auto" w:fill="auto"/>
            <w:vAlign w:val="center"/>
          </w:tcPr>
          <w:p w14:paraId="1272A9E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最大单因子指数</w:t>
            </w:r>
          </w:p>
        </w:tc>
        <w:tc>
          <w:tcPr>
            <w:tcW w:w="159" w:type="pct"/>
            <w:tcBorders>
              <w:tl2br w:val="nil"/>
              <w:tr2bl w:val="nil"/>
            </w:tcBorders>
            <w:shd w:val="clear" w:color="auto" w:fill="auto"/>
            <w:vAlign w:val="center"/>
          </w:tcPr>
          <w:p w14:paraId="5AEDB3CA">
            <w:pPr>
              <w:jc w:val="center"/>
              <w:rPr>
                <w:rFonts w:hint="eastAsia"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shd w:val="clear" w:color="auto" w:fill="auto"/>
            <w:vAlign w:val="center"/>
          </w:tcPr>
          <w:p w14:paraId="2C908E8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0.3</w:t>
            </w:r>
          </w:p>
        </w:tc>
        <w:tc>
          <w:tcPr>
            <w:tcW w:w="159" w:type="pct"/>
            <w:tcBorders>
              <w:tl2br w:val="nil"/>
              <w:tr2bl w:val="nil"/>
            </w:tcBorders>
            <w:shd w:val="clear" w:color="auto" w:fill="auto"/>
            <w:vAlign w:val="center"/>
          </w:tcPr>
          <w:p w14:paraId="5BB4BD9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0.89 </w:t>
            </w:r>
          </w:p>
        </w:tc>
        <w:tc>
          <w:tcPr>
            <w:tcW w:w="145" w:type="pct"/>
            <w:tcBorders>
              <w:tl2br w:val="nil"/>
              <w:tr2bl w:val="nil"/>
            </w:tcBorders>
            <w:shd w:val="clear" w:color="auto" w:fill="auto"/>
            <w:vAlign w:val="center"/>
          </w:tcPr>
          <w:p w14:paraId="140F687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0.55 </w:t>
            </w:r>
          </w:p>
        </w:tc>
        <w:tc>
          <w:tcPr>
            <w:tcW w:w="134" w:type="pct"/>
            <w:tcBorders>
              <w:tl2br w:val="nil"/>
              <w:tr2bl w:val="nil"/>
            </w:tcBorders>
            <w:shd w:val="clear" w:color="auto" w:fill="auto"/>
            <w:vAlign w:val="center"/>
          </w:tcPr>
          <w:p w14:paraId="7D18A76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0.45 </w:t>
            </w:r>
          </w:p>
        </w:tc>
        <w:tc>
          <w:tcPr>
            <w:tcW w:w="140" w:type="pct"/>
            <w:tcBorders>
              <w:tl2br w:val="nil"/>
              <w:tr2bl w:val="nil"/>
            </w:tcBorders>
            <w:shd w:val="clear" w:color="auto" w:fill="auto"/>
            <w:vAlign w:val="center"/>
          </w:tcPr>
          <w:p w14:paraId="0AC6871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548ABA8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0.53 </w:t>
            </w:r>
          </w:p>
        </w:tc>
        <w:tc>
          <w:tcPr>
            <w:tcW w:w="228" w:type="pct"/>
            <w:tcBorders>
              <w:tl2br w:val="nil"/>
              <w:tr2bl w:val="nil"/>
            </w:tcBorders>
            <w:shd w:val="clear" w:color="auto" w:fill="auto"/>
            <w:vAlign w:val="center"/>
          </w:tcPr>
          <w:p w14:paraId="657142D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0.35 </w:t>
            </w:r>
          </w:p>
        </w:tc>
        <w:tc>
          <w:tcPr>
            <w:tcW w:w="140" w:type="pct"/>
            <w:tcBorders>
              <w:tl2br w:val="nil"/>
              <w:tr2bl w:val="nil"/>
            </w:tcBorders>
            <w:shd w:val="clear" w:color="auto" w:fill="auto"/>
            <w:vAlign w:val="center"/>
          </w:tcPr>
          <w:p w14:paraId="54BA4FA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0.80 </w:t>
            </w:r>
          </w:p>
        </w:tc>
        <w:tc>
          <w:tcPr>
            <w:tcW w:w="140" w:type="pct"/>
            <w:tcBorders>
              <w:tl2br w:val="nil"/>
              <w:tr2bl w:val="nil"/>
            </w:tcBorders>
            <w:shd w:val="clear" w:color="auto" w:fill="auto"/>
            <w:vAlign w:val="center"/>
          </w:tcPr>
          <w:p w14:paraId="2253B31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299" w:type="pct"/>
            <w:tcBorders>
              <w:tl2br w:val="nil"/>
              <w:tr2bl w:val="nil"/>
            </w:tcBorders>
            <w:shd w:val="clear" w:color="auto" w:fill="auto"/>
            <w:vAlign w:val="center"/>
          </w:tcPr>
          <w:p w14:paraId="2073DF3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0.14 </w:t>
            </w:r>
          </w:p>
        </w:tc>
        <w:tc>
          <w:tcPr>
            <w:tcW w:w="172" w:type="pct"/>
            <w:tcBorders>
              <w:tl2br w:val="nil"/>
              <w:tr2bl w:val="nil"/>
            </w:tcBorders>
            <w:shd w:val="clear" w:color="auto" w:fill="auto"/>
            <w:vAlign w:val="center"/>
          </w:tcPr>
          <w:p w14:paraId="7394D7F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34" w:type="pct"/>
            <w:tcBorders>
              <w:tl2br w:val="nil"/>
              <w:tr2bl w:val="nil"/>
            </w:tcBorders>
            <w:shd w:val="clear" w:color="auto" w:fill="auto"/>
            <w:vAlign w:val="center"/>
          </w:tcPr>
          <w:p w14:paraId="51E377C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0.30 </w:t>
            </w:r>
          </w:p>
        </w:tc>
        <w:tc>
          <w:tcPr>
            <w:tcW w:w="180" w:type="pct"/>
            <w:tcBorders>
              <w:tl2br w:val="nil"/>
              <w:tr2bl w:val="nil"/>
            </w:tcBorders>
            <w:shd w:val="clear" w:color="auto" w:fill="auto"/>
            <w:vAlign w:val="center"/>
          </w:tcPr>
          <w:p w14:paraId="244BD41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180" w:type="pct"/>
            <w:tcBorders>
              <w:tl2br w:val="nil"/>
              <w:tr2bl w:val="nil"/>
            </w:tcBorders>
            <w:shd w:val="clear" w:color="auto" w:fill="auto"/>
            <w:vAlign w:val="center"/>
          </w:tcPr>
          <w:p w14:paraId="01C6B5F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72" w:type="pct"/>
            <w:tcBorders>
              <w:tl2br w:val="nil"/>
              <w:tr2bl w:val="nil"/>
            </w:tcBorders>
            <w:shd w:val="clear" w:color="auto" w:fill="auto"/>
            <w:vAlign w:val="center"/>
          </w:tcPr>
          <w:p w14:paraId="50D85FE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34" w:type="pct"/>
            <w:tcBorders>
              <w:tl2br w:val="nil"/>
              <w:tr2bl w:val="nil"/>
            </w:tcBorders>
            <w:shd w:val="clear" w:color="auto" w:fill="auto"/>
            <w:vAlign w:val="center"/>
          </w:tcPr>
          <w:p w14:paraId="5B82D1F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0.70 </w:t>
            </w:r>
          </w:p>
        </w:tc>
        <w:tc>
          <w:tcPr>
            <w:tcW w:w="258" w:type="pct"/>
            <w:tcBorders>
              <w:tl2br w:val="nil"/>
              <w:tr2bl w:val="nil"/>
            </w:tcBorders>
            <w:shd w:val="clear" w:color="auto" w:fill="auto"/>
            <w:vAlign w:val="center"/>
          </w:tcPr>
          <w:p w14:paraId="3B2314D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i w:val="0"/>
                <w:iCs w:val="0"/>
                <w:snapToGrid w:val="0"/>
                <w:color w:val="auto"/>
                <w:kern w:val="0"/>
                <w:sz w:val="18"/>
                <w:szCs w:val="18"/>
                <w:highlight w:val="none"/>
                <w:u w:val="none"/>
                <w:lang w:val="en-US" w:eastAsia="zh-CN" w:bidi="ar"/>
              </w:rPr>
              <w:t>0.90</w:t>
            </w:r>
          </w:p>
        </w:tc>
        <w:tc>
          <w:tcPr>
            <w:tcW w:w="209" w:type="pct"/>
            <w:tcBorders>
              <w:tl2br w:val="nil"/>
              <w:tr2bl w:val="nil"/>
            </w:tcBorders>
            <w:shd w:val="clear" w:color="auto" w:fill="auto"/>
            <w:vAlign w:val="center"/>
          </w:tcPr>
          <w:p w14:paraId="075360F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219" w:type="pct"/>
            <w:tcBorders>
              <w:tl2br w:val="nil"/>
              <w:tr2bl w:val="nil"/>
            </w:tcBorders>
            <w:shd w:val="clear" w:color="auto" w:fill="auto"/>
            <w:vAlign w:val="center"/>
          </w:tcPr>
          <w:p w14:paraId="66AC49F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34" w:type="pct"/>
            <w:tcBorders>
              <w:tl2br w:val="nil"/>
              <w:tr2bl w:val="nil"/>
            </w:tcBorders>
            <w:shd w:val="clear" w:color="auto" w:fill="auto"/>
            <w:vAlign w:val="center"/>
          </w:tcPr>
          <w:p w14:paraId="0076302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34" w:type="pct"/>
            <w:tcBorders>
              <w:tl2br w:val="nil"/>
              <w:tr2bl w:val="nil"/>
            </w:tcBorders>
            <w:shd w:val="clear" w:color="auto" w:fill="auto"/>
            <w:vAlign w:val="center"/>
          </w:tcPr>
          <w:p w14:paraId="7BD2D7D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75049E7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72" w:type="pct"/>
            <w:tcBorders>
              <w:tl2br w:val="nil"/>
              <w:tr2bl w:val="nil"/>
            </w:tcBorders>
            <w:shd w:val="clear" w:color="auto" w:fill="auto"/>
            <w:vAlign w:val="center"/>
          </w:tcPr>
          <w:p w14:paraId="1B07D28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72" w:type="pct"/>
            <w:tcBorders>
              <w:tl2br w:val="nil"/>
              <w:tr2bl w:val="nil"/>
            </w:tcBorders>
            <w:shd w:val="clear" w:color="auto" w:fill="auto"/>
            <w:vAlign w:val="center"/>
          </w:tcPr>
          <w:p w14:paraId="10136CE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0.58 </w:t>
            </w:r>
          </w:p>
        </w:tc>
        <w:tc>
          <w:tcPr>
            <w:tcW w:w="135" w:type="pct"/>
            <w:tcBorders>
              <w:tl2br w:val="nil"/>
              <w:tr2bl w:val="nil"/>
            </w:tcBorders>
            <w:shd w:val="clear" w:color="auto" w:fill="auto"/>
            <w:vAlign w:val="center"/>
          </w:tcPr>
          <w:p w14:paraId="21FDF64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0.91 </w:t>
            </w:r>
          </w:p>
        </w:tc>
        <w:tc>
          <w:tcPr>
            <w:tcW w:w="133" w:type="pct"/>
            <w:tcBorders>
              <w:tl2br w:val="nil"/>
              <w:tr2bl w:val="nil"/>
            </w:tcBorders>
            <w:shd w:val="clear" w:color="auto" w:fill="auto"/>
            <w:vAlign w:val="center"/>
          </w:tcPr>
          <w:p w14:paraId="1129355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0.13 </w:t>
            </w:r>
          </w:p>
        </w:tc>
      </w:tr>
      <w:bookmarkEnd w:id="1470"/>
      <w:tr w14:paraId="4F443A6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030DCF6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781978F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lang w:val="en-US"/>
              </w:rPr>
              <w:t>超标率（%）</w:t>
            </w:r>
          </w:p>
        </w:tc>
        <w:tc>
          <w:tcPr>
            <w:tcW w:w="159" w:type="pct"/>
            <w:tcBorders>
              <w:tl2br w:val="nil"/>
              <w:tr2bl w:val="nil"/>
            </w:tcBorders>
            <w:shd w:val="clear" w:color="auto" w:fill="auto"/>
            <w:vAlign w:val="center"/>
          </w:tcPr>
          <w:p w14:paraId="3081810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shd w:val="clear" w:color="auto" w:fill="auto"/>
            <w:vAlign w:val="center"/>
          </w:tcPr>
          <w:p w14:paraId="3FF0B68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59" w:type="pct"/>
            <w:tcBorders>
              <w:tl2br w:val="nil"/>
              <w:tr2bl w:val="nil"/>
            </w:tcBorders>
            <w:shd w:val="clear" w:color="auto" w:fill="auto"/>
            <w:vAlign w:val="center"/>
          </w:tcPr>
          <w:p w14:paraId="64DB837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5" w:type="pct"/>
            <w:tcBorders>
              <w:tl2br w:val="nil"/>
              <w:tr2bl w:val="nil"/>
            </w:tcBorders>
            <w:shd w:val="clear" w:color="auto" w:fill="auto"/>
            <w:vAlign w:val="center"/>
          </w:tcPr>
          <w:p w14:paraId="7C263EF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34" w:type="pct"/>
            <w:tcBorders>
              <w:tl2br w:val="nil"/>
              <w:tr2bl w:val="nil"/>
            </w:tcBorders>
            <w:shd w:val="clear" w:color="auto" w:fill="auto"/>
            <w:vAlign w:val="center"/>
          </w:tcPr>
          <w:p w14:paraId="268547F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0" w:type="pct"/>
            <w:tcBorders>
              <w:tl2br w:val="nil"/>
              <w:tr2bl w:val="nil"/>
            </w:tcBorders>
            <w:shd w:val="clear" w:color="auto" w:fill="auto"/>
            <w:vAlign w:val="center"/>
          </w:tcPr>
          <w:p w14:paraId="030433D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707135A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28" w:type="pct"/>
            <w:tcBorders>
              <w:tl2br w:val="nil"/>
              <w:tr2bl w:val="nil"/>
            </w:tcBorders>
            <w:shd w:val="clear" w:color="auto" w:fill="auto"/>
            <w:vAlign w:val="center"/>
          </w:tcPr>
          <w:p w14:paraId="24B99FC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70D41C8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5F65A29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99" w:type="pct"/>
            <w:tcBorders>
              <w:tl2br w:val="nil"/>
              <w:tr2bl w:val="nil"/>
            </w:tcBorders>
            <w:shd w:val="clear" w:color="auto" w:fill="auto"/>
            <w:vAlign w:val="center"/>
          </w:tcPr>
          <w:p w14:paraId="0872380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7D25854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1F17EFD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2BC8E33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29A73A4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7601447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2A05423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58" w:type="pct"/>
            <w:tcBorders>
              <w:tl2br w:val="nil"/>
              <w:tr2bl w:val="nil"/>
            </w:tcBorders>
            <w:shd w:val="clear" w:color="auto" w:fill="auto"/>
            <w:vAlign w:val="center"/>
          </w:tcPr>
          <w:p w14:paraId="6FAE5E0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209" w:type="pct"/>
            <w:tcBorders>
              <w:tl2br w:val="nil"/>
              <w:tr2bl w:val="nil"/>
            </w:tcBorders>
            <w:shd w:val="clear" w:color="auto" w:fill="auto"/>
            <w:vAlign w:val="center"/>
          </w:tcPr>
          <w:p w14:paraId="407060B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19" w:type="pct"/>
            <w:tcBorders>
              <w:tl2br w:val="nil"/>
              <w:tr2bl w:val="nil"/>
            </w:tcBorders>
            <w:shd w:val="clear" w:color="auto" w:fill="auto"/>
            <w:vAlign w:val="center"/>
          </w:tcPr>
          <w:p w14:paraId="201BBB6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5488D28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13B281B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38E67B6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0179519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15C89E6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5" w:type="pct"/>
            <w:tcBorders>
              <w:tl2br w:val="nil"/>
              <w:tr2bl w:val="nil"/>
            </w:tcBorders>
            <w:shd w:val="clear" w:color="auto" w:fill="auto"/>
            <w:vAlign w:val="center"/>
          </w:tcPr>
          <w:p w14:paraId="124E19D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3" w:type="pct"/>
            <w:tcBorders>
              <w:tl2br w:val="nil"/>
              <w:tr2bl w:val="nil"/>
            </w:tcBorders>
            <w:shd w:val="clear" w:color="auto" w:fill="auto"/>
            <w:vAlign w:val="center"/>
          </w:tcPr>
          <w:p w14:paraId="47B304E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r>
      <w:bookmarkEnd w:id="1471"/>
      <w:bookmarkEnd w:id="1472"/>
      <w:tr w14:paraId="37B494EB">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355" w:type="pct"/>
            <w:gridSpan w:val="2"/>
            <w:tcBorders>
              <w:tl2br w:val="nil"/>
              <w:tr2bl w:val="nil"/>
            </w:tcBorders>
            <w:shd w:val="clear" w:color="auto" w:fill="auto"/>
            <w:vAlign w:val="center"/>
          </w:tcPr>
          <w:p w14:paraId="63EE77A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color w:val="auto"/>
                <w:sz w:val="18"/>
                <w:szCs w:val="18"/>
                <w:lang w:val="en-US" w:eastAsia="zh-CN"/>
              </w:rPr>
              <w:t>Ⅲ类限值</w:t>
            </w:r>
          </w:p>
        </w:tc>
        <w:tc>
          <w:tcPr>
            <w:tcW w:w="159" w:type="pct"/>
            <w:tcBorders>
              <w:tl2br w:val="nil"/>
              <w:tr2bl w:val="nil"/>
            </w:tcBorders>
            <w:shd w:val="clear" w:color="auto" w:fill="auto"/>
            <w:vAlign w:val="center"/>
          </w:tcPr>
          <w:p w14:paraId="5BD4C42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w:t>
            </w:r>
          </w:p>
        </w:tc>
        <w:tc>
          <w:tcPr>
            <w:tcW w:w="157" w:type="pct"/>
            <w:tcBorders>
              <w:tl2br w:val="nil"/>
              <w:tr2bl w:val="nil"/>
            </w:tcBorders>
            <w:shd w:val="clear" w:color="auto" w:fill="auto"/>
            <w:vAlign w:val="center"/>
          </w:tcPr>
          <w:p w14:paraId="3CDC175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6-9</w:t>
            </w:r>
          </w:p>
        </w:tc>
        <w:tc>
          <w:tcPr>
            <w:tcW w:w="159" w:type="pct"/>
            <w:tcBorders>
              <w:tl2br w:val="nil"/>
              <w:tr2bl w:val="nil"/>
            </w:tcBorders>
            <w:shd w:val="clear" w:color="auto" w:fill="auto"/>
            <w:vAlign w:val="center"/>
          </w:tcPr>
          <w:p w14:paraId="1209E69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lang w:val="en-US" w:eastAsia="zh-CN"/>
              </w:rPr>
              <w:t>5</w:t>
            </w:r>
          </w:p>
        </w:tc>
        <w:tc>
          <w:tcPr>
            <w:tcW w:w="145" w:type="pct"/>
            <w:tcBorders>
              <w:tl2br w:val="nil"/>
              <w:tr2bl w:val="nil"/>
            </w:tcBorders>
            <w:shd w:val="clear" w:color="auto" w:fill="auto"/>
            <w:vAlign w:val="center"/>
          </w:tcPr>
          <w:p w14:paraId="03E10F8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4</w:t>
            </w:r>
          </w:p>
        </w:tc>
        <w:tc>
          <w:tcPr>
            <w:tcW w:w="134" w:type="pct"/>
            <w:tcBorders>
              <w:tl2br w:val="nil"/>
              <w:tr2bl w:val="nil"/>
            </w:tcBorders>
            <w:shd w:val="clear" w:color="auto" w:fill="auto"/>
            <w:vAlign w:val="center"/>
          </w:tcPr>
          <w:p w14:paraId="7D55CCE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20</w:t>
            </w:r>
          </w:p>
        </w:tc>
        <w:tc>
          <w:tcPr>
            <w:tcW w:w="140" w:type="pct"/>
            <w:tcBorders>
              <w:tl2br w:val="nil"/>
              <w:tr2bl w:val="nil"/>
            </w:tcBorders>
            <w:shd w:val="clear" w:color="auto" w:fill="auto"/>
            <w:vAlign w:val="center"/>
          </w:tcPr>
          <w:p w14:paraId="6DF9B55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w:t>
            </w:r>
          </w:p>
        </w:tc>
        <w:tc>
          <w:tcPr>
            <w:tcW w:w="180" w:type="pct"/>
            <w:tcBorders>
              <w:tl2br w:val="nil"/>
              <w:tr2bl w:val="nil"/>
            </w:tcBorders>
            <w:shd w:val="clear" w:color="auto" w:fill="auto"/>
            <w:vAlign w:val="center"/>
          </w:tcPr>
          <w:p w14:paraId="2081DD7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1.0</w:t>
            </w:r>
          </w:p>
        </w:tc>
        <w:tc>
          <w:tcPr>
            <w:tcW w:w="228" w:type="pct"/>
            <w:tcBorders>
              <w:tl2br w:val="nil"/>
              <w:tr2bl w:val="nil"/>
            </w:tcBorders>
            <w:shd w:val="clear" w:color="auto" w:fill="auto"/>
            <w:vAlign w:val="center"/>
          </w:tcPr>
          <w:p w14:paraId="06B3F9C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0.2</w:t>
            </w:r>
          </w:p>
        </w:tc>
        <w:tc>
          <w:tcPr>
            <w:tcW w:w="140" w:type="pct"/>
            <w:tcBorders>
              <w:tl2br w:val="nil"/>
              <w:tr2bl w:val="nil"/>
            </w:tcBorders>
            <w:shd w:val="clear" w:color="auto" w:fill="auto"/>
            <w:vAlign w:val="center"/>
          </w:tcPr>
          <w:p w14:paraId="14C2E8E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0.05</w:t>
            </w:r>
          </w:p>
        </w:tc>
        <w:tc>
          <w:tcPr>
            <w:tcW w:w="140" w:type="pct"/>
            <w:tcBorders>
              <w:tl2br w:val="nil"/>
              <w:tr2bl w:val="nil"/>
            </w:tcBorders>
            <w:shd w:val="clear" w:color="auto" w:fill="auto"/>
            <w:vAlign w:val="center"/>
          </w:tcPr>
          <w:p w14:paraId="4960AD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0.2</w:t>
            </w:r>
          </w:p>
        </w:tc>
        <w:tc>
          <w:tcPr>
            <w:tcW w:w="299" w:type="pct"/>
            <w:tcBorders>
              <w:tl2br w:val="nil"/>
              <w:tr2bl w:val="nil"/>
            </w:tcBorders>
            <w:shd w:val="clear" w:color="auto" w:fill="auto"/>
            <w:vAlign w:val="center"/>
          </w:tcPr>
          <w:p w14:paraId="53BE5F3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0.005</w:t>
            </w:r>
          </w:p>
        </w:tc>
        <w:tc>
          <w:tcPr>
            <w:tcW w:w="172" w:type="pct"/>
            <w:tcBorders>
              <w:tl2br w:val="nil"/>
              <w:tr2bl w:val="nil"/>
            </w:tcBorders>
            <w:shd w:val="clear" w:color="auto" w:fill="auto"/>
            <w:vAlign w:val="center"/>
          </w:tcPr>
          <w:p w14:paraId="7C0FAAA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0.05</w:t>
            </w:r>
          </w:p>
        </w:tc>
        <w:tc>
          <w:tcPr>
            <w:tcW w:w="134" w:type="pct"/>
            <w:tcBorders>
              <w:tl2br w:val="nil"/>
              <w:tr2bl w:val="nil"/>
            </w:tcBorders>
            <w:shd w:val="clear" w:color="auto" w:fill="auto"/>
            <w:vAlign w:val="center"/>
          </w:tcPr>
          <w:p w14:paraId="7F2C6F7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0.05</w:t>
            </w:r>
          </w:p>
        </w:tc>
        <w:tc>
          <w:tcPr>
            <w:tcW w:w="180" w:type="pct"/>
            <w:tcBorders>
              <w:tl2br w:val="nil"/>
              <w:tr2bl w:val="nil"/>
            </w:tcBorders>
            <w:shd w:val="clear" w:color="auto" w:fill="auto"/>
            <w:vAlign w:val="center"/>
          </w:tcPr>
          <w:p w14:paraId="581B555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1.0</w:t>
            </w:r>
          </w:p>
        </w:tc>
        <w:tc>
          <w:tcPr>
            <w:tcW w:w="180" w:type="pct"/>
            <w:tcBorders>
              <w:tl2br w:val="nil"/>
              <w:tr2bl w:val="nil"/>
            </w:tcBorders>
            <w:shd w:val="clear" w:color="auto" w:fill="auto"/>
            <w:vAlign w:val="center"/>
          </w:tcPr>
          <w:p w14:paraId="267F244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0.1</w:t>
            </w:r>
          </w:p>
        </w:tc>
        <w:tc>
          <w:tcPr>
            <w:tcW w:w="172" w:type="pct"/>
            <w:tcBorders>
              <w:tl2br w:val="nil"/>
              <w:tr2bl w:val="nil"/>
            </w:tcBorders>
            <w:shd w:val="clear" w:color="auto" w:fill="auto"/>
            <w:vAlign w:val="center"/>
          </w:tcPr>
          <w:p w14:paraId="54426BC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1.0</w:t>
            </w:r>
          </w:p>
        </w:tc>
        <w:tc>
          <w:tcPr>
            <w:tcW w:w="134" w:type="pct"/>
            <w:tcBorders>
              <w:tl2br w:val="nil"/>
              <w:tr2bl w:val="nil"/>
            </w:tcBorders>
            <w:shd w:val="clear" w:color="auto" w:fill="auto"/>
            <w:vAlign w:val="center"/>
          </w:tcPr>
          <w:p w14:paraId="0E3429D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0.05</w:t>
            </w:r>
          </w:p>
        </w:tc>
        <w:tc>
          <w:tcPr>
            <w:tcW w:w="258" w:type="pct"/>
            <w:tcBorders>
              <w:tl2br w:val="nil"/>
              <w:tr2bl w:val="nil"/>
            </w:tcBorders>
            <w:shd w:val="clear" w:color="auto" w:fill="auto"/>
            <w:vAlign w:val="center"/>
          </w:tcPr>
          <w:p w14:paraId="363D9E6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lang w:val="en-US" w:eastAsia="zh-CN"/>
              </w:rPr>
              <w:t>0.0001</w:t>
            </w:r>
          </w:p>
        </w:tc>
        <w:tc>
          <w:tcPr>
            <w:tcW w:w="209" w:type="pct"/>
            <w:tcBorders>
              <w:tl2br w:val="nil"/>
              <w:tr2bl w:val="nil"/>
            </w:tcBorders>
            <w:shd w:val="clear" w:color="auto" w:fill="auto"/>
            <w:vAlign w:val="center"/>
          </w:tcPr>
          <w:p w14:paraId="29E33A7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0.01</w:t>
            </w:r>
          </w:p>
        </w:tc>
        <w:tc>
          <w:tcPr>
            <w:tcW w:w="219" w:type="pct"/>
            <w:tcBorders>
              <w:tl2br w:val="nil"/>
              <w:tr2bl w:val="nil"/>
            </w:tcBorders>
            <w:shd w:val="clear" w:color="auto" w:fill="auto"/>
            <w:vAlign w:val="center"/>
          </w:tcPr>
          <w:p w14:paraId="39BFFC5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0.05</w:t>
            </w:r>
          </w:p>
        </w:tc>
        <w:tc>
          <w:tcPr>
            <w:tcW w:w="134" w:type="pct"/>
            <w:tcBorders>
              <w:tl2br w:val="nil"/>
              <w:tr2bl w:val="nil"/>
            </w:tcBorders>
            <w:shd w:val="clear" w:color="auto" w:fill="auto"/>
            <w:vAlign w:val="center"/>
          </w:tcPr>
          <w:p w14:paraId="12E2B51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0.02</w:t>
            </w:r>
          </w:p>
        </w:tc>
        <w:tc>
          <w:tcPr>
            <w:tcW w:w="134" w:type="pct"/>
            <w:tcBorders>
              <w:tl2br w:val="nil"/>
              <w:tr2bl w:val="nil"/>
            </w:tcBorders>
            <w:shd w:val="clear" w:color="auto" w:fill="auto"/>
            <w:vAlign w:val="center"/>
          </w:tcPr>
          <w:p w14:paraId="79BA4C9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1003A02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0.005</w:t>
            </w:r>
          </w:p>
        </w:tc>
        <w:tc>
          <w:tcPr>
            <w:tcW w:w="172" w:type="pct"/>
            <w:tcBorders>
              <w:tl2br w:val="nil"/>
              <w:tr2bl w:val="nil"/>
            </w:tcBorders>
            <w:shd w:val="clear" w:color="auto" w:fill="auto"/>
            <w:vAlign w:val="center"/>
          </w:tcPr>
          <w:p w14:paraId="01EBF50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c>
          <w:tcPr>
            <w:tcW w:w="172" w:type="pct"/>
            <w:tcBorders>
              <w:tl2br w:val="nil"/>
              <w:tr2bl w:val="nil"/>
            </w:tcBorders>
            <w:shd w:val="clear" w:color="auto" w:fill="auto"/>
            <w:vAlign w:val="center"/>
          </w:tcPr>
          <w:p w14:paraId="5A5EB5A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6</w:t>
            </w:r>
          </w:p>
        </w:tc>
        <w:tc>
          <w:tcPr>
            <w:tcW w:w="135" w:type="pct"/>
            <w:tcBorders>
              <w:tl2br w:val="nil"/>
              <w:tr2bl w:val="nil"/>
            </w:tcBorders>
            <w:shd w:val="clear" w:color="auto" w:fill="auto"/>
            <w:vAlign w:val="center"/>
          </w:tcPr>
          <w:p w14:paraId="020D0F9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1.0</w:t>
            </w:r>
          </w:p>
        </w:tc>
        <w:tc>
          <w:tcPr>
            <w:tcW w:w="133" w:type="pct"/>
            <w:tcBorders>
              <w:tl2br w:val="nil"/>
              <w:tr2bl w:val="nil"/>
            </w:tcBorders>
            <w:shd w:val="clear" w:color="auto" w:fill="auto"/>
            <w:vAlign w:val="center"/>
          </w:tcPr>
          <w:p w14:paraId="499E0CE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r>
      <w:tr w14:paraId="309150C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restart"/>
            <w:tcBorders>
              <w:tl2br w:val="nil"/>
              <w:tr2bl w:val="nil"/>
            </w:tcBorders>
            <w:shd w:val="clear" w:color="auto" w:fill="auto"/>
            <w:vAlign w:val="center"/>
          </w:tcPr>
          <w:p w14:paraId="527C0DA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473" w:name="OLE_LINK874" w:colFirst="5" w:colLast="5"/>
            <w:bookmarkStart w:id="1474" w:name="OLE_LINK875" w:colFirst="19" w:colLast="19"/>
            <w:r>
              <w:rPr>
                <w:rFonts w:hint="default" w:ascii="Times New Roman" w:hAnsi="Times New Roman" w:cs="Times New Roman"/>
                <w:color w:val="auto"/>
                <w:kern w:val="2"/>
                <w:sz w:val="18"/>
                <w:szCs w:val="18"/>
                <w:highlight w:val="none"/>
                <w:lang w:val="en-US" w:eastAsia="zh-CN" w:bidi="ar-SA"/>
              </w:rPr>
              <w:t>W4-2</w:t>
            </w:r>
          </w:p>
        </w:tc>
        <w:tc>
          <w:tcPr>
            <w:tcW w:w="216" w:type="pct"/>
            <w:tcBorders>
              <w:tl2br w:val="nil"/>
              <w:tr2bl w:val="nil"/>
            </w:tcBorders>
            <w:shd w:val="clear" w:color="auto" w:fill="auto"/>
            <w:vAlign w:val="center"/>
          </w:tcPr>
          <w:p w14:paraId="284146C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最大值</w:t>
            </w:r>
          </w:p>
        </w:tc>
        <w:tc>
          <w:tcPr>
            <w:tcW w:w="159" w:type="pct"/>
            <w:tcBorders>
              <w:tl2br w:val="nil"/>
              <w:tr2bl w:val="nil"/>
            </w:tcBorders>
            <w:shd w:val="clear" w:color="auto" w:fill="auto"/>
            <w:vAlign w:val="center"/>
          </w:tcPr>
          <w:p w14:paraId="2064439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28.5</w:t>
            </w:r>
          </w:p>
        </w:tc>
        <w:tc>
          <w:tcPr>
            <w:tcW w:w="157" w:type="pct"/>
            <w:tcBorders>
              <w:tl2br w:val="nil"/>
              <w:tr2bl w:val="nil"/>
            </w:tcBorders>
            <w:shd w:val="clear" w:color="auto" w:fill="auto"/>
            <w:vAlign w:val="center"/>
          </w:tcPr>
          <w:p w14:paraId="49A6E10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7.7</w:t>
            </w:r>
          </w:p>
        </w:tc>
        <w:tc>
          <w:tcPr>
            <w:tcW w:w="159" w:type="pct"/>
            <w:tcBorders>
              <w:tl2br w:val="nil"/>
              <w:tr2bl w:val="nil"/>
            </w:tcBorders>
            <w:shd w:val="clear" w:color="auto" w:fill="auto"/>
            <w:vAlign w:val="center"/>
          </w:tcPr>
          <w:p w14:paraId="0BFA267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5.4</w:t>
            </w:r>
          </w:p>
        </w:tc>
        <w:tc>
          <w:tcPr>
            <w:tcW w:w="145" w:type="pct"/>
            <w:tcBorders>
              <w:tl2br w:val="nil"/>
              <w:tr2bl w:val="nil"/>
            </w:tcBorders>
            <w:shd w:val="clear" w:color="auto" w:fill="auto"/>
            <w:vAlign w:val="center"/>
          </w:tcPr>
          <w:p w14:paraId="2E3B514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2.2</w:t>
            </w:r>
          </w:p>
        </w:tc>
        <w:tc>
          <w:tcPr>
            <w:tcW w:w="134" w:type="pct"/>
            <w:tcBorders>
              <w:tl2br w:val="nil"/>
              <w:tr2bl w:val="nil"/>
            </w:tcBorders>
            <w:shd w:val="clear" w:color="auto" w:fill="auto"/>
            <w:vAlign w:val="center"/>
          </w:tcPr>
          <w:p w14:paraId="039316B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10</w:t>
            </w:r>
          </w:p>
        </w:tc>
        <w:tc>
          <w:tcPr>
            <w:tcW w:w="140" w:type="pct"/>
            <w:tcBorders>
              <w:tl2br w:val="nil"/>
              <w:tr2bl w:val="nil"/>
            </w:tcBorders>
            <w:shd w:val="clear" w:color="auto" w:fill="auto"/>
            <w:vAlign w:val="center"/>
          </w:tcPr>
          <w:p w14:paraId="422FAB3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1.71 </w:t>
            </w:r>
          </w:p>
        </w:tc>
        <w:tc>
          <w:tcPr>
            <w:tcW w:w="180" w:type="pct"/>
            <w:tcBorders>
              <w:tl2br w:val="nil"/>
              <w:tr2bl w:val="nil"/>
            </w:tcBorders>
            <w:shd w:val="clear" w:color="auto" w:fill="auto"/>
            <w:vAlign w:val="center"/>
          </w:tcPr>
          <w:p w14:paraId="30CCF24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0.408 </w:t>
            </w:r>
          </w:p>
        </w:tc>
        <w:tc>
          <w:tcPr>
            <w:tcW w:w="228" w:type="pct"/>
            <w:tcBorders>
              <w:tl2br w:val="nil"/>
              <w:tr2bl w:val="nil"/>
            </w:tcBorders>
            <w:shd w:val="clear" w:color="auto" w:fill="auto"/>
            <w:vAlign w:val="center"/>
          </w:tcPr>
          <w:p w14:paraId="1A00A58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40" w:type="pct"/>
            <w:tcBorders>
              <w:tl2br w:val="nil"/>
              <w:tr2bl w:val="nil"/>
            </w:tcBorders>
            <w:shd w:val="clear" w:color="auto" w:fill="auto"/>
            <w:vAlign w:val="center"/>
          </w:tcPr>
          <w:p w14:paraId="7F0E3A2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40" w:type="pct"/>
            <w:tcBorders>
              <w:tl2br w:val="nil"/>
              <w:tr2bl w:val="nil"/>
            </w:tcBorders>
            <w:shd w:val="clear" w:color="auto" w:fill="auto"/>
            <w:vAlign w:val="center"/>
          </w:tcPr>
          <w:p w14:paraId="0EAF62D3">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299" w:type="pct"/>
            <w:tcBorders>
              <w:tl2br w:val="nil"/>
              <w:tr2bl w:val="nil"/>
            </w:tcBorders>
            <w:shd w:val="clear" w:color="auto" w:fill="auto"/>
            <w:vAlign w:val="center"/>
          </w:tcPr>
          <w:p w14:paraId="14E862F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0.000753 </w:t>
            </w:r>
          </w:p>
        </w:tc>
        <w:tc>
          <w:tcPr>
            <w:tcW w:w="172" w:type="pct"/>
            <w:tcBorders>
              <w:tl2br w:val="nil"/>
              <w:tr2bl w:val="nil"/>
            </w:tcBorders>
            <w:shd w:val="clear" w:color="auto" w:fill="auto"/>
            <w:vAlign w:val="center"/>
          </w:tcPr>
          <w:p w14:paraId="5250732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3E17D25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749CE93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0.008 </w:t>
            </w:r>
          </w:p>
        </w:tc>
        <w:tc>
          <w:tcPr>
            <w:tcW w:w="180" w:type="pct"/>
            <w:tcBorders>
              <w:tl2br w:val="nil"/>
              <w:tr2bl w:val="nil"/>
            </w:tcBorders>
            <w:shd w:val="clear" w:color="auto" w:fill="auto"/>
            <w:vAlign w:val="center"/>
          </w:tcPr>
          <w:p w14:paraId="3B770EC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732D95B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706329A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301F550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10</w:t>
            </w:r>
          </w:p>
        </w:tc>
        <w:tc>
          <w:tcPr>
            <w:tcW w:w="209" w:type="pct"/>
            <w:tcBorders>
              <w:tl2br w:val="nil"/>
              <w:tr2bl w:val="nil"/>
            </w:tcBorders>
            <w:shd w:val="clear" w:color="auto" w:fill="auto"/>
            <w:vAlign w:val="center"/>
          </w:tcPr>
          <w:p w14:paraId="6899795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5A027B0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0.0018 </w:t>
            </w:r>
          </w:p>
        </w:tc>
        <w:tc>
          <w:tcPr>
            <w:tcW w:w="134" w:type="pct"/>
            <w:tcBorders>
              <w:tl2br w:val="nil"/>
              <w:tr2bl w:val="nil"/>
            </w:tcBorders>
            <w:shd w:val="clear" w:color="auto" w:fill="auto"/>
            <w:vAlign w:val="center"/>
          </w:tcPr>
          <w:p w14:paraId="2222497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46CA67E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15</w:t>
            </w:r>
          </w:p>
        </w:tc>
        <w:tc>
          <w:tcPr>
            <w:tcW w:w="210" w:type="pct"/>
            <w:tcBorders>
              <w:tl2br w:val="nil"/>
              <w:tr2bl w:val="nil"/>
            </w:tcBorders>
            <w:shd w:val="clear" w:color="auto" w:fill="auto"/>
            <w:vAlign w:val="center"/>
          </w:tcPr>
          <w:p w14:paraId="4F39841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722C980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767A8CB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w:t>
            </w:r>
          </w:p>
        </w:tc>
        <w:tc>
          <w:tcPr>
            <w:tcW w:w="135" w:type="pct"/>
            <w:tcBorders>
              <w:tl2br w:val="nil"/>
              <w:tr2bl w:val="nil"/>
            </w:tcBorders>
            <w:shd w:val="clear" w:color="auto" w:fill="auto"/>
            <w:vAlign w:val="center"/>
          </w:tcPr>
          <w:p w14:paraId="189292A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0.52</w:t>
            </w:r>
          </w:p>
        </w:tc>
        <w:tc>
          <w:tcPr>
            <w:tcW w:w="133" w:type="pct"/>
            <w:tcBorders>
              <w:tl2br w:val="nil"/>
              <w:tr2bl w:val="nil"/>
            </w:tcBorders>
            <w:shd w:val="clear" w:color="auto" w:fill="auto"/>
            <w:vAlign w:val="center"/>
          </w:tcPr>
          <w:p w14:paraId="4B9DEDC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tr w14:paraId="0F667D9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74A7557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43D729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最小值</w:t>
            </w:r>
          </w:p>
        </w:tc>
        <w:tc>
          <w:tcPr>
            <w:tcW w:w="159" w:type="pct"/>
            <w:tcBorders>
              <w:tl2br w:val="nil"/>
              <w:tr2bl w:val="nil"/>
            </w:tcBorders>
            <w:shd w:val="clear" w:color="auto" w:fill="auto"/>
            <w:vAlign w:val="center"/>
          </w:tcPr>
          <w:p w14:paraId="745E4EF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28.4</w:t>
            </w:r>
          </w:p>
        </w:tc>
        <w:tc>
          <w:tcPr>
            <w:tcW w:w="157" w:type="pct"/>
            <w:tcBorders>
              <w:tl2br w:val="nil"/>
              <w:tr2bl w:val="nil"/>
            </w:tcBorders>
            <w:shd w:val="clear" w:color="auto" w:fill="auto"/>
            <w:vAlign w:val="center"/>
          </w:tcPr>
          <w:p w14:paraId="615BD5C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7.6</w:t>
            </w:r>
          </w:p>
        </w:tc>
        <w:tc>
          <w:tcPr>
            <w:tcW w:w="159" w:type="pct"/>
            <w:tcBorders>
              <w:tl2br w:val="nil"/>
              <w:tr2bl w:val="nil"/>
            </w:tcBorders>
            <w:shd w:val="clear" w:color="auto" w:fill="auto"/>
            <w:vAlign w:val="center"/>
          </w:tcPr>
          <w:p w14:paraId="2274BCC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5.3</w:t>
            </w:r>
          </w:p>
        </w:tc>
        <w:tc>
          <w:tcPr>
            <w:tcW w:w="145" w:type="pct"/>
            <w:tcBorders>
              <w:tl2br w:val="nil"/>
              <w:tr2bl w:val="nil"/>
            </w:tcBorders>
            <w:shd w:val="clear" w:color="auto" w:fill="auto"/>
            <w:vAlign w:val="center"/>
          </w:tcPr>
          <w:p w14:paraId="0EA1715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1.7</w:t>
            </w:r>
          </w:p>
        </w:tc>
        <w:tc>
          <w:tcPr>
            <w:tcW w:w="134" w:type="pct"/>
            <w:tcBorders>
              <w:tl2br w:val="nil"/>
              <w:tr2bl w:val="nil"/>
            </w:tcBorders>
            <w:shd w:val="clear" w:color="auto" w:fill="auto"/>
            <w:vAlign w:val="center"/>
          </w:tcPr>
          <w:p w14:paraId="68526BF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w:t>
            </w:r>
          </w:p>
        </w:tc>
        <w:tc>
          <w:tcPr>
            <w:tcW w:w="140" w:type="pct"/>
            <w:tcBorders>
              <w:tl2br w:val="nil"/>
              <w:tr2bl w:val="nil"/>
            </w:tcBorders>
            <w:shd w:val="clear" w:color="auto" w:fill="auto"/>
            <w:vAlign w:val="center"/>
          </w:tcPr>
          <w:p w14:paraId="5FDD0C7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1.64 </w:t>
            </w:r>
          </w:p>
        </w:tc>
        <w:tc>
          <w:tcPr>
            <w:tcW w:w="180" w:type="pct"/>
            <w:tcBorders>
              <w:tl2br w:val="nil"/>
              <w:tr2bl w:val="nil"/>
            </w:tcBorders>
            <w:shd w:val="clear" w:color="auto" w:fill="auto"/>
            <w:vAlign w:val="center"/>
          </w:tcPr>
          <w:p w14:paraId="3A2C33B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0.382 </w:t>
            </w:r>
          </w:p>
        </w:tc>
        <w:tc>
          <w:tcPr>
            <w:tcW w:w="228" w:type="pct"/>
            <w:tcBorders>
              <w:tl2br w:val="nil"/>
              <w:tr2bl w:val="nil"/>
            </w:tcBorders>
            <w:shd w:val="clear" w:color="auto" w:fill="auto"/>
            <w:vAlign w:val="center"/>
          </w:tcPr>
          <w:p w14:paraId="27DBA70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140" w:type="pct"/>
            <w:tcBorders>
              <w:tl2br w:val="nil"/>
              <w:tr2bl w:val="nil"/>
            </w:tcBorders>
            <w:shd w:val="clear" w:color="auto" w:fill="auto"/>
            <w:vAlign w:val="center"/>
          </w:tcPr>
          <w:p w14:paraId="21EE1F8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140" w:type="pct"/>
            <w:tcBorders>
              <w:tl2br w:val="nil"/>
              <w:tr2bl w:val="nil"/>
            </w:tcBorders>
            <w:shd w:val="clear" w:color="auto" w:fill="auto"/>
            <w:vAlign w:val="center"/>
          </w:tcPr>
          <w:p w14:paraId="07DB69F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299" w:type="pct"/>
            <w:tcBorders>
              <w:tl2br w:val="nil"/>
              <w:tr2bl w:val="nil"/>
            </w:tcBorders>
            <w:shd w:val="clear" w:color="auto" w:fill="auto"/>
            <w:vAlign w:val="center"/>
          </w:tcPr>
          <w:p w14:paraId="4B60298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0.000658 </w:t>
            </w:r>
          </w:p>
        </w:tc>
        <w:tc>
          <w:tcPr>
            <w:tcW w:w="172" w:type="pct"/>
            <w:tcBorders>
              <w:tl2br w:val="nil"/>
              <w:tr2bl w:val="nil"/>
            </w:tcBorders>
            <w:shd w:val="clear" w:color="auto" w:fill="auto"/>
            <w:vAlign w:val="center"/>
          </w:tcPr>
          <w:p w14:paraId="197AEAB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17415ED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33928DD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0.006 </w:t>
            </w:r>
          </w:p>
        </w:tc>
        <w:tc>
          <w:tcPr>
            <w:tcW w:w="180" w:type="pct"/>
            <w:tcBorders>
              <w:tl2br w:val="nil"/>
              <w:tr2bl w:val="nil"/>
            </w:tcBorders>
            <w:shd w:val="clear" w:color="auto" w:fill="auto"/>
            <w:vAlign w:val="center"/>
          </w:tcPr>
          <w:p w14:paraId="4F5B54F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2AA9A03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46E7AA8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1FAAED2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09</w:t>
            </w:r>
          </w:p>
        </w:tc>
        <w:tc>
          <w:tcPr>
            <w:tcW w:w="209" w:type="pct"/>
            <w:tcBorders>
              <w:tl2br w:val="nil"/>
              <w:tr2bl w:val="nil"/>
            </w:tcBorders>
            <w:shd w:val="clear" w:color="auto" w:fill="auto"/>
            <w:vAlign w:val="center"/>
          </w:tcPr>
          <w:p w14:paraId="31EB06C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26A4CDA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0.0014</w:t>
            </w:r>
          </w:p>
        </w:tc>
        <w:tc>
          <w:tcPr>
            <w:tcW w:w="134" w:type="pct"/>
            <w:tcBorders>
              <w:tl2br w:val="nil"/>
              <w:tr2bl w:val="nil"/>
            </w:tcBorders>
            <w:shd w:val="clear" w:color="auto" w:fill="auto"/>
            <w:vAlign w:val="center"/>
          </w:tcPr>
          <w:p w14:paraId="0248EB3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5C4E0CB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12</w:t>
            </w:r>
          </w:p>
        </w:tc>
        <w:tc>
          <w:tcPr>
            <w:tcW w:w="210" w:type="pct"/>
            <w:tcBorders>
              <w:tl2br w:val="nil"/>
              <w:tr2bl w:val="nil"/>
            </w:tcBorders>
            <w:shd w:val="clear" w:color="auto" w:fill="auto"/>
            <w:vAlign w:val="center"/>
          </w:tcPr>
          <w:p w14:paraId="23E1817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457CDC4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76B2118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1.8</w:t>
            </w:r>
          </w:p>
        </w:tc>
        <w:tc>
          <w:tcPr>
            <w:tcW w:w="135" w:type="pct"/>
            <w:tcBorders>
              <w:tl2br w:val="nil"/>
              <w:tr2bl w:val="nil"/>
            </w:tcBorders>
            <w:shd w:val="clear" w:color="auto" w:fill="auto"/>
            <w:vAlign w:val="center"/>
          </w:tcPr>
          <w:p w14:paraId="1E69F11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0.50</w:t>
            </w:r>
          </w:p>
        </w:tc>
        <w:tc>
          <w:tcPr>
            <w:tcW w:w="133" w:type="pct"/>
            <w:tcBorders>
              <w:tl2br w:val="nil"/>
              <w:tr2bl w:val="nil"/>
            </w:tcBorders>
            <w:shd w:val="clear" w:color="auto" w:fill="auto"/>
            <w:vAlign w:val="center"/>
          </w:tcPr>
          <w:p w14:paraId="1F81BF2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tr w14:paraId="64EF77F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4A6B357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2EEF5A0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平均浓度</w:t>
            </w:r>
          </w:p>
        </w:tc>
        <w:tc>
          <w:tcPr>
            <w:tcW w:w="159" w:type="pct"/>
            <w:tcBorders>
              <w:tl2br w:val="nil"/>
              <w:tr2bl w:val="nil"/>
            </w:tcBorders>
            <w:shd w:val="clear" w:color="auto" w:fill="auto"/>
            <w:vAlign w:val="center"/>
          </w:tcPr>
          <w:p w14:paraId="79D806E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28.4</w:t>
            </w:r>
          </w:p>
        </w:tc>
        <w:tc>
          <w:tcPr>
            <w:tcW w:w="157" w:type="pct"/>
            <w:tcBorders>
              <w:tl2br w:val="nil"/>
              <w:tr2bl w:val="nil"/>
            </w:tcBorders>
            <w:shd w:val="clear" w:color="auto" w:fill="auto"/>
            <w:vAlign w:val="center"/>
          </w:tcPr>
          <w:p w14:paraId="73DF5FB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7.6</w:t>
            </w:r>
          </w:p>
        </w:tc>
        <w:tc>
          <w:tcPr>
            <w:tcW w:w="159" w:type="pct"/>
            <w:tcBorders>
              <w:tl2br w:val="nil"/>
              <w:tr2bl w:val="nil"/>
            </w:tcBorders>
            <w:shd w:val="clear" w:color="auto" w:fill="auto"/>
            <w:vAlign w:val="center"/>
          </w:tcPr>
          <w:p w14:paraId="08BB507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5.3</w:t>
            </w:r>
          </w:p>
        </w:tc>
        <w:tc>
          <w:tcPr>
            <w:tcW w:w="145" w:type="pct"/>
            <w:tcBorders>
              <w:tl2br w:val="nil"/>
              <w:tr2bl w:val="nil"/>
            </w:tcBorders>
            <w:shd w:val="clear" w:color="auto" w:fill="auto"/>
            <w:vAlign w:val="center"/>
          </w:tcPr>
          <w:p w14:paraId="0D3964D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i w:val="0"/>
                <w:iCs w:val="0"/>
                <w:snapToGrid w:val="0"/>
                <w:color w:val="auto"/>
                <w:kern w:val="0"/>
                <w:sz w:val="18"/>
                <w:szCs w:val="18"/>
                <w:highlight w:val="none"/>
                <w:u w:val="none"/>
                <w:lang w:val="en-US" w:eastAsia="zh-CN" w:bidi="ar"/>
              </w:rPr>
              <w:t>2.0</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shd w:val="clear" w:color="auto" w:fill="auto"/>
            <w:vAlign w:val="center"/>
          </w:tcPr>
          <w:p w14:paraId="1B0F0EB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9</w:t>
            </w:r>
          </w:p>
        </w:tc>
        <w:tc>
          <w:tcPr>
            <w:tcW w:w="140" w:type="pct"/>
            <w:tcBorders>
              <w:tl2br w:val="nil"/>
              <w:tr2bl w:val="nil"/>
            </w:tcBorders>
            <w:shd w:val="clear" w:color="auto" w:fill="auto"/>
            <w:vAlign w:val="center"/>
          </w:tcPr>
          <w:p w14:paraId="272634D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1.66 </w:t>
            </w:r>
          </w:p>
        </w:tc>
        <w:tc>
          <w:tcPr>
            <w:tcW w:w="180" w:type="pct"/>
            <w:tcBorders>
              <w:tl2br w:val="nil"/>
              <w:tr2bl w:val="nil"/>
            </w:tcBorders>
            <w:shd w:val="clear" w:color="auto" w:fill="auto"/>
            <w:vAlign w:val="center"/>
          </w:tcPr>
          <w:p w14:paraId="1E6B6D4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0.395 </w:t>
            </w:r>
          </w:p>
        </w:tc>
        <w:tc>
          <w:tcPr>
            <w:tcW w:w="228" w:type="pct"/>
            <w:tcBorders>
              <w:tl2br w:val="nil"/>
              <w:tr2bl w:val="nil"/>
            </w:tcBorders>
            <w:shd w:val="clear" w:color="auto" w:fill="auto"/>
            <w:vAlign w:val="center"/>
          </w:tcPr>
          <w:p w14:paraId="3A072E3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40" w:type="pct"/>
            <w:tcBorders>
              <w:tl2br w:val="nil"/>
              <w:tr2bl w:val="nil"/>
            </w:tcBorders>
            <w:shd w:val="clear" w:color="auto" w:fill="auto"/>
            <w:vAlign w:val="center"/>
          </w:tcPr>
          <w:p w14:paraId="6288A9B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40" w:type="pct"/>
            <w:tcBorders>
              <w:tl2br w:val="nil"/>
              <w:tr2bl w:val="nil"/>
            </w:tcBorders>
            <w:shd w:val="clear" w:color="auto" w:fill="auto"/>
            <w:vAlign w:val="center"/>
          </w:tcPr>
          <w:p w14:paraId="53BE03C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299" w:type="pct"/>
            <w:tcBorders>
              <w:tl2br w:val="nil"/>
              <w:tr2bl w:val="nil"/>
            </w:tcBorders>
            <w:shd w:val="clear" w:color="auto" w:fill="auto"/>
            <w:vAlign w:val="center"/>
          </w:tcPr>
          <w:p w14:paraId="7EB21DA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0.000690 </w:t>
            </w:r>
          </w:p>
        </w:tc>
        <w:tc>
          <w:tcPr>
            <w:tcW w:w="172" w:type="pct"/>
            <w:tcBorders>
              <w:tl2br w:val="nil"/>
              <w:tr2bl w:val="nil"/>
            </w:tcBorders>
            <w:shd w:val="clear" w:color="auto" w:fill="auto"/>
            <w:vAlign w:val="center"/>
          </w:tcPr>
          <w:p w14:paraId="127A7F4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0E110B2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3B237F9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0.007 </w:t>
            </w:r>
          </w:p>
        </w:tc>
        <w:tc>
          <w:tcPr>
            <w:tcW w:w="180" w:type="pct"/>
            <w:tcBorders>
              <w:tl2br w:val="nil"/>
              <w:tr2bl w:val="nil"/>
            </w:tcBorders>
            <w:shd w:val="clear" w:color="auto" w:fill="auto"/>
            <w:vAlign w:val="center"/>
          </w:tcPr>
          <w:p w14:paraId="0997598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56698E8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6CC639B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3864853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09</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3C42E50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2D062D5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0.0015 </w:t>
            </w:r>
          </w:p>
        </w:tc>
        <w:tc>
          <w:tcPr>
            <w:tcW w:w="134" w:type="pct"/>
            <w:tcBorders>
              <w:tl2br w:val="nil"/>
              <w:tr2bl w:val="nil"/>
            </w:tcBorders>
            <w:shd w:val="clear" w:color="auto" w:fill="auto"/>
            <w:vAlign w:val="center"/>
          </w:tcPr>
          <w:p w14:paraId="2BF9F0E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2FB2979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13</w:t>
            </w:r>
          </w:p>
        </w:tc>
        <w:tc>
          <w:tcPr>
            <w:tcW w:w="210" w:type="pct"/>
            <w:tcBorders>
              <w:tl2br w:val="nil"/>
              <w:tr2bl w:val="nil"/>
            </w:tcBorders>
            <w:shd w:val="clear" w:color="auto" w:fill="auto"/>
            <w:vAlign w:val="center"/>
          </w:tcPr>
          <w:p w14:paraId="2ED130E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047A308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747A069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1.9</w:t>
            </w:r>
          </w:p>
        </w:tc>
        <w:tc>
          <w:tcPr>
            <w:tcW w:w="135" w:type="pct"/>
            <w:tcBorders>
              <w:tl2br w:val="nil"/>
              <w:tr2bl w:val="nil"/>
            </w:tcBorders>
            <w:shd w:val="clear" w:color="auto" w:fill="auto"/>
            <w:vAlign w:val="center"/>
          </w:tcPr>
          <w:p w14:paraId="49349B0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0.51</w:t>
            </w:r>
          </w:p>
        </w:tc>
        <w:tc>
          <w:tcPr>
            <w:tcW w:w="133" w:type="pct"/>
            <w:tcBorders>
              <w:tl2br w:val="nil"/>
              <w:tr2bl w:val="nil"/>
            </w:tcBorders>
            <w:shd w:val="clear" w:color="auto" w:fill="auto"/>
            <w:vAlign w:val="center"/>
          </w:tcPr>
          <w:p w14:paraId="78B1C50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73"/>
      <w:bookmarkEnd w:id="1474"/>
      <w:tr w14:paraId="504892D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3B40BB1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bookmarkStart w:id="1475" w:name="OLE_LINK504" w:colFirst="2" w:colLast="28"/>
            <w:bookmarkStart w:id="1476" w:name="OLE_LINK507" w:colFirst="23" w:colLast="23"/>
            <w:bookmarkStart w:id="1477" w:name="OLE_LINK506" w:colFirst="7" w:colLast="7"/>
          </w:p>
        </w:tc>
        <w:tc>
          <w:tcPr>
            <w:tcW w:w="216" w:type="pct"/>
            <w:tcBorders>
              <w:tl2br w:val="nil"/>
              <w:tr2bl w:val="nil"/>
            </w:tcBorders>
            <w:shd w:val="clear" w:color="auto" w:fill="auto"/>
            <w:vAlign w:val="center"/>
          </w:tcPr>
          <w:p w14:paraId="554DF15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最大单因子指数</w:t>
            </w:r>
          </w:p>
        </w:tc>
        <w:tc>
          <w:tcPr>
            <w:tcW w:w="159" w:type="pct"/>
            <w:tcBorders>
              <w:tl2br w:val="nil"/>
              <w:tr2bl w:val="nil"/>
            </w:tcBorders>
            <w:shd w:val="clear" w:color="auto" w:fill="auto"/>
            <w:vAlign w:val="center"/>
          </w:tcPr>
          <w:p w14:paraId="16E80360">
            <w:pPr>
              <w:jc w:val="center"/>
              <w:rPr>
                <w:rFonts w:hint="eastAsia"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shd w:val="clear" w:color="auto" w:fill="auto"/>
            <w:vAlign w:val="center"/>
          </w:tcPr>
          <w:p w14:paraId="12D64F5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0.35</w:t>
            </w:r>
          </w:p>
        </w:tc>
        <w:tc>
          <w:tcPr>
            <w:tcW w:w="159" w:type="pct"/>
            <w:tcBorders>
              <w:tl2br w:val="nil"/>
              <w:tr2bl w:val="nil"/>
            </w:tcBorders>
            <w:shd w:val="clear" w:color="auto" w:fill="auto"/>
            <w:vAlign w:val="center"/>
          </w:tcPr>
          <w:p w14:paraId="3D5F293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0.86 </w:t>
            </w:r>
          </w:p>
        </w:tc>
        <w:tc>
          <w:tcPr>
            <w:tcW w:w="145" w:type="pct"/>
            <w:tcBorders>
              <w:tl2br w:val="nil"/>
              <w:tr2bl w:val="nil"/>
            </w:tcBorders>
            <w:shd w:val="clear" w:color="auto" w:fill="auto"/>
            <w:vAlign w:val="center"/>
          </w:tcPr>
          <w:p w14:paraId="0F9324F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.55</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shd w:val="clear" w:color="auto" w:fill="auto"/>
            <w:vAlign w:val="center"/>
          </w:tcPr>
          <w:p w14:paraId="724BD1C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40" w:type="pct"/>
            <w:tcBorders>
              <w:tl2br w:val="nil"/>
              <w:tr2bl w:val="nil"/>
            </w:tcBorders>
            <w:shd w:val="clear" w:color="auto" w:fill="auto"/>
            <w:vAlign w:val="center"/>
          </w:tcPr>
          <w:p w14:paraId="21202AE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2B7E279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0.41 </w:t>
            </w:r>
          </w:p>
        </w:tc>
        <w:tc>
          <w:tcPr>
            <w:tcW w:w="228" w:type="pct"/>
            <w:tcBorders>
              <w:tl2br w:val="nil"/>
              <w:tr2bl w:val="nil"/>
            </w:tcBorders>
            <w:shd w:val="clear" w:color="auto" w:fill="auto"/>
            <w:vAlign w:val="center"/>
          </w:tcPr>
          <w:p w14:paraId="4CA720B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0.20 </w:t>
            </w:r>
          </w:p>
        </w:tc>
        <w:tc>
          <w:tcPr>
            <w:tcW w:w="140" w:type="pct"/>
            <w:tcBorders>
              <w:tl2br w:val="nil"/>
              <w:tr2bl w:val="nil"/>
            </w:tcBorders>
            <w:shd w:val="clear" w:color="auto" w:fill="auto"/>
            <w:vAlign w:val="center"/>
          </w:tcPr>
          <w:p w14:paraId="457DDFC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0.40 </w:t>
            </w:r>
          </w:p>
        </w:tc>
        <w:tc>
          <w:tcPr>
            <w:tcW w:w="140" w:type="pct"/>
            <w:tcBorders>
              <w:tl2br w:val="nil"/>
              <w:tr2bl w:val="nil"/>
            </w:tcBorders>
            <w:shd w:val="clear" w:color="auto" w:fill="auto"/>
            <w:vAlign w:val="center"/>
          </w:tcPr>
          <w:p w14:paraId="1930916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0.10 </w:t>
            </w:r>
          </w:p>
        </w:tc>
        <w:tc>
          <w:tcPr>
            <w:tcW w:w="299" w:type="pct"/>
            <w:tcBorders>
              <w:tl2br w:val="nil"/>
              <w:tr2bl w:val="nil"/>
            </w:tcBorders>
            <w:shd w:val="clear" w:color="auto" w:fill="auto"/>
            <w:vAlign w:val="center"/>
          </w:tcPr>
          <w:p w14:paraId="491C953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0.15 </w:t>
            </w:r>
          </w:p>
        </w:tc>
        <w:tc>
          <w:tcPr>
            <w:tcW w:w="172" w:type="pct"/>
            <w:tcBorders>
              <w:tl2br w:val="nil"/>
              <w:tr2bl w:val="nil"/>
            </w:tcBorders>
            <w:shd w:val="clear" w:color="auto" w:fill="auto"/>
            <w:vAlign w:val="center"/>
          </w:tcPr>
          <w:p w14:paraId="5FF873C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34" w:type="pct"/>
            <w:tcBorders>
              <w:tl2br w:val="nil"/>
              <w:tr2bl w:val="nil"/>
            </w:tcBorders>
            <w:shd w:val="clear" w:color="auto" w:fill="auto"/>
            <w:vAlign w:val="center"/>
          </w:tcPr>
          <w:p w14:paraId="76D32EB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0.30 </w:t>
            </w:r>
          </w:p>
        </w:tc>
        <w:tc>
          <w:tcPr>
            <w:tcW w:w="180" w:type="pct"/>
            <w:tcBorders>
              <w:tl2br w:val="nil"/>
              <w:tr2bl w:val="nil"/>
            </w:tcBorders>
            <w:shd w:val="clear" w:color="auto" w:fill="auto"/>
            <w:vAlign w:val="center"/>
          </w:tcPr>
          <w:p w14:paraId="786700A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180" w:type="pct"/>
            <w:tcBorders>
              <w:tl2br w:val="nil"/>
              <w:tr2bl w:val="nil"/>
            </w:tcBorders>
            <w:shd w:val="clear" w:color="auto" w:fill="auto"/>
            <w:vAlign w:val="center"/>
          </w:tcPr>
          <w:p w14:paraId="2BAF2C5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72" w:type="pct"/>
            <w:tcBorders>
              <w:tl2br w:val="nil"/>
              <w:tr2bl w:val="nil"/>
            </w:tcBorders>
            <w:shd w:val="clear" w:color="auto" w:fill="auto"/>
            <w:vAlign w:val="center"/>
          </w:tcPr>
          <w:p w14:paraId="6FC1444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34" w:type="pct"/>
            <w:tcBorders>
              <w:tl2br w:val="nil"/>
              <w:tr2bl w:val="nil"/>
            </w:tcBorders>
            <w:shd w:val="clear" w:color="auto" w:fill="auto"/>
            <w:vAlign w:val="center"/>
          </w:tcPr>
          <w:p w14:paraId="1B5F8BD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0.70 </w:t>
            </w:r>
          </w:p>
        </w:tc>
        <w:tc>
          <w:tcPr>
            <w:tcW w:w="258" w:type="pct"/>
            <w:tcBorders>
              <w:tl2br w:val="nil"/>
              <w:tr2bl w:val="nil"/>
            </w:tcBorders>
            <w:shd w:val="clear" w:color="auto" w:fill="auto"/>
            <w:vAlign w:val="center"/>
          </w:tcPr>
          <w:p w14:paraId="2A88C47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bookmarkStart w:id="1478" w:name="OLE_LINK876"/>
            <w:r>
              <w:rPr>
                <w:rFonts w:hint="eastAsia" w:ascii="Times New Roman" w:hAnsi="Times New Roman" w:eastAsia="宋体" w:cs="Times New Roman"/>
                <w:i w:val="0"/>
                <w:iCs w:val="0"/>
                <w:snapToGrid w:val="0"/>
                <w:color w:val="auto"/>
                <w:kern w:val="0"/>
                <w:sz w:val="18"/>
                <w:szCs w:val="18"/>
                <w:highlight w:val="none"/>
                <w:u w:val="none"/>
                <w:lang w:val="en-US" w:eastAsia="zh-CN" w:bidi="ar"/>
              </w:rPr>
              <w:t>1.0</w:t>
            </w:r>
            <w:bookmarkEnd w:id="1478"/>
          </w:p>
        </w:tc>
        <w:tc>
          <w:tcPr>
            <w:tcW w:w="209" w:type="pct"/>
            <w:tcBorders>
              <w:tl2br w:val="nil"/>
              <w:tr2bl w:val="nil"/>
            </w:tcBorders>
            <w:shd w:val="clear" w:color="auto" w:fill="auto"/>
            <w:vAlign w:val="center"/>
          </w:tcPr>
          <w:p w14:paraId="5D6E7C7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219" w:type="pct"/>
            <w:tcBorders>
              <w:tl2br w:val="nil"/>
              <w:tr2bl w:val="nil"/>
            </w:tcBorders>
            <w:shd w:val="clear" w:color="auto" w:fill="auto"/>
            <w:vAlign w:val="center"/>
          </w:tcPr>
          <w:p w14:paraId="5164FF1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34" w:type="pct"/>
            <w:tcBorders>
              <w:tl2br w:val="nil"/>
              <w:tr2bl w:val="nil"/>
            </w:tcBorders>
            <w:shd w:val="clear" w:color="auto" w:fill="auto"/>
            <w:vAlign w:val="center"/>
          </w:tcPr>
          <w:p w14:paraId="2151EBA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34" w:type="pct"/>
            <w:tcBorders>
              <w:tl2br w:val="nil"/>
              <w:tr2bl w:val="nil"/>
            </w:tcBorders>
            <w:shd w:val="clear" w:color="auto" w:fill="auto"/>
            <w:vAlign w:val="center"/>
          </w:tcPr>
          <w:p w14:paraId="4038010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7C5CB1F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72" w:type="pct"/>
            <w:tcBorders>
              <w:tl2br w:val="nil"/>
              <w:tr2bl w:val="nil"/>
            </w:tcBorders>
            <w:shd w:val="clear" w:color="auto" w:fill="auto"/>
            <w:vAlign w:val="center"/>
          </w:tcPr>
          <w:p w14:paraId="183B1F5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72" w:type="pct"/>
            <w:tcBorders>
              <w:tl2br w:val="nil"/>
              <w:tr2bl w:val="nil"/>
            </w:tcBorders>
            <w:shd w:val="clear" w:color="auto" w:fill="auto"/>
            <w:vAlign w:val="center"/>
          </w:tcPr>
          <w:p w14:paraId="076628F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0.33 </w:t>
            </w:r>
          </w:p>
        </w:tc>
        <w:tc>
          <w:tcPr>
            <w:tcW w:w="135" w:type="pct"/>
            <w:tcBorders>
              <w:tl2br w:val="nil"/>
              <w:tr2bl w:val="nil"/>
            </w:tcBorders>
            <w:shd w:val="clear" w:color="auto" w:fill="auto"/>
            <w:vAlign w:val="center"/>
          </w:tcPr>
          <w:p w14:paraId="268FDB7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0.52 </w:t>
            </w:r>
          </w:p>
        </w:tc>
        <w:tc>
          <w:tcPr>
            <w:tcW w:w="133" w:type="pct"/>
            <w:tcBorders>
              <w:tl2br w:val="nil"/>
              <w:tr2bl w:val="nil"/>
            </w:tcBorders>
            <w:shd w:val="clear" w:color="auto" w:fill="auto"/>
            <w:vAlign w:val="center"/>
          </w:tcPr>
          <w:p w14:paraId="7FC440F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0.13 </w:t>
            </w:r>
          </w:p>
        </w:tc>
      </w:tr>
      <w:bookmarkEnd w:id="1475"/>
      <w:tr w14:paraId="1B5BA61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4F292AE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45D6581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超标率（%）</w:t>
            </w:r>
          </w:p>
        </w:tc>
        <w:tc>
          <w:tcPr>
            <w:tcW w:w="159" w:type="pct"/>
            <w:tcBorders>
              <w:tl2br w:val="nil"/>
              <w:tr2bl w:val="nil"/>
            </w:tcBorders>
            <w:shd w:val="clear" w:color="auto" w:fill="auto"/>
            <w:vAlign w:val="center"/>
          </w:tcPr>
          <w:p w14:paraId="094F9EF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479" w:name="OLE_LINK505"/>
            <w:r>
              <w:rPr>
                <w:rFonts w:hint="eastAsia" w:ascii="Times New Roman" w:hAnsi="Times New Roman" w:eastAsia="宋体" w:cs="Times New Roman"/>
                <w:color w:val="auto"/>
                <w:sz w:val="18"/>
                <w:szCs w:val="18"/>
                <w:lang w:val="en-US" w:eastAsia="zh-CN"/>
              </w:rPr>
              <w:t>/</w:t>
            </w:r>
            <w:bookmarkEnd w:id="1479"/>
          </w:p>
        </w:tc>
        <w:tc>
          <w:tcPr>
            <w:tcW w:w="157" w:type="pct"/>
            <w:tcBorders>
              <w:tl2br w:val="nil"/>
              <w:tr2bl w:val="nil"/>
            </w:tcBorders>
            <w:shd w:val="clear" w:color="auto" w:fill="auto"/>
            <w:vAlign w:val="center"/>
          </w:tcPr>
          <w:p w14:paraId="5B3BB58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59" w:type="pct"/>
            <w:tcBorders>
              <w:tl2br w:val="nil"/>
              <w:tr2bl w:val="nil"/>
            </w:tcBorders>
            <w:shd w:val="clear" w:color="auto" w:fill="auto"/>
            <w:vAlign w:val="center"/>
          </w:tcPr>
          <w:p w14:paraId="335C94F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5" w:type="pct"/>
            <w:tcBorders>
              <w:tl2br w:val="nil"/>
              <w:tr2bl w:val="nil"/>
            </w:tcBorders>
            <w:shd w:val="clear" w:color="auto" w:fill="auto"/>
            <w:vAlign w:val="center"/>
          </w:tcPr>
          <w:p w14:paraId="7A89DF6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34" w:type="pct"/>
            <w:tcBorders>
              <w:tl2br w:val="nil"/>
              <w:tr2bl w:val="nil"/>
            </w:tcBorders>
            <w:shd w:val="clear" w:color="auto" w:fill="auto"/>
            <w:vAlign w:val="center"/>
          </w:tcPr>
          <w:p w14:paraId="32E6CB9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0" w:type="pct"/>
            <w:tcBorders>
              <w:tl2br w:val="nil"/>
              <w:tr2bl w:val="nil"/>
            </w:tcBorders>
            <w:shd w:val="clear" w:color="auto" w:fill="auto"/>
            <w:vAlign w:val="center"/>
          </w:tcPr>
          <w:p w14:paraId="529CAE3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1AD8130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228" w:type="pct"/>
            <w:tcBorders>
              <w:tl2br w:val="nil"/>
              <w:tr2bl w:val="nil"/>
            </w:tcBorders>
            <w:shd w:val="clear" w:color="auto" w:fill="auto"/>
            <w:vAlign w:val="center"/>
          </w:tcPr>
          <w:p w14:paraId="7D17A26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02AAE4C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00195A3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99" w:type="pct"/>
            <w:tcBorders>
              <w:tl2br w:val="nil"/>
              <w:tr2bl w:val="nil"/>
            </w:tcBorders>
            <w:shd w:val="clear" w:color="auto" w:fill="auto"/>
            <w:vAlign w:val="center"/>
          </w:tcPr>
          <w:p w14:paraId="2B8BF69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174EEC1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525F28A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3B1E9F8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0E8655E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356439B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7126FD2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58" w:type="pct"/>
            <w:tcBorders>
              <w:tl2br w:val="nil"/>
              <w:tr2bl w:val="nil"/>
            </w:tcBorders>
            <w:shd w:val="clear" w:color="auto" w:fill="auto"/>
            <w:vAlign w:val="center"/>
          </w:tcPr>
          <w:p w14:paraId="2FC1006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209" w:type="pct"/>
            <w:tcBorders>
              <w:tl2br w:val="nil"/>
              <w:tr2bl w:val="nil"/>
            </w:tcBorders>
            <w:shd w:val="clear" w:color="auto" w:fill="auto"/>
            <w:vAlign w:val="center"/>
          </w:tcPr>
          <w:p w14:paraId="0D0D95D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19" w:type="pct"/>
            <w:tcBorders>
              <w:tl2br w:val="nil"/>
              <w:tr2bl w:val="nil"/>
            </w:tcBorders>
            <w:shd w:val="clear" w:color="auto" w:fill="auto"/>
            <w:vAlign w:val="center"/>
          </w:tcPr>
          <w:p w14:paraId="183EE99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742F29E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66AB03A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4006689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04BD9B0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37A1780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5" w:type="pct"/>
            <w:tcBorders>
              <w:tl2br w:val="nil"/>
              <w:tr2bl w:val="nil"/>
            </w:tcBorders>
            <w:shd w:val="clear" w:color="auto" w:fill="auto"/>
            <w:vAlign w:val="center"/>
          </w:tcPr>
          <w:p w14:paraId="45C98B8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3" w:type="pct"/>
            <w:tcBorders>
              <w:tl2br w:val="nil"/>
              <w:tr2bl w:val="nil"/>
            </w:tcBorders>
            <w:shd w:val="clear" w:color="auto" w:fill="auto"/>
            <w:vAlign w:val="center"/>
          </w:tcPr>
          <w:p w14:paraId="23C8B8A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r>
      <w:bookmarkEnd w:id="1476"/>
      <w:bookmarkEnd w:id="1477"/>
      <w:tr w14:paraId="2A4FE7F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355" w:type="pct"/>
            <w:gridSpan w:val="2"/>
            <w:tcBorders>
              <w:tl2br w:val="nil"/>
              <w:tr2bl w:val="nil"/>
            </w:tcBorders>
            <w:shd w:val="clear" w:color="auto" w:fill="auto"/>
            <w:vAlign w:val="center"/>
          </w:tcPr>
          <w:p w14:paraId="41D6FF7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Ⅲ类限值</w:t>
            </w:r>
          </w:p>
        </w:tc>
        <w:tc>
          <w:tcPr>
            <w:tcW w:w="159" w:type="pct"/>
            <w:tcBorders>
              <w:tl2br w:val="nil"/>
              <w:tr2bl w:val="nil"/>
            </w:tcBorders>
            <w:shd w:val="clear" w:color="auto" w:fill="auto"/>
            <w:vAlign w:val="center"/>
          </w:tcPr>
          <w:p w14:paraId="5A667D5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w:t>
            </w:r>
          </w:p>
        </w:tc>
        <w:tc>
          <w:tcPr>
            <w:tcW w:w="157" w:type="pct"/>
            <w:tcBorders>
              <w:tl2br w:val="nil"/>
              <w:tr2bl w:val="nil"/>
            </w:tcBorders>
            <w:shd w:val="clear" w:color="auto" w:fill="auto"/>
            <w:vAlign w:val="center"/>
          </w:tcPr>
          <w:p w14:paraId="687EA10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6-9</w:t>
            </w:r>
          </w:p>
        </w:tc>
        <w:tc>
          <w:tcPr>
            <w:tcW w:w="159" w:type="pct"/>
            <w:tcBorders>
              <w:tl2br w:val="nil"/>
              <w:tr2bl w:val="nil"/>
            </w:tcBorders>
            <w:shd w:val="clear" w:color="auto" w:fill="auto"/>
            <w:vAlign w:val="center"/>
          </w:tcPr>
          <w:p w14:paraId="197C017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lang w:val="en-US" w:eastAsia="zh-CN"/>
              </w:rPr>
              <w:t>5</w:t>
            </w:r>
          </w:p>
        </w:tc>
        <w:tc>
          <w:tcPr>
            <w:tcW w:w="145" w:type="pct"/>
            <w:tcBorders>
              <w:tl2br w:val="nil"/>
              <w:tr2bl w:val="nil"/>
            </w:tcBorders>
            <w:shd w:val="clear" w:color="auto" w:fill="auto"/>
            <w:vAlign w:val="center"/>
          </w:tcPr>
          <w:p w14:paraId="57906A7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4</w:t>
            </w:r>
          </w:p>
        </w:tc>
        <w:tc>
          <w:tcPr>
            <w:tcW w:w="134" w:type="pct"/>
            <w:tcBorders>
              <w:tl2br w:val="nil"/>
              <w:tr2bl w:val="nil"/>
            </w:tcBorders>
            <w:shd w:val="clear" w:color="auto" w:fill="auto"/>
            <w:vAlign w:val="center"/>
          </w:tcPr>
          <w:p w14:paraId="519DB96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20</w:t>
            </w:r>
          </w:p>
        </w:tc>
        <w:tc>
          <w:tcPr>
            <w:tcW w:w="140" w:type="pct"/>
            <w:tcBorders>
              <w:tl2br w:val="nil"/>
              <w:tr2bl w:val="nil"/>
            </w:tcBorders>
            <w:shd w:val="clear" w:color="auto" w:fill="auto"/>
            <w:vAlign w:val="center"/>
          </w:tcPr>
          <w:p w14:paraId="4736868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w:t>
            </w:r>
          </w:p>
        </w:tc>
        <w:tc>
          <w:tcPr>
            <w:tcW w:w="180" w:type="pct"/>
            <w:tcBorders>
              <w:tl2br w:val="nil"/>
              <w:tr2bl w:val="nil"/>
            </w:tcBorders>
            <w:shd w:val="clear" w:color="auto" w:fill="auto"/>
            <w:vAlign w:val="center"/>
          </w:tcPr>
          <w:p w14:paraId="77DF6C5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1.0</w:t>
            </w:r>
          </w:p>
        </w:tc>
        <w:tc>
          <w:tcPr>
            <w:tcW w:w="228" w:type="pct"/>
            <w:tcBorders>
              <w:tl2br w:val="nil"/>
              <w:tr2bl w:val="nil"/>
            </w:tcBorders>
            <w:shd w:val="clear" w:color="auto" w:fill="auto"/>
            <w:vAlign w:val="center"/>
          </w:tcPr>
          <w:p w14:paraId="711FBC5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0.2</w:t>
            </w:r>
          </w:p>
        </w:tc>
        <w:tc>
          <w:tcPr>
            <w:tcW w:w="140" w:type="pct"/>
            <w:tcBorders>
              <w:tl2br w:val="nil"/>
              <w:tr2bl w:val="nil"/>
            </w:tcBorders>
            <w:shd w:val="clear" w:color="auto" w:fill="auto"/>
            <w:vAlign w:val="center"/>
          </w:tcPr>
          <w:p w14:paraId="54B31E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0.05</w:t>
            </w:r>
          </w:p>
        </w:tc>
        <w:tc>
          <w:tcPr>
            <w:tcW w:w="140" w:type="pct"/>
            <w:tcBorders>
              <w:tl2br w:val="nil"/>
              <w:tr2bl w:val="nil"/>
            </w:tcBorders>
            <w:shd w:val="clear" w:color="auto" w:fill="auto"/>
            <w:vAlign w:val="center"/>
          </w:tcPr>
          <w:p w14:paraId="0C50818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0.2</w:t>
            </w:r>
          </w:p>
        </w:tc>
        <w:tc>
          <w:tcPr>
            <w:tcW w:w="299" w:type="pct"/>
            <w:tcBorders>
              <w:tl2br w:val="nil"/>
              <w:tr2bl w:val="nil"/>
            </w:tcBorders>
            <w:shd w:val="clear" w:color="auto" w:fill="auto"/>
            <w:vAlign w:val="center"/>
          </w:tcPr>
          <w:p w14:paraId="4262A7B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0.005</w:t>
            </w:r>
          </w:p>
        </w:tc>
        <w:tc>
          <w:tcPr>
            <w:tcW w:w="172" w:type="pct"/>
            <w:tcBorders>
              <w:tl2br w:val="nil"/>
              <w:tr2bl w:val="nil"/>
            </w:tcBorders>
            <w:shd w:val="clear" w:color="auto" w:fill="auto"/>
            <w:vAlign w:val="center"/>
          </w:tcPr>
          <w:p w14:paraId="74927FE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0.05</w:t>
            </w:r>
          </w:p>
        </w:tc>
        <w:tc>
          <w:tcPr>
            <w:tcW w:w="134" w:type="pct"/>
            <w:tcBorders>
              <w:tl2br w:val="nil"/>
              <w:tr2bl w:val="nil"/>
            </w:tcBorders>
            <w:shd w:val="clear" w:color="auto" w:fill="auto"/>
            <w:vAlign w:val="center"/>
          </w:tcPr>
          <w:p w14:paraId="5EE6016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0.05</w:t>
            </w:r>
          </w:p>
        </w:tc>
        <w:tc>
          <w:tcPr>
            <w:tcW w:w="180" w:type="pct"/>
            <w:tcBorders>
              <w:tl2br w:val="nil"/>
              <w:tr2bl w:val="nil"/>
            </w:tcBorders>
            <w:shd w:val="clear" w:color="auto" w:fill="auto"/>
            <w:vAlign w:val="center"/>
          </w:tcPr>
          <w:p w14:paraId="0B8C79D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1.0</w:t>
            </w:r>
          </w:p>
        </w:tc>
        <w:tc>
          <w:tcPr>
            <w:tcW w:w="180" w:type="pct"/>
            <w:tcBorders>
              <w:tl2br w:val="nil"/>
              <w:tr2bl w:val="nil"/>
            </w:tcBorders>
            <w:shd w:val="clear" w:color="auto" w:fill="auto"/>
            <w:vAlign w:val="center"/>
          </w:tcPr>
          <w:p w14:paraId="7AABA6C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0.1</w:t>
            </w:r>
          </w:p>
        </w:tc>
        <w:tc>
          <w:tcPr>
            <w:tcW w:w="172" w:type="pct"/>
            <w:tcBorders>
              <w:tl2br w:val="nil"/>
              <w:tr2bl w:val="nil"/>
            </w:tcBorders>
            <w:shd w:val="clear" w:color="auto" w:fill="auto"/>
            <w:vAlign w:val="center"/>
          </w:tcPr>
          <w:p w14:paraId="2BC65D3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1.0</w:t>
            </w:r>
          </w:p>
        </w:tc>
        <w:tc>
          <w:tcPr>
            <w:tcW w:w="134" w:type="pct"/>
            <w:tcBorders>
              <w:tl2br w:val="nil"/>
              <w:tr2bl w:val="nil"/>
            </w:tcBorders>
            <w:shd w:val="clear" w:color="auto" w:fill="auto"/>
            <w:vAlign w:val="center"/>
          </w:tcPr>
          <w:p w14:paraId="7128FAE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0.05</w:t>
            </w:r>
          </w:p>
        </w:tc>
        <w:tc>
          <w:tcPr>
            <w:tcW w:w="258" w:type="pct"/>
            <w:tcBorders>
              <w:tl2br w:val="nil"/>
              <w:tr2bl w:val="nil"/>
            </w:tcBorders>
            <w:shd w:val="clear" w:color="auto" w:fill="auto"/>
            <w:vAlign w:val="center"/>
          </w:tcPr>
          <w:p w14:paraId="3CE71AF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lang w:val="en-US" w:eastAsia="zh-CN"/>
              </w:rPr>
              <w:t>0.0001</w:t>
            </w:r>
          </w:p>
        </w:tc>
        <w:tc>
          <w:tcPr>
            <w:tcW w:w="209" w:type="pct"/>
            <w:tcBorders>
              <w:tl2br w:val="nil"/>
              <w:tr2bl w:val="nil"/>
            </w:tcBorders>
            <w:shd w:val="clear" w:color="auto" w:fill="auto"/>
            <w:vAlign w:val="center"/>
          </w:tcPr>
          <w:p w14:paraId="48B98E5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0.01</w:t>
            </w:r>
          </w:p>
        </w:tc>
        <w:tc>
          <w:tcPr>
            <w:tcW w:w="219" w:type="pct"/>
            <w:tcBorders>
              <w:tl2br w:val="nil"/>
              <w:tr2bl w:val="nil"/>
            </w:tcBorders>
            <w:shd w:val="clear" w:color="auto" w:fill="auto"/>
            <w:vAlign w:val="center"/>
          </w:tcPr>
          <w:p w14:paraId="5C4F6F2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0.05</w:t>
            </w:r>
          </w:p>
        </w:tc>
        <w:tc>
          <w:tcPr>
            <w:tcW w:w="134" w:type="pct"/>
            <w:tcBorders>
              <w:tl2br w:val="nil"/>
              <w:tr2bl w:val="nil"/>
            </w:tcBorders>
            <w:shd w:val="clear" w:color="auto" w:fill="auto"/>
            <w:vAlign w:val="center"/>
          </w:tcPr>
          <w:p w14:paraId="365A66E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0.02</w:t>
            </w:r>
          </w:p>
        </w:tc>
        <w:tc>
          <w:tcPr>
            <w:tcW w:w="134" w:type="pct"/>
            <w:tcBorders>
              <w:tl2br w:val="nil"/>
              <w:tr2bl w:val="nil"/>
            </w:tcBorders>
            <w:shd w:val="clear" w:color="auto" w:fill="auto"/>
            <w:vAlign w:val="center"/>
          </w:tcPr>
          <w:p w14:paraId="009A53D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053E3BE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0.005</w:t>
            </w:r>
          </w:p>
        </w:tc>
        <w:tc>
          <w:tcPr>
            <w:tcW w:w="172" w:type="pct"/>
            <w:tcBorders>
              <w:tl2br w:val="nil"/>
              <w:tr2bl w:val="nil"/>
            </w:tcBorders>
            <w:shd w:val="clear" w:color="auto" w:fill="auto"/>
            <w:vAlign w:val="center"/>
          </w:tcPr>
          <w:p w14:paraId="6FAC851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c>
          <w:tcPr>
            <w:tcW w:w="172" w:type="pct"/>
            <w:tcBorders>
              <w:tl2br w:val="nil"/>
              <w:tr2bl w:val="nil"/>
            </w:tcBorders>
            <w:shd w:val="clear" w:color="auto" w:fill="auto"/>
            <w:vAlign w:val="center"/>
          </w:tcPr>
          <w:p w14:paraId="6F589BB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6</w:t>
            </w:r>
          </w:p>
        </w:tc>
        <w:tc>
          <w:tcPr>
            <w:tcW w:w="135" w:type="pct"/>
            <w:tcBorders>
              <w:tl2br w:val="nil"/>
              <w:tr2bl w:val="nil"/>
            </w:tcBorders>
            <w:shd w:val="clear" w:color="auto" w:fill="auto"/>
            <w:vAlign w:val="center"/>
          </w:tcPr>
          <w:p w14:paraId="2B60555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1.0</w:t>
            </w:r>
          </w:p>
        </w:tc>
        <w:tc>
          <w:tcPr>
            <w:tcW w:w="133" w:type="pct"/>
            <w:tcBorders>
              <w:tl2br w:val="nil"/>
              <w:tr2bl w:val="nil"/>
            </w:tcBorders>
            <w:shd w:val="clear" w:color="auto" w:fill="auto"/>
            <w:vAlign w:val="center"/>
          </w:tcPr>
          <w:p w14:paraId="06943BD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r>
      <w:tr w14:paraId="001ABDD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restart"/>
            <w:tcBorders>
              <w:tl2br w:val="nil"/>
              <w:tr2bl w:val="nil"/>
            </w:tcBorders>
            <w:shd w:val="clear" w:color="auto" w:fill="auto"/>
            <w:vAlign w:val="center"/>
          </w:tcPr>
          <w:p w14:paraId="5E30F40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480" w:name="OLE_LINK879" w:colFirst="19" w:colLast="19"/>
            <w:bookmarkStart w:id="1481" w:name="OLE_LINK877" w:colFirst="5" w:colLast="5"/>
            <w:bookmarkStart w:id="1482" w:name="OLE_LINK878" w:colFirst="5" w:colLast="5"/>
            <w:r>
              <w:rPr>
                <w:rFonts w:hint="default" w:ascii="Times New Roman" w:hAnsi="Times New Roman" w:cs="Times New Roman"/>
                <w:color w:val="auto"/>
                <w:kern w:val="2"/>
                <w:sz w:val="18"/>
                <w:szCs w:val="18"/>
                <w:highlight w:val="none"/>
                <w:lang w:val="en-US" w:eastAsia="zh-CN" w:bidi="ar-SA"/>
              </w:rPr>
              <w:t>W4-3</w:t>
            </w:r>
          </w:p>
        </w:tc>
        <w:tc>
          <w:tcPr>
            <w:tcW w:w="216" w:type="pct"/>
            <w:tcBorders>
              <w:tl2br w:val="nil"/>
              <w:tr2bl w:val="nil"/>
            </w:tcBorders>
            <w:shd w:val="clear" w:color="auto" w:fill="auto"/>
            <w:vAlign w:val="center"/>
          </w:tcPr>
          <w:p w14:paraId="7A26E1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最大值</w:t>
            </w:r>
          </w:p>
        </w:tc>
        <w:tc>
          <w:tcPr>
            <w:tcW w:w="159" w:type="pct"/>
            <w:tcBorders>
              <w:tl2br w:val="nil"/>
              <w:tr2bl w:val="nil"/>
            </w:tcBorders>
            <w:shd w:val="clear" w:color="auto" w:fill="auto"/>
            <w:vAlign w:val="center"/>
          </w:tcPr>
          <w:p w14:paraId="4EDE40E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28.6</w:t>
            </w:r>
          </w:p>
        </w:tc>
        <w:tc>
          <w:tcPr>
            <w:tcW w:w="157" w:type="pct"/>
            <w:tcBorders>
              <w:tl2br w:val="nil"/>
              <w:tr2bl w:val="nil"/>
            </w:tcBorders>
            <w:shd w:val="clear" w:color="auto" w:fill="auto"/>
            <w:vAlign w:val="center"/>
          </w:tcPr>
          <w:p w14:paraId="7148800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7.8</w:t>
            </w:r>
          </w:p>
        </w:tc>
        <w:tc>
          <w:tcPr>
            <w:tcW w:w="159" w:type="pct"/>
            <w:tcBorders>
              <w:tl2br w:val="nil"/>
              <w:tr2bl w:val="nil"/>
            </w:tcBorders>
            <w:shd w:val="clear" w:color="auto" w:fill="auto"/>
            <w:vAlign w:val="center"/>
          </w:tcPr>
          <w:p w14:paraId="5C66F6F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5.4</w:t>
            </w:r>
          </w:p>
        </w:tc>
        <w:tc>
          <w:tcPr>
            <w:tcW w:w="145" w:type="pct"/>
            <w:tcBorders>
              <w:tl2br w:val="nil"/>
              <w:tr2bl w:val="nil"/>
            </w:tcBorders>
            <w:shd w:val="clear" w:color="auto" w:fill="auto"/>
            <w:vAlign w:val="center"/>
          </w:tcPr>
          <w:p w14:paraId="77D2CD6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2.9</w:t>
            </w:r>
          </w:p>
        </w:tc>
        <w:tc>
          <w:tcPr>
            <w:tcW w:w="134" w:type="pct"/>
            <w:tcBorders>
              <w:tl2br w:val="nil"/>
              <w:tr2bl w:val="nil"/>
            </w:tcBorders>
            <w:shd w:val="clear" w:color="auto" w:fill="auto"/>
            <w:vAlign w:val="center"/>
          </w:tcPr>
          <w:p w14:paraId="1B08D4C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8</w:t>
            </w:r>
          </w:p>
        </w:tc>
        <w:tc>
          <w:tcPr>
            <w:tcW w:w="140" w:type="pct"/>
            <w:tcBorders>
              <w:tl2br w:val="nil"/>
              <w:tr2bl w:val="nil"/>
            </w:tcBorders>
            <w:shd w:val="clear" w:color="auto" w:fill="auto"/>
            <w:vAlign w:val="center"/>
          </w:tcPr>
          <w:p w14:paraId="1E806E9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1.68 </w:t>
            </w:r>
          </w:p>
        </w:tc>
        <w:tc>
          <w:tcPr>
            <w:tcW w:w="180" w:type="pct"/>
            <w:tcBorders>
              <w:tl2br w:val="nil"/>
              <w:tr2bl w:val="nil"/>
            </w:tcBorders>
            <w:shd w:val="clear" w:color="auto" w:fill="auto"/>
            <w:vAlign w:val="center"/>
          </w:tcPr>
          <w:p w14:paraId="0304527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0.391 </w:t>
            </w:r>
          </w:p>
        </w:tc>
        <w:tc>
          <w:tcPr>
            <w:tcW w:w="228" w:type="pct"/>
            <w:tcBorders>
              <w:tl2br w:val="nil"/>
              <w:tr2bl w:val="nil"/>
            </w:tcBorders>
            <w:shd w:val="clear" w:color="auto" w:fill="auto"/>
            <w:vAlign w:val="center"/>
          </w:tcPr>
          <w:p w14:paraId="070147B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40" w:type="pct"/>
            <w:tcBorders>
              <w:tl2br w:val="nil"/>
              <w:tr2bl w:val="nil"/>
            </w:tcBorders>
            <w:shd w:val="clear" w:color="auto" w:fill="auto"/>
            <w:vAlign w:val="center"/>
          </w:tcPr>
          <w:p w14:paraId="13F58A8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40" w:type="pct"/>
            <w:tcBorders>
              <w:tl2br w:val="nil"/>
              <w:tr2bl w:val="nil"/>
            </w:tcBorders>
            <w:shd w:val="clear" w:color="auto" w:fill="auto"/>
            <w:vAlign w:val="center"/>
          </w:tcPr>
          <w:p w14:paraId="593FCEB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99" w:type="pct"/>
            <w:tcBorders>
              <w:tl2br w:val="nil"/>
              <w:tr2bl w:val="nil"/>
            </w:tcBorders>
            <w:shd w:val="clear" w:color="auto" w:fill="auto"/>
            <w:vAlign w:val="center"/>
          </w:tcPr>
          <w:p w14:paraId="501C584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0.000879 </w:t>
            </w:r>
          </w:p>
        </w:tc>
        <w:tc>
          <w:tcPr>
            <w:tcW w:w="172" w:type="pct"/>
            <w:tcBorders>
              <w:tl2br w:val="nil"/>
              <w:tr2bl w:val="nil"/>
            </w:tcBorders>
            <w:shd w:val="clear" w:color="auto" w:fill="auto"/>
            <w:vAlign w:val="center"/>
          </w:tcPr>
          <w:p w14:paraId="5B90156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3F63028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2539B1A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0.012 </w:t>
            </w:r>
          </w:p>
        </w:tc>
        <w:tc>
          <w:tcPr>
            <w:tcW w:w="180" w:type="pct"/>
            <w:tcBorders>
              <w:tl2br w:val="nil"/>
              <w:tr2bl w:val="nil"/>
            </w:tcBorders>
            <w:shd w:val="clear" w:color="auto" w:fill="auto"/>
            <w:vAlign w:val="center"/>
          </w:tcPr>
          <w:p w14:paraId="16D104F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0.005</w:t>
            </w:r>
          </w:p>
        </w:tc>
        <w:tc>
          <w:tcPr>
            <w:tcW w:w="172" w:type="pct"/>
            <w:tcBorders>
              <w:tl2br w:val="nil"/>
              <w:tr2bl w:val="nil"/>
            </w:tcBorders>
            <w:shd w:val="clear" w:color="auto" w:fill="auto"/>
            <w:vAlign w:val="center"/>
          </w:tcPr>
          <w:p w14:paraId="398DA5C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613CAD9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16C05AB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10</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06A2AB8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5D4B2AE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0.0018 </w:t>
            </w:r>
          </w:p>
        </w:tc>
        <w:tc>
          <w:tcPr>
            <w:tcW w:w="134" w:type="pct"/>
            <w:tcBorders>
              <w:tl2br w:val="nil"/>
              <w:tr2bl w:val="nil"/>
            </w:tcBorders>
            <w:shd w:val="clear" w:color="auto" w:fill="auto"/>
            <w:vAlign w:val="center"/>
          </w:tcPr>
          <w:p w14:paraId="4D45929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66E120A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18</w:t>
            </w:r>
          </w:p>
        </w:tc>
        <w:tc>
          <w:tcPr>
            <w:tcW w:w="210" w:type="pct"/>
            <w:tcBorders>
              <w:tl2br w:val="nil"/>
              <w:tr2bl w:val="nil"/>
            </w:tcBorders>
            <w:shd w:val="clear" w:color="auto" w:fill="auto"/>
            <w:vAlign w:val="center"/>
          </w:tcPr>
          <w:p w14:paraId="37508A9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217CEB1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193A243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4.3</w:t>
            </w:r>
          </w:p>
        </w:tc>
        <w:tc>
          <w:tcPr>
            <w:tcW w:w="135" w:type="pct"/>
            <w:tcBorders>
              <w:tl2br w:val="nil"/>
              <w:tr2bl w:val="nil"/>
            </w:tcBorders>
            <w:shd w:val="clear" w:color="auto" w:fill="auto"/>
            <w:vAlign w:val="center"/>
          </w:tcPr>
          <w:p w14:paraId="70D9F7E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0.50</w:t>
            </w:r>
          </w:p>
        </w:tc>
        <w:tc>
          <w:tcPr>
            <w:tcW w:w="133" w:type="pct"/>
            <w:tcBorders>
              <w:tl2br w:val="nil"/>
              <w:tr2bl w:val="nil"/>
            </w:tcBorders>
            <w:shd w:val="clear" w:color="auto" w:fill="auto"/>
            <w:vAlign w:val="center"/>
          </w:tcPr>
          <w:p w14:paraId="30AC299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tr w14:paraId="1C328FE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6E1C83A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21E4D42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最小值</w:t>
            </w:r>
          </w:p>
        </w:tc>
        <w:tc>
          <w:tcPr>
            <w:tcW w:w="159" w:type="pct"/>
            <w:tcBorders>
              <w:tl2br w:val="nil"/>
              <w:tr2bl w:val="nil"/>
            </w:tcBorders>
            <w:shd w:val="clear" w:color="auto" w:fill="auto"/>
            <w:vAlign w:val="center"/>
          </w:tcPr>
          <w:p w14:paraId="0F76514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28.5</w:t>
            </w:r>
          </w:p>
        </w:tc>
        <w:tc>
          <w:tcPr>
            <w:tcW w:w="157" w:type="pct"/>
            <w:tcBorders>
              <w:tl2br w:val="nil"/>
              <w:tr2bl w:val="nil"/>
            </w:tcBorders>
            <w:shd w:val="clear" w:color="auto" w:fill="auto"/>
            <w:vAlign w:val="center"/>
          </w:tcPr>
          <w:p w14:paraId="11B3CCB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7.7</w:t>
            </w:r>
          </w:p>
        </w:tc>
        <w:tc>
          <w:tcPr>
            <w:tcW w:w="159" w:type="pct"/>
            <w:tcBorders>
              <w:tl2br w:val="nil"/>
              <w:tr2bl w:val="nil"/>
            </w:tcBorders>
            <w:shd w:val="clear" w:color="auto" w:fill="auto"/>
            <w:vAlign w:val="center"/>
          </w:tcPr>
          <w:p w14:paraId="3E3C02D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5.3</w:t>
            </w:r>
          </w:p>
        </w:tc>
        <w:tc>
          <w:tcPr>
            <w:tcW w:w="145" w:type="pct"/>
            <w:tcBorders>
              <w:tl2br w:val="nil"/>
              <w:tr2bl w:val="nil"/>
            </w:tcBorders>
            <w:shd w:val="clear" w:color="auto" w:fill="auto"/>
            <w:vAlign w:val="center"/>
          </w:tcPr>
          <w:p w14:paraId="4D381BD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1.6</w:t>
            </w:r>
          </w:p>
        </w:tc>
        <w:tc>
          <w:tcPr>
            <w:tcW w:w="134" w:type="pct"/>
            <w:tcBorders>
              <w:tl2br w:val="nil"/>
              <w:tr2bl w:val="nil"/>
            </w:tcBorders>
            <w:shd w:val="clear" w:color="auto" w:fill="auto"/>
            <w:vAlign w:val="center"/>
          </w:tcPr>
          <w:p w14:paraId="25C1CFF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w:t>
            </w:r>
          </w:p>
        </w:tc>
        <w:tc>
          <w:tcPr>
            <w:tcW w:w="140" w:type="pct"/>
            <w:tcBorders>
              <w:tl2br w:val="nil"/>
              <w:tr2bl w:val="nil"/>
            </w:tcBorders>
            <w:shd w:val="clear" w:color="auto" w:fill="auto"/>
            <w:vAlign w:val="center"/>
          </w:tcPr>
          <w:p w14:paraId="171394D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1.56 </w:t>
            </w:r>
          </w:p>
        </w:tc>
        <w:tc>
          <w:tcPr>
            <w:tcW w:w="180" w:type="pct"/>
            <w:tcBorders>
              <w:tl2br w:val="nil"/>
              <w:tr2bl w:val="nil"/>
            </w:tcBorders>
            <w:shd w:val="clear" w:color="auto" w:fill="auto"/>
            <w:vAlign w:val="center"/>
          </w:tcPr>
          <w:p w14:paraId="297960A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0.370 </w:t>
            </w:r>
          </w:p>
        </w:tc>
        <w:tc>
          <w:tcPr>
            <w:tcW w:w="228" w:type="pct"/>
            <w:tcBorders>
              <w:tl2br w:val="nil"/>
              <w:tr2bl w:val="nil"/>
            </w:tcBorders>
            <w:shd w:val="clear" w:color="auto" w:fill="auto"/>
            <w:vAlign w:val="center"/>
          </w:tcPr>
          <w:p w14:paraId="0CC4246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40" w:type="pct"/>
            <w:tcBorders>
              <w:tl2br w:val="nil"/>
              <w:tr2bl w:val="nil"/>
            </w:tcBorders>
            <w:shd w:val="clear" w:color="auto" w:fill="auto"/>
            <w:vAlign w:val="center"/>
          </w:tcPr>
          <w:p w14:paraId="2D4FB99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140" w:type="pct"/>
            <w:tcBorders>
              <w:tl2br w:val="nil"/>
              <w:tr2bl w:val="nil"/>
            </w:tcBorders>
            <w:shd w:val="clear" w:color="auto" w:fill="auto"/>
            <w:vAlign w:val="center"/>
          </w:tcPr>
          <w:p w14:paraId="5934699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99" w:type="pct"/>
            <w:tcBorders>
              <w:tl2br w:val="nil"/>
              <w:tr2bl w:val="nil"/>
            </w:tcBorders>
            <w:shd w:val="clear" w:color="auto" w:fill="auto"/>
            <w:vAlign w:val="center"/>
          </w:tcPr>
          <w:p w14:paraId="4410D2D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0.000689 </w:t>
            </w:r>
          </w:p>
        </w:tc>
        <w:tc>
          <w:tcPr>
            <w:tcW w:w="172" w:type="pct"/>
            <w:tcBorders>
              <w:tl2br w:val="nil"/>
              <w:tr2bl w:val="nil"/>
            </w:tcBorders>
            <w:shd w:val="clear" w:color="auto" w:fill="auto"/>
            <w:vAlign w:val="center"/>
          </w:tcPr>
          <w:p w14:paraId="22D81AF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4A4F370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218C040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0.009 </w:t>
            </w:r>
          </w:p>
        </w:tc>
        <w:tc>
          <w:tcPr>
            <w:tcW w:w="180" w:type="pct"/>
            <w:tcBorders>
              <w:tl2br w:val="nil"/>
              <w:tr2bl w:val="nil"/>
            </w:tcBorders>
            <w:shd w:val="clear" w:color="auto" w:fill="auto"/>
            <w:vAlign w:val="center"/>
          </w:tcPr>
          <w:p w14:paraId="72EF72A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ND</w:t>
            </w:r>
          </w:p>
        </w:tc>
        <w:tc>
          <w:tcPr>
            <w:tcW w:w="172" w:type="pct"/>
            <w:tcBorders>
              <w:tl2br w:val="nil"/>
              <w:tr2bl w:val="nil"/>
            </w:tcBorders>
            <w:shd w:val="clear" w:color="auto" w:fill="auto"/>
            <w:vAlign w:val="center"/>
          </w:tcPr>
          <w:p w14:paraId="0BD58DD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02E3488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30969633">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07</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6D239D0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2AEBCE4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0.0015 </w:t>
            </w:r>
          </w:p>
        </w:tc>
        <w:tc>
          <w:tcPr>
            <w:tcW w:w="134" w:type="pct"/>
            <w:tcBorders>
              <w:tl2br w:val="nil"/>
              <w:tr2bl w:val="nil"/>
            </w:tcBorders>
            <w:shd w:val="clear" w:color="auto" w:fill="auto"/>
            <w:vAlign w:val="center"/>
          </w:tcPr>
          <w:p w14:paraId="5F6A266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78ABF16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17</w:t>
            </w:r>
          </w:p>
        </w:tc>
        <w:tc>
          <w:tcPr>
            <w:tcW w:w="210" w:type="pct"/>
            <w:tcBorders>
              <w:tl2br w:val="nil"/>
              <w:tr2bl w:val="nil"/>
            </w:tcBorders>
            <w:shd w:val="clear" w:color="auto" w:fill="auto"/>
            <w:vAlign w:val="center"/>
          </w:tcPr>
          <w:p w14:paraId="083CA26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65B2A5A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40D1EEF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3.9</w:t>
            </w:r>
          </w:p>
        </w:tc>
        <w:tc>
          <w:tcPr>
            <w:tcW w:w="135" w:type="pct"/>
            <w:tcBorders>
              <w:tl2br w:val="nil"/>
              <w:tr2bl w:val="nil"/>
            </w:tcBorders>
            <w:shd w:val="clear" w:color="auto" w:fill="auto"/>
            <w:vAlign w:val="center"/>
          </w:tcPr>
          <w:p w14:paraId="5A3DC35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0.44</w:t>
            </w:r>
          </w:p>
        </w:tc>
        <w:tc>
          <w:tcPr>
            <w:tcW w:w="133" w:type="pct"/>
            <w:tcBorders>
              <w:tl2br w:val="nil"/>
              <w:tr2bl w:val="nil"/>
            </w:tcBorders>
            <w:shd w:val="clear" w:color="auto" w:fill="auto"/>
            <w:vAlign w:val="center"/>
          </w:tcPr>
          <w:p w14:paraId="2E7B9DA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tr w14:paraId="77DACB4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617FA3F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350A377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平均浓度</w:t>
            </w:r>
          </w:p>
        </w:tc>
        <w:tc>
          <w:tcPr>
            <w:tcW w:w="159" w:type="pct"/>
            <w:tcBorders>
              <w:tl2br w:val="nil"/>
              <w:tr2bl w:val="nil"/>
            </w:tcBorders>
            <w:shd w:val="clear" w:color="auto" w:fill="auto"/>
            <w:vAlign w:val="center"/>
          </w:tcPr>
          <w:p w14:paraId="18F85E6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28.5</w:t>
            </w:r>
          </w:p>
        </w:tc>
        <w:tc>
          <w:tcPr>
            <w:tcW w:w="157" w:type="pct"/>
            <w:tcBorders>
              <w:tl2br w:val="nil"/>
              <w:tr2bl w:val="nil"/>
            </w:tcBorders>
            <w:shd w:val="clear" w:color="auto" w:fill="auto"/>
            <w:vAlign w:val="center"/>
          </w:tcPr>
          <w:p w14:paraId="0BC386B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7.7</w:t>
            </w:r>
          </w:p>
        </w:tc>
        <w:tc>
          <w:tcPr>
            <w:tcW w:w="159" w:type="pct"/>
            <w:tcBorders>
              <w:tl2br w:val="nil"/>
              <w:tr2bl w:val="nil"/>
            </w:tcBorders>
            <w:shd w:val="clear" w:color="auto" w:fill="auto"/>
            <w:vAlign w:val="center"/>
          </w:tcPr>
          <w:p w14:paraId="73877AF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5.3</w:t>
            </w:r>
          </w:p>
        </w:tc>
        <w:tc>
          <w:tcPr>
            <w:tcW w:w="145" w:type="pct"/>
            <w:tcBorders>
              <w:tl2br w:val="nil"/>
              <w:tr2bl w:val="nil"/>
            </w:tcBorders>
            <w:shd w:val="clear" w:color="auto" w:fill="auto"/>
            <w:vAlign w:val="center"/>
          </w:tcPr>
          <w:p w14:paraId="11E0DDC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i w:val="0"/>
                <w:iCs w:val="0"/>
                <w:snapToGrid w:val="0"/>
                <w:color w:val="auto"/>
                <w:kern w:val="0"/>
                <w:sz w:val="18"/>
                <w:szCs w:val="18"/>
                <w:highlight w:val="none"/>
                <w:u w:val="none"/>
                <w:lang w:val="en-US" w:eastAsia="zh-CN" w:bidi="ar"/>
              </w:rPr>
              <w:t>2.1</w:t>
            </w:r>
          </w:p>
        </w:tc>
        <w:tc>
          <w:tcPr>
            <w:tcW w:w="134" w:type="pct"/>
            <w:tcBorders>
              <w:tl2br w:val="nil"/>
              <w:tr2bl w:val="nil"/>
            </w:tcBorders>
            <w:shd w:val="clear" w:color="auto" w:fill="auto"/>
            <w:vAlign w:val="center"/>
          </w:tcPr>
          <w:p w14:paraId="426AA1B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w:t>
            </w:r>
          </w:p>
        </w:tc>
        <w:tc>
          <w:tcPr>
            <w:tcW w:w="140" w:type="pct"/>
            <w:tcBorders>
              <w:tl2br w:val="nil"/>
              <w:tr2bl w:val="nil"/>
            </w:tcBorders>
            <w:shd w:val="clear" w:color="auto" w:fill="auto"/>
            <w:vAlign w:val="center"/>
          </w:tcPr>
          <w:p w14:paraId="5FED4E3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1.63 </w:t>
            </w:r>
          </w:p>
        </w:tc>
        <w:tc>
          <w:tcPr>
            <w:tcW w:w="180" w:type="pct"/>
            <w:tcBorders>
              <w:tl2br w:val="nil"/>
              <w:tr2bl w:val="nil"/>
            </w:tcBorders>
            <w:shd w:val="clear" w:color="auto" w:fill="auto"/>
            <w:vAlign w:val="center"/>
          </w:tcPr>
          <w:p w14:paraId="3345FD83">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0.379 </w:t>
            </w:r>
          </w:p>
        </w:tc>
        <w:tc>
          <w:tcPr>
            <w:tcW w:w="228" w:type="pct"/>
            <w:tcBorders>
              <w:tl2br w:val="nil"/>
              <w:tr2bl w:val="nil"/>
            </w:tcBorders>
            <w:shd w:val="clear" w:color="auto" w:fill="auto"/>
            <w:vAlign w:val="center"/>
          </w:tcPr>
          <w:p w14:paraId="1616880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40" w:type="pct"/>
            <w:tcBorders>
              <w:tl2br w:val="nil"/>
              <w:tr2bl w:val="nil"/>
            </w:tcBorders>
            <w:shd w:val="clear" w:color="auto" w:fill="auto"/>
            <w:vAlign w:val="center"/>
          </w:tcPr>
          <w:p w14:paraId="0FCB771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40" w:type="pct"/>
            <w:tcBorders>
              <w:tl2br w:val="nil"/>
              <w:tr2bl w:val="nil"/>
            </w:tcBorders>
            <w:shd w:val="clear" w:color="auto" w:fill="auto"/>
            <w:vAlign w:val="center"/>
          </w:tcPr>
          <w:p w14:paraId="4110187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99" w:type="pct"/>
            <w:tcBorders>
              <w:tl2br w:val="nil"/>
              <w:tr2bl w:val="nil"/>
            </w:tcBorders>
            <w:shd w:val="clear" w:color="auto" w:fill="auto"/>
            <w:vAlign w:val="center"/>
          </w:tcPr>
          <w:p w14:paraId="0EE3646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0.000760 </w:t>
            </w:r>
          </w:p>
        </w:tc>
        <w:tc>
          <w:tcPr>
            <w:tcW w:w="172" w:type="pct"/>
            <w:tcBorders>
              <w:tl2br w:val="nil"/>
              <w:tr2bl w:val="nil"/>
            </w:tcBorders>
            <w:shd w:val="clear" w:color="auto" w:fill="auto"/>
            <w:vAlign w:val="center"/>
          </w:tcPr>
          <w:p w14:paraId="104564E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75BE113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760BA7E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0.010 </w:t>
            </w:r>
          </w:p>
        </w:tc>
        <w:tc>
          <w:tcPr>
            <w:tcW w:w="180" w:type="pct"/>
            <w:tcBorders>
              <w:tl2br w:val="nil"/>
              <w:tr2bl w:val="nil"/>
            </w:tcBorders>
            <w:shd w:val="clear" w:color="auto" w:fill="auto"/>
            <w:vAlign w:val="center"/>
          </w:tcPr>
          <w:p w14:paraId="5C69954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w:t>
            </w:r>
          </w:p>
        </w:tc>
        <w:tc>
          <w:tcPr>
            <w:tcW w:w="172" w:type="pct"/>
            <w:tcBorders>
              <w:tl2br w:val="nil"/>
              <w:tr2bl w:val="nil"/>
            </w:tcBorders>
            <w:shd w:val="clear" w:color="auto" w:fill="auto"/>
            <w:vAlign w:val="center"/>
          </w:tcPr>
          <w:p w14:paraId="33BB34A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5F4B99C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336A60B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087</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4AFFD85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123ABD4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0.0017 </w:t>
            </w:r>
          </w:p>
        </w:tc>
        <w:tc>
          <w:tcPr>
            <w:tcW w:w="134" w:type="pct"/>
            <w:tcBorders>
              <w:tl2br w:val="nil"/>
              <w:tr2bl w:val="nil"/>
            </w:tcBorders>
            <w:shd w:val="clear" w:color="auto" w:fill="auto"/>
            <w:vAlign w:val="center"/>
          </w:tcPr>
          <w:p w14:paraId="0BB7233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6FE8B4C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17</w:t>
            </w:r>
          </w:p>
        </w:tc>
        <w:tc>
          <w:tcPr>
            <w:tcW w:w="210" w:type="pct"/>
            <w:tcBorders>
              <w:tl2br w:val="nil"/>
              <w:tr2bl w:val="nil"/>
            </w:tcBorders>
            <w:shd w:val="clear" w:color="auto" w:fill="auto"/>
            <w:vAlign w:val="center"/>
          </w:tcPr>
          <w:p w14:paraId="41C86E4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3281400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3D919F4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4.1</w:t>
            </w:r>
          </w:p>
        </w:tc>
        <w:tc>
          <w:tcPr>
            <w:tcW w:w="135" w:type="pct"/>
            <w:tcBorders>
              <w:tl2br w:val="nil"/>
              <w:tr2bl w:val="nil"/>
            </w:tcBorders>
            <w:shd w:val="clear" w:color="auto" w:fill="auto"/>
            <w:vAlign w:val="center"/>
          </w:tcPr>
          <w:p w14:paraId="5BE7119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0.47</w:t>
            </w:r>
          </w:p>
        </w:tc>
        <w:tc>
          <w:tcPr>
            <w:tcW w:w="133" w:type="pct"/>
            <w:tcBorders>
              <w:tl2br w:val="nil"/>
              <w:tr2bl w:val="nil"/>
            </w:tcBorders>
            <w:shd w:val="clear" w:color="auto" w:fill="auto"/>
            <w:vAlign w:val="center"/>
          </w:tcPr>
          <w:p w14:paraId="05C10AC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80"/>
      <w:bookmarkEnd w:id="1481"/>
      <w:tr w14:paraId="2FAEF83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56C38DD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bookmarkStart w:id="1483" w:name="OLE_LINK508" w:colFirst="2" w:colLast="28"/>
            <w:bookmarkStart w:id="1484" w:name="OLE_LINK510" w:colFirst="7" w:colLast="7"/>
            <w:bookmarkStart w:id="1485" w:name="OLE_LINK511" w:colFirst="23" w:colLast="23"/>
          </w:p>
        </w:tc>
        <w:tc>
          <w:tcPr>
            <w:tcW w:w="216" w:type="pct"/>
            <w:tcBorders>
              <w:tl2br w:val="nil"/>
              <w:tr2bl w:val="nil"/>
            </w:tcBorders>
            <w:shd w:val="clear" w:color="auto" w:fill="auto"/>
            <w:vAlign w:val="center"/>
          </w:tcPr>
          <w:p w14:paraId="0704AE8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最大单因子指数</w:t>
            </w:r>
          </w:p>
        </w:tc>
        <w:tc>
          <w:tcPr>
            <w:tcW w:w="159" w:type="pct"/>
            <w:tcBorders>
              <w:tl2br w:val="nil"/>
              <w:tr2bl w:val="nil"/>
            </w:tcBorders>
            <w:shd w:val="clear" w:color="auto" w:fill="auto"/>
            <w:vAlign w:val="center"/>
          </w:tcPr>
          <w:p w14:paraId="118325B2">
            <w:pPr>
              <w:jc w:val="center"/>
              <w:rPr>
                <w:rFonts w:hint="eastAsia"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shd w:val="clear" w:color="auto" w:fill="auto"/>
            <w:vAlign w:val="center"/>
          </w:tcPr>
          <w:p w14:paraId="3955A3C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0.4</w:t>
            </w:r>
          </w:p>
        </w:tc>
        <w:tc>
          <w:tcPr>
            <w:tcW w:w="159" w:type="pct"/>
            <w:tcBorders>
              <w:tl2br w:val="nil"/>
              <w:tr2bl w:val="nil"/>
            </w:tcBorders>
            <w:shd w:val="clear" w:color="auto" w:fill="auto"/>
            <w:vAlign w:val="center"/>
          </w:tcPr>
          <w:p w14:paraId="5E875F1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0.86 </w:t>
            </w:r>
          </w:p>
        </w:tc>
        <w:tc>
          <w:tcPr>
            <w:tcW w:w="145" w:type="pct"/>
            <w:tcBorders>
              <w:tl2br w:val="nil"/>
              <w:tr2bl w:val="nil"/>
            </w:tcBorders>
            <w:shd w:val="clear" w:color="auto" w:fill="auto"/>
            <w:vAlign w:val="center"/>
          </w:tcPr>
          <w:p w14:paraId="344AE5E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73</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shd w:val="clear" w:color="auto" w:fill="auto"/>
            <w:vAlign w:val="center"/>
          </w:tcPr>
          <w:p w14:paraId="101306D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0.40 </w:t>
            </w:r>
          </w:p>
        </w:tc>
        <w:tc>
          <w:tcPr>
            <w:tcW w:w="140" w:type="pct"/>
            <w:tcBorders>
              <w:tl2br w:val="nil"/>
              <w:tr2bl w:val="nil"/>
            </w:tcBorders>
            <w:shd w:val="clear" w:color="auto" w:fill="auto"/>
            <w:vAlign w:val="center"/>
          </w:tcPr>
          <w:p w14:paraId="16359BE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216F342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0.39 </w:t>
            </w:r>
          </w:p>
        </w:tc>
        <w:tc>
          <w:tcPr>
            <w:tcW w:w="228" w:type="pct"/>
            <w:tcBorders>
              <w:tl2br w:val="nil"/>
              <w:tr2bl w:val="nil"/>
            </w:tcBorders>
            <w:shd w:val="clear" w:color="auto" w:fill="auto"/>
            <w:vAlign w:val="center"/>
          </w:tcPr>
          <w:p w14:paraId="71A7923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0.20 </w:t>
            </w:r>
          </w:p>
        </w:tc>
        <w:tc>
          <w:tcPr>
            <w:tcW w:w="140" w:type="pct"/>
            <w:tcBorders>
              <w:tl2br w:val="nil"/>
              <w:tr2bl w:val="nil"/>
            </w:tcBorders>
            <w:shd w:val="clear" w:color="auto" w:fill="auto"/>
            <w:vAlign w:val="center"/>
          </w:tcPr>
          <w:p w14:paraId="4B9C880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0.60 </w:t>
            </w:r>
          </w:p>
        </w:tc>
        <w:tc>
          <w:tcPr>
            <w:tcW w:w="140" w:type="pct"/>
            <w:tcBorders>
              <w:tl2br w:val="nil"/>
              <w:tr2bl w:val="nil"/>
            </w:tcBorders>
            <w:shd w:val="clear" w:color="auto" w:fill="auto"/>
            <w:vAlign w:val="center"/>
          </w:tcPr>
          <w:p w14:paraId="47D2E57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299" w:type="pct"/>
            <w:tcBorders>
              <w:tl2br w:val="nil"/>
              <w:tr2bl w:val="nil"/>
            </w:tcBorders>
            <w:shd w:val="clear" w:color="auto" w:fill="auto"/>
            <w:vAlign w:val="center"/>
          </w:tcPr>
          <w:p w14:paraId="5A12BAE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0.18 </w:t>
            </w:r>
          </w:p>
        </w:tc>
        <w:tc>
          <w:tcPr>
            <w:tcW w:w="172" w:type="pct"/>
            <w:tcBorders>
              <w:tl2br w:val="nil"/>
              <w:tr2bl w:val="nil"/>
            </w:tcBorders>
            <w:shd w:val="clear" w:color="auto" w:fill="auto"/>
            <w:vAlign w:val="center"/>
          </w:tcPr>
          <w:p w14:paraId="08474C0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34" w:type="pct"/>
            <w:tcBorders>
              <w:tl2br w:val="nil"/>
              <w:tr2bl w:val="nil"/>
            </w:tcBorders>
            <w:shd w:val="clear" w:color="auto" w:fill="auto"/>
            <w:vAlign w:val="center"/>
          </w:tcPr>
          <w:p w14:paraId="656191E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0.30 </w:t>
            </w:r>
          </w:p>
        </w:tc>
        <w:tc>
          <w:tcPr>
            <w:tcW w:w="180" w:type="pct"/>
            <w:tcBorders>
              <w:tl2br w:val="nil"/>
              <w:tr2bl w:val="nil"/>
            </w:tcBorders>
            <w:shd w:val="clear" w:color="auto" w:fill="auto"/>
            <w:vAlign w:val="center"/>
          </w:tcPr>
          <w:p w14:paraId="33A3A11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180" w:type="pct"/>
            <w:tcBorders>
              <w:tl2br w:val="nil"/>
              <w:tr2bl w:val="nil"/>
            </w:tcBorders>
            <w:shd w:val="clear" w:color="auto" w:fill="auto"/>
            <w:vAlign w:val="center"/>
          </w:tcPr>
          <w:p w14:paraId="3D20707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0.05 </w:t>
            </w:r>
          </w:p>
        </w:tc>
        <w:tc>
          <w:tcPr>
            <w:tcW w:w="172" w:type="pct"/>
            <w:tcBorders>
              <w:tl2br w:val="nil"/>
              <w:tr2bl w:val="nil"/>
            </w:tcBorders>
            <w:shd w:val="clear" w:color="auto" w:fill="auto"/>
            <w:vAlign w:val="center"/>
          </w:tcPr>
          <w:p w14:paraId="41DC00B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34" w:type="pct"/>
            <w:tcBorders>
              <w:tl2br w:val="nil"/>
              <w:tr2bl w:val="nil"/>
            </w:tcBorders>
            <w:shd w:val="clear" w:color="auto" w:fill="auto"/>
            <w:vAlign w:val="center"/>
          </w:tcPr>
          <w:p w14:paraId="2E39364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0.70 </w:t>
            </w:r>
          </w:p>
        </w:tc>
        <w:tc>
          <w:tcPr>
            <w:tcW w:w="258" w:type="pct"/>
            <w:tcBorders>
              <w:tl2br w:val="nil"/>
              <w:tr2bl w:val="nil"/>
            </w:tcBorders>
            <w:shd w:val="clear" w:color="auto" w:fill="auto"/>
            <w:vAlign w:val="center"/>
          </w:tcPr>
          <w:p w14:paraId="30A7E4C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bookmarkStart w:id="1486" w:name="OLE_LINK880"/>
            <w:r>
              <w:rPr>
                <w:rFonts w:hint="eastAsia" w:ascii="Times New Roman" w:hAnsi="Times New Roman" w:eastAsia="宋体" w:cs="Times New Roman"/>
                <w:i w:val="0"/>
                <w:iCs w:val="0"/>
                <w:snapToGrid w:val="0"/>
                <w:color w:val="auto"/>
                <w:kern w:val="0"/>
                <w:sz w:val="18"/>
                <w:szCs w:val="18"/>
                <w:highlight w:val="none"/>
                <w:u w:val="none"/>
                <w:lang w:val="en-US" w:eastAsia="zh-CN" w:bidi="ar"/>
              </w:rPr>
              <w:t>1.0</w:t>
            </w:r>
            <w:bookmarkEnd w:id="1486"/>
          </w:p>
        </w:tc>
        <w:tc>
          <w:tcPr>
            <w:tcW w:w="209" w:type="pct"/>
            <w:tcBorders>
              <w:tl2br w:val="nil"/>
              <w:tr2bl w:val="nil"/>
            </w:tcBorders>
            <w:shd w:val="clear" w:color="auto" w:fill="auto"/>
            <w:vAlign w:val="center"/>
          </w:tcPr>
          <w:p w14:paraId="6744C56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219" w:type="pct"/>
            <w:tcBorders>
              <w:tl2br w:val="nil"/>
              <w:tr2bl w:val="nil"/>
            </w:tcBorders>
            <w:shd w:val="clear" w:color="auto" w:fill="auto"/>
            <w:vAlign w:val="center"/>
          </w:tcPr>
          <w:p w14:paraId="4DF5CB5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34" w:type="pct"/>
            <w:tcBorders>
              <w:tl2br w:val="nil"/>
              <w:tr2bl w:val="nil"/>
            </w:tcBorders>
            <w:shd w:val="clear" w:color="auto" w:fill="auto"/>
            <w:vAlign w:val="center"/>
          </w:tcPr>
          <w:p w14:paraId="67CD51F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34" w:type="pct"/>
            <w:tcBorders>
              <w:tl2br w:val="nil"/>
              <w:tr2bl w:val="nil"/>
            </w:tcBorders>
            <w:shd w:val="clear" w:color="auto" w:fill="auto"/>
            <w:vAlign w:val="center"/>
          </w:tcPr>
          <w:p w14:paraId="0552691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409F1AB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72" w:type="pct"/>
            <w:tcBorders>
              <w:tl2br w:val="nil"/>
              <w:tr2bl w:val="nil"/>
            </w:tcBorders>
            <w:shd w:val="clear" w:color="auto" w:fill="auto"/>
            <w:vAlign w:val="center"/>
          </w:tcPr>
          <w:p w14:paraId="2E9BEE7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72" w:type="pct"/>
            <w:tcBorders>
              <w:tl2br w:val="nil"/>
              <w:tr2bl w:val="nil"/>
            </w:tcBorders>
            <w:shd w:val="clear" w:color="auto" w:fill="auto"/>
            <w:vAlign w:val="center"/>
          </w:tcPr>
          <w:p w14:paraId="3210885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0.72 </w:t>
            </w:r>
          </w:p>
        </w:tc>
        <w:tc>
          <w:tcPr>
            <w:tcW w:w="135" w:type="pct"/>
            <w:tcBorders>
              <w:tl2br w:val="nil"/>
              <w:tr2bl w:val="nil"/>
            </w:tcBorders>
            <w:shd w:val="clear" w:color="auto" w:fill="auto"/>
            <w:vAlign w:val="center"/>
          </w:tcPr>
          <w:p w14:paraId="78A4C7A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33" w:type="pct"/>
            <w:tcBorders>
              <w:tl2br w:val="nil"/>
              <w:tr2bl w:val="nil"/>
            </w:tcBorders>
            <w:shd w:val="clear" w:color="auto" w:fill="auto"/>
            <w:vAlign w:val="center"/>
          </w:tcPr>
          <w:p w14:paraId="4C9F62B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0.13 </w:t>
            </w:r>
          </w:p>
        </w:tc>
      </w:tr>
      <w:bookmarkEnd w:id="1482"/>
      <w:bookmarkEnd w:id="1483"/>
      <w:tr w14:paraId="2293792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4D3D676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bookmarkStart w:id="1487" w:name="OLE_LINK881" w:colFirst="19" w:colLast="19"/>
          </w:p>
        </w:tc>
        <w:tc>
          <w:tcPr>
            <w:tcW w:w="216" w:type="pct"/>
            <w:tcBorders>
              <w:tl2br w:val="nil"/>
              <w:tr2bl w:val="nil"/>
            </w:tcBorders>
            <w:shd w:val="clear" w:color="auto" w:fill="auto"/>
            <w:vAlign w:val="center"/>
          </w:tcPr>
          <w:p w14:paraId="653DF37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超标率（%）</w:t>
            </w:r>
          </w:p>
        </w:tc>
        <w:tc>
          <w:tcPr>
            <w:tcW w:w="159" w:type="pct"/>
            <w:tcBorders>
              <w:tl2br w:val="nil"/>
              <w:tr2bl w:val="nil"/>
            </w:tcBorders>
            <w:shd w:val="clear" w:color="auto" w:fill="auto"/>
            <w:vAlign w:val="center"/>
          </w:tcPr>
          <w:p w14:paraId="0EDBD62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488" w:name="OLE_LINK509"/>
            <w:r>
              <w:rPr>
                <w:rFonts w:hint="eastAsia" w:ascii="Times New Roman" w:hAnsi="Times New Roman" w:eastAsia="宋体" w:cs="Times New Roman"/>
                <w:color w:val="auto"/>
                <w:sz w:val="18"/>
                <w:szCs w:val="18"/>
                <w:lang w:val="en-US" w:eastAsia="zh-CN"/>
              </w:rPr>
              <w:t>/</w:t>
            </w:r>
            <w:bookmarkEnd w:id="1488"/>
          </w:p>
        </w:tc>
        <w:tc>
          <w:tcPr>
            <w:tcW w:w="157" w:type="pct"/>
            <w:tcBorders>
              <w:tl2br w:val="nil"/>
              <w:tr2bl w:val="nil"/>
            </w:tcBorders>
            <w:shd w:val="clear" w:color="auto" w:fill="auto"/>
            <w:vAlign w:val="center"/>
          </w:tcPr>
          <w:p w14:paraId="1FF779E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59" w:type="pct"/>
            <w:tcBorders>
              <w:tl2br w:val="nil"/>
              <w:tr2bl w:val="nil"/>
            </w:tcBorders>
            <w:shd w:val="clear" w:color="auto" w:fill="auto"/>
            <w:vAlign w:val="center"/>
          </w:tcPr>
          <w:p w14:paraId="7ADB0AA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5" w:type="pct"/>
            <w:tcBorders>
              <w:tl2br w:val="nil"/>
              <w:tr2bl w:val="nil"/>
            </w:tcBorders>
            <w:shd w:val="clear" w:color="auto" w:fill="auto"/>
            <w:vAlign w:val="center"/>
          </w:tcPr>
          <w:p w14:paraId="008CAAC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34" w:type="pct"/>
            <w:tcBorders>
              <w:tl2br w:val="nil"/>
              <w:tr2bl w:val="nil"/>
            </w:tcBorders>
            <w:shd w:val="clear" w:color="auto" w:fill="auto"/>
            <w:vAlign w:val="center"/>
          </w:tcPr>
          <w:p w14:paraId="7E2DAAF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0" w:type="pct"/>
            <w:tcBorders>
              <w:tl2br w:val="nil"/>
              <w:tr2bl w:val="nil"/>
            </w:tcBorders>
            <w:shd w:val="clear" w:color="auto" w:fill="auto"/>
            <w:vAlign w:val="center"/>
          </w:tcPr>
          <w:p w14:paraId="06CB978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48C8782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228" w:type="pct"/>
            <w:tcBorders>
              <w:tl2br w:val="nil"/>
              <w:tr2bl w:val="nil"/>
            </w:tcBorders>
            <w:shd w:val="clear" w:color="auto" w:fill="auto"/>
            <w:vAlign w:val="center"/>
          </w:tcPr>
          <w:p w14:paraId="39AE758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4AE09C5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4A5BDE3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99" w:type="pct"/>
            <w:tcBorders>
              <w:tl2br w:val="nil"/>
              <w:tr2bl w:val="nil"/>
            </w:tcBorders>
            <w:shd w:val="clear" w:color="auto" w:fill="auto"/>
            <w:vAlign w:val="center"/>
          </w:tcPr>
          <w:p w14:paraId="0771489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741CE19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618D1E1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2AAF00A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772F470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00B5E39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42C2C5F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58" w:type="pct"/>
            <w:tcBorders>
              <w:tl2br w:val="nil"/>
              <w:tr2bl w:val="nil"/>
            </w:tcBorders>
            <w:shd w:val="clear" w:color="auto" w:fill="auto"/>
            <w:vAlign w:val="center"/>
          </w:tcPr>
          <w:p w14:paraId="4C52126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209" w:type="pct"/>
            <w:tcBorders>
              <w:tl2br w:val="nil"/>
              <w:tr2bl w:val="nil"/>
            </w:tcBorders>
            <w:shd w:val="clear" w:color="auto" w:fill="auto"/>
            <w:vAlign w:val="center"/>
          </w:tcPr>
          <w:p w14:paraId="3638D24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19" w:type="pct"/>
            <w:tcBorders>
              <w:tl2br w:val="nil"/>
              <w:tr2bl w:val="nil"/>
            </w:tcBorders>
            <w:shd w:val="clear" w:color="auto" w:fill="auto"/>
            <w:vAlign w:val="center"/>
          </w:tcPr>
          <w:p w14:paraId="49BEFF3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4E7FD72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62FD07F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1180E08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1256635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7C28207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5" w:type="pct"/>
            <w:tcBorders>
              <w:tl2br w:val="nil"/>
              <w:tr2bl w:val="nil"/>
            </w:tcBorders>
            <w:shd w:val="clear" w:color="auto" w:fill="auto"/>
            <w:vAlign w:val="center"/>
          </w:tcPr>
          <w:p w14:paraId="26EEB47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3" w:type="pct"/>
            <w:tcBorders>
              <w:tl2br w:val="nil"/>
              <w:tr2bl w:val="nil"/>
            </w:tcBorders>
            <w:shd w:val="clear" w:color="auto" w:fill="auto"/>
            <w:vAlign w:val="center"/>
          </w:tcPr>
          <w:p w14:paraId="434F983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r>
      <w:bookmarkEnd w:id="1484"/>
      <w:bookmarkEnd w:id="1485"/>
      <w:tr w14:paraId="0B14758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355" w:type="pct"/>
            <w:gridSpan w:val="2"/>
            <w:tcBorders>
              <w:tl2br w:val="nil"/>
              <w:tr2bl w:val="nil"/>
            </w:tcBorders>
            <w:vAlign w:val="center"/>
          </w:tcPr>
          <w:p w14:paraId="0A5033E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rPr>
            </w:pPr>
            <w:r>
              <w:rPr>
                <w:rFonts w:hint="default" w:ascii="Times New Roman" w:hAnsi="Times New Roman" w:eastAsia="宋体" w:cs="Times New Roman"/>
                <w:b w:val="0"/>
                <w:bCs w:val="0"/>
                <w:color w:val="auto"/>
                <w:sz w:val="18"/>
                <w:szCs w:val="18"/>
                <w:lang w:val="en-US" w:eastAsia="zh-CN"/>
              </w:rPr>
              <w:t>Ⅲ类限值</w:t>
            </w:r>
          </w:p>
        </w:tc>
        <w:tc>
          <w:tcPr>
            <w:tcW w:w="159" w:type="pct"/>
            <w:tcBorders>
              <w:tl2br w:val="nil"/>
              <w:tr2bl w:val="nil"/>
            </w:tcBorders>
            <w:shd w:val="clear" w:color="auto" w:fill="auto"/>
            <w:vAlign w:val="center"/>
          </w:tcPr>
          <w:p w14:paraId="5628BD9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w:t>
            </w:r>
          </w:p>
        </w:tc>
        <w:tc>
          <w:tcPr>
            <w:tcW w:w="157" w:type="pct"/>
            <w:tcBorders>
              <w:tl2br w:val="nil"/>
              <w:tr2bl w:val="nil"/>
            </w:tcBorders>
            <w:shd w:val="clear" w:color="auto" w:fill="auto"/>
            <w:vAlign w:val="center"/>
          </w:tcPr>
          <w:p w14:paraId="50E42F5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6-9</w:t>
            </w:r>
          </w:p>
        </w:tc>
        <w:tc>
          <w:tcPr>
            <w:tcW w:w="159" w:type="pct"/>
            <w:tcBorders>
              <w:tl2br w:val="nil"/>
              <w:tr2bl w:val="nil"/>
            </w:tcBorders>
            <w:shd w:val="clear" w:color="auto" w:fill="auto"/>
            <w:vAlign w:val="center"/>
          </w:tcPr>
          <w:p w14:paraId="50D334B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5</w:t>
            </w:r>
          </w:p>
        </w:tc>
        <w:tc>
          <w:tcPr>
            <w:tcW w:w="145" w:type="pct"/>
            <w:tcBorders>
              <w:tl2br w:val="nil"/>
              <w:tr2bl w:val="nil"/>
            </w:tcBorders>
            <w:shd w:val="clear" w:color="auto" w:fill="auto"/>
            <w:vAlign w:val="center"/>
          </w:tcPr>
          <w:p w14:paraId="1E8B625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4</w:t>
            </w:r>
          </w:p>
        </w:tc>
        <w:tc>
          <w:tcPr>
            <w:tcW w:w="134" w:type="pct"/>
            <w:tcBorders>
              <w:tl2br w:val="nil"/>
              <w:tr2bl w:val="nil"/>
            </w:tcBorders>
            <w:shd w:val="clear" w:color="auto" w:fill="auto"/>
            <w:vAlign w:val="center"/>
          </w:tcPr>
          <w:p w14:paraId="370A4C5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20</w:t>
            </w:r>
          </w:p>
        </w:tc>
        <w:tc>
          <w:tcPr>
            <w:tcW w:w="140" w:type="pct"/>
            <w:tcBorders>
              <w:tl2br w:val="nil"/>
              <w:tr2bl w:val="nil"/>
            </w:tcBorders>
            <w:shd w:val="clear" w:color="auto" w:fill="auto"/>
            <w:vAlign w:val="center"/>
          </w:tcPr>
          <w:p w14:paraId="4A71D99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highlight w:val="none"/>
                <w:lang w:val="en-US" w:eastAsia="en-US" w:bidi="ar-SA"/>
              </w:rPr>
            </w:pPr>
            <w:r>
              <w:rPr>
                <w:rFonts w:hint="eastAsia" w:ascii="Times New Roman" w:hAnsi="Times New Roman" w:eastAsia="宋体" w:cs="Times New Roman"/>
                <w:b w:val="0"/>
                <w:bCs w:val="0"/>
                <w:color w:val="auto"/>
                <w:sz w:val="18"/>
                <w:szCs w:val="18"/>
                <w:highlight w:val="none"/>
                <w:lang w:val="en-US" w:eastAsia="zh-CN"/>
              </w:rPr>
              <w:t>/</w:t>
            </w:r>
          </w:p>
        </w:tc>
        <w:tc>
          <w:tcPr>
            <w:tcW w:w="180" w:type="pct"/>
            <w:tcBorders>
              <w:tl2br w:val="nil"/>
              <w:tr2bl w:val="nil"/>
            </w:tcBorders>
            <w:shd w:val="clear" w:color="auto" w:fill="auto"/>
            <w:vAlign w:val="center"/>
          </w:tcPr>
          <w:p w14:paraId="33C9438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1.0</w:t>
            </w:r>
          </w:p>
        </w:tc>
        <w:tc>
          <w:tcPr>
            <w:tcW w:w="228" w:type="pct"/>
            <w:tcBorders>
              <w:tl2br w:val="nil"/>
              <w:tr2bl w:val="nil"/>
            </w:tcBorders>
            <w:shd w:val="clear" w:color="auto" w:fill="auto"/>
            <w:vAlign w:val="center"/>
          </w:tcPr>
          <w:p w14:paraId="4535CA5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0.2</w:t>
            </w:r>
          </w:p>
        </w:tc>
        <w:tc>
          <w:tcPr>
            <w:tcW w:w="140" w:type="pct"/>
            <w:tcBorders>
              <w:tl2br w:val="nil"/>
              <w:tr2bl w:val="nil"/>
            </w:tcBorders>
            <w:shd w:val="clear" w:color="auto" w:fill="auto"/>
            <w:vAlign w:val="center"/>
          </w:tcPr>
          <w:p w14:paraId="70C6CBC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0.05</w:t>
            </w:r>
          </w:p>
        </w:tc>
        <w:tc>
          <w:tcPr>
            <w:tcW w:w="140" w:type="pct"/>
            <w:tcBorders>
              <w:tl2br w:val="nil"/>
              <w:tr2bl w:val="nil"/>
            </w:tcBorders>
            <w:shd w:val="clear" w:color="auto" w:fill="auto"/>
            <w:vAlign w:val="center"/>
          </w:tcPr>
          <w:p w14:paraId="38CF9F5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0.2</w:t>
            </w:r>
          </w:p>
        </w:tc>
        <w:tc>
          <w:tcPr>
            <w:tcW w:w="299" w:type="pct"/>
            <w:tcBorders>
              <w:tl2br w:val="nil"/>
              <w:tr2bl w:val="nil"/>
            </w:tcBorders>
            <w:shd w:val="clear" w:color="auto" w:fill="auto"/>
            <w:vAlign w:val="center"/>
          </w:tcPr>
          <w:p w14:paraId="55A8326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0.005</w:t>
            </w:r>
          </w:p>
        </w:tc>
        <w:tc>
          <w:tcPr>
            <w:tcW w:w="172" w:type="pct"/>
            <w:tcBorders>
              <w:tl2br w:val="nil"/>
              <w:tr2bl w:val="nil"/>
            </w:tcBorders>
            <w:shd w:val="clear" w:color="auto" w:fill="auto"/>
            <w:vAlign w:val="center"/>
          </w:tcPr>
          <w:p w14:paraId="4FB0FF0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0.05</w:t>
            </w:r>
          </w:p>
        </w:tc>
        <w:tc>
          <w:tcPr>
            <w:tcW w:w="134" w:type="pct"/>
            <w:tcBorders>
              <w:tl2br w:val="nil"/>
              <w:tr2bl w:val="nil"/>
            </w:tcBorders>
            <w:shd w:val="clear" w:color="auto" w:fill="auto"/>
            <w:vAlign w:val="center"/>
          </w:tcPr>
          <w:p w14:paraId="360460F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0.05</w:t>
            </w:r>
          </w:p>
        </w:tc>
        <w:tc>
          <w:tcPr>
            <w:tcW w:w="180" w:type="pct"/>
            <w:tcBorders>
              <w:tl2br w:val="nil"/>
              <w:tr2bl w:val="nil"/>
            </w:tcBorders>
            <w:shd w:val="clear" w:color="auto" w:fill="auto"/>
            <w:vAlign w:val="center"/>
          </w:tcPr>
          <w:p w14:paraId="3230CB8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1.0</w:t>
            </w:r>
          </w:p>
        </w:tc>
        <w:tc>
          <w:tcPr>
            <w:tcW w:w="180" w:type="pct"/>
            <w:tcBorders>
              <w:tl2br w:val="nil"/>
              <w:tr2bl w:val="nil"/>
            </w:tcBorders>
            <w:shd w:val="clear" w:color="auto" w:fill="auto"/>
            <w:vAlign w:val="center"/>
          </w:tcPr>
          <w:p w14:paraId="043A2DD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0.1</w:t>
            </w:r>
          </w:p>
        </w:tc>
        <w:tc>
          <w:tcPr>
            <w:tcW w:w="172" w:type="pct"/>
            <w:tcBorders>
              <w:tl2br w:val="nil"/>
              <w:tr2bl w:val="nil"/>
            </w:tcBorders>
            <w:shd w:val="clear" w:color="auto" w:fill="auto"/>
            <w:vAlign w:val="center"/>
          </w:tcPr>
          <w:p w14:paraId="52EA26D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1.0</w:t>
            </w:r>
          </w:p>
        </w:tc>
        <w:tc>
          <w:tcPr>
            <w:tcW w:w="134" w:type="pct"/>
            <w:tcBorders>
              <w:tl2br w:val="nil"/>
              <w:tr2bl w:val="nil"/>
            </w:tcBorders>
            <w:shd w:val="clear" w:color="auto" w:fill="auto"/>
            <w:vAlign w:val="center"/>
          </w:tcPr>
          <w:p w14:paraId="25FB5AA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0.05</w:t>
            </w:r>
          </w:p>
        </w:tc>
        <w:tc>
          <w:tcPr>
            <w:tcW w:w="258" w:type="pct"/>
            <w:tcBorders>
              <w:tl2br w:val="nil"/>
              <w:tr2bl w:val="nil"/>
            </w:tcBorders>
            <w:shd w:val="clear" w:color="auto" w:fill="auto"/>
            <w:vAlign w:val="center"/>
          </w:tcPr>
          <w:p w14:paraId="61FCBB8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highlight w:val="none"/>
                <w:lang w:val="en-US" w:eastAsia="en-US" w:bidi="ar-SA"/>
              </w:rPr>
            </w:pPr>
            <w:r>
              <w:rPr>
                <w:rFonts w:hint="default" w:ascii="Times New Roman" w:hAnsi="Times New Roman" w:eastAsia="宋体" w:cs="Times New Roman"/>
                <w:b w:val="0"/>
                <w:bCs w:val="0"/>
                <w:color w:val="auto"/>
                <w:sz w:val="18"/>
                <w:szCs w:val="18"/>
                <w:highlight w:val="none"/>
                <w:lang w:val="en-US" w:eastAsia="zh-CN"/>
              </w:rPr>
              <w:t>0.0001</w:t>
            </w:r>
          </w:p>
        </w:tc>
        <w:tc>
          <w:tcPr>
            <w:tcW w:w="209" w:type="pct"/>
            <w:tcBorders>
              <w:tl2br w:val="nil"/>
              <w:tr2bl w:val="nil"/>
            </w:tcBorders>
            <w:shd w:val="clear" w:color="auto" w:fill="auto"/>
            <w:vAlign w:val="center"/>
          </w:tcPr>
          <w:p w14:paraId="071AAD9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0.01</w:t>
            </w:r>
          </w:p>
        </w:tc>
        <w:tc>
          <w:tcPr>
            <w:tcW w:w="219" w:type="pct"/>
            <w:tcBorders>
              <w:tl2br w:val="nil"/>
              <w:tr2bl w:val="nil"/>
            </w:tcBorders>
            <w:shd w:val="clear" w:color="auto" w:fill="auto"/>
            <w:vAlign w:val="center"/>
          </w:tcPr>
          <w:p w14:paraId="09C8230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sz w:val="18"/>
                <w:szCs w:val="18"/>
                <w:lang w:val="en-US" w:eastAsia="zh-CN"/>
              </w:rPr>
              <w:t>0.05</w:t>
            </w:r>
          </w:p>
        </w:tc>
        <w:tc>
          <w:tcPr>
            <w:tcW w:w="134" w:type="pct"/>
            <w:tcBorders>
              <w:tl2br w:val="nil"/>
              <w:tr2bl w:val="nil"/>
            </w:tcBorders>
            <w:shd w:val="clear" w:color="auto" w:fill="auto"/>
            <w:vAlign w:val="center"/>
          </w:tcPr>
          <w:p w14:paraId="7A767C0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0.02</w:t>
            </w:r>
          </w:p>
        </w:tc>
        <w:tc>
          <w:tcPr>
            <w:tcW w:w="134" w:type="pct"/>
            <w:tcBorders>
              <w:tl2br w:val="nil"/>
              <w:tr2bl w:val="nil"/>
            </w:tcBorders>
            <w:shd w:val="clear" w:color="auto" w:fill="auto"/>
            <w:vAlign w:val="center"/>
          </w:tcPr>
          <w:p w14:paraId="14920A6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0BB09CA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0.005</w:t>
            </w:r>
          </w:p>
        </w:tc>
        <w:tc>
          <w:tcPr>
            <w:tcW w:w="172" w:type="pct"/>
            <w:tcBorders>
              <w:tl2br w:val="nil"/>
              <w:tr2bl w:val="nil"/>
            </w:tcBorders>
            <w:shd w:val="clear" w:color="auto" w:fill="auto"/>
            <w:vAlign w:val="center"/>
          </w:tcPr>
          <w:p w14:paraId="4F97487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c>
          <w:tcPr>
            <w:tcW w:w="172" w:type="pct"/>
            <w:tcBorders>
              <w:tl2br w:val="nil"/>
              <w:tr2bl w:val="nil"/>
            </w:tcBorders>
            <w:shd w:val="clear" w:color="auto" w:fill="auto"/>
            <w:vAlign w:val="center"/>
          </w:tcPr>
          <w:p w14:paraId="3C1DFDB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6</w:t>
            </w:r>
          </w:p>
        </w:tc>
        <w:tc>
          <w:tcPr>
            <w:tcW w:w="135" w:type="pct"/>
            <w:tcBorders>
              <w:tl2br w:val="nil"/>
              <w:tr2bl w:val="nil"/>
            </w:tcBorders>
            <w:shd w:val="clear" w:color="auto" w:fill="auto"/>
            <w:vAlign w:val="center"/>
          </w:tcPr>
          <w:p w14:paraId="77201A2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1.0</w:t>
            </w:r>
          </w:p>
        </w:tc>
        <w:tc>
          <w:tcPr>
            <w:tcW w:w="133" w:type="pct"/>
            <w:tcBorders>
              <w:tl2br w:val="nil"/>
              <w:tr2bl w:val="nil"/>
            </w:tcBorders>
            <w:shd w:val="clear" w:color="auto" w:fill="auto"/>
            <w:vAlign w:val="center"/>
          </w:tcPr>
          <w:p w14:paraId="3307752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snapToGrid w:val="0"/>
                <w:color w:val="auto"/>
                <w:kern w:val="0"/>
                <w:sz w:val="18"/>
                <w:szCs w:val="18"/>
                <w:lang w:val="en-US" w:eastAsia="en-US"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r>
      <w:bookmarkEnd w:id="1487"/>
      <w:tr w14:paraId="7CFF2EE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restart"/>
            <w:tcBorders>
              <w:tl2br w:val="nil"/>
              <w:tr2bl w:val="nil"/>
            </w:tcBorders>
            <w:shd w:val="clear" w:color="auto" w:fill="auto"/>
            <w:vAlign w:val="center"/>
          </w:tcPr>
          <w:p w14:paraId="1C3F960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489" w:name="OLE_LINK653" w:colFirst="5" w:colLast="5"/>
            <w:bookmarkStart w:id="1490" w:name="OLE_LINK883" w:colFirst="19" w:colLast="19"/>
            <w:bookmarkStart w:id="1491" w:name="OLE_LINK882" w:colFirst="5" w:colLast="5"/>
            <w:r>
              <w:rPr>
                <w:rFonts w:hint="default" w:ascii="Times New Roman" w:hAnsi="Times New Roman" w:cs="Times New Roman"/>
                <w:color w:val="auto"/>
                <w:kern w:val="2"/>
                <w:sz w:val="18"/>
                <w:szCs w:val="18"/>
                <w:highlight w:val="none"/>
                <w:lang w:val="en-US" w:eastAsia="zh-CN" w:bidi="ar-SA"/>
              </w:rPr>
              <w:t>W5-1</w:t>
            </w:r>
          </w:p>
        </w:tc>
        <w:tc>
          <w:tcPr>
            <w:tcW w:w="216" w:type="pct"/>
            <w:tcBorders>
              <w:tl2br w:val="nil"/>
              <w:tr2bl w:val="nil"/>
            </w:tcBorders>
            <w:shd w:val="clear" w:color="auto" w:fill="auto"/>
            <w:vAlign w:val="center"/>
          </w:tcPr>
          <w:p w14:paraId="5CF08C2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最大值</w:t>
            </w:r>
          </w:p>
        </w:tc>
        <w:tc>
          <w:tcPr>
            <w:tcW w:w="159" w:type="pct"/>
            <w:tcBorders>
              <w:tl2br w:val="nil"/>
              <w:tr2bl w:val="nil"/>
            </w:tcBorders>
            <w:shd w:val="clear" w:color="auto" w:fill="auto"/>
            <w:vAlign w:val="center"/>
          </w:tcPr>
          <w:p w14:paraId="703A65D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28.1</w:t>
            </w:r>
          </w:p>
        </w:tc>
        <w:tc>
          <w:tcPr>
            <w:tcW w:w="157" w:type="pct"/>
            <w:tcBorders>
              <w:tl2br w:val="nil"/>
              <w:tr2bl w:val="nil"/>
            </w:tcBorders>
            <w:shd w:val="clear" w:color="auto" w:fill="auto"/>
            <w:vAlign w:val="center"/>
          </w:tcPr>
          <w:p w14:paraId="392C2D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7.9</w:t>
            </w:r>
          </w:p>
        </w:tc>
        <w:tc>
          <w:tcPr>
            <w:tcW w:w="159" w:type="pct"/>
            <w:tcBorders>
              <w:tl2br w:val="nil"/>
              <w:tr2bl w:val="nil"/>
            </w:tcBorders>
            <w:shd w:val="clear" w:color="auto" w:fill="auto"/>
            <w:vAlign w:val="center"/>
          </w:tcPr>
          <w:p w14:paraId="4B719AD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4.6</w:t>
            </w:r>
          </w:p>
        </w:tc>
        <w:tc>
          <w:tcPr>
            <w:tcW w:w="145" w:type="pct"/>
            <w:tcBorders>
              <w:tl2br w:val="nil"/>
              <w:tr2bl w:val="nil"/>
            </w:tcBorders>
            <w:shd w:val="clear" w:color="auto" w:fill="auto"/>
            <w:vAlign w:val="center"/>
          </w:tcPr>
          <w:p w14:paraId="6881475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3.4 </w:t>
            </w:r>
          </w:p>
        </w:tc>
        <w:tc>
          <w:tcPr>
            <w:tcW w:w="134" w:type="pct"/>
            <w:tcBorders>
              <w:tl2br w:val="nil"/>
              <w:tr2bl w:val="nil"/>
            </w:tcBorders>
            <w:shd w:val="clear" w:color="auto" w:fill="auto"/>
            <w:vAlign w:val="center"/>
          </w:tcPr>
          <w:p w14:paraId="3EA05BA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14</w:t>
            </w:r>
          </w:p>
        </w:tc>
        <w:tc>
          <w:tcPr>
            <w:tcW w:w="140" w:type="pct"/>
            <w:tcBorders>
              <w:tl2br w:val="nil"/>
              <w:tr2bl w:val="nil"/>
            </w:tcBorders>
            <w:shd w:val="clear" w:color="auto" w:fill="auto"/>
            <w:vAlign w:val="center"/>
          </w:tcPr>
          <w:p w14:paraId="613A9CB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1.53 </w:t>
            </w:r>
          </w:p>
        </w:tc>
        <w:tc>
          <w:tcPr>
            <w:tcW w:w="180" w:type="pct"/>
            <w:tcBorders>
              <w:tl2br w:val="nil"/>
              <w:tr2bl w:val="nil"/>
            </w:tcBorders>
            <w:shd w:val="clear" w:color="auto" w:fill="auto"/>
            <w:vAlign w:val="center"/>
          </w:tcPr>
          <w:p w14:paraId="3D136C4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0.388 </w:t>
            </w:r>
          </w:p>
        </w:tc>
        <w:tc>
          <w:tcPr>
            <w:tcW w:w="228" w:type="pct"/>
            <w:tcBorders>
              <w:tl2br w:val="nil"/>
              <w:tr2bl w:val="nil"/>
            </w:tcBorders>
            <w:shd w:val="clear" w:color="auto" w:fill="auto"/>
            <w:vAlign w:val="center"/>
          </w:tcPr>
          <w:p w14:paraId="4F2AB5D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0.08 </w:t>
            </w:r>
          </w:p>
        </w:tc>
        <w:tc>
          <w:tcPr>
            <w:tcW w:w="140" w:type="pct"/>
            <w:tcBorders>
              <w:tl2br w:val="nil"/>
              <w:tr2bl w:val="nil"/>
            </w:tcBorders>
            <w:shd w:val="clear" w:color="auto" w:fill="auto"/>
            <w:vAlign w:val="center"/>
          </w:tcPr>
          <w:p w14:paraId="17DC9EC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40" w:type="pct"/>
            <w:tcBorders>
              <w:tl2br w:val="nil"/>
              <w:tr2bl w:val="nil"/>
            </w:tcBorders>
            <w:shd w:val="clear" w:color="auto" w:fill="auto"/>
            <w:vAlign w:val="center"/>
          </w:tcPr>
          <w:p w14:paraId="5D9A5F4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0.01</w:t>
            </w:r>
          </w:p>
        </w:tc>
        <w:tc>
          <w:tcPr>
            <w:tcW w:w="299" w:type="pct"/>
            <w:tcBorders>
              <w:tl2br w:val="nil"/>
              <w:tr2bl w:val="nil"/>
            </w:tcBorders>
            <w:shd w:val="clear" w:color="auto" w:fill="auto"/>
            <w:vAlign w:val="center"/>
          </w:tcPr>
          <w:p w14:paraId="4E4A9D6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0.000679 </w:t>
            </w:r>
          </w:p>
        </w:tc>
        <w:tc>
          <w:tcPr>
            <w:tcW w:w="172" w:type="pct"/>
            <w:tcBorders>
              <w:tl2br w:val="nil"/>
              <w:tr2bl w:val="nil"/>
            </w:tcBorders>
            <w:shd w:val="clear" w:color="auto" w:fill="auto"/>
            <w:vAlign w:val="center"/>
          </w:tcPr>
          <w:p w14:paraId="31893AF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178BA51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1447468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0.004</w:t>
            </w:r>
          </w:p>
        </w:tc>
        <w:tc>
          <w:tcPr>
            <w:tcW w:w="180" w:type="pct"/>
            <w:tcBorders>
              <w:tl2br w:val="nil"/>
              <w:tr2bl w:val="nil"/>
            </w:tcBorders>
            <w:shd w:val="clear" w:color="auto" w:fill="auto"/>
            <w:vAlign w:val="center"/>
          </w:tcPr>
          <w:p w14:paraId="00783C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3CF04F3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56A92B0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47D530F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08</w:t>
            </w:r>
          </w:p>
        </w:tc>
        <w:tc>
          <w:tcPr>
            <w:tcW w:w="209" w:type="pct"/>
            <w:tcBorders>
              <w:tl2br w:val="nil"/>
              <w:tr2bl w:val="nil"/>
            </w:tcBorders>
            <w:shd w:val="clear" w:color="auto" w:fill="auto"/>
            <w:vAlign w:val="center"/>
          </w:tcPr>
          <w:p w14:paraId="34038D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31A9A83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0.0014 </w:t>
            </w:r>
          </w:p>
        </w:tc>
        <w:tc>
          <w:tcPr>
            <w:tcW w:w="134" w:type="pct"/>
            <w:tcBorders>
              <w:tl2br w:val="nil"/>
              <w:tr2bl w:val="nil"/>
            </w:tcBorders>
            <w:shd w:val="clear" w:color="auto" w:fill="auto"/>
            <w:vAlign w:val="center"/>
          </w:tcPr>
          <w:p w14:paraId="6FE9917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5F34809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30</w:t>
            </w:r>
          </w:p>
        </w:tc>
        <w:tc>
          <w:tcPr>
            <w:tcW w:w="210" w:type="pct"/>
            <w:tcBorders>
              <w:tl2br w:val="nil"/>
              <w:tr2bl w:val="nil"/>
            </w:tcBorders>
            <w:shd w:val="clear" w:color="auto" w:fill="auto"/>
            <w:vAlign w:val="center"/>
          </w:tcPr>
          <w:p w14:paraId="4C0AC77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461837B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highlight w:val="none"/>
                <w:u w:val="none"/>
                <w:lang w:val="en-US" w:eastAsia="zh-CN" w:bidi="ar"/>
              </w:rPr>
              <w:t>ND</w:t>
            </w:r>
          </w:p>
        </w:tc>
        <w:tc>
          <w:tcPr>
            <w:tcW w:w="172" w:type="pct"/>
            <w:tcBorders>
              <w:tl2br w:val="nil"/>
              <w:tr2bl w:val="nil"/>
            </w:tcBorders>
            <w:shd w:val="clear" w:color="auto" w:fill="auto"/>
            <w:vAlign w:val="center"/>
          </w:tcPr>
          <w:p w14:paraId="2DA04FC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2.0</w:t>
            </w:r>
          </w:p>
        </w:tc>
        <w:tc>
          <w:tcPr>
            <w:tcW w:w="135" w:type="pct"/>
            <w:tcBorders>
              <w:tl2br w:val="nil"/>
              <w:tr2bl w:val="nil"/>
            </w:tcBorders>
            <w:shd w:val="clear" w:color="auto" w:fill="auto"/>
            <w:vAlign w:val="center"/>
          </w:tcPr>
          <w:p w14:paraId="4230531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0.48</w:t>
            </w:r>
          </w:p>
        </w:tc>
        <w:tc>
          <w:tcPr>
            <w:tcW w:w="133" w:type="pct"/>
            <w:tcBorders>
              <w:tl2br w:val="nil"/>
              <w:tr2bl w:val="nil"/>
            </w:tcBorders>
            <w:shd w:val="clear" w:color="auto" w:fill="auto"/>
            <w:vAlign w:val="center"/>
          </w:tcPr>
          <w:p w14:paraId="3C0545A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tr w14:paraId="163E17A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6D45DD5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7F93D23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最小值</w:t>
            </w:r>
          </w:p>
        </w:tc>
        <w:tc>
          <w:tcPr>
            <w:tcW w:w="159" w:type="pct"/>
            <w:tcBorders>
              <w:tl2br w:val="nil"/>
              <w:tr2bl w:val="nil"/>
            </w:tcBorders>
            <w:shd w:val="clear" w:color="auto" w:fill="auto"/>
            <w:vAlign w:val="center"/>
          </w:tcPr>
          <w:p w14:paraId="3D3E349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28.0</w:t>
            </w:r>
          </w:p>
        </w:tc>
        <w:tc>
          <w:tcPr>
            <w:tcW w:w="157" w:type="pct"/>
            <w:tcBorders>
              <w:tl2br w:val="nil"/>
              <w:tr2bl w:val="nil"/>
            </w:tcBorders>
            <w:shd w:val="clear" w:color="auto" w:fill="auto"/>
            <w:vAlign w:val="center"/>
          </w:tcPr>
          <w:p w14:paraId="6D8701D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7.8</w:t>
            </w:r>
          </w:p>
        </w:tc>
        <w:tc>
          <w:tcPr>
            <w:tcW w:w="159" w:type="pct"/>
            <w:tcBorders>
              <w:tl2br w:val="nil"/>
              <w:tr2bl w:val="nil"/>
            </w:tcBorders>
            <w:shd w:val="clear" w:color="auto" w:fill="auto"/>
            <w:vAlign w:val="center"/>
          </w:tcPr>
          <w:p w14:paraId="2073299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4.5</w:t>
            </w:r>
          </w:p>
        </w:tc>
        <w:tc>
          <w:tcPr>
            <w:tcW w:w="145" w:type="pct"/>
            <w:tcBorders>
              <w:tl2br w:val="nil"/>
              <w:tr2bl w:val="nil"/>
            </w:tcBorders>
            <w:shd w:val="clear" w:color="auto" w:fill="auto"/>
            <w:vAlign w:val="center"/>
          </w:tcPr>
          <w:p w14:paraId="678F59D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2.</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8</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shd w:val="clear" w:color="auto" w:fill="auto"/>
            <w:vAlign w:val="center"/>
          </w:tcPr>
          <w:p w14:paraId="15CC909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13</w:t>
            </w:r>
          </w:p>
        </w:tc>
        <w:tc>
          <w:tcPr>
            <w:tcW w:w="140" w:type="pct"/>
            <w:tcBorders>
              <w:tl2br w:val="nil"/>
              <w:tr2bl w:val="nil"/>
            </w:tcBorders>
            <w:shd w:val="clear" w:color="auto" w:fill="auto"/>
            <w:vAlign w:val="center"/>
          </w:tcPr>
          <w:p w14:paraId="6AD3237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1.44 </w:t>
            </w:r>
          </w:p>
        </w:tc>
        <w:tc>
          <w:tcPr>
            <w:tcW w:w="180" w:type="pct"/>
            <w:tcBorders>
              <w:tl2br w:val="nil"/>
              <w:tr2bl w:val="nil"/>
            </w:tcBorders>
            <w:shd w:val="clear" w:color="auto" w:fill="auto"/>
            <w:vAlign w:val="center"/>
          </w:tcPr>
          <w:p w14:paraId="007FF11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0.359 </w:t>
            </w:r>
          </w:p>
        </w:tc>
        <w:tc>
          <w:tcPr>
            <w:tcW w:w="228" w:type="pct"/>
            <w:tcBorders>
              <w:tl2br w:val="nil"/>
              <w:tr2bl w:val="nil"/>
            </w:tcBorders>
            <w:shd w:val="clear" w:color="auto" w:fill="auto"/>
            <w:vAlign w:val="center"/>
          </w:tcPr>
          <w:p w14:paraId="2702E9C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0.06 </w:t>
            </w:r>
          </w:p>
        </w:tc>
        <w:tc>
          <w:tcPr>
            <w:tcW w:w="140" w:type="pct"/>
            <w:tcBorders>
              <w:tl2br w:val="nil"/>
              <w:tr2bl w:val="nil"/>
            </w:tcBorders>
            <w:shd w:val="clear" w:color="auto" w:fill="auto"/>
            <w:vAlign w:val="center"/>
          </w:tcPr>
          <w:p w14:paraId="0683C1B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40" w:type="pct"/>
            <w:tcBorders>
              <w:tl2br w:val="nil"/>
              <w:tr2bl w:val="nil"/>
            </w:tcBorders>
            <w:shd w:val="clear" w:color="auto" w:fill="auto"/>
            <w:vAlign w:val="center"/>
          </w:tcPr>
          <w:p w14:paraId="6A5206E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ND</w:t>
            </w:r>
          </w:p>
        </w:tc>
        <w:tc>
          <w:tcPr>
            <w:tcW w:w="299" w:type="pct"/>
            <w:tcBorders>
              <w:tl2br w:val="nil"/>
              <w:tr2bl w:val="nil"/>
            </w:tcBorders>
            <w:shd w:val="clear" w:color="auto" w:fill="auto"/>
            <w:vAlign w:val="center"/>
          </w:tcPr>
          <w:p w14:paraId="7A83333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0.000574 </w:t>
            </w:r>
          </w:p>
        </w:tc>
        <w:tc>
          <w:tcPr>
            <w:tcW w:w="172" w:type="pct"/>
            <w:tcBorders>
              <w:tl2br w:val="nil"/>
              <w:tr2bl w:val="nil"/>
            </w:tcBorders>
            <w:shd w:val="clear" w:color="auto" w:fill="auto"/>
            <w:vAlign w:val="center"/>
          </w:tcPr>
          <w:p w14:paraId="148E964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6F78F86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21C81AA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ND</w:t>
            </w:r>
          </w:p>
        </w:tc>
        <w:tc>
          <w:tcPr>
            <w:tcW w:w="180" w:type="pct"/>
            <w:tcBorders>
              <w:tl2br w:val="nil"/>
              <w:tr2bl w:val="nil"/>
            </w:tcBorders>
            <w:shd w:val="clear" w:color="auto" w:fill="auto"/>
            <w:vAlign w:val="center"/>
          </w:tcPr>
          <w:p w14:paraId="6780ECF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3F92A92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76246D9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0BF0BAE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07</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381B3A8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43B0A7C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0.0011</w:t>
            </w:r>
          </w:p>
        </w:tc>
        <w:tc>
          <w:tcPr>
            <w:tcW w:w="134" w:type="pct"/>
            <w:tcBorders>
              <w:tl2br w:val="nil"/>
              <w:tr2bl w:val="nil"/>
            </w:tcBorders>
            <w:shd w:val="clear" w:color="auto" w:fill="auto"/>
            <w:vAlign w:val="center"/>
          </w:tcPr>
          <w:p w14:paraId="7EA2789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1222AFD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27</w:t>
            </w:r>
          </w:p>
        </w:tc>
        <w:tc>
          <w:tcPr>
            <w:tcW w:w="210" w:type="pct"/>
            <w:tcBorders>
              <w:tl2br w:val="nil"/>
              <w:tr2bl w:val="nil"/>
            </w:tcBorders>
            <w:shd w:val="clear" w:color="auto" w:fill="auto"/>
            <w:vAlign w:val="center"/>
          </w:tcPr>
          <w:p w14:paraId="4FCE021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5160CCF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3B9D26E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1.9</w:t>
            </w:r>
          </w:p>
        </w:tc>
        <w:tc>
          <w:tcPr>
            <w:tcW w:w="135" w:type="pct"/>
            <w:tcBorders>
              <w:tl2br w:val="nil"/>
              <w:tr2bl w:val="nil"/>
            </w:tcBorders>
            <w:shd w:val="clear" w:color="auto" w:fill="auto"/>
            <w:vAlign w:val="center"/>
          </w:tcPr>
          <w:p w14:paraId="303010D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0.43</w:t>
            </w:r>
          </w:p>
        </w:tc>
        <w:tc>
          <w:tcPr>
            <w:tcW w:w="133" w:type="pct"/>
            <w:tcBorders>
              <w:tl2br w:val="nil"/>
              <w:tr2bl w:val="nil"/>
            </w:tcBorders>
            <w:shd w:val="clear" w:color="auto" w:fill="auto"/>
            <w:vAlign w:val="center"/>
          </w:tcPr>
          <w:p w14:paraId="76781C2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89"/>
      <w:tr w14:paraId="63FF82E2">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476488B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055A3BF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平均浓度</w:t>
            </w:r>
          </w:p>
        </w:tc>
        <w:tc>
          <w:tcPr>
            <w:tcW w:w="159" w:type="pct"/>
            <w:tcBorders>
              <w:tl2br w:val="nil"/>
              <w:tr2bl w:val="nil"/>
            </w:tcBorders>
            <w:shd w:val="clear" w:color="auto" w:fill="auto"/>
            <w:vAlign w:val="center"/>
          </w:tcPr>
          <w:p w14:paraId="5DCE777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28.0</w:t>
            </w:r>
          </w:p>
        </w:tc>
        <w:tc>
          <w:tcPr>
            <w:tcW w:w="157" w:type="pct"/>
            <w:tcBorders>
              <w:tl2br w:val="nil"/>
              <w:tr2bl w:val="nil"/>
            </w:tcBorders>
            <w:shd w:val="clear" w:color="auto" w:fill="auto"/>
            <w:vAlign w:val="center"/>
          </w:tcPr>
          <w:p w14:paraId="0C90CCA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7.8</w:t>
            </w:r>
          </w:p>
        </w:tc>
        <w:tc>
          <w:tcPr>
            <w:tcW w:w="159" w:type="pct"/>
            <w:tcBorders>
              <w:tl2br w:val="nil"/>
              <w:tr2bl w:val="nil"/>
            </w:tcBorders>
            <w:shd w:val="clear" w:color="auto" w:fill="auto"/>
            <w:vAlign w:val="center"/>
          </w:tcPr>
          <w:p w14:paraId="233B394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4.5</w:t>
            </w:r>
          </w:p>
        </w:tc>
        <w:tc>
          <w:tcPr>
            <w:tcW w:w="145" w:type="pct"/>
            <w:tcBorders>
              <w:tl2br w:val="nil"/>
              <w:tr2bl w:val="nil"/>
            </w:tcBorders>
            <w:shd w:val="clear" w:color="auto" w:fill="auto"/>
            <w:vAlign w:val="center"/>
          </w:tcPr>
          <w:p w14:paraId="729D7E6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i w:val="0"/>
                <w:iCs w:val="0"/>
                <w:snapToGrid w:val="0"/>
                <w:color w:val="auto"/>
                <w:kern w:val="0"/>
                <w:sz w:val="18"/>
                <w:szCs w:val="18"/>
                <w:highlight w:val="none"/>
                <w:u w:val="none"/>
                <w:lang w:val="en-US" w:eastAsia="zh-CN" w:bidi="ar"/>
              </w:rPr>
              <w:t>3.1</w:t>
            </w:r>
          </w:p>
        </w:tc>
        <w:tc>
          <w:tcPr>
            <w:tcW w:w="134" w:type="pct"/>
            <w:tcBorders>
              <w:tl2br w:val="nil"/>
              <w:tr2bl w:val="nil"/>
            </w:tcBorders>
            <w:shd w:val="clear" w:color="auto" w:fill="auto"/>
            <w:vAlign w:val="center"/>
          </w:tcPr>
          <w:p w14:paraId="6C67A16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13</w:t>
            </w:r>
          </w:p>
        </w:tc>
        <w:tc>
          <w:tcPr>
            <w:tcW w:w="140" w:type="pct"/>
            <w:tcBorders>
              <w:tl2br w:val="nil"/>
              <w:tr2bl w:val="nil"/>
            </w:tcBorders>
            <w:shd w:val="clear" w:color="auto" w:fill="auto"/>
            <w:vAlign w:val="center"/>
          </w:tcPr>
          <w:p w14:paraId="1A38DE6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1.50 </w:t>
            </w:r>
          </w:p>
        </w:tc>
        <w:tc>
          <w:tcPr>
            <w:tcW w:w="180" w:type="pct"/>
            <w:tcBorders>
              <w:tl2br w:val="nil"/>
              <w:tr2bl w:val="nil"/>
            </w:tcBorders>
            <w:shd w:val="clear" w:color="auto" w:fill="auto"/>
            <w:vAlign w:val="center"/>
          </w:tcPr>
          <w:p w14:paraId="1491426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0.375 </w:t>
            </w:r>
          </w:p>
        </w:tc>
        <w:tc>
          <w:tcPr>
            <w:tcW w:w="228" w:type="pct"/>
            <w:tcBorders>
              <w:tl2br w:val="nil"/>
              <w:tr2bl w:val="nil"/>
            </w:tcBorders>
            <w:shd w:val="clear" w:color="auto" w:fill="auto"/>
            <w:vAlign w:val="center"/>
          </w:tcPr>
          <w:p w14:paraId="00F1F82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0.07 </w:t>
            </w:r>
          </w:p>
        </w:tc>
        <w:tc>
          <w:tcPr>
            <w:tcW w:w="140" w:type="pct"/>
            <w:tcBorders>
              <w:tl2br w:val="nil"/>
              <w:tr2bl w:val="nil"/>
            </w:tcBorders>
            <w:shd w:val="clear" w:color="auto" w:fill="auto"/>
            <w:vAlign w:val="center"/>
          </w:tcPr>
          <w:p w14:paraId="5C86F0D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40" w:type="pct"/>
            <w:tcBorders>
              <w:tl2br w:val="nil"/>
              <w:tr2bl w:val="nil"/>
            </w:tcBorders>
            <w:shd w:val="clear" w:color="auto" w:fill="auto"/>
            <w:vAlign w:val="center"/>
          </w:tcPr>
          <w:p w14:paraId="321F827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w:t>
            </w:r>
          </w:p>
        </w:tc>
        <w:tc>
          <w:tcPr>
            <w:tcW w:w="299" w:type="pct"/>
            <w:tcBorders>
              <w:tl2br w:val="nil"/>
              <w:tr2bl w:val="nil"/>
            </w:tcBorders>
            <w:shd w:val="clear" w:color="auto" w:fill="auto"/>
            <w:vAlign w:val="center"/>
          </w:tcPr>
          <w:p w14:paraId="1B3DF7C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0.000630 </w:t>
            </w:r>
          </w:p>
        </w:tc>
        <w:tc>
          <w:tcPr>
            <w:tcW w:w="172" w:type="pct"/>
            <w:tcBorders>
              <w:tl2br w:val="nil"/>
              <w:tr2bl w:val="nil"/>
            </w:tcBorders>
            <w:shd w:val="clear" w:color="auto" w:fill="auto"/>
            <w:vAlign w:val="center"/>
          </w:tcPr>
          <w:p w14:paraId="61E8622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57D204A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358F68B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w:t>
            </w:r>
          </w:p>
        </w:tc>
        <w:tc>
          <w:tcPr>
            <w:tcW w:w="180" w:type="pct"/>
            <w:tcBorders>
              <w:tl2br w:val="nil"/>
              <w:tr2bl w:val="nil"/>
            </w:tcBorders>
            <w:shd w:val="clear" w:color="auto" w:fill="auto"/>
            <w:vAlign w:val="center"/>
          </w:tcPr>
          <w:p w14:paraId="78048D1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19AFD07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51750A2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389292B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076</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32ED42F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741046A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0.0013 </w:t>
            </w:r>
          </w:p>
        </w:tc>
        <w:tc>
          <w:tcPr>
            <w:tcW w:w="134" w:type="pct"/>
            <w:tcBorders>
              <w:tl2br w:val="nil"/>
              <w:tr2bl w:val="nil"/>
            </w:tcBorders>
            <w:shd w:val="clear" w:color="auto" w:fill="auto"/>
            <w:vAlign w:val="center"/>
          </w:tcPr>
          <w:p w14:paraId="71D0BF0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78F7633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w:t>
            </w:r>
          </w:p>
        </w:tc>
        <w:tc>
          <w:tcPr>
            <w:tcW w:w="210" w:type="pct"/>
            <w:tcBorders>
              <w:tl2br w:val="nil"/>
              <w:tr2bl w:val="nil"/>
            </w:tcBorders>
            <w:shd w:val="clear" w:color="auto" w:fill="auto"/>
            <w:vAlign w:val="center"/>
          </w:tcPr>
          <w:p w14:paraId="595BCAA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2524B36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0CCDE69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1.9</w:t>
            </w:r>
          </w:p>
        </w:tc>
        <w:tc>
          <w:tcPr>
            <w:tcW w:w="135" w:type="pct"/>
            <w:tcBorders>
              <w:tl2br w:val="nil"/>
              <w:tr2bl w:val="nil"/>
            </w:tcBorders>
            <w:shd w:val="clear" w:color="auto" w:fill="auto"/>
            <w:vAlign w:val="center"/>
          </w:tcPr>
          <w:p w14:paraId="5D65164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0.45</w:t>
            </w:r>
          </w:p>
        </w:tc>
        <w:tc>
          <w:tcPr>
            <w:tcW w:w="133" w:type="pct"/>
            <w:tcBorders>
              <w:tl2br w:val="nil"/>
              <w:tr2bl w:val="nil"/>
            </w:tcBorders>
            <w:shd w:val="clear" w:color="auto" w:fill="auto"/>
            <w:vAlign w:val="center"/>
          </w:tcPr>
          <w:p w14:paraId="0D2E134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90"/>
      <w:bookmarkEnd w:id="1491"/>
      <w:tr w14:paraId="07A4418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0C8511B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bookmarkStart w:id="1492" w:name="OLE_LINK512" w:colFirst="2" w:colLast="28"/>
            <w:bookmarkStart w:id="1493" w:name="OLE_LINK513" w:colFirst="23" w:colLast="23"/>
          </w:p>
        </w:tc>
        <w:tc>
          <w:tcPr>
            <w:tcW w:w="216" w:type="pct"/>
            <w:tcBorders>
              <w:tl2br w:val="nil"/>
              <w:tr2bl w:val="nil"/>
            </w:tcBorders>
            <w:shd w:val="clear" w:color="auto" w:fill="auto"/>
            <w:vAlign w:val="center"/>
          </w:tcPr>
          <w:p w14:paraId="511D5D7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最大单因子指数</w:t>
            </w:r>
          </w:p>
        </w:tc>
        <w:tc>
          <w:tcPr>
            <w:tcW w:w="159" w:type="pct"/>
            <w:tcBorders>
              <w:tl2br w:val="nil"/>
              <w:tr2bl w:val="nil"/>
            </w:tcBorders>
            <w:shd w:val="clear" w:color="auto" w:fill="auto"/>
            <w:vAlign w:val="center"/>
          </w:tcPr>
          <w:p w14:paraId="444052B8">
            <w:pPr>
              <w:jc w:val="center"/>
              <w:rPr>
                <w:rFonts w:hint="eastAsia" w:ascii="Times New Roman" w:hAnsi="Times New Roman" w:eastAsia="宋体" w:cs="Times New Roman"/>
                <w:snapToGrid w:val="0"/>
                <w:color w:val="auto"/>
                <w:kern w:val="0"/>
                <w:sz w:val="18"/>
                <w:szCs w:val="18"/>
                <w:lang w:val="en-US" w:eastAsia="zh-CN" w:bidi="ar-SA"/>
              </w:rPr>
            </w:pPr>
            <w:bookmarkStart w:id="1494" w:name="OLE_LINK515"/>
            <w:r>
              <w:rPr>
                <w:rFonts w:hint="eastAsia" w:ascii="Times New Roman" w:hAnsi="Times New Roman" w:eastAsia="宋体" w:cs="Times New Roman"/>
                <w:color w:val="auto"/>
                <w:sz w:val="18"/>
                <w:szCs w:val="18"/>
                <w:lang w:val="en-US" w:eastAsia="zh-CN"/>
              </w:rPr>
              <w:t>/</w:t>
            </w:r>
            <w:bookmarkEnd w:id="1494"/>
          </w:p>
        </w:tc>
        <w:tc>
          <w:tcPr>
            <w:tcW w:w="157" w:type="pct"/>
            <w:tcBorders>
              <w:tl2br w:val="nil"/>
              <w:tr2bl w:val="nil"/>
            </w:tcBorders>
            <w:shd w:val="clear" w:color="auto" w:fill="auto"/>
            <w:vAlign w:val="center"/>
          </w:tcPr>
          <w:p w14:paraId="0B215D9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0.45</w:t>
            </w:r>
          </w:p>
        </w:tc>
        <w:tc>
          <w:tcPr>
            <w:tcW w:w="159" w:type="pct"/>
            <w:tcBorders>
              <w:tl2br w:val="nil"/>
              <w:tr2bl w:val="nil"/>
            </w:tcBorders>
            <w:shd w:val="clear" w:color="auto" w:fill="auto"/>
            <w:vAlign w:val="center"/>
          </w:tcPr>
          <w:p w14:paraId="3B65920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1.14 </w:t>
            </w:r>
          </w:p>
        </w:tc>
        <w:tc>
          <w:tcPr>
            <w:tcW w:w="145" w:type="pct"/>
            <w:tcBorders>
              <w:tl2br w:val="nil"/>
              <w:tr2bl w:val="nil"/>
            </w:tcBorders>
            <w:shd w:val="clear" w:color="auto" w:fill="auto"/>
            <w:vAlign w:val="center"/>
          </w:tcPr>
          <w:p w14:paraId="02B9286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0.85 </w:t>
            </w:r>
          </w:p>
        </w:tc>
        <w:tc>
          <w:tcPr>
            <w:tcW w:w="134" w:type="pct"/>
            <w:tcBorders>
              <w:tl2br w:val="nil"/>
              <w:tr2bl w:val="nil"/>
            </w:tcBorders>
            <w:shd w:val="clear" w:color="auto" w:fill="auto"/>
            <w:vAlign w:val="center"/>
          </w:tcPr>
          <w:p w14:paraId="4D355E6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0.70 </w:t>
            </w:r>
          </w:p>
        </w:tc>
        <w:tc>
          <w:tcPr>
            <w:tcW w:w="140" w:type="pct"/>
            <w:tcBorders>
              <w:tl2br w:val="nil"/>
              <w:tr2bl w:val="nil"/>
            </w:tcBorders>
            <w:shd w:val="clear" w:color="auto" w:fill="auto"/>
            <w:vAlign w:val="center"/>
          </w:tcPr>
          <w:p w14:paraId="6F05C71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5F8079C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0.39 </w:t>
            </w:r>
          </w:p>
        </w:tc>
        <w:tc>
          <w:tcPr>
            <w:tcW w:w="228" w:type="pct"/>
            <w:tcBorders>
              <w:tl2br w:val="nil"/>
              <w:tr2bl w:val="nil"/>
            </w:tcBorders>
            <w:shd w:val="clear" w:color="auto" w:fill="auto"/>
            <w:vAlign w:val="center"/>
          </w:tcPr>
          <w:p w14:paraId="5A1C083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0.40 </w:t>
            </w:r>
          </w:p>
        </w:tc>
        <w:tc>
          <w:tcPr>
            <w:tcW w:w="140" w:type="pct"/>
            <w:tcBorders>
              <w:tl2br w:val="nil"/>
              <w:tr2bl w:val="nil"/>
            </w:tcBorders>
            <w:shd w:val="clear" w:color="auto" w:fill="auto"/>
            <w:vAlign w:val="center"/>
          </w:tcPr>
          <w:p w14:paraId="44AB38C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0.80 </w:t>
            </w:r>
          </w:p>
        </w:tc>
        <w:tc>
          <w:tcPr>
            <w:tcW w:w="140" w:type="pct"/>
            <w:tcBorders>
              <w:tl2br w:val="nil"/>
              <w:tr2bl w:val="nil"/>
            </w:tcBorders>
            <w:shd w:val="clear" w:color="auto" w:fill="auto"/>
            <w:vAlign w:val="center"/>
          </w:tcPr>
          <w:p w14:paraId="07256C0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299" w:type="pct"/>
            <w:tcBorders>
              <w:tl2br w:val="nil"/>
              <w:tr2bl w:val="nil"/>
            </w:tcBorders>
            <w:shd w:val="clear" w:color="auto" w:fill="auto"/>
            <w:vAlign w:val="center"/>
          </w:tcPr>
          <w:p w14:paraId="2352241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0.14 </w:t>
            </w:r>
          </w:p>
        </w:tc>
        <w:tc>
          <w:tcPr>
            <w:tcW w:w="172" w:type="pct"/>
            <w:tcBorders>
              <w:tl2br w:val="nil"/>
              <w:tr2bl w:val="nil"/>
            </w:tcBorders>
            <w:shd w:val="clear" w:color="auto" w:fill="auto"/>
            <w:vAlign w:val="center"/>
          </w:tcPr>
          <w:p w14:paraId="0703CE5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34" w:type="pct"/>
            <w:tcBorders>
              <w:tl2br w:val="nil"/>
              <w:tr2bl w:val="nil"/>
            </w:tcBorders>
            <w:shd w:val="clear" w:color="auto" w:fill="auto"/>
            <w:vAlign w:val="center"/>
          </w:tcPr>
          <w:p w14:paraId="4BE26D7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0.30 </w:t>
            </w:r>
          </w:p>
        </w:tc>
        <w:tc>
          <w:tcPr>
            <w:tcW w:w="180" w:type="pct"/>
            <w:tcBorders>
              <w:tl2br w:val="nil"/>
              <w:tr2bl w:val="nil"/>
            </w:tcBorders>
            <w:shd w:val="clear" w:color="auto" w:fill="auto"/>
            <w:vAlign w:val="center"/>
          </w:tcPr>
          <w:p w14:paraId="3216CAA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0.004 </w:t>
            </w:r>
          </w:p>
        </w:tc>
        <w:tc>
          <w:tcPr>
            <w:tcW w:w="180" w:type="pct"/>
            <w:tcBorders>
              <w:tl2br w:val="nil"/>
              <w:tr2bl w:val="nil"/>
            </w:tcBorders>
            <w:shd w:val="clear" w:color="auto" w:fill="auto"/>
            <w:vAlign w:val="center"/>
          </w:tcPr>
          <w:p w14:paraId="32424B7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72" w:type="pct"/>
            <w:tcBorders>
              <w:tl2br w:val="nil"/>
              <w:tr2bl w:val="nil"/>
            </w:tcBorders>
            <w:shd w:val="clear" w:color="auto" w:fill="auto"/>
            <w:vAlign w:val="center"/>
          </w:tcPr>
          <w:p w14:paraId="23365A4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34" w:type="pct"/>
            <w:tcBorders>
              <w:tl2br w:val="nil"/>
              <w:tr2bl w:val="nil"/>
            </w:tcBorders>
            <w:shd w:val="clear" w:color="auto" w:fill="auto"/>
            <w:vAlign w:val="center"/>
          </w:tcPr>
          <w:p w14:paraId="1538AEC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0.70 </w:t>
            </w:r>
          </w:p>
        </w:tc>
        <w:tc>
          <w:tcPr>
            <w:tcW w:w="258" w:type="pct"/>
            <w:tcBorders>
              <w:tl2br w:val="nil"/>
              <w:tr2bl w:val="nil"/>
            </w:tcBorders>
            <w:shd w:val="clear" w:color="auto" w:fill="auto"/>
            <w:vAlign w:val="center"/>
          </w:tcPr>
          <w:p w14:paraId="01BD0D3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i w:val="0"/>
                <w:iCs w:val="0"/>
                <w:snapToGrid w:val="0"/>
                <w:color w:val="auto"/>
                <w:kern w:val="0"/>
                <w:sz w:val="18"/>
                <w:szCs w:val="18"/>
                <w:highlight w:val="none"/>
                <w:u w:val="none"/>
                <w:lang w:val="en-US" w:eastAsia="zh-CN" w:bidi="ar"/>
              </w:rPr>
              <w:t>0.80</w:t>
            </w:r>
          </w:p>
        </w:tc>
        <w:tc>
          <w:tcPr>
            <w:tcW w:w="209" w:type="pct"/>
            <w:tcBorders>
              <w:tl2br w:val="nil"/>
              <w:tr2bl w:val="nil"/>
            </w:tcBorders>
            <w:shd w:val="clear" w:color="auto" w:fill="auto"/>
            <w:vAlign w:val="center"/>
          </w:tcPr>
          <w:p w14:paraId="1E24CD4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219" w:type="pct"/>
            <w:tcBorders>
              <w:tl2br w:val="nil"/>
              <w:tr2bl w:val="nil"/>
            </w:tcBorders>
            <w:shd w:val="clear" w:color="auto" w:fill="auto"/>
            <w:vAlign w:val="center"/>
          </w:tcPr>
          <w:p w14:paraId="7DEA18D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34" w:type="pct"/>
            <w:tcBorders>
              <w:tl2br w:val="nil"/>
              <w:tr2bl w:val="nil"/>
            </w:tcBorders>
            <w:shd w:val="clear" w:color="auto" w:fill="auto"/>
            <w:vAlign w:val="center"/>
          </w:tcPr>
          <w:p w14:paraId="419658D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34" w:type="pct"/>
            <w:tcBorders>
              <w:tl2br w:val="nil"/>
              <w:tr2bl w:val="nil"/>
            </w:tcBorders>
            <w:shd w:val="clear" w:color="auto" w:fill="auto"/>
            <w:vAlign w:val="center"/>
          </w:tcPr>
          <w:p w14:paraId="254D944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2DD212D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72" w:type="pct"/>
            <w:tcBorders>
              <w:tl2br w:val="nil"/>
              <w:tr2bl w:val="nil"/>
            </w:tcBorders>
            <w:shd w:val="clear" w:color="auto" w:fill="auto"/>
            <w:vAlign w:val="center"/>
          </w:tcPr>
          <w:p w14:paraId="137FF6A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72" w:type="pct"/>
            <w:tcBorders>
              <w:tl2br w:val="nil"/>
              <w:tr2bl w:val="nil"/>
            </w:tcBorders>
            <w:shd w:val="clear" w:color="auto" w:fill="auto"/>
            <w:vAlign w:val="center"/>
          </w:tcPr>
          <w:p w14:paraId="27E6F02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0.33 </w:t>
            </w:r>
          </w:p>
        </w:tc>
        <w:tc>
          <w:tcPr>
            <w:tcW w:w="135" w:type="pct"/>
            <w:tcBorders>
              <w:tl2br w:val="nil"/>
              <w:tr2bl w:val="nil"/>
            </w:tcBorders>
            <w:shd w:val="clear" w:color="auto" w:fill="auto"/>
            <w:vAlign w:val="center"/>
          </w:tcPr>
          <w:p w14:paraId="3CF8062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0.48 </w:t>
            </w:r>
          </w:p>
        </w:tc>
        <w:tc>
          <w:tcPr>
            <w:tcW w:w="133" w:type="pct"/>
            <w:tcBorders>
              <w:tl2br w:val="nil"/>
              <w:tr2bl w:val="nil"/>
            </w:tcBorders>
            <w:shd w:val="clear" w:color="auto" w:fill="auto"/>
            <w:vAlign w:val="center"/>
          </w:tcPr>
          <w:p w14:paraId="43F92FA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0.13 </w:t>
            </w:r>
          </w:p>
        </w:tc>
      </w:tr>
      <w:bookmarkEnd w:id="1492"/>
      <w:tr w14:paraId="05FD38C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3661D72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68FE672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超标率（%）</w:t>
            </w:r>
          </w:p>
        </w:tc>
        <w:tc>
          <w:tcPr>
            <w:tcW w:w="159" w:type="pct"/>
            <w:tcBorders>
              <w:tl2br w:val="nil"/>
              <w:tr2bl w:val="nil"/>
            </w:tcBorders>
            <w:shd w:val="clear" w:color="auto" w:fill="auto"/>
            <w:vAlign w:val="center"/>
          </w:tcPr>
          <w:p w14:paraId="54064F4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shd w:val="clear" w:color="auto" w:fill="auto"/>
            <w:vAlign w:val="center"/>
          </w:tcPr>
          <w:p w14:paraId="0D886D3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59" w:type="pct"/>
            <w:tcBorders>
              <w:tl2br w:val="nil"/>
              <w:tr2bl w:val="nil"/>
            </w:tcBorders>
            <w:shd w:val="clear" w:color="auto" w:fill="auto"/>
            <w:vAlign w:val="center"/>
          </w:tcPr>
          <w:p w14:paraId="75B952B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5" w:type="pct"/>
            <w:tcBorders>
              <w:tl2br w:val="nil"/>
              <w:tr2bl w:val="nil"/>
            </w:tcBorders>
            <w:shd w:val="clear" w:color="auto" w:fill="auto"/>
            <w:vAlign w:val="center"/>
          </w:tcPr>
          <w:p w14:paraId="2E9B60E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34" w:type="pct"/>
            <w:tcBorders>
              <w:tl2br w:val="nil"/>
              <w:tr2bl w:val="nil"/>
            </w:tcBorders>
            <w:shd w:val="clear" w:color="auto" w:fill="auto"/>
            <w:vAlign w:val="center"/>
          </w:tcPr>
          <w:p w14:paraId="3217B3B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5735682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05D7B5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28" w:type="pct"/>
            <w:tcBorders>
              <w:tl2br w:val="nil"/>
              <w:tr2bl w:val="nil"/>
            </w:tcBorders>
            <w:shd w:val="clear" w:color="auto" w:fill="auto"/>
            <w:vAlign w:val="center"/>
          </w:tcPr>
          <w:p w14:paraId="657DDE4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5C37E27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4C9C839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99" w:type="pct"/>
            <w:tcBorders>
              <w:tl2br w:val="nil"/>
              <w:tr2bl w:val="nil"/>
            </w:tcBorders>
            <w:shd w:val="clear" w:color="auto" w:fill="auto"/>
            <w:vAlign w:val="center"/>
          </w:tcPr>
          <w:p w14:paraId="4C4B40D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40C13A9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7A183CC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2EFF27C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5BB5694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54A92DF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07F6C44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58" w:type="pct"/>
            <w:tcBorders>
              <w:tl2br w:val="nil"/>
              <w:tr2bl w:val="nil"/>
            </w:tcBorders>
            <w:shd w:val="clear" w:color="auto" w:fill="auto"/>
            <w:vAlign w:val="center"/>
          </w:tcPr>
          <w:p w14:paraId="3E192B5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209" w:type="pct"/>
            <w:tcBorders>
              <w:tl2br w:val="nil"/>
              <w:tr2bl w:val="nil"/>
            </w:tcBorders>
            <w:shd w:val="clear" w:color="auto" w:fill="auto"/>
            <w:vAlign w:val="center"/>
          </w:tcPr>
          <w:p w14:paraId="68F5CD0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19" w:type="pct"/>
            <w:tcBorders>
              <w:tl2br w:val="nil"/>
              <w:tr2bl w:val="nil"/>
            </w:tcBorders>
            <w:shd w:val="clear" w:color="auto" w:fill="auto"/>
            <w:vAlign w:val="center"/>
          </w:tcPr>
          <w:p w14:paraId="696CD15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51B987E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457327E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1778BD0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72" w:type="pct"/>
            <w:tcBorders>
              <w:tl2br w:val="nil"/>
              <w:tr2bl w:val="nil"/>
            </w:tcBorders>
            <w:shd w:val="clear" w:color="auto" w:fill="auto"/>
            <w:vAlign w:val="center"/>
          </w:tcPr>
          <w:p w14:paraId="43F1FA6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54070B0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5" w:type="pct"/>
            <w:tcBorders>
              <w:tl2br w:val="nil"/>
              <w:tr2bl w:val="nil"/>
            </w:tcBorders>
            <w:shd w:val="clear" w:color="auto" w:fill="auto"/>
            <w:vAlign w:val="center"/>
          </w:tcPr>
          <w:p w14:paraId="0F780D0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3" w:type="pct"/>
            <w:tcBorders>
              <w:tl2br w:val="nil"/>
              <w:tr2bl w:val="nil"/>
            </w:tcBorders>
            <w:shd w:val="clear" w:color="auto" w:fill="auto"/>
            <w:vAlign w:val="center"/>
          </w:tcPr>
          <w:p w14:paraId="4DE720E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r>
      <w:bookmarkEnd w:id="1493"/>
      <w:tr w14:paraId="6C5810BC">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355" w:type="pct"/>
            <w:gridSpan w:val="2"/>
            <w:tcBorders>
              <w:tl2br w:val="nil"/>
              <w:tr2bl w:val="nil"/>
            </w:tcBorders>
            <w:shd w:val="clear" w:color="auto" w:fill="auto"/>
            <w:vAlign w:val="center"/>
          </w:tcPr>
          <w:p w14:paraId="2B16554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18"/>
                <w:szCs w:val="18"/>
              </w:rPr>
            </w:pPr>
            <w:bookmarkStart w:id="1495" w:name="OLE_LINK654" w:colFirst="18" w:colLast="19"/>
            <w:r>
              <w:rPr>
                <w:rFonts w:hint="default" w:ascii="Times New Roman" w:hAnsi="Times New Roman" w:eastAsia="宋体" w:cs="Times New Roman"/>
                <w:color w:val="auto"/>
                <w:sz w:val="18"/>
                <w:szCs w:val="18"/>
                <w:highlight w:val="none"/>
                <w:lang w:val="en-US" w:eastAsia="zh-CN"/>
              </w:rPr>
              <w:t>Ⅲ类限值</w:t>
            </w:r>
          </w:p>
        </w:tc>
        <w:tc>
          <w:tcPr>
            <w:tcW w:w="159" w:type="pct"/>
            <w:tcBorders>
              <w:tl2br w:val="nil"/>
              <w:tr2bl w:val="nil"/>
            </w:tcBorders>
            <w:shd w:val="clear" w:color="auto" w:fill="auto"/>
            <w:vAlign w:val="center"/>
          </w:tcPr>
          <w:p w14:paraId="57CEC16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w:t>
            </w:r>
          </w:p>
        </w:tc>
        <w:tc>
          <w:tcPr>
            <w:tcW w:w="157" w:type="pct"/>
            <w:tcBorders>
              <w:tl2br w:val="nil"/>
              <w:tr2bl w:val="nil"/>
            </w:tcBorders>
            <w:shd w:val="clear" w:color="auto" w:fill="auto"/>
            <w:vAlign w:val="center"/>
          </w:tcPr>
          <w:p w14:paraId="22F9AE3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6-9</w:t>
            </w:r>
          </w:p>
        </w:tc>
        <w:tc>
          <w:tcPr>
            <w:tcW w:w="159" w:type="pct"/>
            <w:tcBorders>
              <w:tl2br w:val="nil"/>
              <w:tr2bl w:val="nil"/>
            </w:tcBorders>
            <w:shd w:val="clear" w:color="auto" w:fill="auto"/>
            <w:vAlign w:val="center"/>
          </w:tcPr>
          <w:p w14:paraId="21B7B73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5</w:t>
            </w:r>
          </w:p>
        </w:tc>
        <w:tc>
          <w:tcPr>
            <w:tcW w:w="145" w:type="pct"/>
            <w:tcBorders>
              <w:tl2br w:val="nil"/>
              <w:tr2bl w:val="nil"/>
            </w:tcBorders>
            <w:shd w:val="clear" w:color="auto" w:fill="auto"/>
            <w:vAlign w:val="center"/>
          </w:tcPr>
          <w:p w14:paraId="5CF8CBE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4</w:t>
            </w:r>
          </w:p>
        </w:tc>
        <w:tc>
          <w:tcPr>
            <w:tcW w:w="134" w:type="pct"/>
            <w:tcBorders>
              <w:tl2br w:val="nil"/>
              <w:tr2bl w:val="nil"/>
            </w:tcBorders>
            <w:shd w:val="clear" w:color="auto" w:fill="auto"/>
            <w:vAlign w:val="center"/>
          </w:tcPr>
          <w:p w14:paraId="5170308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highlight w:val="none"/>
                <w:lang w:val="en-US" w:eastAsia="zh-CN"/>
              </w:rPr>
              <w:t>20</w:t>
            </w:r>
          </w:p>
        </w:tc>
        <w:tc>
          <w:tcPr>
            <w:tcW w:w="140" w:type="pct"/>
            <w:tcBorders>
              <w:tl2br w:val="nil"/>
              <w:tr2bl w:val="nil"/>
            </w:tcBorders>
            <w:shd w:val="clear" w:color="auto" w:fill="auto"/>
            <w:vAlign w:val="center"/>
          </w:tcPr>
          <w:p w14:paraId="6D36C79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w:t>
            </w:r>
          </w:p>
        </w:tc>
        <w:tc>
          <w:tcPr>
            <w:tcW w:w="180" w:type="pct"/>
            <w:tcBorders>
              <w:tl2br w:val="nil"/>
              <w:tr2bl w:val="nil"/>
            </w:tcBorders>
            <w:shd w:val="clear" w:color="auto" w:fill="auto"/>
            <w:vAlign w:val="center"/>
          </w:tcPr>
          <w:p w14:paraId="0708813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1.0</w:t>
            </w:r>
          </w:p>
        </w:tc>
        <w:tc>
          <w:tcPr>
            <w:tcW w:w="228" w:type="pct"/>
            <w:tcBorders>
              <w:tl2br w:val="nil"/>
              <w:tr2bl w:val="nil"/>
            </w:tcBorders>
            <w:shd w:val="clear" w:color="auto" w:fill="auto"/>
            <w:vAlign w:val="center"/>
          </w:tcPr>
          <w:p w14:paraId="29A59C8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0.2</w:t>
            </w:r>
          </w:p>
        </w:tc>
        <w:tc>
          <w:tcPr>
            <w:tcW w:w="140" w:type="pct"/>
            <w:tcBorders>
              <w:tl2br w:val="nil"/>
              <w:tr2bl w:val="nil"/>
            </w:tcBorders>
            <w:shd w:val="clear" w:color="auto" w:fill="auto"/>
            <w:vAlign w:val="center"/>
          </w:tcPr>
          <w:p w14:paraId="0DCDE25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0.05</w:t>
            </w:r>
          </w:p>
        </w:tc>
        <w:tc>
          <w:tcPr>
            <w:tcW w:w="140" w:type="pct"/>
            <w:tcBorders>
              <w:tl2br w:val="nil"/>
              <w:tr2bl w:val="nil"/>
            </w:tcBorders>
            <w:shd w:val="clear" w:color="auto" w:fill="auto"/>
            <w:vAlign w:val="center"/>
          </w:tcPr>
          <w:p w14:paraId="1E8BE6E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highlight w:val="none"/>
                <w:lang w:val="en-US" w:eastAsia="zh-CN"/>
              </w:rPr>
              <w:t>0.2</w:t>
            </w:r>
          </w:p>
        </w:tc>
        <w:tc>
          <w:tcPr>
            <w:tcW w:w="299" w:type="pct"/>
            <w:tcBorders>
              <w:tl2br w:val="nil"/>
              <w:tr2bl w:val="nil"/>
            </w:tcBorders>
            <w:shd w:val="clear" w:color="auto" w:fill="auto"/>
            <w:vAlign w:val="center"/>
          </w:tcPr>
          <w:p w14:paraId="7BF9DFE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0.005</w:t>
            </w:r>
          </w:p>
        </w:tc>
        <w:tc>
          <w:tcPr>
            <w:tcW w:w="172" w:type="pct"/>
            <w:tcBorders>
              <w:tl2br w:val="nil"/>
              <w:tr2bl w:val="nil"/>
            </w:tcBorders>
            <w:shd w:val="clear" w:color="auto" w:fill="auto"/>
            <w:vAlign w:val="center"/>
          </w:tcPr>
          <w:p w14:paraId="0E3E0B4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0.05</w:t>
            </w:r>
          </w:p>
        </w:tc>
        <w:tc>
          <w:tcPr>
            <w:tcW w:w="134" w:type="pct"/>
            <w:tcBorders>
              <w:tl2br w:val="nil"/>
              <w:tr2bl w:val="nil"/>
            </w:tcBorders>
            <w:shd w:val="clear" w:color="auto" w:fill="auto"/>
            <w:vAlign w:val="center"/>
          </w:tcPr>
          <w:p w14:paraId="50087D6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0.05</w:t>
            </w:r>
          </w:p>
        </w:tc>
        <w:tc>
          <w:tcPr>
            <w:tcW w:w="180" w:type="pct"/>
            <w:tcBorders>
              <w:tl2br w:val="nil"/>
              <w:tr2bl w:val="nil"/>
            </w:tcBorders>
            <w:shd w:val="clear" w:color="auto" w:fill="auto"/>
            <w:vAlign w:val="center"/>
          </w:tcPr>
          <w:p w14:paraId="34397F2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1.0</w:t>
            </w:r>
          </w:p>
        </w:tc>
        <w:tc>
          <w:tcPr>
            <w:tcW w:w="180" w:type="pct"/>
            <w:tcBorders>
              <w:tl2br w:val="nil"/>
              <w:tr2bl w:val="nil"/>
            </w:tcBorders>
            <w:shd w:val="clear" w:color="auto" w:fill="auto"/>
            <w:vAlign w:val="center"/>
          </w:tcPr>
          <w:p w14:paraId="06A4894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0.1</w:t>
            </w:r>
          </w:p>
        </w:tc>
        <w:tc>
          <w:tcPr>
            <w:tcW w:w="172" w:type="pct"/>
            <w:tcBorders>
              <w:tl2br w:val="nil"/>
              <w:tr2bl w:val="nil"/>
            </w:tcBorders>
            <w:shd w:val="clear" w:color="auto" w:fill="auto"/>
            <w:vAlign w:val="center"/>
          </w:tcPr>
          <w:p w14:paraId="28A3E0E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1.0</w:t>
            </w:r>
          </w:p>
        </w:tc>
        <w:tc>
          <w:tcPr>
            <w:tcW w:w="134" w:type="pct"/>
            <w:tcBorders>
              <w:tl2br w:val="nil"/>
              <w:tr2bl w:val="nil"/>
            </w:tcBorders>
            <w:shd w:val="clear" w:color="auto" w:fill="auto"/>
            <w:vAlign w:val="center"/>
          </w:tcPr>
          <w:p w14:paraId="11B907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0.05</w:t>
            </w:r>
          </w:p>
        </w:tc>
        <w:tc>
          <w:tcPr>
            <w:tcW w:w="258" w:type="pct"/>
            <w:tcBorders>
              <w:tl2br w:val="nil"/>
              <w:tr2bl w:val="nil"/>
            </w:tcBorders>
            <w:shd w:val="clear" w:color="auto" w:fill="auto"/>
            <w:vAlign w:val="center"/>
          </w:tcPr>
          <w:p w14:paraId="57712B6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red"/>
                <w:lang w:val="en-US" w:eastAsia="zh-CN"/>
              </w:rPr>
            </w:pPr>
            <w:bookmarkStart w:id="1496" w:name="OLE_LINK885"/>
            <w:r>
              <w:rPr>
                <w:rFonts w:hint="default" w:ascii="Times New Roman" w:hAnsi="Times New Roman" w:eastAsia="宋体" w:cs="Times New Roman"/>
                <w:b w:val="0"/>
                <w:bCs w:val="0"/>
                <w:color w:val="auto"/>
                <w:sz w:val="18"/>
                <w:szCs w:val="18"/>
                <w:highlight w:val="none"/>
                <w:lang w:val="en-US" w:eastAsia="zh-CN"/>
              </w:rPr>
              <w:t>0.0001</w:t>
            </w:r>
            <w:bookmarkEnd w:id="1496"/>
          </w:p>
        </w:tc>
        <w:tc>
          <w:tcPr>
            <w:tcW w:w="209" w:type="pct"/>
            <w:tcBorders>
              <w:tl2br w:val="nil"/>
              <w:tr2bl w:val="nil"/>
            </w:tcBorders>
            <w:shd w:val="clear" w:color="auto" w:fill="auto"/>
            <w:vAlign w:val="center"/>
          </w:tcPr>
          <w:p w14:paraId="3C83DB2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0.01</w:t>
            </w:r>
          </w:p>
        </w:tc>
        <w:tc>
          <w:tcPr>
            <w:tcW w:w="219" w:type="pct"/>
            <w:tcBorders>
              <w:tl2br w:val="nil"/>
              <w:tr2bl w:val="nil"/>
            </w:tcBorders>
            <w:shd w:val="clear" w:color="auto" w:fill="auto"/>
            <w:vAlign w:val="center"/>
          </w:tcPr>
          <w:p w14:paraId="0BA5701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0.05</w:t>
            </w:r>
          </w:p>
        </w:tc>
        <w:tc>
          <w:tcPr>
            <w:tcW w:w="134" w:type="pct"/>
            <w:tcBorders>
              <w:tl2br w:val="nil"/>
              <w:tr2bl w:val="nil"/>
            </w:tcBorders>
            <w:shd w:val="clear" w:color="auto" w:fill="auto"/>
            <w:vAlign w:val="center"/>
          </w:tcPr>
          <w:p w14:paraId="582DB3F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0.02</w:t>
            </w:r>
          </w:p>
        </w:tc>
        <w:tc>
          <w:tcPr>
            <w:tcW w:w="134" w:type="pct"/>
            <w:tcBorders>
              <w:tl2br w:val="nil"/>
              <w:tr2bl w:val="nil"/>
            </w:tcBorders>
            <w:shd w:val="clear" w:color="auto" w:fill="auto"/>
            <w:vAlign w:val="center"/>
          </w:tcPr>
          <w:p w14:paraId="74CE8B9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2D01DDD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0.005</w:t>
            </w:r>
          </w:p>
        </w:tc>
        <w:tc>
          <w:tcPr>
            <w:tcW w:w="172" w:type="pct"/>
            <w:tcBorders>
              <w:tl2br w:val="nil"/>
              <w:tr2bl w:val="nil"/>
            </w:tcBorders>
            <w:shd w:val="clear" w:color="auto" w:fill="auto"/>
            <w:vAlign w:val="center"/>
          </w:tcPr>
          <w:p w14:paraId="318E0EE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c>
          <w:tcPr>
            <w:tcW w:w="172" w:type="pct"/>
            <w:tcBorders>
              <w:tl2br w:val="nil"/>
              <w:tr2bl w:val="nil"/>
            </w:tcBorders>
            <w:shd w:val="clear" w:color="auto" w:fill="auto"/>
            <w:vAlign w:val="center"/>
          </w:tcPr>
          <w:p w14:paraId="0958DD4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6</w:t>
            </w:r>
          </w:p>
        </w:tc>
        <w:tc>
          <w:tcPr>
            <w:tcW w:w="135" w:type="pct"/>
            <w:tcBorders>
              <w:tl2br w:val="nil"/>
              <w:tr2bl w:val="nil"/>
            </w:tcBorders>
            <w:shd w:val="clear" w:color="auto" w:fill="auto"/>
            <w:vAlign w:val="center"/>
          </w:tcPr>
          <w:p w14:paraId="09FC63D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1.0</w:t>
            </w:r>
          </w:p>
        </w:tc>
        <w:tc>
          <w:tcPr>
            <w:tcW w:w="133" w:type="pct"/>
            <w:tcBorders>
              <w:tl2br w:val="nil"/>
              <w:tr2bl w:val="nil"/>
            </w:tcBorders>
            <w:shd w:val="clear" w:color="auto" w:fill="auto"/>
            <w:vAlign w:val="center"/>
          </w:tcPr>
          <w:p w14:paraId="7861713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0.2</w:t>
            </w:r>
          </w:p>
        </w:tc>
      </w:tr>
      <w:tr w14:paraId="64B9D2D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restart"/>
            <w:tcBorders>
              <w:tl2br w:val="nil"/>
              <w:tr2bl w:val="nil"/>
            </w:tcBorders>
            <w:shd w:val="clear" w:color="auto" w:fill="auto"/>
            <w:vAlign w:val="center"/>
          </w:tcPr>
          <w:p w14:paraId="00EE79B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497" w:name="OLE_LINK884" w:colFirst="19" w:colLast="19"/>
            <w:r>
              <w:rPr>
                <w:rFonts w:hint="default" w:ascii="Times New Roman" w:hAnsi="Times New Roman" w:cs="Times New Roman"/>
                <w:color w:val="auto"/>
                <w:kern w:val="2"/>
                <w:sz w:val="18"/>
                <w:szCs w:val="18"/>
                <w:highlight w:val="none"/>
                <w:lang w:val="en-US" w:eastAsia="zh-CN" w:bidi="ar-SA"/>
              </w:rPr>
              <w:t>W5-2</w:t>
            </w:r>
          </w:p>
        </w:tc>
        <w:tc>
          <w:tcPr>
            <w:tcW w:w="216" w:type="pct"/>
            <w:tcBorders>
              <w:tl2br w:val="nil"/>
              <w:tr2bl w:val="nil"/>
            </w:tcBorders>
            <w:shd w:val="clear" w:color="auto" w:fill="auto"/>
            <w:vAlign w:val="center"/>
          </w:tcPr>
          <w:p w14:paraId="5D231AF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最大值</w:t>
            </w:r>
          </w:p>
        </w:tc>
        <w:tc>
          <w:tcPr>
            <w:tcW w:w="159" w:type="pct"/>
            <w:tcBorders>
              <w:tl2br w:val="nil"/>
              <w:tr2bl w:val="nil"/>
            </w:tcBorders>
            <w:shd w:val="clear" w:color="auto" w:fill="auto"/>
            <w:vAlign w:val="center"/>
          </w:tcPr>
          <w:p w14:paraId="298BAD1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28.3</w:t>
            </w:r>
          </w:p>
        </w:tc>
        <w:tc>
          <w:tcPr>
            <w:tcW w:w="157" w:type="pct"/>
            <w:tcBorders>
              <w:tl2br w:val="nil"/>
              <w:tr2bl w:val="nil"/>
            </w:tcBorders>
            <w:shd w:val="clear" w:color="auto" w:fill="auto"/>
            <w:vAlign w:val="center"/>
          </w:tcPr>
          <w:p w14:paraId="2CB7265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7.8</w:t>
            </w:r>
          </w:p>
        </w:tc>
        <w:tc>
          <w:tcPr>
            <w:tcW w:w="159" w:type="pct"/>
            <w:tcBorders>
              <w:tl2br w:val="nil"/>
              <w:tr2bl w:val="nil"/>
            </w:tcBorders>
            <w:shd w:val="clear" w:color="auto" w:fill="auto"/>
            <w:vAlign w:val="center"/>
          </w:tcPr>
          <w:p w14:paraId="553CC3F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4.7</w:t>
            </w:r>
          </w:p>
        </w:tc>
        <w:tc>
          <w:tcPr>
            <w:tcW w:w="145" w:type="pct"/>
            <w:tcBorders>
              <w:tl2br w:val="nil"/>
              <w:tr2bl w:val="nil"/>
            </w:tcBorders>
            <w:shd w:val="clear" w:color="auto" w:fill="auto"/>
            <w:vAlign w:val="center"/>
          </w:tcPr>
          <w:p w14:paraId="74BC359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3.8 </w:t>
            </w:r>
          </w:p>
        </w:tc>
        <w:tc>
          <w:tcPr>
            <w:tcW w:w="134" w:type="pct"/>
            <w:tcBorders>
              <w:tl2br w:val="nil"/>
              <w:tr2bl w:val="nil"/>
            </w:tcBorders>
            <w:shd w:val="clear" w:color="auto" w:fill="auto"/>
            <w:vAlign w:val="center"/>
          </w:tcPr>
          <w:p w14:paraId="4FDFEF9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14</w:t>
            </w:r>
          </w:p>
        </w:tc>
        <w:tc>
          <w:tcPr>
            <w:tcW w:w="140" w:type="pct"/>
            <w:tcBorders>
              <w:tl2br w:val="nil"/>
              <w:tr2bl w:val="nil"/>
            </w:tcBorders>
            <w:shd w:val="clear" w:color="auto" w:fill="auto"/>
            <w:vAlign w:val="center"/>
          </w:tcPr>
          <w:p w14:paraId="5689416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1.52 </w:t>
            </w:r>
          </w:p>
        </w:tc>
        <w:tc>
          <w:tcPr>
            <w:tcW w:w="180" w:type="pct"/>
            <w:tcBorders>
              <w:tl2br w:val="nil"/>
              <w:tr2bl w:val="nil"/>
            </w:tcBorders>
            <w:shd w:val="clear" w:color="auto" w:fill="auto"/>
            <w:vAlign w:val="center"/>
          </w:tcPr>
          <w:p w14:paraId="1F49321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0.373 </w:t>
            </w:r>
          </w:p>
        </w:tc>
        <w:tc>
          <w:tcPr>
            <w:tcW w:w="228" w:type="pct"/>
            <w:tcBorders>
              <w:tl2br w:val="nil"/>
              <w:tr2bl w:val="nil"/>
            </w:tcBorders>
            <w:shd w:val="clear" w:color="auto" w:fill="auto"/>
            <w:vAlign w:val="center"/>
          </w:tcPr>
          <w:p w14:paraId="7993CA3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0.16 </w:t>
            </w:r>
          </w:p>
        </w:tc>
        <w:tc>
          <w:tcPr>
            <w:tcW w:w="140" w:type="pct"/>
            <w:tcBorders>
              <w:tl2br w:val="nil"/>
              <w:tr2bl w:val="nil"/>
            </w:tcBorders>
            <w:shd w:val="clear" w:color="auto" w:fill="auto"/>
            <w:vAlign w:val="center"/>
          </w:tcPr>
          <w:p w14:paraId="0FDA079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40" w:type="pct"/>
            <w:tcBorders>
              <w:tl2br w:val="nil"/>
              <w:tr2bl w:val="nil"/>
            </w:tcBorders>
            <w:shd w:val="clear" w:color="auto" w:fill="auto"/>
            <w:vAlign w:val="center"/>
          </w:tcPr>
          <w:p w14:paraId="536054B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0.01</w:t>
            </w:r>
          </w:p>
        </w:tc>
        <w:tc>
          <w:tcPr>
            <w:tcW w:w="299" w:type="pct"/>
            <w:tcBorders>
              <w:tl2br w:val="nil"/>
              <w:tr2bl w:val="nil"/>
            </w:tcBorders>
            <w:shd w:val="clear" w:color="auto" w:fill="auto"/>
            <w:vAlign w:val="center"/>
          </w:tcPr>
          <w:p w14:paraId="0DDBF2A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0.000837 </w:t>
            </w:r>
          </w:p>
        </w:tc>
        <w:tc>
          <w:tcPr>
            <w:tcW w:w="172" w:type="pct"/>
            <w:tcBorders>
              <w:tl2br w:val="nil"/>
              <w:tr2bl w:val="nil"/>
            </w:tcBorders>
            <w:shd w:val="clear" w:color="auto" w:fill="auto"/>
            <w:vAlign w:val="center"/>
          </w:tcPr>
          <w:p w14:paraId="3B43CE5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6283C9A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284F4D8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02FA121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0.008 </w:t>
            </w:r>
          </w:p>
        </w:tc>
        <w:tc>
          <w:tcPr>
            <w:tcW w:w="172" w:type="pct"/>
            <w:tcBorders>
              <w:tl2br w:val="nil"/>
              <w:tr2bl w:val="nil"/>
            </w:tcBorders>
            <w:shd w:val="clear" w:color="auto" w:fill="auto"/>
            <w:vAlign w:val="center"/>
          </w:tcPr>
          <w:p w14:paraId="0323573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0.008</w:t>
            </w:r>
          </w:p>
        </w:tc>
        <w:tc>
          <w:tcPr>
            <w:tcW w:w="134" w:type="pct"/>
            <w:tcBorders>
              <w:tl2br w:val="nil"/>
              <w:tr2bl w:val="nil"/>
            </w:tcBorders>
            <w:shd w:val="clear" w:color="auto" w:fill="auto"/>
            <w:vAlign w:val="center"/>
          </w:tcPr>
          <w:p w14:paraId="442EC37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3B92A97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09</w:t>
            </w:r>
          </w:p>
        </w:tc>
        <w:tc>
          <w:tcPr>
            <w:tcW w:w="209" w:type="pct"/>
            <w:tcBorders>
              <w:tl2br w:val="nil"/>
              <w:tr2bl w:val="nil"/>
            </w:tcBorders>
            <w:shd w:val="clear" w:color="auto" w:fill="auto"/>
            <w:vAlign w:val="center"/>
          </w:tcPr>
          <w:p w14:paraId="307C2B7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747610C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0.0016 </w:t>
            </w:r>
          </w:p>
        </w:tc>
        <w:tc>
          <w:tcPr>
            <w:tcW w:w="134" w:type="pct"/>
            <w:tcBorders>
              <w:tl2br w:val="nil"/>
              <w:tr2bl w:val="nil"/>
            </w:tcBorders>
            <w:shd w:val="clear" w:color="auto" w:fill="auto"/>
            <w:vAlign w:val="center"/>
          </w:tcPr>
          <w:p w14:paraId="60369F2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4813153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25</w:t>
            </w:r>
          </w:p>
        </w:tc>
        <w:tc>
          <w:tcPr>
            <w:tcW w:w="210" w:type="pct"/>
            <w:tcBorders>
              <w:tl2br w:val="nil"/>
              <w:tr2bl w:val="nil"/>
            </w:tcBorders>
            <w:shd w:val="clear" w:color="auto" w:fill="auto"/>
            <w:vAlign w:val="center"/>
          </w:tcPr>
          <w:p w14:paraId="584D440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190A685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46A2998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4.0</w:t>
            </w:r>
          </w:p>
        </w:tc>
        <w:tc>
          <w:tcPr>
            <w:tcW w:w="135" w:type="pct"/>
            <w:tcBorders>
              <w:tl2br w:val="nil"/>
              <w:tr2bl w:val="nil"/>
            </w:tcBorders>
            <w:shd w:val="clear" w:color="auto" w:fill="auto"/>
            <w:vAlign w:val="center"/>
          </w:tcPr>
          <w:p w14:paraId="0116827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0.44</w:t>
            </w:r>
          </w:p>
        </w:tc>
        <w:tc>
          <w:tcPr>
            <w:tcW w:w="133" w:type="pct"/>
            <w:tcBorders>
              <w:tl2br w:val="nil"/>
              <w:tr2bl w:val="nil"/>
            </w:tcBorders>
            <w:shd w:val="clear" w:color="auto" w:fill="auto"/>
            <w:vAlign w:val="center"/>
          </w:tcPr>
          <w:p w14:paraId="66AC939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95"/>
      <w:tr w14:paraId="48458EF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761DCE9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336DB83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最小值</w:t>
            </w:r>
          </w:p>
        </w:tc>
        <w:tc>
          <w:tcPr>
            <w:tcW w:w="159" w:type="pct"/>
            <w:tcBorders>
              <w:tl2br w:val="nil"/>
              <w:tr2bl w:val="nil"/>
            </w:tcBorders>
            <w:shd w:val="clear" w:color="auto" w:fill="auto"/>
            <w:vAlign w:val="center"/>
          </w:tcPr>
          <w:p w14:paraId="106C73F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28.2</w:t>
            </w:r>
          </w:p>
        </w:tc>
        <w:tc>
          <w:tcPr>
            <w:tcW w:w="157" w:type="pct"/>
            <w:tcBorders>
              <w:tl2br w:val="nil"/>
              <w:tr2bl w:val="nil"/>
            </w:tcBorders>
            <w:shd w:val="clear" w:color="auto" w:fill="auto"/>
            <w:vAlign w:val="center"/>
          </w:tcPr>
          <w:p w14:paraId="54ED7D4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7.7</w:t>
            </w:r>
          </w:p>
        </w:tc>
        <w:tc>
          <w:tcPr>
            <w:tcW w:w="159" w:type="pct"/>
            <w:tcBorders>
              <w:tl2br w:val="nil"/>
              <w:tr2bl w:val="nil"/>
            </w:tcBorders>
            <w:shd w:val="clear" w:color="auto" w:fill="auto"/>
            <w:vAlign w:val="center"/>
          </w:tcPr>
          <w:p w14:paraId="0FB1492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4.6</w:t>
            </w:r>
          </w:p>
        </w:tc>
        <w:tc>
          <w:tcPr>
            <w:tcW w:w="145" w:type="pct"/>
            <w:tcBorders>
              <w:tl2br w:val="nil"/>
              <w:tr2bl w:val="nil"/>
            </w:tcBorders>
            <w:shd w:val="clear" w:color="auto" w:fill="auto"/>
            <w:vAlign w:val="center"/>
          </w:tcPr>
          <w:p w14:paraId="46B487D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3.1 </w:t>
            </w:r>
          </w:p>
        </w:tc>
        <w:tc>
          <w:tcPr>
            <w:tcW w:w="134" w:type="pct"/>
            <w:tcBorders>
              <w:tl2br w:val="nil"/>
              <w:tr2bl w:val="nil"/>
            </w:tcBorders>
            <w:shd w:val="clear" w:color="auto" w:fill="auto"/>
            <w:vAlign w:val="center"/>
          </w:tcPr>
          <w:p w14:paraId="6B2CE86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12</w:t>
            </w:r>
          </w:p>
        </w:tc>
        <w:tc>
          <w:tcPr>
            <w:tcW w:w="140" w:type="pct"/>
            <w:tcBorders>
              <w:tl2br w:val="nil"/>
              <w:tr2bl w:val="nil"/>
            </w:tcBorders>
            <w:shd w:val="clear" w:color="auto" w:fill="auto"/>
            <w:vAlign w:val="center"/>
          </w:tcPr>
          <w:p w14:paraId="398C58B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1.44 </w:t>
            </w:r>
          </w:p>
        </w:tc>
        <w:tc>
          <w:tcPr>
            <w:tcW w:w="180" w:type="pct"/>
            <w:tcBorders>
              <w:tl2br w:val="nil"/>
              <w:tr2bl w:val="nil"/>
            </w:tcBorders>
            <w:shd w:val="clear" w:color="auto" w:fill="auto"/>
            <w:vAlign w:val="center"/>
          </w:tcPr>
          <w:p w14:paraId="6EBFA18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0.353 </w:t>
            </w:r>
          </w:p>
        </w:tc>
        <w:tc>
          <w:tcPr>
            <w:tcW w:w="228" w:type="pct"/>
            <w:tcBorders>
              <w:tl2br w:val="nil"/>
              <w:tr2bl w:val="nil"/>
            </w:tcBorders>
            <w:shd w:val="clear" w:color="auto" w:fill="auto"/>
            <w:vAlign w:val="center"/>
          </w:tcPr>
          <w:p w14:paraId="57DB1AF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0.13 </w:t>
            </w:r>
          </w:p>
        </w:tc>
        <w:tc>
          <w:tcPr>
            <w:tcW w:w="140" w:type="pct"/>
            <w:tcBorders>
              <w:tl2br w:val="nil"/>
              <w:tr2bl w:val="nil"/>
            </w:tcBorders>
            <w:shd w:val="clear" w:color="auto" w:fill="auto"/>
            <w:vAlign w:val="center"/>
          </w:tcPr>
          <w:p w14:paraId="1171BC2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40" w:type="pct"/>
            <w:tcBorders>
              <w:tl2br w:val="nil"/>
              <w:tr2bl w:val="nil"/>
            </w:tcBorders>
            <w:shd w:val="clear" w:color="auto" w:fill="auto"/>
            <w:vAlign w:val="center"/>
          </w:tcPr>
          <w:p w14:paraId="6ACF75C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ND</w:t>
            </w:r>
          </w:p>
        </w:tc>
        <w:tc>
          <w:tcPr>
            <w:tcW w:w="299" w:type="pct"/>
            <w:tcBorders>
              <w:tl2br w:val="nil"/>
              <w:tr2bl w:val="nil"/>
            </w:tcBorders>
            <w:shd w:val="clear" w:color="auto" w:fill="auto"/>
            <w:vAlign w:val="center"/>
          </w:tcPr>
          <w:p w14:paraId="6311414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0.000774 </w:t>
            </w:r>
          </w:p>
        </w:tc>
        <w:tc>
          <w:tcPr>
            <w:tcW w:w="172" w:type="pct"/>
            <w:tcBorders>
              <w:tl2br w:val="nil"/>
              <w:tr2bl w:val="nil"/>
            </w:tcBorders>
            <w:shd w:val="clear" w:color="auto" w:fill="auto"/>
            <w:vAlign w:val="center"/>
          </w:tcPr>
          <w:p w14:paraId="47CBD20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63ED94E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3BE8554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1765DF3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0.008 </w:t>
            </w:r>
          </w:p>
        </w:tc>
        <w:tc>
          <w:tcPr>
            <w:tcW w:w="172" w:type="pct"/>
            <w:tcBorders>
              <w:tl2br w:val="nil"/>
              <w:tr2bl w:val="nil"/>
            </w:tcBorders>
            <w:shd w:val="clear" w:color="auto" w:fill="auto"/>
            <w:vAlign w:val="center"/>
          </w:tcPr>
          <w:p w14:paraId="076CD7B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ND</w:t>
            </w:r>
          </w:p>
        </w:tc>
        <w:tc>
          <w:tcPr>
            <w:tcW w:w="134" w:type="pct"/>
            <w:tcBorders>
              <w:tl2br w:val="nil"/>
              <w:tr2bl w:val="nil"/>
            </w:tcBorders>
            <w:shd w:val="clear" w:color="auto" w:fill="auto"/>
            <w:vAlign w:val="center"/>
          </w:tcPr>
          <w:p w14:paraId="2D2EF45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215A8DD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09</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64F9BDD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6597959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0.0012 </w:t>
            </w:r>
          </w:p>
        </w:tc>
        <w:tc>
          <w:tcPr>
            <w:tcW w:w="134" w:type="pct"/>
            <w:tcBorders>
              <w:tl2br w:val="nil"/>
              <w:tr2bl w:val="nil"/>
            </w:tcBorders>
            <w:shd w:val="clear" w:color="auto" w:fill="auto"/>
            <w:vAlign w:val="center"/>
          </w:tcPr>
          <w:p w14:paraId="5D4416C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259D58B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20</w:t>
            </w:r>
          </w:p>
        </w:tc>
        <w:tc>
          <w:tcPr>
            <w:tcW w:w="210" w:type="pct"/>
            <w:tcBorders>
              <w:tl2br w:val="nil"/>
              <w:tr2bl w:val="nil"/>
            </w:tcBorders>
            <w:shd w:val="clear" w:color="auto" w:fill="auto"/>
            <w:vAlign w:val="center"/>
          </w:tcPr>
          <w:p w14:paraId="68CF512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4E48AEB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7CEA755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3.8</w:t>
            </w:r>
          </w:p>
        </w:tc>
        <w:tc>
          <w:tcPr>
            <w:tcW w:w="135" w:type="pct"/>
            <w:tcBorders>
              <w:tl2br w:val="nil"/>
              <w:tr2bl w:val="nil"/>
            </w:tcBorders>
            <w:shd w:val="clear" w:color="auto" w:fill="auto"/>
            <w:vAlign w:val="center"/>
          </w:tcPr>
          <w:p w14:paraId="3826401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0.40</w:t>
            </w:r>
          </w:p>
        </w:tc>
        <w:tc>
          <w:tcPr>
            <w:tcW w:w="133" w:type="pct"/>
            <w:tcBorders>
              <w:tl2br w:val="nil"/>
              <w:tr2bl w:val="nil"/>
            </w:tcBorders>
            <w:shd w:val="clear" w:color="auto" w:fill="auto"/>
            <w:vAlign w:val="center"/>
          </w:tcPr>
          <w:p w14:paraId="22D5795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tr w14:paraId="5CFD3C6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6EC46C8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41945D6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平均浓度</w:t>
            </w:r>
          </w:p>
        </w:tc>
        <w:tc>
          <w:tcPr>
            <w:tcW w:w="159" w:type="pct"/>
            <w:tcBorders>
              <w:tl2br w:val="nil"/>
              <w:tr2bl w:val="nil"/>
            </w:tcBorders>
            <w:shd w:val="clear" w:color="auto" w:fill="auto"/>
            <w:vAlign w:val="center"/>
          </w:tcPr>
          <w:p w14:paraId="75680D1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28.2</w:t>
            </w:r>
          </w:p>
        </w:tc>
        <w:tc>
          <w:tcPr>
            <w:tcW w:w="157" w:type="pct"/>
            <w:tcBorders>
              <w:tl2br w:val="nil"/>
              <w:tr2bl w:val="nil"/>
            </w:tcBorders>
            <w:shd w:val="clear" w:color="auto" w:fill="auto"/>
            <w:vAlign w:val="center"/>
          </w:tcPr>
          <w:p w14:paraId="39D8E16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7.7</w:t>
            </w:r>
          </w:p>
        </w:tc>
        <w:tc>
          <w:tcPr>
            <w:tcW w:w="159" w:type="pct"/>
            <w:tcBorders>
              <w:tl2br w:val="nil"/>
              <w:tr2bl w:val="nil"/>
            </w:tcBorders>
            <w:shd w:val="clear" w:color="auto" w:fill="auto"/>
            <w:vAlign w:val="center"/>
          </w:tcPr>
          <w:p w14:paraId="6283B59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4.6</w:t>
            </w:r>
          </w:p>
        </w:tc>
        <w:tc>
          <w:tcPr>
            <w:tcW w:w="145" w:type="pct"/>
            <w:tcBorders>
              <w:tl2br w:val="nil"/>
              <w:tr2bl w:val="nil"/>
            </w:tcBorders>
            <w:shd w:val="clear" w:color="auto" w:fill="auto"/>
            <w:vAlign w:val="center"/>
          </w:tcPr>
          <w:p w14:paraId="3229D36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3.5 </w:t>
            </w:r>
          </w:p>
        </w:tc>
        <w:tc>
          <w:tcPr>
            <w:tcW w:w="134" w:type="pct"/>
            <w:tcBorders>
              <w:tl2br w:val="nil"/>
              <w:tr2bl w:val="nil"/>
            </w:tcBorders>
            <w:shd w:val="clear" w:color="auto" w:fill="auto"/>
            <w:vAlign w:val="center"/>
          </w:tcPr>
          <w:p w14:paraId="1307808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13</w:t>
            </w:r>
          </w:p>
        </w:tc>
        <w:tc>
          <w:tcPr>
            <w:tcW w:w="140" w:type="pct"/>
            <w:tcBorders>
              <w:tl2br w:val="nil"/>
              <w:tr2bl w:val="nil"/>
            </w:tcBorders>
            <w:shd w:val="clear" w:color="auto" w:fill="auto"/>
            <w:vAlign w:val="center"/>
          </w:tcPr>
          <w:p w14:paraId="4D373CA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1.47 </w:t>
            </w:r>
          </w:p>
        </w:tc>
        <w:tc>
          <w:tcPr>
            <w:tcW w:w="180" w:type="pct"/>
            <w:tcBorders>
              <w:tl2br w:val="nil"/>
              <w:tr2bl w:val="nil"/>
            </w:tcBorders>
            <w:shd w:val="clear" w:color="auto" w:fill="auto"/>
            <w:vAlign w:val="center"/>
          </w:tcPr>
          <w:p w14:paraId="0309BB1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0.362 </w:t>
            </w:r>
          </w:p>
        </w:tc>
        <w:tc>
          <w:tcPr>
            <w:tcW w:w="228" w:type="pct"/>
            <w:tcBorders>
              <w:tl2br w:val="nil"/>
              <w:tr2bl w:val="nil"/>
            </w:tcBorders>
            <w:shd w:val="clear" w:color="auto" w:fill="auto"/>
            <w:vAlign w:val="center"/>
          </w:tcPr>
          <w:p w14:paraId="1DD93C8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0.15 </w:t>
            </w:r>
          </w:p>
        </w:tc>
        <w:tc>
          <w:tcPr>
            <w:tcW w:w="140" w:type="pct"/>
            <w:tcBorders>
              <w:tl2br w:val="nil"/>
              <w:tr2bl w:val="nil"/>
            </w:tcBorders>
            <w:shd w:val="clear" w:color="auto" w:fill="auto"/>
            <w:vAlign w:val="center"/>
          </w:tcPr>
          <w:p w14:paraId="45B8189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40" w:type="pct"/>
            <w:tcBorders>
              <w:tl2br w:val="nil"/>
              <w:tr2bl w:val="nil"/>
            </w:tcBorders>
            <w:shd w:val="clear" w:color="auto" w:fill="auto"/>
            <w:vAlign w:val="center"/>
          </w:tcPr>
          <w:p w14:paraId="5B46C7C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w:t>
            </w:r>
          </w:p>
        </w:tc>
        <w:tc>
          <w:tcPr>
            <w:tcW w:w="299" w:type="pct"/>
            <w:tcBorders>
              <w:tl2br w:val="nil"/>
              <w:tr2bl w:val="nil"/>
            </w:tcBorders>
            <w:shd w:val="clear" w:color="auto" w:fill="auto"/>
            <w:vAlign w:val="center"/>
          </w:tcPr>
          <w:p w14:paraId="0712B2B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0.000816 </w:t>
            </w:r>
          </w:p>
        </w:tc>
        <w:tc>
          <w:tcPr>
            <w:tcW w:w="172" w:type="pct"/>
            <w:tcBorders>
              <w:tl2br w:val="nil"/>
              <w:tr2bl w:val="nil"/>
            </w:tcBorders>
            <w:shd w:val="clear" w:color="auto" w:fill="auto"/>
            <w:vAlign w:val="center"/>
          </w:tcPr>
          <w:p w14:paraId="3935873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73FD649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5785CB7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050F82E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0.008 </w:t>
            </w:r>
          </w:p>
        </w:tc>
        <w:tc>
          <w:tcPr>
            <w:tcW w:w="172" w:type="pct"/>
            <w:tcBorders>
              <w:tl2br w:val="nil"/>
              <w:tr2bl w:val="nil"/>
            </w:tcBorders>
            <w:shd w:val="clear" w:color="auto" w:fill="auto"/>
            <w:vAlign w:val="center"/>
          </w:tcPr>
          <w:p w14:paraId="3AF4CFE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w:t>
            </w:r>
          </w:p>
        </w:tc>
        <w:tc>
          <w:tcPr>
            <w:tcW w:w="134" w:type="pct"/>
            <w:tcBorders>
              <w:tl2br w:val="nil"/>
              <w:tr2bl w:val="nil"/>
            </w:tcBorders>
            <w:shd w:val="clear" w:color="auto" w:fill="auto"/>
            <w:vAlign w:val="center"/>
          </w:tcPr>
          <w:p w14:paraId="1A2C4A1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1AC63BF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0</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9 </w:t>
            </w:r>
          </w:p>
        </w:tc>
        <w:tc>
          <w:tcPr>
            <w:tcW w:w="209" w:type="pct"/>
            <w:tcBorders>
              <w:tl2br w:val="nil"/>
              <w:tr2bl w:val="nil"/>
            </w:tcBorders>
            <w:shd w:val="clear" w:color="auto" w:fill="auto"/>
            <w:vAlign w:val="center"/>
          </w:tcPr>
          <w:p w14:paraId="0BADBAB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1511309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0.0014 </w:t>
            </w:r>
          </w:p>
        </w:tc>
        <w:tc>
          <w:tcPr>
            <w:tcW w:w="134" w:type="pct"/>
            <w:tcBorders>
              <w:tl2br w:val="nil"/>
              <w:tr2bl w:val="nil"/>
            </w:tcBorders>
            <w:shd w:val="clear" w:color="auto" w:fill="auto"/>
            <w:vAlign w:val="center"/>
          </w:tcPr>
          <w:p w14:paraId="795DA18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53D6E9C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22</w:t>
            </w:r>
          </w:p>
        </w:tc>
        <w:tc>
          <w:tcPr>
            <w:tcW w:w="210" w:type="pct"/>
            <w:tcBorders>
              <w:tl2br w:val="nil"/>
              <w:tr2bl w:val="nil"/>
            </w:tcBorders>
            <w:shd w:val="clear" w:color="auto" w:fill="auto"/>
            <w:vAlign w:val="center"/>
          </w:tcPr>
          <w:p w14:paraId="28971DD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731C0D1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682C590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3.9</w:t>
            </w:r>
          </w:p>
        </w:tc>
        <w:tc>
          <w:tcPr>
            <w:tcW w:w="135" w:type="pct"/>
            <w:tcBorders>
              <w:tl2br w:val="nil"/>
              <w:tr2bl w:val="nil"/>
            </w:tcBorders>
            <w:shd w:val="clear" w:color="auto" w:fill="auto"/>
            <w:vAlign w:val="center"/>
          </w:tcPr>
          <w:p w14:paraId="616C316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0.43</w:t>
            </w:r>
          </w:p>
        </w:tc>
        <w:tc>
          <w:tcPr>
            <w:tcW w:w="133" w:type="pct"/>
            <w:tcBorders>
              <w:tl2br w:val="nil"/>
              <w:tr2bl w:val="nil"/>
            </w:tcBorders>
            <w:shd w:val="clear" w:color="auto" w:fill="auto"/>
            <w:vAlign w:val="center"/>
          </w:tcPr>
          <w:p w14:paraId="1ED285A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497"/>
      <w:tr w14:paraId="07BB4EA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564166E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bookmarkStart w:id="1498" w:name="OLE_LINK514" w:colFirst="2" w:colLast="28"/>
            <w:bookmarkStart w:id="1499" w:name="OLE_LINK517" w:colFirst="23" w:colLast="23"/>
            <w:bookmarkStart w:id="1500" w:name="OLE_LINK516" w:colFirst="7" w:colLast="7"/>
          </w:p>
        </w:tc>
        <w:tc>
          <w:tcPr>
            <w:tcW w:w="216" w:type="pct"/>
            <w:tcBorders>
              <w:tl2br w:val="nil"/>
              <w:tr2bl w:val="nil"/>
            </w:tcBorders>
            <w:shd w:val="clear" w:color="auto" w:fill="auto"/>
            <w:vAlign w:val="center"/>
          </w:tcPr>
          <w:p w14:paraId="6816B6E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最大单因子指数</w:t>
            </w:r>
          </w:p>
        </w:tc>
        <w:tc>
          <w:tcPr>
            <w:tcW w:w="159" w:type="pct"/>
            <w:tcBorders>
              <w:tl2br w:val="nil"/>
              <w:tr2bl w:val="nil"/>
            </w:tcBorders>
            <w:shd w:val="clear" w:color="auto" w:fill="auto"/>
            <w:vAlign w:val="center"/>
          </w:tcPr>
          <w:p w14:paraId="109233F6">
            <w:pPr>
              <w:jc w:val="center"/>
              <w:rPr>
                <w:rFonts w:hint="eastAsia"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shd w:val="clear" w:color="auto" w:fill="auto"/>
            <w:vAlign w:val="center"/>
          </w:tcPr>
          <w:p w14:paraId="4B88EF4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0.4</w:t>
            </w:r>
          </w:p>
        </w:tc>
        <w:tc>
          <w:tcPr>
            <w:tcW w:w="159" w:type="pct"/>
            <w:tcBorders>
              <w:tl2br w:val="nil"/>
              <w:tr2bl w:val="nil"/>
            </w:tcBorders>
            <w:shd w:val="clear" w:color="auto" w:fill="auto"/>
            <w:vAlign w:val="center"/>
          </w:tcPr>
          <w:p w14:paraId="337D144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1.11 </w:t>
            </w:r>
          </w:p>
        </w:tc>
        <w:tc>
          <w:tcPr>
            <w:tcW w:w="145" w:type="pct"/>
            <w:tcBorders>
              <w:tl2br w:val="nil"/>
              <w:tr2bl w:val="nil"/>
            </w:tcBorders>
            <w:shd w:val="clear" w:color="auto" w:fill="auto"/>
            <w:vAlign w:val="center"/>
          </w:tcPr>
          <w:p w14:paraId="7907ACB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0.95 </w:t>
            </w:r>
          </w:p>
        </w:tc>
        <w:tc>
          <w:tcPr>
            <w:tcW w:w="134" w:type="pct"/>
            <w:tcBorders>
              <w:tl2br w:val="nil"/>
              <w:tr2bl w:val="nil"/>
            </w:tcBorders>
            <w:shd w:val="clear" w:color="auto" w:fill="auto"/>
            <w:vAlign w:val="center"/>
          </w:tcPr>
          <w:p w14:paraId="3723A1B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0.70 </w:t>
            </w:r>
          </w:p>
        </w:tc>
        <w:tc>
          <w:tcPr>
            <w:tcW w:w="140" w:type="pct"/>
            <w:tcBorders>
              <w:tl2br w:val="nil"/>
              <w:tr2bl w:val="nil"/>
            </w:tcBorders>
            <w:shd w:val="clear" w:color="auto" w:fill="auto"/>
            <w:vAlign w:val="center"/>
          </w:tcPr>
          <w:p w14:paraId="6BF8BE8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0030856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0.37 </w:t>
            </w:r>
          </w:p>
        </w:tc>
        <w:tc>
          <w:tcPr>
            <w:tcW w:w="228" w:type="pct"/>
            <w:tcBorders>
              <w:tl2br w:val="nil"/>
              <w:tr2bl w:val="nil"/>
            </w:tcBorders>
            <w:shd w:val="clear" w:color="auto" w:fill="auto"/>
            <w:vAlign w:val="center"/>
          </w:tcPr>
          <w:p w14:paraId="71CFD6D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0.80 </w:t>
            </w:r>
          </w:p>
        </w:tc>
        <w:tc>
          <w:tcPr>
            <w:tcW w:w="140" w:type="pct"/>
            <w:tcBorders>
              <w:tl2br w:val="nil"/>
              <w:tr2bl w:val="nil"/>
            </w:tcBorders>
            <w:shd w:val="clear" w:color="auto" w:fill="auto"/>
            <w:vAlign w:val="center"/>
          </w:tcPr>
          <w:p w14:paraId="3120917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0.80 </w:t>
            </w:r>
          </w:p>
        </w:tc>
        <w:tc>
          <w:tcPr>
            <w:tcW w:w="140" w:type="pct"/>
            <w:tcBorders>
              <w:tl2br w:val="nil"/>
              <w:tr2bl w:val="nil"/>
            </w:tcBorders>
            <w:shd w:val="clear" w:color="auto" w:fill="auto"/>
            <w:vAlign w:val="center"/>
          </w:tcPr>
          <w:p w14:paraId="1BC8428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0.05 </w:t>
            </w:r>
          </w:p>
        </w:tc>
        <w:tc>
          <w:tcPr>
            <w:tcW w:w="299" w:type="pct"/>
            <w:tcBorders>
              <w:tl2br w:val="nil"/>
              <w:tr2bl w:val="nil"/>
            </w:tcBorders>
            <w:shd w:val="clear" w:color="auto" w:fill="auto"/>
            <w:vAlign w:val="center"/>
          </w:tcPr>
          <w:p w14:paraId="7DFBD7E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0.17 </w:t>
            </w:r>
          </w:p>
        </w:tc>
        <w:tc>
          <w:tcPr>
            <w:tcW w:w="172" w:type="pct"/>
            <w:tcBorders>
              <w:tl2br w:val="nil"/>
              <w:tr2bl w:val="nil"/>
            </w:tcBorders>
            <w:shd w:val="clear" w:color="auto" w:fill="auto"/>
            <w:vAlign w:val="center"/>
          </w:tcPr>
          <w:p w14:paraId="7CEB2F8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34" w:type="pct"/>
            <w:tcBorders>
              <w:tl2br w:val="nil"/>
              <w:tr2bl w:val="nil"/>
            </w:tcBorders>
            <w:shd w:val="clear" w:color="auto" w:fill="auto"/>
            <w:vAlign w:val="center"/>
          </w:tcPr>
          <w:p w14:paraId="4AE79EB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0.30 </w:t>
            </w:r>
          </w:p>
        </w:tc>
        <w:tc>
          <w:tcPr>
            <w:tcW w:w="180" w:type="pct"/>
            <w:tcBorders>
              <w:tl2br w:val="nil"/>
              <w:tr2bl w:val="nil"/>
            </w:tcBorders>
            <w:shd w:val="clear" w:color="auto" w:fill="auto"/>
            <w:vAlign w:val="center"/>
          </w:tcPr>
          <w:p w14:paraId="758B080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0.002 </w:t>
            </w:r>
          </w:p>
        </w:tc>
        <w:tc>
          <w:tcPr>
            <w:tcW w:w="180" w:type="pct"/>
            <w:tcBorders>
              <w:tl2br w:val="nil"/>
              <w:tr2bl w:val="nil"/>
            </w:tcBorders>
            <w:shd w:val="clear" w:color="auto" w:fill="auto"/>
            <w:vAlign w:val="center"/>
          </w:tcPr>
          <w:p w14:paraId="56136F6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0.08 </w:t>
            </w:r>
          </w:p>
        </w:tc>
        <w:tc>
          <w:tcPr>
            <w:tcW w:w="172" w:type="pct"/>
            <w:tcBorders>
              <w:tl2br w:val="nil"/>
              <w:tr2bl w:val="nil"/>
            </w:tcBorders>
            <w:shd w:val="clear" w:color="auto" w:fill="auto"/>
            <w:vAlign w:val="center"/>
          </w:tcPr>
          <w:p w14:paraId="4CD664C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134" w:type="pct"/>
            <w:tcBorders>
              <w:tl2br w:val="nil"/>
              <w:tr2bl w:val="nil"/>
            </w:tcBorders>
            <w:shd w:val="clear" w:color="auto" w:fill="auto"/>
            <w:vAlign w:val="center"/>
          </w:tcPr>
          <w:p w14:paraId="460EBBA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0.70 </w:t>
            </w:r>
          </w:p>
        </w:tc>
        <w:tc>
          <w:tcPr>
            <w:tcW w:w="258" w:type="pct"/>
            <w:tcBorders>
              <w:tl2br w:val="nil"/>
              <w:tr2bl w:val="nil"/>
            </w:tcBorders>
            <w:shd w:val="clear" w:color="auto" w:fill="auto"/>
            <w:vAlign w:val="center"/>
          </w:tcPr>
          <w:p w14:paraId="4EB1AE9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i w:val="0"/>
                <w:iCs w:val="0"/>
                <w:snapToGrid w:val="0"/>
                <w:color w:val="auto"/>
                <w:kern w:val="0"/>
                <w:sz w:val="18"/>
                <w:szCs w:val="18"/>
                <w:highlight w:val="none"/>
                <w:u w:val="none"/>
                <w:lang w:val="en-US" w:eastAsia="zh-CN" w:bidi="ar"/>
              </w:rPr>
              <w:t>0.90</w:t>
            </w:r>
          </w:p>
        </w:tc>
        <w:tc>
          <w:tcPr>
            <w:tcW w:w="209" w:type="pct"/>
            <w:tcBorders>
              <w:tl2br w:val="nil"/>
              <w:tr2bl w:val="nil"/>
            </w:tcBorders>
            <w:shd w:val="clear" w:color="auto" w:fill="auto"/>
            <w:vAlign w:val="center"/>
          </w:tcPr>
          <w:p w14:paraId="0466576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219" w:type="pct"/>
            <w:tcBorders>
              <w:tl2br w:val="nil"/>
              <w:tr2bl w:val="nil"/>
            </w:tcBorders>
            <w:shd w:val="clear" w:color="auto" w:fill="auto"/>
            <w:vAlign w:val="center"/>
          </w:tcPr>
          <w:p w14:paraId="7265B33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34" w:type="pct"/>
            <w:tcBorders>
              <w:tl2br w:val="nil"/>
              <w:tr2bl w:val="nil"/>
            </w:tcBorders>
            <w:shd w:val="clear" w:color="auto" w:fill="auto"/>
            <w:vAlign w:val="center"/>
          </w:tcPr>
          <w:p w14:paraId="4E1C0AB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34" w:type="pct"/>
            <w:tcBorders>
              <w:tl2br w:val="nil"/>
              <w:tr2bl w:val="nil"/>
            </w:tcBorders>
            <w:shd w:val="clear" w:color="auto" w:fill="auto"/>
            <w:vAlign w:val="center"/>
          </w:tcPr>
          <w:p w14:paraId="0972336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4322AA3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72" w:type="pct"/>
            <w:tcBorders>
              <w:tl2br w:val="nil"/>
              <w:tr2bl w:val="nil"/>
            </w:tcBorders>
            <w:shd w:val="clear" w:color="auto" w:fill="auto"/>
            <w:vAlign w:val="center"/>
          </w:tcPr>
          <w:p w14:paraId="2032772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72" w:type="pct"/>
            <w:tcBorders>
              <w:tl2br w:val="nil"/>
              <w:tr2bl w:val="nil"/>
            </w:tcBorders>
            <w:shd w:val="clear" w:color="auto" w:fill="auto"/>
            <w:vAlign w:val="center"/>
          </w:tcPr>
          <w:p w14:paraId="3671A22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0.67 </w:t>
            </w:r>
          </w:p>
        </w:tc>
        <w:tc>
          <w:tcPr>
            <w:tcW w:w="135" w:type="pct"/>
            <w:tcBorders>
              <w:tl2br w:val="nil"/>
              <w:tr2bl w:val="nil"/>
            </w:tcBorders>
            <w:shd w:val="clear" w:color="auto" w:fill="auto"/>
            <w:vAlign w:val="center"/>
          </w:tcPr>
          <w:p w14:paraId="2D31593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0.44 </w:t>
            </w:r>
          </w:p>
        </w:tc>
        <w:tc>
          <w:tcPr>
            <w:tcW w:w="133" w:type="pct"/>
            <w:tcBorders>
              <w:tl2br w:val="nil"/>
              <w:tr2bl w:val="nil"/>
            </w:tcBorders>
            <w:shd w:val="clear" w:color="auto" w:fill="auto"/>
            <w:vAlign w:val="center"/>
          </w:tcPr>
          <w:p w14:paraId="3485CD8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0.13 </w:t>
            </w:r>
          </w:p>
        </w:tc>
      </w:tr>
      <w:bookmarkEnd w:id="1498"/>
      <w:tr w14:paraId="153D76B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285DA75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4AC45F0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highlight w:val="none"/>
              </w:rPr>
              <w:t>超标率（%）</w:t>
            </w:r>
          </w:p>
        </w:tc>
        <w:tc>
          <w:tcPr>
            <w:tcW w:w="159" w:type="pct"/>
            <w:tcBorders>
              <w:tl2br w:val="nil"/>
              <w:tr2bl w:val="nil"/>
            </w:tcBorders>
            <w:shd w:val="clear" w:color="auto" w:fill="auto"/>
            <w:vAlign w:val="center"/>
          </w:tcPr>
          <w:p w14:paraId="2A0DB60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shd w:val="clear" w:color="auto" w:fill="auto"/>
            <w:vAlign w:val="center"/>
          </w:tcPr>
          <w:p w14:paraId="592F22F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59" w:type="pct"/>
            <w:tcBorders>
              <w:tl2br w:val="nil"/>
              <w:tr2bl w:val="nil"/>
            </w:tcBorders>
            <w:shd w:val="clear" w:color="auto" w:fill="auto"/>
            <w:vAlign w:val="center"/>
          </w:tcPr>
          <w:p w14:paraId="5B27A6C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5" w:type="pct"/>
            <w:tcBorders>
              <w:tl2br w:val="nil"/>
              <w:tr2bl w:val="nil"/>
            </w:tcBorders>
            <w:shd w:val="clear" w:color="auto" w:fill="auto"/>
            <w:vAlign w:val="center"/>
          </w:tcPr>
          <w:p w14:paraId="2E3831D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0F35791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38FC2F9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7D25339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28" w:type="pct"/>
            <w:tcBorders>
              <w:tl2br w:val="nil"/>
              <w:tr2bl w:val="nil"/>
            </w:tcBorders>
            <w:shd w:val="clear" w:color="auto" w:fill="auto"/>
            <w:vAlign w:val="center"/>
          </w:tcPr>
          <w:p w14:paraId="6D089B8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42BCE65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46CF38C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99" w:type="pct"/>
            <w:tcBorders>
              <w:tl2br w:val="nil"/>
              <w:tr2bl w:val="nil"/>
            </w:tcBorders>
            <w:shd w:val="clear" w:color="auto" w:fill="auto"/>
            <w:vAlign w:val="center"/>
          </w:tcPr>
          <w:p w14:paraId="6C3EAB5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5DE3A5F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516E3D9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1F5D06B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5236C88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2611EDC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784F1F1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58" w:type="pct"/>
            <w:tcBorders>
              <w:tl2br w:val="nil"/>
              <w:tr2bl w:val="nil"/>
            </w:tcBorders>
            <w:shd w:val="clear" w:color="auto" w:fill="auto"/>
            <w:vAlign w:val="center"/>
          </w:tcPr>
          <w:p w14:paraId="1EF88E3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501" w:name="OLE_LINK886"/>
            <w:r>
              <w:rPr>
                <w:rFonts w:hint="eastAsia" w:ascii="Times New Roman" w:hAnsi="Times New Roman" w:eastAsia="宋体" w:cs="Times New Roman"/>
                <w:color w:val="auto"/>
                <w:sz w:val="18"/>
                <w:szCs w:val="18"/>
                <w:highlight w:val="none"/>
                <w:lang w:val="en-US" w:eastAsia="zh-CN"/>
              </w:rPr>
              <w:t>0</w:t>
            </w:r>
            <w:bookmarkEnd w:id="1501"/>
          </w:p>
        </w:tc>
        <w:tc>
          <w:tcPr>
            <w:tcW w:w="209" w:type="pct"/>
            <w:tcBorders>
              <w:tl2br w:val="nil"/>
              <w:tr2bl w:val="nil"/>
            </w:tcBorders>
            <w:shd w:val="clear" w:color="auto" w:fill="auto"/>
            <w:vAlign w:val="center"/>
          </w:tcPr>
          <w:p w14:paraId="380AAE6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19" w:type="pct"/>
            <w:tcBorders>
              <w:tl2br w:val="nil"/>
              <w:tr2bl w:val="nil"/>
            </w:tcBorders>
            <w:shd w:val="clear" w:color="auto" w:fill="auto"/>
            <w:vAlign w:val="center"/>
          </w:tcPr>
          <w:p w14:paraId="67473EC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556E3BA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5676758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75604BB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3A2EE97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5035247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5" w:type="pct"/>
            <w:tcBorders>
              <w:tl2br w:val="nil"/>
              <w:tr2bl w:val="nil"/>
            </w:tcBorders>
            <w:shd w:val="clear" w:color="auto" w:fill="auto"/>
            <w:vAlign w:val="center"/>
          </w:tcPr>
          <w:p w14:paraId="3A10842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3" w:type="pct"/>
            <w:tcBorders>
              <w:tl2br w:val="nil"/>
              <w:tr2bl w:val="nil"/>
            </w:tcBorders>
            <w:shd w:val="clear" w:color="auto" w:fill="auto"/>
            <w:vAlign w:val="center"/>
          </w:tcPr>
          <w:p w14:paraId="5ED7226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r>
      <w:bookmarkEnd w:id="1499"/>
      <w:bookmarkEnd w:id="1500"/>
      <w:tr w14:paraId="71336A87">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355" w:type="pct"/>
            <w:gridSpan w:val="2"/>
            <w:tcBorders>
              <w:tl2br w:val="nil"/>
              <w:tr2bl w:val="nil"/>
            </w:tcBorders>
            <w:vAlign w:val="center"/>
          </w:tcPr>
          <w:p w14:paraId="3733292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rPr>
            </w:pPr>
            <w:bookmarkStart w:id="1502" w:name="OLE_LINK482"/>
            <w:r>
              <w:rPr>
                <w:rFonts w:hint="default" w:ascii="Times New Roman" w:hAnsi="Times New Roman" w:eastAsia="宋体" w:cs="Times New Roman"/>
                <w:color w:val="auto"/>
                <w:sz w:val="18"/>
                <w:szCs w:val="18"/>
                <w:lang w:val="en-US" w:eastAsia="zh-CN"/>
              </w:rPr>
              <w:t>Ⅳ</w:t>
            </w:r>
            <w:bookmarkEnd w:id="1502"/>
            <w:r>
              <w:rPr>
                <w:rFonts w:hint="default" w:ascii="Times New Roman" w:hAnsi="Times New Roman" w:eastAsia="宋体" w:cs="Times New Roman"/>
                <w:color w:val="auto"/>
                <w:sz w:val="18"/>
                <w:szCs w:val="18"/>
                <w:lang w:val="en-US" w:eastAsia="zh-CN"/>
              </w:rPr>
              <w:t>类限值</w:t>
            </w:r>
          </w:p>
        </w:tc>
        <w:tc>
          <w:tcPr>
            <w:tcW w:w="159" w:type="pct"/>
            <w:tcBorders>
              <w:tl2br w:val="nil"/>
              <w:tr2bl w:val="nil"/>
            </w:tcBorders>
            <w:shd w:val="clear" w:color="auto" w:fill="auto"/>
            <w:vAlign w:val="center"/>
          </w:tcPr>
          <w:p w14:paraId="41B6FB2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w:t>
            </w:r>
          </w:p>
        </w:tc>
        <w:tc>
          <w:tcPr>
            <w:tcW w:w="157" w:type="pct"/>
            <w:tcBorders>
              <w:tl2br w:val="nil"/>
              <w:tr2bl w:val="nil"/>
            </w:tcBorders>
            <w:shd w:val="clear" w:color="auto" w:fill="auto"/>
            <w:vAlign w:val="center"/>
          </w:tcPr>
          <w:p w14:paraId="7277986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6-9</w:t>
            </w:r>
          </w:p>
        </w:tc>
        <w:tc>
          <w:tcPr>
            <w:tcW w:w="159" w:type="pct"/>
            <w:tcBorders>
              <w:tl2br w:val="nil"/>
              <w:tr2bl w:val="nil"/>
            </w:tcBorders>
            <w:shd w:val="clear" w:color="auto" w:fill="auto"/>
            <w:vAlign w:val="center"/>
          </w:tcPr>
          <w:p w14:paraId="36B060A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3</w:t>
            </w:r>
          </w:p>
        </w:tc>
        <w:tc>
          <w:tcPr>
            <w:tcW w:w="145" w:type="pct"/>
            <w:tcBorders>
              <w:tl2br w:val="nil"/>
              <w:tr2bl w:val="nil"/>
            </w:tcBorders>
            <w:shd w:val="clear" w:color="auto" w:fill="auto"/>
            <w:vAlign w:val="center"/>
          </w:tcPr>
          <w:p w14:paraId="4663342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6</w:t>
            </w:r>
          </w:p>
        </w:tc>
        <w:tc>
          <w:tcPr>
            <w:tcW w:w="134" w:type="pct"/>
            <w:tcBorders>
              <w:tl2br w:val="nil"/>
              <w:tr2bl w:val="nil"/>
            </w:tcBorders>
            <w:shd w:val="clear" w:color="auto" w:fill="auto"/>
            <w:vAlign w:val="center"/>
          </w:tcPr>
          <w:p w14:paraId="502FBCD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30</w:t>
            </w:r>
          </w:p>
        </w:tc>
        <w:tc>
          <w:tcPr>
            <w:tcW w:w="140" w:type="pct"/>
            <w:tcBorders>
              <w:tl2br w:val="nil"/>
              <w:tr2bl w:val="nil"/>
            </w:tcBorders>
            <w:shd w:val="clear" w:color="auto" w:fill="auto"/>
            <w:vAlign w:val="center"/>
          </w:tcPr>
          <w:p w14:paraId="6B6278D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w:t>
            </w:r>
          </w:p>
        </w:tc>
        <w:tc>
          <w:tcPr>
            <w:tcW w:w="180" w:type="pct"/>
            <w:tcBorders>
              <w:tl2br w:val="nil"/>
              <w:tr2bl w:val="nil"/>
            </w:tcBorders>
            <w:shd w:val="clear" w:color="auto" w:fill="auto"/>
            <w:vAlign w:val="center"/>
          </w:tcPr>
          <w:p w14:paraId="78310AD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1.5</w:t>
            </w:r>
          </w:p>
        </w:tc>
        <w:tc>
          <w:tcPr>
            <w:tcW w:w="228" w:type="pct"/>
            <w:tcBorders>
              <w:tl2br w:val="nil"/>
              <w:tr2bl w:val="nil"/>
            </w:tcBorders>
            <w:shd w:val="clear" w:color="auto" w:fill="auto"/>
            <w:vAlign w:val="center"/>
          </w:tcPr>
          <w:p w14:paraId="40CBBFB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0.3</w:t>
            </w:r>
          </w:p>
        </w:tc>
        <w:tc>
          <w:tcPr>
            <w:tcW w:w="140" w:type="pct"/>
            <w:tcBorders>
              <w:tl2br w:val="nil"/>
              <w:tr2bl w:val="nil"/>
            </w:tcBorders>
            <w:shd w:val="clear" w:color="auto" w:fill="auto"/>
            <w:vAlign w:val="center"/>
          </w:tcPr>
          <w:p w14:paraId="76FEBC2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0.5</w:t>
            </w:r>
          </w:p>
        </w:tc>
        <w:tc>
          <w:tcPr>
            <w:tcW w:w="140" w:type="pct"/>
            <w:tcBorders>
              <w:tl2br w:val="nil"/>
              <w:tr2bl w:val="nil"/>
            </w:tcBorders>
            <w:shd w:val="clear" w:color="auto" w:fill="auto"/>
            <w:vAlign w:val="center"/>
          </w:tcPr>
          <w:p w14:paraId="78B15CF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0.5</w:t>
            </w:r>
          </w:p>
        </w:tc>
        <w:tc>
          <w:tcPr>
            <w:tcW w:w="299" w:type="pct"/>
            <w:tcBorders>
              <w:tl2br w:val="nil"/>
              <w:tr2bl w:val="nil"/>
            </w:tcBorders>
            <w:shd w:val="clear" w:color="auto" w:fill="auto"/>
            <w:vAlign w:val="center"/>
          </w:tcPr>
          <w:p w14:paraId="458DC08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0.005</w:t>
            </w:r>
          </w:p>
        </w:tc>
        <w:tc>
          <w:tcPr>
            <w:tcW w:w="172" w:type="pct"/>
            <w:tcBorders>
              <w:tl2br w:val="nil"/>
              <w:tr2bl w:val="nil"/>
            </w:tcBorders>
            <w:shd w:val="clear" w:color="auto" w:fill="auto"/>
            <w:vAlign w:val="center"/>
          </w:tcPr>
          <w:p w14:paraId="23AB35E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0.05</w:t>
            </w:r>
          </w:p>
        </w:tc>
        <w:tc>
          <w:tcPr>
            <w:tcW w:w="134" w:type="pct"/>
            <w:tcBorders>
              <w:tl2br w:val="nil"/>
              <w:tr2bl w:val="nil"/>
            </w:tcBorders>
            <w:shd w:val="clear" w:color="auto" w:fill="auto"/>
            <w:vAlign w:val="center"/>
          </w:tcPr>
          <w:p w14:paraId="5FE42A6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0.05</w:t>
            </w:r>
          </w:p>
        </w:tc>
        <w:tc>
          <w:tcPr>
            <w:tcW w:w="180" w:type="pct"/>
            <w:tcBorders>
              <w:tl2br w:val="nil"/>
              <w:tr2bl w:val="nil"/>
            </w:tcBorders>
            <w:shd w:val="clear" w:color="auto" w:fill="auto"/>
            <w:vAlign w:val="center"/>
          </w:tcPr>
          <w:p w14:paraId="74C199E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2.0</w:t>
            </w:r>
          </w:p>
        </w:tc>
        <w:tc>
          <w:tcPr>
            <w:tcW w:w="180" w:type="pct"/>
            <w:tcBorders>
              <w:tl2br w:val="nil"/>
              <w:tr2bl w:val="nil"/>
            </w:tcBorders>
            <w:shd w:val="clear" w:color="auto" w:fill="auto"/>
            <w:vAlign w:val="center"/>
          </w:tcPr>
          <w:p w14:paraId="47EFD84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0.1</w:t>
            </w:r>
          </w:p>
        </w:tc>
        <w:tc>
          <w:tcPr>
            <w:tcW w:w="172" w:type="pct"/>
            <w:tcBorders>
              <w:tl2br w:val="nil"/>
              <w:tr2bl w:val="nil"/>
            </w:tcBorders>
            <w:shd w:val="clear" w:color="auto" w:fill="auto"/>
            <w:vAlign w:val="center"/>
          </w:tcPr>
          <w:p w14:paraId="5E40984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1.0</w:t>
            </w:r>
          </w:p>
        </w:tc>
        <w:tc>
          <w:tcPr>
            <w:tcW w:w="134" w:type="pct"/>
            <w:tcBorders>
              <w:tl2br w:val="nil"/>
              <w:tr2bl w:val="nil"/>
            </w:tcBorders>
            <w:shd w:val="clear" w:color="auto" w:fill="auto"/>
            <w:vAlign w:val="center"/>
          </w:tcPr>
          <w:p w14:paraId="0D83BC3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0.05</w:t>
            </w:r>
          </w:p>
        </w:tc>
        <w:tc>
          <w:tcPr>
            <w:tcW w:w="258" w:type="pct"/>
            <w:tcBorders>
              <w:tl2br w:val="nil"/>
              <w:tr2bl w:val="nil"/>
            </w:tcBorders>
            <w:shd w:val="clear" w:color="auto" w:fill="auto"/>
            <w:vAlign w:val="center"/>
          </w:tcPr>
          <w:p w14:paraId="6D61E3E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0.001</w:t>
            </w:r>
          </w:p>
        </w:tc>
        <w:tc>
          <w:tcPr>
            <w:tcW w:w="209" w:type="pct"/>
            <w:tcBorders>
              <w:tl2br w:val="nil"/>
              <w:tr2bl w:val="nil"/>
            </w:tcBorders>
            <w:shd w:val="clear" w:color="auto" w:fill="auto"/>
            <w:vAlign w:val="center"/>
          </w:tcPr>
          <w:p w14:paraId="266D487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0.02</w:t>
            </w:r>
          </w:p>
        </w:tc>
        <w:tc>
          <w:tcPr>
            <w:tcW w:w="219" w:type="pct"/>
            <w:tcBorders>
              <w:tl2br w:val="nil"/>
              <w:tr2bl w:val="nil"/>
            </w:tcBorders>
            <w:shd w:val="clear" w:color="auto" w:fill="auto"/>
            <w:vAlign w:val="center"/>
          </w:tcPr>
          <w:p w14:paraId="497FA61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0.1</w:t>
            </w:r>
          </w:p>
        </w:tc>
        <w:tc>
          <w:tcPr>
            <w:tcW w:w="134" w:type="pct"/>
            <w:tcBorders>
              <w:tl2br w:val="nil"/>
              <w:tr2bl w:val="nil"/>
            </w:tcBorders>
            <w:shd w:val="clear" w:color="auto" w:fill="auto"/>
            <w:vAlign w:val="center"/>
          </w:tcPr>
          <w:p w14:paraId="576F9D5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0.02</w:t>
            </w:r>
          </w:p>
        </w:tc>
        <w:tc>
          <w:tcPr>
            <w:tcW w:w="134" w:type="pct"/>
            <w:tcBorders>
              <w:tl2br w:val="nil"/>
              <w:tr2bl w:val="nil"/>
            </w:tcBorders>
            <w:shd w:val="clear" w:color="auto" w:fill="auto"/>
            <w:vAlign w:val="center"/>
          </w:tcPr>
          <w:p w14:paraId="2F1BB08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3A65990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0.01</w:t>
            </w:r>
          </w:p>
        </w:tc>
        <w:tc>
          <w:tcPr>
            <w:tcW w:w="172" w:type="pct"/>
            <w:tcBorders>
              <w:tl2br w:val="nil"/>
              <w:tr2bl w:val="nil"/>
            </w:tcBorders>
            <w:shd w:val="clear" w:color="auto" w:fill="auto"/>
            <w:vAlign w:val="center"/>
          </w:tcPr>
          <w:p w14:paraId="42BA047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0.2</w:t>
            </w:r>
          </w:p>
        </w:tc>
        <w:tc>
          <w:tcPr>
            <w:tcW w:w="172" w:type="pct"/>
            <w:tcBorders>
              <w:tl2br w:val="nil"/>
              <w:tr2bl w:val="nil"/>
            </w:tcBorders>
            <w:shd w:val="clear" w:color="auto" w:fill="auto"/>
            <w:vAlign w:val="center"/>
          </w:tcPr>
          <w:p w14:paraId="0E187BC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10</w:t>
            </w:r>
          </w:p>
        </w:tc>
        <w:tc>
          <w:tcPr>
            <w:tcW w:w="135" w:type="pct"/>
            <w:tcBorders>
              <w:tl2br w:val="nil"/>
              <w:tr2bl w:val="nil"/>
            </w:tcBorders>
            <w:shd w:val="clear" w:color="auto" w:fill="auto"/>
            <w:vAlign w:val="center"/>
          </w:tcPr>
          <w:p w14:paraId="009D254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1.5</w:t>
            </w:r>
          </w:p>
        </w:tc>
        <w:tc>
          <w:tcPr>
            <w:tcW w:w="133" w:type="pct"/>
            <w:tcBorders>
              <w:tl2br w:val="nil"/>
              <w:tr2bl w:val="nil"/>
            </w:tcBorders>
            <w:shd w:val="clear" w:color="auto" w:fill="auto"/>
            <w:vAlign w:val="center"/>
          </w:tcPr>
          <w:p w14:paraId="76E6163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0.3</w:t>
            </w:r>
          </w:p>
        </w:tc>
      </w:tr>
      <w:tr w14:paraId="0C69BDB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restart"/>
            <w:tcBorders>
              <w:tl2br w:val="nil"/>
              <w:tr2bl w:val="nil"/>
            </w:tcBorders>
            <w:shd w:val="clear" w:color="auto" w:fill="auto"/>
            <w:vAlign w:val="center"/>
          </w:tcPr>
          <w:p w14:paraId="6029808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503" w:name="OLE_LINK887" w:colFirst="5" w:colLast="5"/>
            <w:bookmarkStart w:id="1504" w:name="OLE_LINK889" w:colFirst="19" w:colLast="19"/>
            <w:r>
              <w:rPr>
                <w:rFonts w:hint="default" w:ascii="Times New Roman" w:hAnsi="Times New Roman" w:cs="Times New Roman"/>
                <w:color w:val="auto"/>
                <w:kern w:val="2"/>
                <w:sz w:val="18"/>
                <w:szCs w:val="18"/>
                <w:highlight w:val="none"/>
                <w:lang w:val="en-US" w:eastAsia="zh-CN" w:bidi="ar-SA"/>
              </w:rPr>
              <w:t>W6-1</w:t>
            </w:r>
          </w:p>
        </w:tc>
        <w:tc>
          <w:tcPr>
            <w:tcW w:w="216" w:type="pct"/>
            <w:tcBorders>
              <w:tl2br w:val="nil"/>
              <w:tr2bl w:val="nil"/>
            </w:tcBorders>
            <w:shd w:val="clear" w:color="auto" w:fill="auto"/>
            <w:vAlign w:val="center"/>
          </w:tcPr>
          <w:p w14:paraId="5FCEE56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最大值</w:t>
            </w:r>
          </w:p>
        </w:tc>
        <w:tc>
          <w:tcPr>
            <w:tcW w:w="159" w:type="pct"/>
            <w:tcBorders>
              <w:tl2br w:val="nil"/>
              <w:tr2bl w:val="nil"/>
            </w:tcBorders>
            <w:shd w:val="clear" w:color="auto" w:fill="auto"/>
            <w:vAlign w:val="center"/>
          </w:tcPr>
          <w:p w14:paraId="4D3CF75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28.5</w:t>
            </w:r>
          </w:p>
        </w:tc>
        <w:tc>
          <w:tcPr>
            <w:tcW w:w="157" w:type="pct"/>
            <w:tcBorders>
              <w:tl2br w:val="nil"/>
              <w:tr2bl w:val="nil"/>
            </w:tcBorders>
            <w:shd w:val="clear" w:color="auto" w:fill="auto"/>
            <w:vAlign w:val="center"/>
          </w:tcPr>
          <w:p w14:paraId="1F53FBF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7.7</w:t>
            </w:r>
          </w:p>
        </w:tc>
        <w:tc>
          <w:tcPr>
            <w:tcW w:w="159" w:type="pct"/>
            <w:tcBorders>
              <w:tl2br w:val="nil"/>
              <w:tr2bl w:val="nil"/>
            </w:tcBorders>
            <w:shd w:val="clear" w:color="auto" w:fill="auto"/>
            <w:vAlign w:val="center"/>
          </w:tcPr>
          <w:p w14:paraId="109B37B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5.2</w:t>
            </w:r>
          </w:p>
        </w:tc>
        <w:tc>
          <w:tcPr>
            <w:tcW w:w="145" w:type="pct"/>
            <w:tcBorders>
              <w:tl2br w:val="nil"/>
              <w:tr2bl w:val="nil"/>
            </w:tcBorders>
            <w:shd w:val="clear" w:color="auto" w:fill="auto"/>
            <w:vAlign w:val="center"/>
          </w:tcPr>
          <w:p w14:paraId="6FAA8D7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3.0</w:t>
            </w:r>
          </w:p>
        </w:tc>
        <w:tc>
          <w:tcPr>
            <w:tcW w:w="134" w:type="pct"/>
            <w:tcBorders>
              <w:tl2br w:val="nil"/>
              <w:tr2bl w:val="nil"/>
            </w:tcBorders>
            <w:shd w:val="clear" w:color="auto" w:fill="auto"/>
            <w:vAlign w:val="center"/>
          </w:tcPr>
          <w:p w14:paraId="58DAFFB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14</w:t>
            </w:r>
          </w:p>
        </w:tc>
        <w:tc>
          <w:tcPr>
            <w:tcW w:w="140" w:type="pct"/>
            <w:tcBorders>
              <w:tl2br w:val="nil"/>
              <w:tr2bl w:val="nil"/>
            </w:tcBorders>
            <w:shd w:val="clear" w:color="auto" w:fill="auto"/>
            <w:vAlign w:val="center"/>
          </w:tcPr>
          <w:p w14:paraId="0783652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2.28 </w:t>
            </w:r>
          </w:p>
        </w:tc>
        <w:tc>
          <w:tcPr>
            <w:tcW w:w="180" w:type="pct"/>
            <w:tcBorders>
              <w:tl2br w:val="nil"/>
              <w:tr2bl w:val="nil"/>
            </w:tcBorders>
            <w:shd w:val="clear" w:color="auto" w:fill="auto"/>
            <w:vAlign w:val="center"/>
          </w:tcPr>
          <w:p w14:paraId="7DA8FD0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0.343 </w:t>
            </w:r>
          </w:p>
        </w:tc>
        <w:tc>
          <w:tcPr>
            <w:tcW w:w="228" w:type="pct"/>
            <w:tcBorders>
              <w:tl2br w:val="nil"/>
              <w:tr2bl w:val="nil"/>
            </w:tcBorders>
            <w:shd w:val="clear" w:color="auto" w:fill="auto"/>
            <w:vAlign w:val="center"/>
          </w:tcPr>
          <w:p w14:paraId="24D911D3">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0.13 </w:t>
            </w:r>
          </w:p>
        </w:tc>
        <w:tc>
          <w:tcPr>
            <w:tcW w:w="140" w:type="pct"/>
            <w:tcBorders>
              <w:tl2br w:val="nil"/>
              <w:tr2bl w:val="nil"/>
            </w:tcBorders>
            <w:shd w:val="clear" w:color="auto" w:fill="auto"/>
            <w:vAlign w:val="center"/>
          </w:tcPr>
          <w:p w14:paraId="0E8F04F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40" w:type="pct"/>
            <w:tcBorders>
              <w:tl2br w:val="nil"/>
              <w:tr2bl w:val="nil"/>
            </w:tcBorders>
            <w:shd w:val="clear" w:color="auto" w:fill="auto"/>
            <w:vAlign w:val="center"/>
          </w:tcPr>
          <w:p w14:paraId="0B36A10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99" w:type="pct"/>
            <w:tcBorders>
              <w:tl2br w:val="nil"/>
              <w:tr2bl w:val="nil"/>
            </w:tcBorders>
            <w:shd w:val="clear" w:color="auto" w:fill="auto"/>
            <w:vAlign w:val="center"/>
          </w:tcPr>
          <w:p w14:paraId="2EF3F94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0.000784 </w:t>
            </w:r>
          </w:p>
        </w:tc>
        <w:tc>
          <w:tcPr>
            <w:tcW w:w="172" w:type="pct"/>
            <w:tcBorders>
              <w:tl2br w:val="nil"/>
              <w:tr2bl w:val="nil"/>
            </w:tcBorders>
            <w:shd w:val="clear" w:color="auto" w:fill="auto"/>
            <w:vAlign w:val="center"/>
          </w:tcPr>
          <w:p w14:paraId="1035758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5687E32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690C152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15FA6FE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6FAA990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4630D1D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693BEB5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3</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3 </w:t>
            </w:r>
          </w:p>
        </w:tc>
        <w:tc>
          <w:tcPr>
            <w:tcW w:w="209" w:type="pct"/>
            <w:tcBorders>
              <w:tl2br w:val="nil"/>
              <w:tr2bl w:val="nil"/>
            </w:tcBorders>
            <w:shd w:val="clear" w:color="auto" w:fill="auto"/>
            <w:vAlign w:val="center"/>
          </w:tcPr>
          <w:p w14:paraId="0D6860E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6FD0785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0.0019 </w:t>
            </w:r>
          </w:p>
        </w:tc>
        <w:tc>
          <w:tcPr>
            <w:tcW w:w="134" w:type="pct"/>
            <w:tcBorders>
              <w:tl2br w:val="nil"/>
              <w:tr2bl w:val="nil"/>
            </w:tcBorders>
            <w:shd w:val="clear" w:color="auto" w:fill="auto"/>
            <w:vAlign w:val="center"/>
          </w:tcPr>
          <w:p w14:paraId="7FE1E05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46F22EF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23</w:t>
            </w:r>
          </w:p>
        </w:tc>
        <w:tc>
          <w:tcPr>
            <w:tcW w:w="210" w:type="pct"/>
            <w:tcBorders>
              <w:tl2br w:val="nil"/>
              <w:tr2bl w:val="nil"/>
            </w:tcBorders>
            <w:shd w:val="clear" w:color="auto" w:fill="auto"/>
            <w:vAlign w:val="center"/>
          </w:tcPr>
          <w:p w14:paraId="3BD8FD2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105B840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4FCE489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4.3</w:t>
            </w:r>
          </w:p>
        </w:tc>
        <w:tc>
          <w:tcPr>
            <w:tcW w:w="135" w:type="pct"/>
            <w:tcBorders>
              <w:tl2br w:val="nil"/>
              <w:tr2bl w:val="nil"/>
            </w:tcBorders>
            <w:shd w:val="clear" w:color="auto" w:fill="auto"/>
            <w:vAlign w:val="center"/>
          </w:tcPr>
          <w:p w14:paraId="232D864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0.41</w:t>
            </w:r>
          </w:p>
        </w:tc>
        <w:tc>
          <w:tcPr>
            <w:tcW w:w="133" w:type="pct"/>
            <w:tcBorders>
              <w:tl2br w:val="nil"/>
              <w:tr2bl w:val="nil"/>
            </w:tcBorders>
            <w:shd w:val="clear" w:color="auto" w:fill="auto"/>
            <w:vAlign w:val="center"/>
          </w:tcPr>
          <w:p w14:paraId="0ED027B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tr w14:paraId="3060DE3C">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71B3500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0E3195A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最小值</w:t>
            </w:r>
          </w:p>
        </w:tc>
        <w:tc>
          <w:tcPr>
            <w:tcW w:w="159" w:type="pct"/>
            <w:tcBorders>
              <w:tl2br w:val="nil"/>
              <w:tr2bl w:val="nil"/>
            </w:tcBorders>
            <w:shd w:val="clear" w:color="auto" w:fill="auto"/>
            <w:vAlign w:val="center"/>
          </w:tcPr>
          <w:p w14:paraId="6892E5C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28.4</w:t>
            </w:r>
          </w:p>
        </w:tc>
        <w:tc>
          <w:tcPr>
            <w:tcW w:w="157" w:type="pct"/>
            <w:tcBorders>
              <w:tl2br w:val="nil"/>
              <w:tr2bl w:val="nil"/>
            </w:tcBorders>
            <w:shd w:val="clear" w:color="auto" w:fill="auto"/>
            <w:vAlign w:val="center"/>
          </w:tcPr>
          <w:p w14:paraId="3FF9FE3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7.5</w:t>
            </w:r>
          </w:p>
        </w:tc>
        <w:tc>
          <w:tcPr>
            <w:tcW w:w="159" w:type="pct"/>
            <w:tcBorders>
              <w:tl2br w:val="nil"/>
              <w:tr2bl w:val="nil"/>
            </w:tcBorders>
            <w:shd w:val="clear" w:color="auto" w:fill="auto"/>
            <w:vAlign w:val="center"/>
          </w:tcPr>
          <w:p w14:paraId="172F3D5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5.1</w:t>
            </w:r>
          </w:p>
        </w:tc>
        <w:tc>
          <w:tcPr>
            <w:tcW w:w="145" w:type="pct"/>
            <w:tcBorders>
              <w:tl2br w:val="nil"/>
              <w:tr2bl w:val="nil"/>
            </w:tcBorders>
            <w:shd w:val="clear" w:color="auto" w:fill="auto"/>
            <w:vAlign w:val="center"/>
          </w:tcPr>
          <w:p w14:paraId="6A1817B0">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zh-CN" w:bidi="ar-SA"/>
              </w:rPr>
            </w:pPr>
            <w:r>
              <w:rPr>
                <w:rFonts w:hint="eastAsia" w:ascii="Times New Roman" w:hAnsi="Times New Roman" w:eastAsia="宋体" w:cs="Times New Roman"/>
                <w:snapToGrid w:val="0"/>
                <w:color w:val="auto"/>
                <w:kern w:val="0"/>
                <w:sz w:val="18"/>
                <w:szCs w:val="18"/>
                <w:highlight w:val="none"/>
                <w:lang w:val="en-US" w:eastAsia="zh-CN" w:bidi="ar-SA"/>
              </w:rPr>
              <w:t>2.7</w:t>
            </w:r>
          </w:p>
        </w:tc>
        <w:tc>
          <w:tcPr>
            <w:tcW w:w="134" w:type="pct"/>
            <w:tcBorders>
              <w:tl2br w:val="nil"/>
              <w:tr2bl w:val="nil"/>
            </w:tcBorders>
            <w:shd w:val="clear" w:color="auto" w:fill="auto"/>
            <w:vAlign w:val="center"/>
          </w:tcPr>
          <w:p w14:paraId="66460AA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12</w:t>
            </w:r>
          </w:p>
        </w:tc>
        <w:tc>
          <w:tcPr>
            <w:tcW w:w="140" w:type="pct"/>
            <w:tcBorders>
              <w:tl2br w:val="nil"/>
              <w:tr2bl w:val="nil"/>
            </w:tcBorders>
            <w:shd w:val="clear" w:color="auto" w:fill="auto"/>
            <w:vAlign w:val="center"/>
          </w:tcPr>
          <w:p w14:paraId="04F30A63">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2.00 </w:t>
            </w:r>
          </w:p>
        </w:tc>
        <w:tc>
          <w:tcPr>
            <w:tcW w:w="180" w:type="pct"/>
            <w:tcBorders>
              <w:tl2br w:val="nil"/>
              <w:tr2bl w:val="nil"/>
            </w:tcBorders>
            <w:shd w:val="clear" w:color="auto" w:fill="auto"/>
            <w:vAlign w:val="center"/>
          </w:tcPr>
          <w:p w14:paraId="4891FBC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0.305 </w:t>
            </w:r>
          </w:p>
        </w:tc>
        <w:tc>
          <w:tcPr>
            <w:tcW w:w="228" w:type="pct"/>
            <w:tcBorders>
              <w:tl2br w:val="nil"/>
              <w:tr2bl w:val="nil"/>
            </w:tcBorders>
            <w:shd w:val="clear" w:color="auto" w:fill="auto"/>
            <w:vAlign w:val="center"/>
          </w:tcPr>
          <w:p w14:paraId="59B6A4D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0.03 </w:t>
            </w:r>
          </w:p>
        </w:tc>
        <w:tc>
          <w:tcPr>
            <w:tcW w:w="140" w:type="pct"/>
            <w:tcBorders>
              <w:tl2br w:val="nil"/>
              <w:tr2bl w:val="nil"/>
            </w:tcBorders>
            <w:shd w:val="clear" w:color="auto" w:fill="auto"/>
            <w:vAlign w:val="center"/>
          </w:tcPr>
          <w:p w14:paraId="76A8179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40" w:type="pct"/>
            <w:tcBorders>
              <w:tl2br w:val="nil"/>
              <w:tr2bl w:val="nil"/>
            </w:tcBorders>
            <w:shd w:val="clear" w:color="auto" w:fill="auto"/>
            <w:vAlign w:val="center"/>
          </w:tcPr>
          <w:p w14:paraId="16AB1AA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99" w:type="pct"/>
            <w:tcBorders>
              <w:tl2br w:val="nil"/>
              <w:tr2bl w:val="nil"/>
            </w:tcBorders>
            <w:shd w:val="clear" w:color="auto" w:fill="auto"/>
            <w:vAlign w:val="center"/>
          </w:tcPr>
          <w:p w14:paraId="176BCF1E">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0.000668 </w:t>
            </w:r>
          </w:p>
        </w:tc>
        <w:tc>
          <w:tcPr>
            <w:tcW w:w="172" w:type="pct"/>
            <w:tcBorders>
              <w:tl2br w:val="nil"/>
              <w:tr2bl w:val="nil"/>
            </w:tcBorders>
            <w:shd w:val="clear" w:color="auto" w:fill="auto"/>
            <w:vAlign w:val="center"/>
          </w:tcPr>
          <w:p w14:paraId="1737834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3FB2214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6FE9493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0962870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2A3109D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4307312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27C1481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bookmarkStart w:id="1505" w:name="OLE_LINK888"/>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33</w:t>
            </w:r>
            <w:bookmarkEnd w:id="1505"/>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77C6FFA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18C7C20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0.0015 </w:t>
            </w:r>
          </w:p>
        </w:tc>
        <w:tc>
          <w:tcPr>
            <w:tcW w:w="134" w:type="pct"/>
            <w:tcBorders>
              <w:tl2br w:val="nil"/>
              <w:tr2bl w:val="nil"/>
            </w:tcBorders>
            <w:shd w:val="clear" w:color="auto" w:fill="auto"/>
            <w:vAlign w:val="center"/>
          </w:tcPr>
          <w:p w14:paraId="56E1275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0AE9AD5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19</w:t>
            </w:r>
          </w:p>
        </w:tc>
        <w:tc>
          <w:tcPr>
            <w:tcW w:w="210" w:type="pct"/>
            <w:tcBorders>
              <w:tl2br w:val="nil"/>
              <w:tr2bl w:val="nil"/>
            </w:tcBorders>
            <w:shd w:val="clear" w:color="auto" w:fill="auto"/>
            <w:vAlign w:val="center"/>
          </w:tcPr>
          <w:p w14:paraId="657884F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171AD06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72C0DB9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4.0</w:t>
            </w:r>
          </w:p>
        </w:tc>
        <w:tc>
          <w:tcPr>
            <w:tcW w:w="135" w:type="pct"/>
            <w:tcBorders>
              <w:tl2br w:val="nil"/>
              <w:tr2bl w:val="nil"/>
            </w:tcBorders>
            <w:shd w:val="clear" w:color="auto" w:fill="auto"/>
            <w:vAlign w:val="center"/>
          </w:tcPr>
          <w:p w14:paraId="4A0BED1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0.38</w:t>
            </w:r>
          </w:p>
        </w:tc>
        <w:tc>
          <w:tcPr>
            <w:tcW w:w="133" w:type="pct"/>
            <w:tcBorders>
              <w:tl2br w:val="nil"/>
              <w:tr2bl w:val="nil"/>
            </w:tcBorders>
            <w:shd w:val="clear" w:color="auto" w:fill="auto"/>
            <w:vAlign w:val="center"/>
          </w:tcPr>
          <w:p w14:paraId="658BE24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tr w14:paraId="512CE8B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6E1FB29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70FB576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平均浓度</w:t>
            </w:r>
          </w:p>
        </w:tc>
        <w:tc>
          <w:tcPr>
            <w:tcW w:w="159" w:type="pct"/>
            <w:tcBorders>
              <w:tl2br w:val="nil"/>
              <w:tr2bl w:val="nil"/>
            </w:tcBorders>
            <w:shd w:val="clear" w:color="auto" w:fill="auto"/>
            <w:vAlign w:val="center"/>
          </w:tcPr>
          <w:p w14:paraId="63C2CAE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28.4</w:t>
            </w:r>
          </w:p>
        </w:tc>
        <w:tc>
          <w:tcPr>
            <w:tcW w:w="157" w:type="pct"/>
            <w:tcBorders>
              <w:tl2br w:val="nil"/>
              <w:tr2bl w:val="nil"/>
            </w:tcBorders>
            <w:shd w:val="clear" w:color="auto" w:fill="auto"/>
            <w:vAlign w:val="center"/>
          </w:tcPr>
          <w:p w14:paraId="0ED20A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7.5</w:t>
            </w:r>
          </w:p>
        </w:tc>
        <w:tc>
          <w:tcPr>
            <w:tcW w:w="159" w:type="pct"/>
            <w:tcBorders>
              <w:tl2br w:val="nil"/>
              <w:tr2bl w:val="nil"/>
            </w:tcBorders>
            <w:shd w:val="clear" w:color="auto" w:fill="auto"/>
            <w:vAlign w:val="center"/>
          </w:tcPr>
          <w:p w14:paraId="02E3F45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bidi="ar-SA"/>
              </w:rPr>
              <w:t>5.1</w:t>
            </w:r>
          </w:p>
        </w:tc>
        <w:tc>
          <w:tcPr>
            <w:tcW w:w="145" w:type="pct"/>
            <w:tcBorders>
              <w:tl2br w:val="nil"/>
              <w:tr2bl w:val="nil"/>
            </w:tcBorders>
            <w:shd w:val="clear" w:color="auto" w:fill="auto"/>
            <w:vAlign w:val="center"/>
          </w:tcPr>
          <w:p w14:paraId="4FB32D6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i w:val="0"/>
                <w:iCs w:val="0"/>
                <w:snapToGrid w:val="0"/>
                <w:color w:val="auto"/>
                <w:kern w:val="0"/>
                <w:sz w:val="18"/>
                <w:szCs w:val="18"/>
                <w:highlight w:val="none"/>
                <w:u w:val="none"/>
                <w:lang w:val="en-US" w:eastAsia="zh-CN" w:bidi="ar"/>
              </w:rPr>
              <w:t>2.9</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shd w:val="clear" w:color="auto" w:fill="auto"/>
            <w:vAlign w:val="center"/>
          </w:tcPr>
          <w:p w14:paraId="3A18B61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13</w:t>
            </w:r>
          </w:p>
        </w:tc>
        <w:tc>
          <w:tcPr>
            <w:tcW w:w="140" w:type="pct"/>
            <w:tcBorders>
              <w:tl2br w:val="nil"/>
              <w:tr2bl w:val="nil"/>
            </w:tcBorders>
            <w:shd w:val="clear" w:color="auto" w:fill="auto"/>
            <w:vAlign w:val="center"/>
          </w:tcPr>
          <w:p w14:paraId="43DE7BF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2.12 </w:t>
            </w:r>
          </w:p>
        </w:tc>
        <w:tc>
          <w:tcPr>
            <w:tcW w:w="180" w:type="pct"/>
            <w:tcBorders>
              <w:tl2br w:val="nil"/>
              <w:tr2bl w:val="nil"/>
            </w:tcBorders>
            <w:shd w:val="clear" w:color="auto" w:fill="auto"/>
            <w:vAlign w:val="center"/>
          </w:tcPr>
          <w:p w14:paraId="03D0668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0.328 </w:t>
            </w:r>
          </w:p>
        </w:tc>
        <w:tc>
          <w:tcPr>
            <w:tcW w:w="228" w:type="pct"/>
            <w:tcBorders>
              <w:tl2br w:val="nil"/>
              <w:tr2bl w:val="nil"/>
            </w:tcBorders>
            <w:shd w:val="clear" w:color="auto" w:fill="auto"/>
            <w:vAlign w:val="center"/>
          </w:tcPr>
          <w:p w14:paraId="71D0660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0.07 </w:t>
            </w:r>
          </w:p>
        </w:tc>
        <w:tc>
          <w:tcPr>
            <w:tcW w:w="140" w:type="pct"/>
            <w:tcBorders>
              <w:tl2br w:val="nil"/>
              <w:tr2bl w:val="nil"/>
            </w:tcBorders>
            <w:shd w:val="clear" w:color="auto" w:fill="auto"/>
            <w:vAlign w:val="center"/>
          </w:tcPr>
          <w:p w14:paraId="1D89A3B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40" w:type="pct"/>
            <w:tcBorders>
              <w:tl2br w:val="nil"/>
              <w:tr2bl w:val="nil"/>
            </w:tcBorders>
            <w:shd w:val="clear" w:color="auto" w:fill="auto"/>
            <w:vAlign w:val="center"/>
          </w:tcPr>
          <w:p w14:paraId="271A1CD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99" w:type="pct"/>
            <w:tcBorders>
              <w:tl2br w:val="nil"/>
              <w:tr2bl w:val="nil"/>
            </w:tcBorders>
            <w:shd w:val="clear" w:color="auto" w:fill="auto"/>
            <w:vAlign w:val="center"/>
          </w:tcPr>
          <w:p w14:paraId="4D8FFE9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0.000735 </w:t>
            </w:r>
          </w:p>
        </w:tc>
        <w:tc>
          <w:tcPr>
            <w:tcW w:w="172" w:type="pct"/>
            <w:tcBorders>
              <w:tl2br w:val="nil"/>
              <w:tr2bl w:val="nil"/>
            </w:tcBorders>
            <w:shd w:val="clear" w:color="auto" w:fill="auto"/>
            <w:vAlign w:val="center"/>
          </w:tcPr>
          <w:p w14:paraId="3DF5139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7F75FC5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45897CD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80" w:type="pct"/>
            <w:tcBorders>
              <w:tl2br w:val="nil"/>
              <w:tr2bl w:val="nil"/>
            </w:tcBorders>
            <w:shd w:val="clear" w:color="auto" w:fill="auto"/>
            <w:vAlign w:val="center"/>
          </w:tcPr>
          <w:p w14:paraId="0D8A6F9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4CA9616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7DCDF90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58" w:type="pct"/>
            <w:tcBorders>
              <w:tl2br w:val="nil"/>
              <w:tr2bl w:val="nil"/>
            </w:tcBorders>
            <w:shd w:val="clear" w:color="auto" w:fill="auto"/>
            <w:vAlign w:val="center"/>
          </w:tcPr>
          <w:p w14:paraId="2CD859E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0.000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33</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209" w:type="pct"/>
            <w:tcBorders>
              <w:tl2br w:val="nil"/>
              <w:tr2bl w:val="nil"/>
            </w:tcBorders>
            <w:shd w:val="clear" w:color="auto" w:fill="auto"/>
            <w:vAlign w:val="center"/>
          </w:tcPr>
          <w:p w14:paraId="3E0D2AA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219" w:type="pct"/>
            <w:tcBorders>
              <w:tl2br w:val="nil"/>
              <w:tr2bl w:val="nil"/>
            </w:tcBorders>
            <w:shd w:val="clear" w:color="auto" w:fill="auto"/>
            <w:vAlign w:val="center"/>
          </w:tcPr>
          <w:p w14:paraId="219A7F0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0.0017 </w:t>
            </w:r>
          </w:p>
        </w:tc>
        <w:tc>
          <w:tcPr>
            <w:tcW w:w="134" w:type="pct"/>
            <w:tcBorders>
              <w:tl2br w:val="nil"/>
              <w:tr2bl w:val="nil"/>
            </w:tcBorders>
            <w:shd w:val="clear" w:color="auto" w:fill="auto"/>
            <w:vAlign w:val="center"/>
          </w:tcPr>
          <w:p w14:paraId="2E5DB2B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34" w:type="pct"/>
            <w:tcBorders>
              <w:tl2br w:val="nil"/>
              <w:tr2bl w:val="nil"/>
            </w:tcBorders>
            <w:shd w:val="clear" w:color="auto" w:fill="auto"/>
            <w:vAlign w:val="center"/>
          </w:tcPr>
          <w:p w14:paraId="6BC3F57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20</w:t>
            </w:r>
          </w:p>
        </w:tc>
        <w:tc>
          <w:tcPr>
            <w:tcW w:w="210" w:type="pct"/>
            <w:tcBorders>
              <w:tl2br w:val="nil"/>
              <w:tr2bl w:val="nil"/>
            </w:tcBorders>
            <w:shd w:val="clear" w:color="auto" w:fill="auto"/>
            <w:vAlign w:val="center"/>
          </w:tcPr>
          <w:p w14:paraId="047D68D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45EA69F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c>
          <w:tcPr>
            <w:tcW w:w="172" w:type="pct"/>
            <w:tcBorders>
              <w:tl2br w:val="nil"/>
              <w:tr2bl w:val="nil"/>
            </w:tcBorders>
            <w:shd w:val="clear" w:color="auto" w:fill="auto"/>
            <w:vAlign w:val="center"/>
          </w:tcPr>
          <w:p w14:paraId="084BBAD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4.1</w:t>
            </w:r>
          </w:p>
        </w:tc>
        <w:tc>
          <w:tcPr>
            <w:tcW w:w="135" w:type="pct"/>
            <w:tcBorders>
              <w:tl2br w:val="nil"/>
              <w:tr2bl w:val="nil"/>
            </w:tcBorders>
            <w:shd w:val="clear" w:color="auto" w:fill="auto"/>
            <w:vAlign w:val="center"/>
          </w:tcPr>
          <w:p w14:paraId="1365F85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zh-CN" w:bidi="ar-SA"/>
              </w:rPr>
            </w:pPr>
            <w:r>
              <w:rPr>
                <w:rFonts w:hint="default" w:ascii="Times New Roman" w:hAnsi="Times New Roman" w:eastAsia="宋体" w:cs="Times New Roman"/>
                <w:snapToGrid w:val="0"/>
                <w:color w:val="auto"/>
                <w:kern w:val="0"/>
                <w:sz w:val="18"/>
                <w:szCs w:val="18"/>
                <w:lang w:val="en-US" w:eastAsia="zh-CN" w:bidi="ar-SA"/>
              </w:rPr>
              <w:t>0.40</w:t>
            </w:r>
          </w:p>
        </w:tc>
        <w:tc>
          <w:tcPr>
            <w:tcW w:w="133" w:type="pct"/>
            <w:tcBorders>
              <w:tl2br w:val="nil"/>
              <w:tr2bl w:val="nil"/>
            </w:tcBorders>
            <w:shd w:val="clear" w:color="auto" w:fill="auto"/>
            <w:vAlign w:val="center"/>
          </w:tcPr>
          <w:p w14:paraId="533DBD5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color w:val="auto"/>
                <w:kern w:val="0"/>
                <w:sz w:val="18"/>
                <w:szCs w:val="18"/>
                <w:u w:val="none"/>
                <w:lang w:val="en-US" w:eastAsia="zh-CN" w:bidi="ar"/>
              </w:rPr>
              <w:t>ND</w:t>
            </w:r>
          </w:p>
        </w:tc>
      </w:tr>
      <w:bookmarkEnd w:id="1503"/>
      <w:bookmarkEnd w:id="1504"/>
      <w:tr w14:paraId="1B6EA3C7">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66E465A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bookmarkStart w:id="1506" w:name="OLE_LINK518" w:colFirst="2" w:colLast="28"/>
            <w:bookmarkStart w:id="1507" w:name="OLE_LINK480" w:colFirst="22" w:colLast="23"/>
            <w:bookmarkStart w:id="1508" w:name="OLE_LINK520" w:colFirst="23" w:colLast="23"/>
          </w:p>
        </w:tc>
        <w:tc>
          <w:tcPr>
            <w:tcW w:w="216" w:type="pct"/>
            <w:tcBorders>
              <w:tl2br w:val="nil"/>
              <w:tr2bl w:val="nil"/>
            </w:tcBorders>
            <w:shd w:val="clear" w:color="auto" w:fill="auto"/>
            <w:vAlign w:val="center"/>
          </w:tcPr>
          <w:p w14:paraId="7FBDFBE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最大单因子指数</w:t>
            </w:r>
          </w:p>
        </w:tc>
        <w:tc>
          <w:tcPr>
            <w:tcW w:w="159" w:type="pct"/>
            <w:tcBorders>
              <w:tl2br w:val="nil"/>
              <w:tr2bl w:val="nil"/>
            </w:tcBorders>
            <w:shd w:val="clear" w:color="auto" w:fill="auto"/>
            <w:vAlign w:val="center"/>
          </w:tcPr>
          <w:p w14:paraId="2D77B6E3">
            <w:pPr>
              <w:jc w:val="center"/>
              <w:rPr>
                <w:rFonts w:hint="eastAsia" w:ascii="Times New Roman" w:hAnsi="Times New Roman" w:eastAsia="宋体" w:cs="Times New Roman"/>
                <w:snapToGrid w:val="0"/>
                <w:color w:val="auto"/>
                <w:kern w:val="0"/>
                <w:sz w:val="18"/>
                <w:szCs w:val="18"/>
                <w:lang w:val="en-US" w:eastAsia="zh-CN" w:bidi="ar-SA"/>
              </w:rPr>
            </w:pPr>
            <w:r>
              <w:rPr>
                <w:rFonts w:hint="eastAsia" w:ascii="Times New Roman" w:hAnsi="Times New Roman" w:eastAsia="宋体" w:cs="Times New Roman"/>
                <w:color w:val="auto"/>
                <w:sz w:val="18"/>
                <w:szCs w:val="18"/>
                <w:lang w:val="en-US" w:eastAsia="zh-CN"/>
              </w:rPr>
              <w:t>/</w:t>
            </w:r>
          </w:p>
        </w:tc>
        <w:tc>
          <w:tcPr>
            <w:tcW w:w="157" w:type="pct"/>
            <w:tcBorders>
              <w:tl2br w:val="nil"/>
              <w:tr2bl w:val="nil"/>
            </w:tcBorders>
            <w:shd w:val="clear" w:color="auto" w:fill="auto"/>
            <w:vAlign w:val="center"/>
          </w:tcPr>
          <w:p w14:paraId="430AF26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0.35</w:t>
            </w:r>
          </w:p>
        </w:tc>
        <w:tc>
          <w:tcPr>
            <w:tcW w:w="159" w:type="pct"/>
            <w:tcBorders>
              <w:tl2br w:val="nil"/>
              <w:tr2bl w:val="nil"/>
            </w:tcBorders>
            <w:shd w:val="clear" w:color="auto" w:fill="auto"/>
            <w:vAlign w:val="center"/>
          </w:tcPr>
          <w:p w14:paraId="210AD51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0.54 </w:t>
            </w:r>
          </w:p>
        </w:tc>
        <w:tc>
          <w:tcPr>
            <w:tcW w:w="145" w:type="pct"/>
            <w:tcBorders>
              <w:tl2br w:val="nil"/>
              <w:tr2bl w:val="nil"/>
            </w:tcBorders>
            <w:shd w:val="clear" w:color="auto" w:fill="auto"/>
            <w:vAlign w:val="center"/>
          </w:tcPr>
          <w:p w14:paraId="7F9E4A6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5</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 </w:t>
            </w:r>
          </w:p>
        </w:tc>
        <w:tc>
          <w:tcPr>
            <w:tcW w:w="134" w:type="pct"/>
            <w:tcBorders>
              <w:tl2br w:val="nil"/>
              <w:tr2bl w:val="nil"/>
            </w:tcBorders>
            <w:shd w:val="clear" w:color="auto" w:fill="auto"/>
            <w:vAlign w:val="center"/>
          </w:tcPr>
          <w:p w14:paraId="21856CC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0.47 </w:t>
            </w:r>
          </w:p>
        </w:tc>
        <w:tc>
          <w:tcPr>
            <w:tcW w:w="140" w:type="pct"/>
            <w:tcBorders>
              <w:tl2br w:val="nil"/>
              <w:tr2bl w:val="nil"/>
            </w:tcBorders>
            <w:shd w:val="clear" w:color="auto" w:fill="auto"/>
            <w:vAlign w:val="center"/>
          </w:tcPr>
          <w:p w14:paraId="1FA2541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3CF571C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0.23 </w:t>
            </w:r>
          </w:p>
        </w:tc>
        <w:tc>
          <w:tcPr>
            <w:tcW w:w="228" w:type="pct"/>
            <w:tcBorders>
              <w:tl2br w:val="nil"/>
              <w:tr2bl w:val="nil"/>
            </w:tcBorders>
            <w:shd w:val="clear" w:color="auto" w:fill="auto"/>
            <w:vAlign w:val="center"/>
          </w:tcPr>
          <w:p w14:paraId="419FAF5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0.43 </w:t>
            </w:r>
          </w:p>
        </w:tc>
        <w:tc>
          <w:tcPr>
            <w:tcW w:w="140" w:type="pct"/>
            <w:tcBorders>
              <w:tl2br w:val="nil"/>
              <w:tr2bl w:val="nil"/>
            </w:tcBorders>
            <w:shd w:val="clear" w:color="auto" w:fill="auto"/>
            <w:vAlign w:val="center"/>
          </w:tcPr>
          <w:p w14:paraId="287E73E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0.06 </w:t>
            </w:r>
          </w:p>
        </w:tc>
        <w:tc>
          <w:tcPr>
            <w:tcW w:w="140" w:type="pct"/>
            <w:tcBorders>
              <w:tl2br w:val="nil"/>
              <w:tr2bl w:val="nil"/>
            </w:tcBorders>
            <w:shd w:val="clear" w:color="auto" w:fill="auto"/>
            <w:vAlign w:val="center"/>
          </w:tcPr>
          <w:p w14:paraId="7F7CBA7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299" w:type="pct"/>
            <w:tcBorders>
              <w:tl2br w:val="nil"/>
              <w:tr2bl w:val="nil"/>
            </w:tcBorders>
            <w:shd w:val="clear" w:color="auto" w:fill="auto"/>
            <w:vAlign w:val="center"/>
          </w:tcPr>
          <w:p w14:paraId="7587623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0.16 </w:t>
            </w:r>
          </w:p>
        </w:tc>
        <w:tc>
          <w:tcPr>
            <w:tcW w:w="172" w:type="pct"/>
            <w:tcBorders>
              <w:tl2br w:val="nil"/>
              <w:tr2bl w:val="nil"/>
            </w:tcBorders>
            <w:shd w:val="clear" w:color="auto" w:fill="auto"/>
            <w:vAlign w:val="center"/>
          </w:tcPr>
          <w:p w14:paraId="70D3166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0.04 </w:t>
            </w:r>
          </w:p>
        </w:tc>
        <w:tc>
          <w:tcPr>
            <w:tcW w:w="134" w:type="pct"/>
            <w:tcBorders>
              <w:tl2br w:val="nil"/>
              <w:tr2bl w:val="nil"/>
            </w:tcBorders>
            <w:shd w:val="clear" w:color="auto" w:fill="auto"/>
            <w:vAlign w:val="center"/>
          </w:tcPr>
          <w:p w14:paraId="1A6952E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0.30 </w:t>
            </w:r>
          </w:p>
        </w:tc>
        <w:tc>
          <w:tcPr>
            <w:tcW w:w="180" w:type="pct"/>
            <w:tcBorders>
              <w:tl2br w:val="nil"/>
              <w:tr2bl w:val="nil"/>
            </w:tcBorders>
            <w:shd w:val="clear" w:color="auto" w:fill="auto"/>
            <w:vAlign w:val="center"/>
          </w:tcPr>
          <w:p w14:paraId="1306903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0.001 </w:t>
            </w:r>
          </w:p>
        </w:tc>
        <w:tc>
          <w:tcPr>
            <w:tcW w:w="180" w:type="pct"/>
            <w:tcBorders>
              <w:tl2br w:val="nil"/>
              <w:tr2bl w:val="nil"/>
            </w:tcBorders>
            <w:shd w:val="clear" w:color="auto" w:fill="auto"/>
            <w:vAlign w:val="center"/>
          </w:tcPr>
          <w:p w14:paraId="1D4B839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72" w:type="pct"/>
            <w:tcBorders>
              <w:tl2br w:val="nil"/>
              <w:tr2bl w:val="nil"/>
            </w:tcBorders>
            <w:shd w:val="clear" w:color="auto" w:fill="auto"/>
            <w:vAlign w:val="center"/>
          </w:tcPr>
          <w:p w14:paraId="2B6777E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34" w:type="pct"/>
            <w:tcBorders>
              <w:tl2br w:val="nil"/>
              <w:tr2bl w:val="nil"/>
            </w:tcBorders>
            <w:shd w:val="clear" w:color="auto" w:fill="auto"/>
            <w:vAlign w:val="center"/>
          </w:tcPr>
          <w:p w14:paraId="19A66CB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0.70 </w:t>
            </w:r>
          </w:p>
        </w:tc>
        <w:tc>
          <w:tcPr>
            <w:tcW w:w="258" w:type="pct"/>
            <w:tcBorders>
              <w:tl2br w:val="nil"/>
              <w:tr2bl w:val="nil"/>
            </w:tcBorders>
            <w:shd w:val="clear" w:color="auto" w:fill="auto"/>
            <w:vAlign w:val="center"/>
          </w:tcPr>
          <w:p w14:paraId="096A1F5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highlight w:val="none"/>
                <w:lang w:val="en-US" w:eastAsia="en-US" w:bidi="ar-SA"/>
              </w:rPr>
            </w:pPr>
            <w:r>
              <w:rPr>
                <w:rFonts w:hint="default" w:ascii="Times New Roman" w:hAnsi="Times New Roman" w:eastAsia="宋体" w:cs="Times New Roman"/>
                <w:i w:val="0"/>
                <w:iCs w:val="0"/>
                <w:snapToGrid w:val="0"/>
                <w:color w:val="auto"/>
                <w:kern w:val="0"/>
                <w:sz w:val="18"/>
                <w:szCs w:val="18"/>
                <w:highlight w:val="none"/>
                <w:u w:val="none"/>
                <w:lang w:val="en-US" w:eastAsia="zh-CN" w:bidi="ar"/>
              </w:rPr>
              <w:t>0.</w:t>
            </w:r>
            <w:r>
              <w:rPr>
                <w:rFonts w:hint="eastAsia" w:ascii="Times New Roman" w:hAnsi="Times New Roman" w:eastAsia="宋体" w:cs="Times New Roman"/>
                <w:i w:val="0"/>
                <w:iCs w:val="0"/>
                <w:snapToGrid w:val="0"/>
                <w:color w:val="auto"/>
                <w:kern w:val="0"/>
                <w:sz w:val="18"/>
                <w:szCs w:val="18"/>
                <w:highlight w:val="none"/>
                <w:u w:val="none"/>
                <w:lang w:val="en-US" w:eastAsia="zh-CN" w:bidi="ar"/>
              </w:rPr>
              <w:t>3</w:t>
            </w:r>
            <w:r>
              <w:rPr>
                <w:rFonts w:hint="default" w:ascii="Times New Roman" w:hAnsi="Times New Roman" w:eastAsia="宋体" w:cs="Times New Roman"/>
                <w:i w:val="0"/>
                <w:iCs w:val="0"/>
                <w:snapToGrid w:val="0"/>
                <w:color w:val="auto"/>
                <w:kern w:val="0"/>
                <w:sz w:val="18"/>
                <w:szCs w:val="18"/>
                <w:highlight w:val="none"/>
                <w:u w:val="none"/>
                <w:lang w:val="en-US" w:eastAsia="zh-CN" w:bidi="ar"/>
              </w:rPr>
              <w:t xml:space="preserve">3 </w:t>
            </w:r>
          </w:p>
        </w:tc>
        <w:tc>
          <w:tcPr>
            <w:tcW w:w="209" w:type="pct"/>
            <w:tcBorders>
              <w:tl2br w:val="nil"/>
              <w:tr2bl w:val="nil"/>
            </w:tcBorders>
            <w:shd w:val="clear" w:color="auto" w:fill="auto"/>
            <w:vAlign w:val="center"/>
          </w:tcPr>
          <w:p w14:paraId="7B8574A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0.01 </w:t>
            </w:r>
          </w:p>
        </w:tc>
        <w:tc>
          <w:tcPr>
            <w:tcW w:w="219" w:type="pct"/>
            <w:tcBorders>
              <w:tl2br w:val="nil"/>
              <w:tr2bl w:val="nil"/>
            </w:tcBorders>
            <w:shd w:val="clear" w:color="auto" w:fill="auto"/>
            <w:vAlign w:val="center"/>
          </w:tcPr>
          <w:p w14:paraId="1EB5D07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34" w:type="pct"/>
            <w:tcBorders>
              <w:tl2br w:val="nil"/>
              <w:tr2bl w:val="nil"/>
            </w:tcBorders>
            <w:shd w:val="clear" w:color="auto" w:fill="auto"/>
            <w:vAlign w:val="center"/>
          </w:tcPr>
          <w:p w14:paraId="0D22A49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0.50 </w:t>
            </w:r>
          </w:p>
        </w:tc>
        <w:tc>
          <w:tcPr>
            <w:tcW w:w="134" w:type="pct"/>
            <w:tcBorders>
              <w:tl2br w:val="nil"/>
              <w:tr2bl w:val="nil"/>
            </w:tcBorders>
            <w:shd w:val="clear" w:color="auto" w:fill="auto"/>
            <w:vAlign w:val="center"/>
          </w:tcPr>
          <w:p w14:paraId="6B91C46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0DB3002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0.02 </w:t>
            </w:r>
          </w:p>
        </w:tc>
        <w:tc>
          <w:tcPr>
            <w:tcW w:w="172" w:type="pct"/>
            <w:tcBorders>
              <w:tl2br w:val="nil"/>
              <w:tr2bl w:val="nil"/>
            </w:tcBorders>
            <w:shd w:val="clear" w:color="auto" w:fill="auto"/>
            <w:vAlign w:val="center"/>
          </w:tcPr>
          <w:p w14:paraId="7752A08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0.003 </w:t>
            </w:r>
          </w:p>
        </w:tc>
        <w:tc>
          <w:tcPr>
            <w:tcW w:w="172" w:type="pct"/>
            <w:tcBorders>
              <w:tl2br w:val="nil"/>
              <w:tr2bl w:val="nil"/>
            </w:tcBorders>
            <w:shd w:val="clear" w:color="auto" w:fill="auto"/>
            <w:vAlign w:val="center"/>
          </w:tcPr>
          <w:p w14:paraId="58EB402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0.43 </w:t>
            </w:r>
          </w:p>
        </w:tc>
        <w:tc>
          <w:tcPr>
            <w:tcW w:w="135" w:type="pct"/>
            <w:tcBorders>
              <w:tl2br w:val="nil"/>
              <w:tr2bl w:val="nil"/>
            </w:tcBorders>
            <w:shd w:val="clear" w:color="auto" w:fill="auto"/>
            <w:vAlign w:val="center"/>
          </w:tcPr>
          <w:p w14:paraId="3B33968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0.27 </w:t>
            </w:r>
          </w:p>
        </w:tc>
        <w:tc>
          <w:tcPr>
            <w:tcW w:w="133" w:type="pct"/>
            <w:tcBorders>
              <w:tl2br w:val="nil"/>
              <w:tr2bl w:val="nil"/>
            </w:tcBorders>
            <w:shd w:val="clear" w:color="auto" w:fill="auto"/>
            <w:vAlign w:val="center"/>
          </w:tcPr>
          <w:p w14:paraId="511BF87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i w:val="0"/>
                <w:iCs w:val="0"/>
                <w:snapToGrid w:val="0"/>
                <w:color w:val="auto"/>
                <w:kern w:val="0"/>
                <w:sz w:val="18"/>
                <w:szCs w:val="18"/>
                <w:u w:val="none"/>
                <w:lang w:val="en-US" w:eastAsia="zh-CN" w:bidi="ar"/>
              </w:rPr>
              <w:t xml:space="preserve">0.08 </w:t>
            </w:r>
          </w:p>
        </w:tc>
      </w:tr>
      <w:bookmarkEnd w:id="1506"/>
      <w:bookmarkEnd w:id="1507"/>
      <w:tr w14:paraId="0BE56F83">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139" w:type="pct"/>
            <w:vMerge w:val="continue"/>
            <w:tcBorders>
              <w:tl2br w:val="nil"/>
              <w:tr2bl w:val="nil"/>
            </w:tcBorders>
          </w:tcPr>
          <w:p w14:paraId="247605C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18"/>
                <w:szCs w:val="18"/>
                <w:lang w:val="en-US"/>
              </w:rPr>
            </w:pPr>
          </w:p>
        </w:tc>
        <w:tc>
          <w:tcPr>
            <w:tcW w:w="216" w:type="pct"/>
            <w:tcBorders>
              <w:tl2br w:val="nil"/>
              <w:tr2bl w:val="nil"/>
            </w:tcBorders>
            <w:shd w:val="clear" w:color="auto" w:fill="auto"/>
            <w:vAlign w:val="center"/>
          </w:tcPr>
          <w:p w14:paraId="640D14A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default" w:ascii="Times New Roman" w:hAnsi="Times New Roman" w:eastAsia="宋体" w:cs="Times New Roman"/>
                <w:color w:val="auto"/>
                <w:sz w:val="18"/>
                <w:szCs w:val="18"/>
              </w:rPr>
              <w:t>超标率（%）</w:t>
            </w:r>
          </w:p>
        </w:tc>
        <w:tc>
          <w:tcPr>
            <w:tcW w:w="159" w:type="pct"/>
            <w:tcBorders>
              <w:tl2br w:val="nil"/>
              <w:tr2bl w:val="nil"/>
            </w:tcBorders>
            <w:shd w:val="clear" w:color="auto" w:fill="auto"/>
            <w:vAlign w:val="center"/>
          </w:tcPr>
          <w:p w14:paraId="2AB6C98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bookmarkStart w:id="1509" w:name="OLE_LINK519"/>
            <w:r>
              <w:rPr>
                <w:rFonts w:hint="eastAsia" w:ascii="Times New Roman" w:hAnsi="Times New Roman" w:eastAsia="宋体" w:cs="Times New Roman"/>
                <w:color w:val="auto"/>
                <w:sz w:val="18"/>
                <w:szCs w:val="18"/>
                <w:lang w:val="en-US" w:eastAsia="zh-CN"/>
              </w:rPr>
              <w:t>/</w:t>
            </w:r>
            <w:bookmarkEnd w:id="1509"/>
          </w:p>
        </w:tc>
        <w:tc>
          <w:tcPr>
            <w:tcW w:w="157" w:type="pct"/>
            <w:tcBorders>
              <w:tl2br w:val="nil"/>
              <w:tr2bl w:val="nil"/>
            </w:tcBorders>
            <w:shd w:val="clear" w:color="auto" w:fill="auto"/>
            <w:vAlign w:val="center"/>
          </w:tcPr>
          <w:p w14:paraId="6751A1A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59" w:type="pct"/>
            <w:tcBorders>
              <w:tl2br w:val="nil"/>
              <w:tr2bl w:val="nil"/>
            </w:tcBorders>
            <w:shd w:val="clear" w:color="auto" w:fill="auto"/>
            <w:vAlign w:val="center"/>
          </w:tcPr>
          <w:p w14:paraId="424ECF8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5" w:type="pct"/>
            <w:tcBorders>
              <w:tl2br w:val="nil"/>
              <w:tr2bl w:val="nil"/>
            </w:tcBorders>
            <w:shd w:val="clear" w:color="auto" w:fill="auto"/>
            <w:vAlign w:val="center"/>
          </w:tcPr>
          <w:p w14:paraId="349766C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690B3F7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highlight w:val="none"/>
                <w:lang w:val="en-US" w:eastAsia="zh-CN"/>
              </w:rPr>
              <w:t>0</w:t>
            </w:r>
          </w:p>
        </w:tc>
        <w:tc>
          <w:tcPr>
            <w:tcW w:w="140" w:type="pct"/>
            <w:tcBorders>
              <w:tl2br w:val="nil"/>
              <w:tr2bl w:val="nil"/>
            </w:tcBorders>
            <w:shd w:val="clear" w:color="auto" w:fill="auto"/>
            <w:vAlign w:val="center"/>
          </w:tcPr>
          <w:p w14:paraId="1A0879A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highlight w:val="none"/>
                <w:lang w:val="en-US" w:eastAsia="en-US" w:bidi="ar-SA"/>
              </w:rPr>
            </w:pPr>
            <w:r>
              <w:rPr>
                <w:rFonts w:hint="eastAsia" w:ascii="Times New Roman" w:hAnsi="Times New Roman" w:eastAsia="宋体" w:cs="Times New Roman"/>
                <w:color w:val="auto"/>
                <w:sz w:val="18"/>
                <w:szCs w:val="18"/>
                <w:lang w:val="en-US" w:eastAsia="zh-CN"/>
              </w:rPr>
              <w:t>/</w:t>
            </w:r>
          </w:p>
        </w:tc>
        <w:tc>
          <w:tcPr>
            <w:tcW w:w="180" w:type="pct"/>
            <w:tcBorders>
              <w:tl2br w:val="nil"/>
              <w:tr2bl w:val="nil"/>
            </w:tcBorders>
            <w:shd w:val="clear" w:color="auto" w:fill="auto"/>
            <w:vAlign w:val="center"/>
          </w:tcPr>
          <w:p w14:paraId="0474F5B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28" w:type="pct"/>
            <w:tcBorders>
              <w:tl2br w:val="nil"/>
              <w:tr2bl w:val="nil"/>
            </w:tcBorders>
            <w:shd w:val="clear" w:color="auto" w:fill="auto"/>
            <w:vAlign w:val="center"/>
          </w:tcPr>
          <w:p w14:paraId="2DBFE31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177F033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40" w:type="pct"/>
            <w:tcBorders>
              <w:tl2br w:val="nil"/>
              <w:tr2bl w:val="nil"/>
            </w:tcBorders>
            <w:shd w:val="clear" w:color="auto" w:fill="auto"/>
            <w:vAlign w:val="center"/>
          </w:tcPr>
          <w:p w14:paraId="02E7F31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99" w:type="pct"/>
            <w:tcBorders>
              <w:tl2br w:val="nil"/>
              <w:tr2bl w:val="nil"/>
            </w:tcBorders>
            <w:shd w:val="clear" w:color="auto" w:fill="auto"/>
            <w:vAlign w:val="center"/>
          </w:tcPr>
          <w:p w14:paraId="5F65328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0003CE3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0F5D0AA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47C0BD8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80" w:type="pct"/>
            <w:tcBorders>
              <w:tl2br w:val="nil"/>
              <w:tr2bl w:val="nil"/>
            </w:tcBorders>
            <w:shd w:val="clear" w:color="auto" w:fill="auto"/>
            <w:vAlign w:val="center"/>
          </w:tcPr>
          <w:p w14:paraId="518CF24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4A690E9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3532D47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58" w:type="pct"/>
            <w:tcBorders>
              <w:tl2br w:val="nil"/>
              <w:tr2bl w:val="nil"/>
            </w:tcBorders>
            <w:shd w:val="clear" w:color="auto" w:fill="auto"/>
            <w:vAlign w:val="center"/>
          </w:tcPr>
          <w:p w14:paraId="356AFB0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09" w:type="pct"/>
            <w:tcBorders>
              <w:tl2br w:val="nil"/>
              <w:tr2bl w:val="nil"/>
            </w:tcBorders>
            <w:shd w:val="clear" w:color="auto" w:fill="auto"/>
            <w:vAlign w:val="center"/>
          </w:tcPr>
          <w:p w14:paraId="572AF54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219" w:type="pct"/>
            <w:tcBorders>
              <w:tl2br w:val="nil"/>
              <w:tr2bl w:val="nil"/>
            </w:tcBorders>
            <w:shd w:val="clear" w:color="auto" w:fill="auto"/>
            <w:vAlign w:val="center"/>
          </w:tcPr>
          <w:p w14:paraId="498BC62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0699C9C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4" w:type="pct"/>
            <w:tcBorders>
              <w:tl2br w:val="nil"/>
              <w:tr2bl w:val="nil"/>
            </w:tcBorders>
            <w:shd w:val="clear" w:color="auto" w:fill="auto"/>
            <w:vAlign w:val="center"/>
          </w:tcPr>
          <w:p w14:paraId="55DA29A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w:t>
            </w:r>
          </w:p>
        </w:tc>
        <w:tc>
          <w:tcPr>
            <w:tcW w:w="210" w:type="pct"/>
            <w:tcBorders>
              <w:tl2br w:val="nil"/>
              <w:tr2bl w:val="nil"/>
            </w:tcBorders>
            <w:shd w:val="clear" w:color="auto" w:fill="auto"/>
            <w:vAlign w:val="center"/>
          </w:tcPr>
          <w:p w14:paraId="0945AD2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74C6243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72" w:type="pct"/>
            <w:tcBorders>
              <w:tl2br w:val="nil"/>
              <w:tr2bl w:val="nil"/>
            </w:tcBorders>
            <w:shd w:val="clear" w:color="auto" w:fill="auto"/>
            <w:vAlign w:val="center"/>
          </w:tcPr>
          <w:p w14:paraId="567D7B7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5" w:type="pct"/>
            <w:tcBorders>
              <w:tl2br w:val="nil"/>
              <w:tr2bl w:val="nil"/>
            </w:tcBorders>
            <w:shd w:val="clear" w:color="auto" w:fill="auto"/>
            <w:vAlign w:val="center"/>
          </w:tcPr>
          <w:p w14:paraId="10E880A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c>
          <w:tcPr>
            <w:tcW w:w="133" w:type="pct"/>
            <w:tcBorders>
              <w:tl2br w:val="nil"/>
              <w:tr2bl w:val="nil"/>
            </w:tcBorders>
            <w:shd w:val="clear" w:color="auto" w:fill="auto"/>
            <w:vAlign w:val="center"/>
          </w:tcPr>
          <w:p w14:paraId="1277BFC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snapToGrid w:val="0"/>
                <w:color w:val="auto"/>
                <w:kern w:val="0"/>
                <w:sz w:val="18"/>
                <w:szCs w:val="18"/>
                <w:lang w:val="en-US" w:eastAsia="en-US" w:bidi="ar-SA"/>
              </w:rPr>
            </w:pPr>
            <w:r>
              <w:rPr>
                <w:rFonts w:hint="eastAsia" w:ascii="Times New Roman" w:hAnsi="Times New Roman" w:eastAsia="宋体" w:cs="Times New Roman"/>
                <w:color w:val="auto"/>
                <w:sz w:val="18"/>
                <w:szCs w:val="18"/>
                <w:lang w:val="en-US" w:eastAsia="zh-CN"/>
              </w:rPr>
              <w:t>0</w:t>
            </w:r>
          </w:p>
        </w:tc>
      </w:tr>
      <w:bookmarkEnd w:id="1508"/>
    </w:tbl>
    <w:p w14:paraId="2796182B">
      <w:pPr>
        <w:keepNext w:val="0"/>
        <w:keepLines w:val="0"/>
        <w:pageBreakBefore w:val="0"/>
        <w:widowControl/>
        <w:kinsoku w:val="0"/>
        <w:wordWrap/>
        <w:overflowPunct/>
        <w:topLinePunct w:val="0"/>
        <w:autoSpaceDE w:val="0"/>
        <w:autoSpaceDN w:val="0"/>
        <w:bidi w:val="0"/>
        <w:adjustRightInd w:val="0"/>
        <w:snapToGrid w:val="0"/>
        <w:spacing w:before="78" w:line="240" w:lineRule="auto"/>
        <w:ind w:left="2166"/>
        <w:textAlignment w:val="baseline"/>
        <w:rPr>
          <w:rFonts w:hint="eastAsia"/>
          <w:color w:val="auto"/>
          <w:highlight w:val="none"/>
          <w:lang w:val="en-US" w:eastAsia="zh-CN"/>
        </w:rPr>
      </w:pPr>
      <w:bookmarkStart w:id="1510" w:name="sys8445048"/>
      <w:r>
        <w:rPr>
          <w:rFonts w:ascii="宋体" w:hAnsi="宋体" w:eastAsia="宋体" w:cs="宋体"/>
          <w:b/>
          <w:bCs/>
          <w:color w:val="auto"/>
          <w:spacing w:val="-3"/>
          <w:sz w:val="24"/>
          <w:szCs w:val="24"/>
          <w:highlight w:val="none"/>
        </w:rPr>
        <w:t>表</w:t>
      </w:r>
      <w:r>
        <w:rPr>
          <w:rFonts w:ascii="Times New Roman" w:hAnsi="Times New Roman" w:eastAsia="Times New Roman" w:cs="Times New Roman"/>
          <w:b/>
          <w:bCs/>
          <w:color w:val="auto"/>
          <w:spacing w:val="-3"/>
          <w:sz w:val="24"/>
          <w:szCs w:val="24"/>
          <w:highlight w:val="none"/>
        </w:rPr>
        <w:t>6.3-</w:t>
      </w:r>
      <w:r>
        <w:rPr>
          <w:rFonts w:hint="eastAsia" w:ascii="Times New Roman" w:hAnsi="Times New Roman" w:eastAsia="宋体" w:cs="Times New Roman"/>
          <w:b/>
          <w:bCs/>
          <w:color w:val="auto"/>
          <w:spacing w:val="-3"/>
          <w:sz w:val="24"/>
          <w:szCs w:val="24"/>
          <w:highlight w:val="none"/>
          <w:lang w:val="en-US" w:eastAsia="zh-CN"/>
        </w:rPr>
        <w:t>16（2）  地表水环境质量现状监测结果</w:t>
      </w:r>
      <w:r>
        <w:rPr>
          <w:rFonts w:hint="eastAsia" w:ascii="宋体" w:hAnsi="宋体" w:eastAsia="宋体" w:cs="宋体"/>
          <w:b/>
          <w:bCs/>
          <w:color w:val="auto"/>
          <w:spacing w:val="-3"/>
          <w:sz w:val="24"/>
          <w:szCs w:val="24"/>
          <w:highlight w:val="none"/>
          <w:lang w:val="en-US" w:eastAsia="zh-CN"/>
        </w:rPr>
        <w:t xml:space="preserve">   </w:t>
      </w:r>
      <w:r>
        <w:rPr>
          <w:rFonts w:ascii="宋体" w:hAnsi="宋体" w:eastAsia="宋体" w:cs="宋体"/>
          <w:b/>
          <w:bCs/>
          <w:color w:val="auto"/>
          <w:spacing w:val="-3"/>
          <w:sz w:val="24"/>
          <w:szCs w:val="24"/>
          <w:highlight w:val="none"/>
        </w:rPr>
        <w:t>单位：</w:t>
      </w:r>
      <w:r>
        <w:rPr>
          <w:rFonts w:ascii="Times New Roman" w:hAnsi="Times New Roman" w:eastAsia="Times New Roman" w:cs="Times New Roman"/>
          <w:b/>
          <w:bCs/>
          <w:color w:val="auto"/>
          <w:spacing w:val="-3"/>
          <w:sz w:val="24"/>
          <w:szCs w:val="24"/>
          <w:highlight w:val="none"/>
        </w:rPr>
        <w:t>mg/L</w:t>
      </w:r>
      <w:r>
        <w:rPr>
          <w:rFonts w:ascii="宋体" w:hAnsi="宋体" w:eastAsia="宋体" w:cs="宋体"/>
          <w:b/>
          <w:bCs/>
          <w:color w:val="auto"/>
          <w:spacing w:val="-3"/>
          <w:sz w:val="24"/>
          <w:szCs w:val="24"/>
          <w:highlight w:val="none"/>
        </w:rPr>
        <w:t>，水温单位为</w:t>
      </w:r>
      <w:r>
        <w:rPr>
          <w:rFonts w:ascii="Times New Roman" w:hAnsi="Times New Roman" w:eastAsia="Times New Roman" w:cs="Times New Roman"/>
          <w:b/>
          <w:bCs/>
          <w:color w:val="auto"/>
          <w:spacing w:val="-3"/>
          <w:sz w:val="24"/>
          <w:szCs w:val="24"/>
          <w:highlight w:val="none"/>
        </w:rPr>
        <w:t>℃</w:t>
      </w:r>
      <w:r>
        <w:rPr>
          <w:rFonts w:ascii="宋体" w:hAnsi="宋体" w:eastAsia="宋体" w:cs="宋体"/>
          <w:b/>
          <w:bCs/>
          <w:color w:val="auto"/>
          <w:spacing w:val="-3"/>
          <w:sz w:val="24"/>
          <w:szCs w:val="24"/>
          <w:highlight w:val="none"/>
        </w:rPr>
        <w:t>,</w:t>
      </w:r>
      <w:r>
        <w:rPr>
          <w:rFonts w:ascii="Times New Roman" w:hAnsi="Times New Roman" w:eastAsia="Times New Roman" w:cs="Times New Roman"/>
          <w:b/>
          <w:bCs/>
          <w:color w:val="auto"/>
          <w:spacing w:val="-3"/>
          <w:sz w:val="24"/>
          <w:szCs w:val="24"/>
          <w:highlight w:val="none"/>
        </w:rPr>
        <w:t>pH</w:t>
      </w:r>
      <w:r>
        <w:rPr>
          <w:rFonts w:ascii="宋体" w:hAnsi="宋体" w:eastAsia="宋体" w:cs="宋体"/>
          <w:b/>
          <w:bCs/>
          <w:color w:val="auto"/>
          <w:spacing w:val="-3"/>
          <w:sz w:val="24"/>
          <w:szCs w:val="24"/>
          <w:highlight w:val="none"/>
        </w:rPr>
        <w:t>无量纲</w:t>
      </w:r>
      <w:bookmarkEnd w:id="1510"/>
      <w:bookmarkStart w:id="1511" w:name="pindex8445"/>
      <w:bookmarkEnd w:id="1511"/>
    </w:p>
    <w:tbl>
      <w:tblPr>
        <w:tblStyle w:val="26"/>
        <w:tblW w:w="5038"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autofit"/>
        <w:tblCellMar>
          <w:top w:w="0" w:type="dxa"/>
          <w:left w:w="0" w:type="dxa"/>
          <w:bottom w:w="0" w:type="dxa"/>
          <w:right w:w="0" w:type="dxa"/>
        </w:tblCellMar>
      </w:tblPr>
      <w:tblGrid>
        <w:gridCol w:w="597"/>
        <w:gridCol w:w="724"/>
        <w:gridCol w:w="636"/>
        <w:gridCol w:w="683"/>
        <w:gridCol w:w="683"/>
        <w:gridCol w:w="620"/>
        <w:gridCol w:w="620"/>
        <w:gridCol w:w="527"/>
        <w:gridCol w:w="524"/>
        <w:gridCol w:w="666"/>
        <w:gridCol w:w="552"/>
        <w:gridCol w:w="552"/>
        <w:gridCol w:w="484"/>
        <w:gridCol w:w="836"/>
        <w:gridCol w:w="550"/>
        <w:gridCol w:w="564"/>
        <w:gridCol w:w="483"/>
        <w:gridCol w:w="589"/>
        <w:gridCol w:w="615"/>
        <w:gridCol w:w="483"/>
        <w:gridCol w:w="589"/>
        <w:gridCol w:w="510"/>
        <w:gridCol w:w="496"/>
        <w:gridCol w:w="544"/>
      </w:tblGrid>
      <w:tr w14:paraId="26FBBA7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049" w:hRule="atLeast"/>
          <w:tblHeader/>
        </w:trPr>
        <w:tc>
          <w:tcPr>
            <w:tcW w:w="211" w:type="pct"/>
            <w:tcBorders>
              <w:tl2br w:val="nil"/>
              <w:tr2bl w:val="nil"/>
            </w:tcBorders>
            <w:shd w:val="clear" w:color="auto" w:fill="auto"/>
            <w:vAlign w:val="center"/>
          </w:tcPr>
          <w:p w14:paraId="632E4F05">
            <w:pPr>
              <w:bidi w:val="0"/>
              <w:jc w:val="center"/>
              <w:rPr>
                <w:rFonts w:hint="default" w:ascii="Times New Roman" w:hAnsi="Times New Roman" w:eastAsia="宋体" w:cs="Times New Roman"/>
                <w:b/>
                <w:bCs/>
                <w:snapToGrid w:val="0"/>
                <w:color w:val="auto"/>
                <w:kern w:val="0"/>
                <w:sz w:val="21"/>
                <w:szCs w:val="21"/>
                <w:lang w:val="en-US" w:eastAsia="en-US" w:bidi="ar-SA"/>
              </w:rPr>
            </w:pPr>
            <w:bookmarkStart w:id="1512" w:name="OLE_LINK521" w:colFirst="0" w:colLast="23"/>
            <w:bookmarkStart w:id="1513" w:name="OLE_LINK6" w:colFirst="8" w:colLast="9"/>
            <w:r>
              <w:rPr>
                <w:rFonts w:hint="default" w:ascii="Times New Roman" w:hAnsi="Times New Roman" w:eastAsia="宋体" w:cs="Times New Roman"/>
                <w:b/>
                <w:bCs/>
                <w:color w:val="auto"/>
                <w:sz w:val="21"/>
                <w:szCs w:val="21"/>
              </w:rPr>
              <w:t>监测断面</w:t>
            </w:r>
          </w:p>
        </w:tc>
        <w:tc>
          <w:tcPr>
            <w:tcW w:w="255" w:type="pct"/>
            <w:tcBorders>
              <w:tl2br w:val="nil"/>
              <w:tr2bl w:val="nil"/>
            </w:tcBorders>
            <w:shd w:val="clear" w:color="auto" w:fill="auto"/>
            <w:vAlign w:val="center"/>
          </w:tcPr>
          <w:p w14:paraId="33ABF0EA">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sz w:val="21"/>
                <w:szCs w:val="21"/>
              </w:rPr>
              <w:t>监测项目</w:t>
            </w:r>
          </w:p>
        </w:tc>
        <w:tc>
          <w:tcPr>
            <w:tcW w:w="225" w:type="pct"/>
            <w:tcBorders>
              <w:tl2br w:val="nil"/>
              <w:tr2bl w:val="nil"/>
            </w:tcBorders>
            <w:shd w:val="clear" w:color="auto" w:fill="auto"/>
            <w:vAlign w:val="center"/>
          </w:tcPr>
          <w:p w14:paraId="7F06959A">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sz w:val="21"/>
                <w:szCs w:val="21"/>
              </w:rPr>
              <w:t>水温℃</w:t>
            </w:r>
          </w:p>
        </w:tc>
        <w:tc>
          <w:tcPr>
            <w:tcW w:w="241" w:type="pct"/>
            <w:tcBorders>
              <w:tl2br w:val="nil"/>
              <w:tr2bl w:val="nil"/>
            </w:tcBorders>
            <w:shd w:val="clear" w:color="auto" w:fill="auto"/>
            <w:vAlign w:val="center"/>
          </w:tcPr>
          <w:p w14:paraId="189A15B8">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sz w:val="21"/>
                <w:szCs w:val="21"/>
              </w:rPr>
              <w:t>pH</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无量纲</w:t>
            </w:r>
            <w:r>
              <w:rPr>
                <w:rFonts w:hint="default" w:ascii="Times New Roman" w:hAnsi="Times New Roman" w:eastAsia="宋体" w:cs="Times New Roman"/>
                <w:b/>
                <w:bCs/>
                <w:color w:val="auto"/>
                <w:sz w:val="21"/>
                <w:szCs w:val="21"/>
                <w:lang w:eastAsia="zh-CN"/>
              </w:rPr>
              <w:t>）</w:t>
            </w:r>
          </w:p>
        </w:tc>
        <w:tc>
          <w:tcPr>
            <w:tcW w:w="241" w:type="pct"/>
            <w:tcBorders>
              <w:tl2br w:val="nil"/>
              <w:tr2bl w:val="nil"/>
            </w:tcBorders>
            <w:shd w:val="clear" w:color="auto" w:fill="auto"/>
            <w:vAlign w:val="center"/>
          </w:tcPr>
          <w:p w14:paraId="41A1AAA2">
            <w:pPr>
              <w:bidi w:val="0"/>
              <w:jc w:val="center"/>
              <w:rPr>
                <w:rFonts w:hint="default" w:ascii="Times New Roman" w:hAnsi="Times New Roman" w:eastAsia="宋体" w:cs="Times New Roman"/>
                <w:b/>
                <w:bCs/>
                <w:snapToGrid w:val="0"/>
                <w:color w:val="auto"/>
                <w:kern w:val="0"/>
                <w:sz w:val="21"/>
                <w:szCs w:val="21"/>
                <w:highlight w:val="none"/>
                <w:lang w:val="en-US" w:eastAsia="en-US" w:bidi="ar-SA"/>
              </w:rPr>
            </w:pPr>
            <w:r>
              <w:rPr>
                <w:rFonts w:hint="default" w:ascii="Times New Roman" w:hAnsi="Times New Roman" w:eastAsia="宋体" w:cs="Times New Roman"/>
                <w:b/>
                <w:bCs/>
                <w:color w:val="auto"/>
                <w:sz w:val="21"/>
                <w:szCs w:val="21"/>
                <w:highlight w:val="none"/>
              </w:rPr>
              <w:t>溶解氧</w:t>
            </w:r>
          </w:p>
        </w:tc>
        <w:tc>
          <w:tcPr>
            <w:tcW w:w="219" w:type="pct"/>
            <w:tcBorders>
              <w:tl2br w:val="nil"/>
              <w:tr2bl w:val="nil"/>
            </w:tcBorders>
            <w:shd w:val="clear" w:color="auto" w:fill="auto"/>
            <w:vAlign w:val="center"/>
          </w:tcPr>
          <w:p w14:paraId="6A23CE45">
            <w:pPr>
              <w:bidi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透明度</w:t>
            </w:r>
          </w:p>
        </w:tc>
        <w:tc>
          <w:tcPr>
            <w:tcW w:w="219" w:type="pct"/>
            <w:tcBorders>
              <w:tl2br w:val="nil"/>
              <w:tr2bl w:val="nil"/>
            </w:tcBorders>
            <w:shd w:val="clear" w:color="auto" w:fill="auto"/>
            <w:vAlign w:val="center"/>
          </w:tcPr>
          <w:p w14:paraId="1DFBB047">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kern w:val="2"/>
                <w:sz w:val="21"/>
                <w:szCs w:val="21"/>
                <w:highlight w:val="none"/>
                <w:lang w:val="en-US" w:eastAsia="zh-CN" w:bidi="ar-SA"/>
              </w:rPr>
              <w:t>五日生化需氧量</w:t>
            </w:r>
          </w:p>
        </w:tc>
        <w:tc>
          <w:tcPr>
            <w:tcW w:w="186" w:type="pct"/>
            <w:tcBorders>
              <w:tl2br w:val="nil"/>
              <w:tr2bl w:val="nil"/>
            </w:tcBorders>
            <w:shd w:val="clear" w:color="auto" w:fill="auto"/>
            <w:vAlign w:val="center"/>
          </w:tcPr>
          <w:p w14:paraId="7E88D5B9">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sz w:val="21"/>
                <w:szCs w:val="21"/>
              </w:rPr>
              <w:t>化学需氧量</w:t>
            </w:r>
          </w:p>
        </w:tc>
        <w:tc>
          <w:tcPr>
            <w:tcW w:w="185" w:type="pct"/>
            <w:tcBorders>
              <w:tl2br w:val="nil"/>
              <w:tr2bl w:val="nil"/>
            </w:tcBorders>
            <w:shd w:val="clear" w:color="auto" w:fill="auto"/>
            <w:vAlign w:val="center"/>
          </w:tcPr>
          <w:p w14:paraId="3BE142F7">
            <w:pPr>
              <w:bidi w:val="0"/>
              <w:jc w:val="center"/>
              <w:rPr>
                <w:rFonts w:hint="default" w:ascii="Times New Roman" w:hAnsi="Times New Roman" w:eastAsia="宋体" w:cs="Times New Roman"/>
                <w:b/>
                <w:bCs/>
                <w:snapToGrid w:val="0"/>
                <w:color w:val="auto"/>
                <w:kern w:val="0"/>
                <w:sz w:val="21"/>
                <w:szCs w:val="21"/>
                <w:highlight w:val="none"/>
                <w:lang w:val="en-US" w:eastAsia="en-US" w:bidi="ar-SA"/>
              </w:rPr>
            </w:pPr>
            <w:r>
              <w:rPr>
                <w:rFonts w:hint="default" w:ascii="Times New Roman" w:hAnsi="Times New Roman" w:eastAsia="宋体" w:cs="Times New Roman"/>
                <w:b/>
                <w:bCs/>
                <w:color w:val="auto"/>
                <w:sz w:val="21"/>
                <w:szCs w:val="21"/>
                <w:highlight w:val="none"/>
                <w:lang w:val="en-US" w:eastAsia="zh-CN"/>
              </w:rPr>
              <w:t>总氮</w:t>
            </w:r>
          </w:p>
        </w:tc>
        <w:tc>
          <w:tcPr>
            <w:tcW w:w="235" w:type="pct"/>
            <w:tcBorders>
              <w:tl2br w:val="nil"/>
              <w:tr2bl w:val="nil"/>
            </w:tcBorders>
            <w:shd w:val="clear" w:color="auto" w:fill="auto"/>
            <w:vAlign w:val="center"/>
          </w:tcPr>
          <w:p w14:paraId="2D82143E">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sz w:val="21"/>
                <w:szCs w:val="21"/>
              </w:rPr>
              <w:t>氨氮</w:t>
            </w:r>
          </w:p>
        </w:tc>
        <w:tc>
          <w:tcPr>
            <w:tcW w:w="195" w:type="pct"/>
            <w:tcBorders>
              <w:tl2br w:val="nil"/>
              <w:tr2bl w:val="nil"/>
            </w:tcBorders>
            <w:shd w:val="clear" w:color="auto" w:fill="auto"/>
            <w:vAlign w:val="center"/>
          </w:tcPr>
          <w:p w14:paraId="3EF8F5F1">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sz w:val="21"/>
                <w:szCs w:val="21"/>
              </w:rPr>
              <w:t>总磷</w:t>
            </w:r>
          </w:p>
        </w:tc>
        <w:tc>
          <w:tcPr>
            <w:tcW w:w="195" w:type="pct"/>
            <w:tcBorders>
              <w:tl2br w:val="nil"/>
              <w:tr2bl w:val="nil"/>
            </w:tcBorders>
            <w:shd w:val="clear" w:color="auto" w:fill="auto"/>
            <w:vAlign w:val="center"/>
          </w:tcPr>
          <w:p w14:paraId="4EF58B0A">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sz w:val="21"/>
                <w:szCs w:val="21"/>
              </w:rPr>
              <w:t>石油类</w:t>
            </w:r>
          </w:p>
        </w:tc>
        <w:tc>
          <w:tcPr>
            <w:tcW w:w="171" w:type="pct"/>
            <w:tcBorders>
              <w:tl2br w:val="nil"/>
              <w:tr2bl w:val="nil"/>
            </w:tcBorders>
            <w:shd w:val="clear" w:color="auto" w:fill="auto"/>
            <w:vAlign w:val="center"/>
          </w:tcPr>
          <w:p w14:paraId="6C00F936">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sz w:val="21"/>
                <w:szCs w:val="21"/>
              </w:rPr>
              <w:t>硫化物</w:t>
            </w:r>
          </w:p>
        </w:tc>
        <w:tc>
          <w:tcPr>
            <w:tcW w:w="295" w:type="pct"/>
            <w:tcBorders>
              <w:tl2br w:val="nil"/>
              <w:tr2bl w:val="nil"/>
            </w:tcBorders>
            <w:shd w:val="clear" w:color="auto" w:fill="auto"/>
            <w:vAlign w:val="center"/>
          </w:tcPr>
          <w:p w14:paraId="410ABD72">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sz w:val="21"/>
                <w:szCs w:val="21"/>
                <w:highlight w:val="none"/>
              </w:rPr>
              <w:t>镉</w:t>
            </w:r>
          </w:p>
        </w:tc>
        <w:tc>
          <w:tcPr>
            <w:tcW w:w="194" w:type="pct"/>
            <w:tcBorders>
              <w:tl2br w:val="nil"/>
              <w:tr2bl w:val="nil"/>
            </w:tcBorders>
            <w:shd w:val="clear" w:color="auto" w:fill="auto"/>
            <w:vAlign w:val="center"/>
          </w:tcPr>
          <w:p w14:paraId="4B12E6D1">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sz w:val="21"/>
                <w:szCs w:val="21"/>
              </w:rPr>
              <w:t>六价铬</w:t>
            </w:r>
          </w:p>
        </w:tc>
        <w:tc>
          <w:tcPr>
            <w:tcW w:w="199" w:type="pct"/>
            <w:tcBorders>
              <w:tl2br w:val="nil"/>
              <w:tr2bl w:val="nil"/>
            </w:tcBorders>
            <w:shd w:val="clear" w:color="auto" w:fill="auto"/>
            <w:vAlign w:val="center"/>
          </w:tcPr>
          <w:p w14:paraId="47DFFA60">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sz w:val="21"/>
                <w:szCs w:val="21"/>
              </w:rPr>
              <w:t>锌</w:t>
            </w:r>
          </w:p>
        </w:tc>
        <w:tc>
          <w:tcPr>
            <w:tcW w:w="170" w:type="pct"/>
            <w:tcBorders>
              <w:tl2br w:val="nil"/>
              <w:tr2bl w:val="nil"/>
            </w:tcBorders>
            <w:shd w:val="clear" w:color="auto" w:fill="auto"/>
            <w:vAlign w:val="center"/>
          </w:tcPr>
          <w:p w14:paraId="152DD1B5">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kern w:val="2"/>
                <w:sz w:val="21"/>
                <w:szCs w:val="21"/>
                <w:highlight w:val="none"/>
                <w:lang w:val="en-US" w:eastAsia="zh-CN" w:bidi="ar-SA"/>
              </w:rPr>
              <w:t>锰</w:t>
            </w:r>
          </w:p>
        </w:tc>
        <w:tc>
          <w:tcPr>
            <w:tcW w:w="208" w:type="pct"/>
            <w:tcBorders>
              <w:tl2br w:val="nil"/>
              <w:tr2bl w:val="nil"/>
            </w:tcBorders>
            <w:shd w:val="clear" w:color="auto" w:fill="auto"/>
            <w:vAlign w:val="center"/>
          </w:tcPr>
          <w:p w14:paraId="0E7D31A9">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sz w:val="21"/>
                <w:szCs w:val="21"/>
              </w:rPr>
              <w:t>铅</w:t>
            </w:r>
          </w:p>
        </w:tc>
        <w:tc>
          <w:tcPr>
            <w:tcW w:w="217" w:type="pct"/>
            <w:tcBorders>
              <w:tl2br w:val="nil"/>
              <w:tr2bl w:val="nil"/>
            </w:tcBorders>
            <w:shd w:val="clear" w:color="auto" w:fill="auto"/>
            <w:vAlign w:val="center"/>
          </w:tcPr>
          <w:p w14:paraId="75B5BC29">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sz w:val="21"/>
                <w:szCs w:val="21"/>
                <w:highlight w:val="none"/>
              </w:rPr>
              <w:t>砷</w:t>
            </w:r>
          </w:p>
        </w:tc>
        <w:tc>
          <w:tcPr>
            <w:tcW w:w="170" w:type="pct"/>
            <w:tcBorders>
              <w:tl2br w:val="nil"/>
              <w:tr2bl w:val="nil"/>
            </w:tcBorders>
            <w:shd w:val="clear" w:color="auto" w:fill="auto"/>
            <w:vAlign w:val="center"/>
          </w:tcPr>
          <w:p w14:paraId="6CEC03DF">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kern w:val="2"/>
                <w:sz w:val="21"/>
                <w:szCs w:val="21"/>
                <w:highlight w:val="none"/>
                <w:lang w:val="en-US" w:eastAsia="zh-CN" w:bidi="ar-SA"/>
              </w:rPr>
              <w:t>镍</w:t>
            </w:r>
          </w:p>
        </w:tc>
        <w:tc>
          <w:tcPr>
            <w:tcW w:w="208" w:type="pct"/>
            <w:tcBorders>
              <w:tl2br w:val="nil"/>
              <w:tr2bl w:val="nil"/>
            </w:tcBorders>
            <w:shd w:val="clear" w:color="auto" w:fill="auto"/>
            <w:vAlign w:val="center"/>
          </w:tcPr>
          <w:p w14:paraId="63D7F0D0">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kern w:val="2"/>
                <w:sz w:val="21"/>
                <w:szCs w:val="21"/>
                <w:highlight w:val="none"/>
                <w:lang w:val="en-US" w:eastAsia="zh-CN" w:bidi="ar-SA"/>
              </w:rPr>
              <w:t>挥发酚</w:t>
            </w:r>
          </w:p>
        </w:tc>
        <w:tc>
          <w:tcPr>
            <w:tcW w:w="180" w:type="pct"/>
            <w:tcBorders>
              <w:tl2br w:val="nil"/>
              <w:tr2bl w:val="nil"/>
            </w:tcBorders>
            <w:shd w:val="clear" w:color="auto" w:fill="auto"/>
            <w:vAlign w:val="center"/>
          </w:tcPr>
          <w:p w14:paraId="492EE65F">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kern w:val="2"/>
                <w:sz w:val="21"/>
                <w:szCs w:val="21"/>
                <w:highlight w:val="none"/>
                <w:lang w:val="en-US" w:eastAsia="zh-CN" w:bidi="ar-SA"/>
              </w:rPr>
              <w:t>高锰酸盐指数</w:t>
            </w:r>
          </w:p>
        </w:tc>
        <w:tc>
          <w:tcPr>
            <w:tcW w:w="175" w:type="pct"/>
            <w:tcBorders>
              <w:tl2br w:val="nil"/>
              <w:tr2bl w:val="nil"/>
            </w:tcBorders>
            <w:shd w:val="clear" w:color="auto" w:fill="auto"/>
            <w:vAlign w:val="center"/>
          </w:tcPr>
          <w:p w14:paraId="42BA50A4">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kern w:val="2"/>
                <w:sz w:val="21"/>
                <w:szCs w:val="21"/>
                <w:highlight w:val="none"/>
                <w:lang w:val="en-US" w:eastAsia="zh-CN" w:bidi="ar-SA"/>
              </w:rPr>
              <w:t>氟化物</w:t>
            </w:r>
          </w:p>
        </w:tc>
        <w:tc>
          <w:tcPr>
            <w:tcW w:w="192" w:type="pct"/>
            <w:tcBorders>
              <w:tl2br w:val="nil"/>
              <w:tr2bl w:val="nil"/>
            </w:tcBorders>
            <w:shd w:val="clear" w:color="auto" w:fill="auto"/>
            <w:vAlign w:val="center"/>
          </w:tcPr>
          <w:p w14:paraId="11D9B870">
            <w:pPr>
              <w:bidi w:val="0"/>
              <w:jc w:val="center"/>
              <w:rPr>
                <w:rFonts w:hint="default" w:ascii="Times New Roman" w:hAnsi="Times New Roman" w:eastAsia="宋体" w:cs="Times New Roman"/>
                <w:b/>
                <w:bCs/>
                <w:snapToGrid w:val="0"/>
                <w:color w:val="auto"/>
                <w:kern w:val="0"/>
                <w:sz w:val="21"/>
                <w:szCs w:val="21"/>
                <w:lang w:val="en-US" w:eastAsia="en-US" w:bidi="ar-SA"/>
              </w:rPr>
            </w:pPr>
            <w:r>
              <w:rPr>
                <w:rFonts w:hint="default" w:ascii="Times New Roman" w:hAnsi="Times New Roman" w:eastAsia="宋体" w:cs="Times New Roman"/>
                <w:b/>
                <w:bCs/>
                <w:color w:val="auto"/>
                <w:kern w:val="2"/>
                <w:sz w:val="21"/>
                <w:szCs w:val="21"/>
                <w:highlight w:val="none"/>
                <w:lang w:val="en-US" w:eastAsia="zh-CN" w:bidi="ar-SA"/>
              </w:rPr>
              <w:t>阴离子表面活性剂</w:t>
            </w:r>
          </w:p>
        </w:tc>
      </w:tr>
      <w:bookmarkEnd w:id="1512"/>
      <w:tr w14:paraId="09427637">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467" w:type="pct"/>
            <w:gridSpan w:val="2"/>
            <w:tcBorders>
              <w:tl2br w:val="nil"/>
              <w:tr2bl w:val="nil"/>
            </w:tcBorders>
            <w:shd w:val="clear" w:color="auto" w:fill="auto"/>
            <w:vAlign w:val="center"/>
          </w:tcPr>
          <w:p w14:paraId="631E4D00">
            <w:pPr>
              <w:bidi w:val="0"/>
              <w:jc w:val="center"/>
              <w:rPr>
                <w:rFonts w:hint="default" w:ascii="Times New Roman" w:hAnsi="Times New Roman" w:eastAsia="宋体" w:cs="Times New Roman"/>
                <w:b w:val="0"/>
                <w:bCs w:val="0"/>
                <w:color w:val="auto"/>
                <w:sz w:val="21"/>
                <w:szCs w:val="21"/>
              </w:rPr>
            </w:pPr>
            <w:bookmarkStart w:id="1514" w:name="OLE_LINK7" w:colFirst="7" w:colLast="9"/>
            <w:bookmarkStart w:id="1515" w:name="OLE_LINK481" w:colFirst="0" w:colLast="23"/>
            <w:r>
              <w:rPr>
                <w:rFonts w:hint="eastAsia" w:ascii="Times New Roman" w:hAnsi="Times New Roman" w:eastAsia="宋体" w:cs="Times New Roman"/>
                <w:b w:val="0"/>
                <w:bCs w:val="0"/>
                <w:color w:val="auto"/>
                <w:sz w:val="21"/>
                <w:szCs w:val="21"/>
                <w:lang w:val="en-US" w:eastAsia="zh-CN"/>
              </w:rPr>
              <w:t>Ⅲ类限值</w:t>
            </w:r>
          </w:p>
        </w:tc>
        <w:tc>
          <w:tcPr>
            <w:tcW w:w="225" w:type="pct"/>
            <w:tcBorders>
              <w:tl2br w:val="nil"/>
              <w:tr2bl w:val="nil"/>
            </w:tcBorders>
            <w:shd w:val="clear" w:color="auto" w:fill="auto"/>
            <w:vAlign w:val="center"/>
          </w:tcPr>
          <w:p w14:paraId="49582205">
            <w:pPr>
              <w:bidi w:val="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241" w:type="pct"/>
            <w:tcBorders>
              <w:tl2br w:val="nil"/>
              <w:tr2bl w:val="nil"/>
            </w:tcBorders>
            <w:shd w:val="clear" w:color="auto" w:fill="auto"/>
            <w:vAlign w:val="center"/>
          </w:tcPr>
          <w:p w14:paraId="21DB2F0D">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6-9</w:t>
            </w:r>
          </w:p>
        </w:tc>
        <w:tc>
          <w:tcPr>
            <w:tcW w:w="241" w:type="pct"/>
            <w:tcBorders>
              <w:tl2br w:val="nil"/>
              <w:tr2bl w:val="nil"/>
            </w:tcBorders>
            <w:shd w:val="clear" w:color="auto" w:fill="auto"/>
            <w:vAlign w:val="center"/>
          </w:tcPr>
          <w:p w14:paraId="7998871C">
            <w:pPr>
              <w:bidi w:val="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w:t>
            </w:r>
          </w:p>
        </w:tc>
        <w:tc>
          <w:tcPr>
            <w:tcW w:w="219" w:type="pct"/>
            <w:tcBorders>
              <w:tl2br w:val="nil"/>
              <w:tr2bl w:val="nil"/>
            </w:tcBorders>
            <w:shd w:val="clear" w:color="auto" w:fill="auto"/>
            <w:vAlign w:val="center"/>
          </w:tcPr>
          <w:p w14:paraId="522F8E21">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p>
        </w:tc>
        <w:tc>
          <w:tcPr>
            <w:tcW w:w="219" w:type="pct"/>
            <w:tcBorders>
              <w:tl2br w:val="nil"/>
              <w:tr2bl w:val="nil"/>
            </w:tcBorders>
            <w:shd w:val="clear" w:color="auto" w:fill="auto"/>
            <w:vAlign w:val="center"/>
          </w:tcPr>
          <w:p w14:paraId="43465E17">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4</w:t>
            </w:r>
          </w:p>
        </w:tc>
        <w:tc>
          <w:tcPr>
            <w:tcW w:w="186" w:type="pct"/>
            <w:tcBorders>
              <w:tl2br w:val="nil"/>
              <w:tr2bl w:val="nil"/>
            </w:tcBorders>
            <w:shd w:val="clear" w:color="auto" w:fill="auto"/>
            <w:vAlign w:val="center"/>
          </w:tcPr>
          <w:p w14:paraId="43563878">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w:t>
            </w:r>
          </w:p>
        </w:tc>
        <w:tc>
          <w:tcPr>
            <w:tcW w:w="185" w:type="pct"/>
            <w:tcBorders>
              <w:tl2br w:val="nil"/>
              <w:tr2bl w:val="nil"/>
            </w:tcBorders>
            <w:shd w:val="clear" w:color="auto" w:fill="auto"/>
            <w:vAlign w:val="center"/>
          </w:tcPr>
          <w:p w14:paraId="3EA4ECFE">
            <w:pPr>
              <w:bidi w:val="0"/>
              <w:jc w:val="center"/>
              <w:rPr>
                <w:rFonts w:hint="default" w:ascii="Times New Roman" w:hAnsi="Times New Roman" w:eastAsia="宋体" w:cs="Times New Roman"/>
                <w:b w:val="0"/>
                <w:bCs w:val="0"/>
                <w:color w:val="auto"/>
                <w:sz w:val="21"/>
                <w:szCs w:val="21"/>
                <w:highlight w:val="none"/>
                <w:lang w:val="en-US" w:eastAsia="zh-CN"/>
              </w:rPr>
            </w:pPr>
            <w:bookmarkStart w:id="1516" w:name="OLE_LINK2"/>
            <w:bookmarkStart w:id="1517" w:name="OLE_LINK3"/>
            <w:r>
              <w:rPr>
                <w:rFonts w:hint="eastAsia" w:ascii="Times New Roman" w:hAnsi="Times New Roman" w:eastAsia="宋体" w:cs="Times New Roman"/>
                <w:b w:val="0"/>
                <w:bCs w:val="0"/>
                <w:color w:val="auto"/>
                <w:sz w:val="21"/>
                <w:szCs w:val="21"/>
                <w:highlight w:val="none"/>
                <w:lang w:val="en-US" w:eastAsia="zh-CN"/>
              </w:rPr>
              <w:t>1.0</w:t>
            </w:r>
            <w:bookmarkEnd w:id="1516"/>
            <w:bookmarkEnd w:id="1517"/>
          </w:p>
        </w:tc>
        <w:tc>
          <w:tcPr>
            <w:tcW w:w="235" w:type="pct"/>
            <w:tcBorders>
              <w:tl2br w:val="nil"/>
              <w:tr2bl w:val="nil"/>
            </w:tcBorders>
            <w:shd w:val="clear" w:color="auto" w:fill="auto"/>
            <w:vAlign w:val="center"/>
          </w:tcPr>
          <w:p w14:paraId="08CC3ACF">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w:t>
            </w:r>
          </w:p>
        </w:tc>
        <w:tc>
          <w:tcPr>
            <w:tcW w:w="195" w:type="pct"/>
            <w:tcBorders>
              <w:tl2br w:val="nil"/>
              <w:tr2bl w:val="nil"/>
            </w:tcBorders>
            <w:shd w:val="clear" w:color="auto" w:fill="auto"/>
            <w:vAlign w:val="center"/>
          </w:tcPr>
          <w:p w14:paraId="429F68AF">
            <w:pPr>
              <w:bidi w:val="0"/>
              <w:jc w:val="center"/>
              <w:rPr>
                <w:rFonts w:hint="default" w:ascii="Times New Roman" w:hAnsi="Times New Roman" w:eastAsia="宋体" w:cs="Times New Roman"/>
                <w:b w:val="0"/>
                <w:bCs w:val="0"/>
                <w:color w:val="auto"/>
                <w:sz w:val="21"/>
                <w:szCs w:val="21"/>
                <w:lang w:val="en-US" w:eastAsia="zh-CN"/>
              </w:rPr>
            </w:pPr>
            <w:bookmarkStart w:id="1518" w:name="OLE_LINK5"/>
            <w:bookmarkStart w:id="1519" w:name="OLE_LINK4"/>
            <w:r>
              <w:rPr>
                <w:rFonts w:hint="eastAsia" w:ascii="Times New Roman" w:hAnsi="Times New Roman" w:eastAsia="宋体" w:cs="Times New Roman"/>
                <w:b w:val="0"/>
                <w:bCs w:val="0"/>
                <w:color w:val="auto"/>
                <w:sz w:val="21"/>
                <w:szCs w:val="21"/>
                <w:lang w:val="en-US" w:eastAsia="zh-CN"/>
              </w:rPr>
              <w:t>0.05</w:t>
            </w:r>
            <w:bookmarkEnd w:id="1518"/>
            <w:bookmarkEnd w:id="1519"/>
          </w:p>
        </w:tc>
        <w:tc>
          <w:tcPr>
            <w:tcW w:w="195" w:type="pct"/>
            <w:tcBorders>
              <w:tl2br w:val="nil"/>
              <w:tr2bl w:val="nil"/>
            </w:tcBorders>
            <w:shd w:val="clear" w:color="auto" w:fill="auto"/>
            <w:vAlign w:val="center"/>
          </w:tcPr>
          <w:p w14:paraId="7E04FAED">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0.05</w:t>
            </w:r>
          </w:p>
        </w:tc>
        <w:tc>
          <w:tcPr>
            <w:tcW w:w="171" w:type="pct"/>
            <w:tcBorders>
              <w:tl2br w:val="nil"/>
              <w:tr2bl w:val="nil"/>
            </w:tcBorders>
            <w:shd w:val="clear" w:color="auto" w:fill="auto"/>
            <w:vAlign w:val="center"/>
          </w:tcPr>
          <w:p w14:paraId="618FF9A3">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0.2</w:t>
            </w:r>
          </w:p>
        </w:tc>
        <w:tc>
          <w:tcPr>
            <w:tcW w:w="295" w:type="pct"/>
            <w:tcBorders>
              <w:tl2br w:val="nil"/>
              <w:tr2bl w:val="nil"/>
            </w:tcBorders>
            <w:shd w:val="clear" w:color="auto" w:fill="auto"/>
            <w:vAlign w:val="center"/>
          </w:tcPr>
          <w:p w14:paraId="142E1276">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0.005</w:t>
            </w:r>
          </w:p>
        </w:tc>
        <w:tc>
          <w:tcPr>
            <w:tcW w:w="194" w:type="pct"/>
            <w:tcBorders>
              <w:tl2br w:val="nil"/>
              <w:tr2bl w:val="nil"/>
            </w:tcBorders>
            <w:shd w:val="clear" w:color="auto" w:fill="auto"/>
            <w:vAlign w:val="center"/>
          </w:tcPr>
          <w:p w14:paraId="187DAE76">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0.05</w:t>
            </w:r>
          </w:p>
        </w:tc>
        <w:tc>
          <w:tcPr>
            <w:tcW w:w="199" w:type="pct"/>
            <w:tcBorders>
              <w:tl2br w:val="nil"/>
              <w:tr2bl w:val="nil"/>
            </w:tcBorders>
            <w:shd w:val="clear" w:color="auto" w:fill="auto"/>
            <w:vAlign w:val="center"/>
          </w:tcPr>
          <w:p w14:paraId="2A27A403">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w:t>
            </w:r>
          </w:p>
        </w:tc>
        <w:tc>
          <w:tcPr>
            <w:tcW w:w="170" w:type="pct"/>
            <w:tcBorders>
              <w:tl2br w:val="nil"/>
              <w:tr2bl w:val="nil"/>
            </w:tcBorders>
            <w:shd w:val="clear" w:color="auto" w:fill="auto"/>
            <w:vAlign w:val="center"/>
          </w:tcPr>
          <w:p w14:paraId="11151B84">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0.1</w:t>
            </w:r>
          </w:p>
        </w:tc>
        <w:tc>
          <w:tcPr>
            <w:tcW w:w="208" w:type="pct"/>
            <w:tcBorders>
              <w:tl2br w:val="nil"/>
              <w:tr2bl w:val="nil"/>
            </w:tcBorders>
            <w:shd w:val="clear" w:color="auto" w:fill="auto"/>
            <w:vAlign w:val="center"/>
          </w:tcPr>
          <w:p w14:paraId="2A15A9CC">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0.05</w:t>
            </w:r>
          </w:p>
        </w:tc>
        <w:tc>
          <w:tcPr>
            <w:tcW w:w="217" w:type="pct"/>
            <w:tcBorders>
              <w:tl2br w:val="nil"/>
              <w:tr2bl w:val="nil"/>
            </w:tcBorders>
            <w:shd w:val="clear" w:color="auto" w:fill="auto"/>
            <w:vAlign w:val="center"/>
          </w:tcPr>
          <w:p w14:paraId="2C330E8E">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0.05</w:t>
            </w:r>
          </w:p>
        </w:tc>
        <w:tc>
          <w:tcPr>
            <w:tcW w:w="170" w:type="pct"/>
            <w:tcBorders>
              <w:tl2br w:val="nil"/>
              <w:tr2bl w:val="nil"/>
            </w:tcBorders>
            <w:shd w:val="clear" w:color="auto" w:fill="auto"/>
            <w:vAlign w:val="center"/>
          </w:tcPr>
          <w:p w14:paraId="3D40E91C">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0.02</w:t>
            </w:r>
          </w:p>
        </w:tc>
        <w:tc>
          <w:tcPr>
            <w:tcW w:w="208" w:type="pct"/>
            <w:tcBorders>
              <w:tl2br w:val="nil"/>
              <w:tr2bl w:val="nil"/>
            </w:tcBorders>
            <w:shd w:val="clear" w:color="auto" w:fill="auto"/>
            <w:vAlign w:val="center"/>
          </w:tcPr>
          <w:p w14:paraId="09B8BBD5">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0.005</w:t>
            </w:r>
          </w:p>
        </w:tc>
        <w:tc>
          <w:tcPr>
            <w:tcW w:w="180" w:type="pct"/>
            <w:tcBorders>
              <w:tl2br w:val="nil"/>
              <w:tr2bl w:val="nil"/>
            </w:tcBorders>
            <w:shd w:val="clear" w:color="auto" w:fill="auto"/>
            <w:vAlign w:val="center"/>
          </w:tcPr>
          <w:p w14:paraId="6E4EA33B">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6</w:t>
            </w:r>
          </w:p>
        </w:tc>
        <w:tc>
          <w:tcPr>
            <w:tcW w:w="175" w:type="pct"/>
            <w:tcBorders>
              <w:tl2br w:val="nil"/>
              <w:tr2bl w:val="nil"/>
            </w:tcBorders>
            <w:shd w:val="clear" w:color="auto" w:fill="auto"/>
            <w:vAlign w:val="center"/>
          </w:tcPr>
          <w:p w14:paraId="46EB2E7B">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w:t>
            </w:r>
          </w:p>
        </w:tc>
        <w:tc>
          <w:tcPr>
            <w:tcW w:w="192" w:type="pct"/>
            <w:tcBorders>
              <w:tl2br w:val="nil"/>
              <w:tr2bl w:val="nil"/>
            </w:tcBorders>
            <w:shd w:val="clear" w:color="auto" w:fill="auto"/>
            <w:vAlign w:val="center"/>
          </w:tcPr>
          <w:p w14:paraId="10415DBA">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0.2</w:t>
            </w:r>
          </w:p>
        </w:tc>
      </w:tr>
      <w:bookmarkEnd w:id="1513"/>
      <w:bookmarkEnd w:id="1514"/>
      <w:tr w14:paraId="05A4F4B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467" w:type="pct"/>
            <w:gridSpan w:val="2"/>
            <w:tcBorders>
              <w:tl2br w:val="nil"/>
              <w:tr2bl w:val="nil"/>
            </w:tcBorders>
            <w:shd w:val="clear" w:color="auto" w:fill="auto"/>
            <w:vAlign w:val="center"/>
          </w:tcPr>
          <w:p w14:paraId="351ADD1B">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检出限</w:t>
            </w:r>
          </w:p>
        </w:tc>
        <w:tc>
          <w:tcPr>
            <w:tcW w:w="225" w:type="pct"/>
            <w:tcBorders>
              <w:tl2br w:val="nil"/>
              <w:tr2bl w:val="nil"/>
            </w:tcBorders>
            <w:shd w:val="clear" w:color="auto" w:fill="auto"/>
            <w:vAlign w:val="center"/>
          </w:tcPr>
          <w:p w14:paraId="6C57E99F">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241" w:type="pct"/>
            <w:tcBorders>
              <w:tl2br w:val="nil"/>
              <w:tr2bl w:val="nil"/>
            </w:tcBorders>
            <w:shd w:val="clear" w:color="auto" w:fill="auto"/>
            <w:vAlign w:val="center"/>
          </w:tcPr>
          <w:p w14:paraId="52A82737">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241" w:type="pct"/>
            <w:tcBorders>
              <w:tl2br w:val="nil"/>
              <w:tr2bl w:val="nil"/>
            </w:tcBorders>
            <w:shd w:val="clear" w:color="auto" w:fill="auto"/>
            <w:vAlign w:val="center"/>
          </w:tcPr>
          <w:p w14:paraId="23316501">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219" w:type="pct"/>
            <w:tcBorders>
              <w:tl2br w:val="nil"/>
              <w:tr2bl w:val="nil"/>
            </w:tcBorders>
            <w:shd w:val="clear" w:color="auto" w:fill="auto"/>
            <w:vAlign w:val="center"/>
          </w:tcPr>
          <w:p w14:paraId="79DF8FEE">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p>
        </w:tc>
        <w:tc>
          <w:tcPr>
            <w:tcW w:w="219" w:type="pct"/>
            <w:tcBorders>
              <w:tl2br w:val="nil"/>
              <w:tr2bl w:val="nil"/>
            </w:tcBorders>
            <w:shd w:val="clear" w:color="auto" w:fill="auto"/>
            <w:vAlign w:val="center"/>
          </w:tcPr>
          <w:p w14:paraId="2EDA8D94">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0.5</w:t>
            </w:r>
          </w:p>
        </w:tc>
        <w:tc>
          <w:tcPr>
            <w:tcW w:w="186" w:type="pct"/>
            <w:tcBorders>
              <w:tl2br w:val="nil"/>
              <w:tr2bl w:val="nil"/>
            </w:tcBorders>
            <w:shd w:val="clear" w:color="auto" w:fill="auto"/>
            <w:vAlign w:val="center"/>
          </w:tcPr>
          <w:p w14:paraId="7B0F77DB">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4</w:t>
            </w:r>
          </w:p>
        </w:tc>
        <w:tc>
          <w:tcPr>
            <w:tcW w:w="185" w:type="pct"/>
            <w:tcBorders>
              <w:tl2br w:val="nil"/>
              <w:tr2bl w:val="nil"/>
            </w:tcBorders>
            <w:shd w:val="clear" w:color="auto" w:fill="auto"/>
            <w:vAlign w:val="center"/>
          </w:tcPr>
          <w:p w14:paraId="0D6A801C">
            <w:pPr>
              <w:keepNext w:val="0"/>
              <w:keepLines w:val="0"/>
              <w:widowControl/>
              <w:suppressLineNumbers w:val="0"/>
              <w:jc w:val="center"/>
              <w:textAlignment w:val="center"/>
              <w:rPr>
                <w:rFonts w:hint="eastAsia" w:ascii="Times New Roman" w:hAnsi="Times New Roman" w:eastAsia="宋体" w:cs="Times New Roman"/>
                <w:b w:val="0"/>
                <w:bCs w:val="0"/>
                <w:color w:val="auto"/>
                <w:sz w:val="21"/>
                <w:szCs w:val="21"/>
                <w:highlight w:val="red"/>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0.05</w:t>
            </w:r>
          </w:p>
        </w:tc>
        <w:tc>
          <w:tcPr>
            <w:tcW w:w="235" w:type="pct"/>
            <w:tcBorders>
              <w:tl2br w:val="nil"/>
              <w:tr2bl w:val="nil"/>
            </w:tcBorders>
            <w:shd w:val="clear" w:color="auto" w:fill="auto"/>
            <w:vAlign w:val="center"/>
          </w:tcPr>
          <w:p w14:paraId="3B6AA7FB">
            <w:pPr>
              <w:keepNext w:val="0"/>
              <w:keepLines w:val="0"/>
              <w:widowControl/>
              <w:suppressLineNumbers w:val="0"/>
              <w:jc w:val="center"/>
              <w:textAlignment w:val="center"/>
              <w:rPr>
                <w:rFonts w:hint="eastAsia"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0.025</w:t>
            </w:r>
          </w:p>
        </w:tc>
        <w:tc>
          <w:tcPr>
            <w:tcW w:w="195" w:type="pct"/>
            <w:tcBorders>
              <w:tl2br w:val="nil"/>
              <w:tr2bl w:val="nil"/>
            </w:tcBorders>
            <w:shd w:val="clear" w:color="auto" w:fill="auto"/>
            <w:vAlign w:val="center"/>
          </w:tcPr>
          <w:p w14:paraId="19D3BF7D">
            <w:pPr>
              <w:keepNext w:val="0"/>
              <w:keepLines w:val="0"/>
              <w:widowControl/>
              <w:suppressLineNumbers w:val="0"/>
              <w:jc w:val="center"/>
              <w:textAlignment w:val="center"/>
              <w:rPr>
                <w:rFonts w:hint="eastAsia"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0.01</w:t>
            </w:r>
          </w:p>
        </w:tc>
        <w:tc>
          <w:tcPr>
            <w:tcW w:w="195" w:type="pct"/>
            <w:tcBorders>
              <w:tl2br w:val="nil"/>
              <w:tr2bl w:val="nil"/>
            </w:tcBorders>
            <w:shd w:val="clear" w:color="auto" w:fill="auto"/>
            <w:vAlign w:val="center"/>
          </w:tcPr>
          <w:p w14:paraId="20337D1A">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0.01</w:t>
            </w:r>
          </w:p>
        </w:tc>
        <w:tc>
          <w:tcPr>
            <w:tcW w:w="171" w:type="pct"/>
            <w:tcBorders>
              <w:tl2br w:val="nil"/>
              <w:tr2bl w:val="nil"/>
            </w:tcBorders>
            <w:shd w:val="clear" w:color="auto" w:fill="auto"/>
            <w:vAlign w:val="center"/>
          </w:tcPr>
          <w:p w14:paraId="37174A70">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0.01</w:t>
            </w:r>
          </w:p>
        </w:tc>
        <w:tc>
          <w:tcPr>
            <w:tcW w:w="295" w:type="pct"/>
            <w:tcBorders>
              <w:tl2br w:val="nil"/>
              <w:tr2bl w:val="nil"/>
            </w:tcBorders>
            <w:shd w:val="clear" w:color="auto" w:fill="auto"/>
            <w:vAlign w:val="center"/>
          </w:tcPr>
          <w:p w14:paraId="31EB1E63">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0.0001</w:t>
            </w:r>
          </w:p>
        </w:tc>
        <w:tc>
          <w:tcPr>
            <w:tcW w:w="194" w:type="pct"/>
            <w:tcBorders>
              <w:tl2br w:val="nil"/>
              <w:tr2bl w:val="nil"/>
            </w:tcBorders>
            <w:shd w:val="clear" w:color="auto" w:fill="auto"/>
            <w:vAlign w:val="center"/>
          </w:tcPr>
          <w:p w14:paraId="6E891C2D">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0.004</w:t>
            </w:r>
          </w:p>
        </w:tc>
        <w:tc>
          <w:tcPr>
            <w:tcW w:w="199" w:type="pct"/>
            <w:tcBorders>
              <w:tl2br w:val="nil"/>
              <w:tr2bl w:val="nil"/>
            </w:tcBorders>
            <w:shd w:val="clear" w:color="auto" w:fill="auto"/>
            <w:vAlign w:val="center"/>
          </w:tcPr>
          <w:p w14:paraId="73A82221">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0.004</w:t>
            </w:r>
          </w:p>
        </w:tc>
        <w:tc>
          <w:tcPr>
            <w:tcW w:w="170" w:type="pct"/>
            <w:tcBorders>
              <w:tl2br w:val="nil"/>
              <w:tr2bl w:val="nil"/>
            </w:tcBorders>
            <w:shd w:val="clear" w:color="auto" w:fill="auto"/>
            <w:vAlign w:val="center"/>
          </w:tcPr>
          <w:p w14:paraId="5DF392F0">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0.004</w:t>
            </w:r>
          </w:p>
        </w:tc>
        <w:tc>
          <w:tcPr>
            <w:tcW w:w="208" w:type="pct"/>
            <w:tcBorders>
              <w:tl2br w:val="nil"/>
              <w:tr2bl w:val="nil"/>
            </w:tcBorders>
            <w:shd w:val="clear" w:color="auto" w:fill="auto"/>
            <w:vAlign w:val="center"/>
          </w:tcPr>
          <w:p w14:paraId="0A212E05">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0.07</w:t>
            </w:r>
          </w:p>
        </w:tc>
        <w:tc>
          <w:tcPr>
            <w:tcW w:w="217" w:type="pct"/>
            <w:tcBorders>
              <w:tl2br w:val="nil"/>
              <w:tr2bl w:val="nil"/>
            </w:tcBorders>
            <w:shd w:val="clear" w:color="auto" w:fill="auto"/>
            <w:vAlign w:val="center"/>
          </w:tcPr>
          <w:p w14:paraId="40527CAB">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0.0003</w:t>
            </w:r>
          </w:p>
        </w:tc>
        <w:tc>
          <w:tcPr>
            <w:tcW w:w="170" w:type="pct"/>
            <w:tcBorders>
              <w:tl2br w:val="nil"/>
              <w:tr2bl w:val="nil"/>
            </w:tcBorders>
            <w:shd w:val="clear" w:color="auto" w:fill="auto"/>
            <w:vAlign w:val="center"/>
          </w:tcPr>
          <w:p w14:paraId="4B4234DD">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0.02</w:t>
            </w:r>
          </w:p>
        </w:tc>
        <w:tc>
          <w:tcPr>
            <w:tcW w:w="208" w:type="pct"/>
            <w:tcBorders>
              <w:tl2br w:val="nil"/>
              <w:tr2bl w:val="nil"/>
            </w:tcBorders>
            <w:shd w:val="clear" w:color="auto" w:fill="auto"/>
            <w:vAlign w:val="center"/>
          </w:tcPr>
          <w:p w14:paraId="263B705D">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0.0003</w:t>
            </w:r>
          </w:p>
        </w:tc>
        <w:tc>
          <w:tcPr>
            <w:tcW w:w="180" w:type="pct"/>
            <w:tcBorders>
              <w:tl2br w:val="nil"/>
              <w:tr2bl w:val="nil"/>
            </w:tcBorders>
            <w:shd w:val="clear" w:color="auto" w:fill="auto"/>
            <w:vAlign w:val="center"/>
          </w:tcPr>
          <w:p w14:paraId="5F299031">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0.125</w:t>
            </w:r>
          </w:p>
        </w:tc>
        <w:tc>
          <w:tcPr>
            <w:tcW w:w="175" w:type="pct"/>
            <w:tcBorders>
              <w:tl2br w:val="nil"/>
              <w:tr2bl w:val="nil"/>
            </w:tcBorders>
            <w:shd w:val="clear" w:color="auto" w:fill="auto"/>
            <w:vAlign w:val="center"/>
          </w:tcPr>
          <w:p w14:paraId="33E3EAD0">
            <w:pPr>
              <w:keepNext w:val="0"/>
              <w:keepLines w:val="0"/>
              <w:widowControl/>
              <w:suppressLineNumbers w:val="0"/>
              <w:jc w:val="center"/>
              <w:textAlignment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0.05</w:t>
            </w:r>
          </w:p>
        </w:tc>
        <w:tc>
          <w:tcPr>
            <w:tcW w:w="192" w:type="pct"/>
            <w:tcBorders>
              <w:tl2br w:val="nil"/>
              <w:tr2bl w:val="nil"/>
            </w:tcBorders>
            <w:shd w:val="clear" w:color="auto" w:fill="auto"/>
            <w:vAlign w:val="center"/>
          </w:tcPr>
          <w:p w14:paraId="29B93D37">
            <w:pPr>
              <w:keepNext w:val="0"/>
              <w:keepLines w:val="0"/>
              <w:widowControl/>
              <w:suppressLineNumbers w:val="0"/>
              <w:jc w:val="center"/>
              <w:textAlignment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0.05</w:t>
            </w:r>
          </w:p>
        </w:tc>
      </w:tr>
      <w:tr w14:paraId="39A3C9F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71" w:hRule="atLeast"/>
        </w:trPr>
        <w:tc>
          <w:tcPr>
            <w:tcW w:w="211" w:type="pct"/>
            <w:vMerge w:val="restart"/>
            <w:tcBorders>
              <w:tl2br w:val="nil"/>
              <w:tr2bl w:val="nil"/>
            </w:tcBorders>
            <w:shd w:val="clear" w:color="auto" w:fill="auto"/>
            <w:vAlign w:val="center"/>
          </w:tcPr>
          <w:p w14:paraId="3700CF7E">
            <w:pPr>
              <w:bidi w:val="0"/>
              <w:jc w:val="center"/>
              <w:rPr>
                <w:rFonts w:hint="default" w:ascii="Times New Roman" w:hAnsi="Times New Roman" w:eastAsia="宋体" w:cs="Times New Roman"/>
                <w:snapToGrid w:val="0"/>
                <w:color w:val="auto"/>
                <w:kern w:val="0"/>
                <w:sz w:val="21"/>
                <w:szCs w:val="21"/>
                <w:lang w:val="en-US" w:eastAsia="en-US" w:bidi="ar-SA"/>
              </w:rPr>
            </w:pPr>
            <w:bookmarkStart w:id="1520" w:name="OLE_LINK541" w:colFirst="8" w:colLast="8"/>
            <w:bookmarkStart w:id="1521" w:name="OLE_LINK890" w:colFirst="8" w:colLast="8"/>
            <w:bookmarkStart w:id="1522" w:name="OLE_LINK9" w:colFirst="8" w:colLast="10"/>
            <w:bookmarkStart w:id="1523" w:name="OLE_LINK891" w:colFirst="10" w:colLast="10"/>
            <w:bookmarkStart w:id="1524" w:name="OLE_LINK392" w:colFirst="10" w:colLast="10"/>
            <w:bookmarkStart w:id="1525" w:name="OLE_LINK767" w:colFirst="8" w:colLast="8"/>
            <w:bookmarkStart w:id="1526" w:name="OLE_LINK8" w:colFirst="8" w:colLast="10"/>
            <w:r>
              <w:rPr>
                <w:rFonts w:hint="default" w:ascii="Times New Roman" w:hAnsi="Times New Roman" w:cs="Times New Roman"/>
                <w:color w:val="auto"/>
                <w:kern w:val="2"/>
                <w:sz w:val="21"/>
                <w:szCs w:val="21"/>
                <w:highlight w:val="none"/>
                <w:lang w:val="en-US" w:eastAsia="zh-CN" w:bidi="ar-SA"/>
              </w:rPr>
              <w:t>H1</w:t>
            </w:r>
          </w:p>
        </w:tc>
        <w:tc>
          <w:tcPr>
            <w:tcW w:w="255" w:type="pct"/>
            <w:tcBorders>
              <w:tl2br w:val="nil"/>
              <w:tr2bl w:val="nil"/>
            </w:tcBorders>
            <w:shd w:val="clear" w:color="auto" w:fill="auto"/>
            <w:vAlign w:val="center"/>
          </w:tcPr>
          <w:p w14:paraId="1C7E37B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最大值</w:t>
            </w:r>
          </w:p>
        </w:tc>
        <w:tc>
          <w:tcPr>
            <w:tcW w:w="225" w:type="pct"/>
            <w:tcBorders>
              <w:tl2br w:val="nil"/>
              <w:tr2bl w:val="nil"/>
            </w:tcBorders>
            <w:shd w:val="clear" w:color="auto" w:fill="auto"/>
            <w:vAlign w:val="center"/>
          </w:tcPr>
          <w:p w14:paraId="6B5CEF6A">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28.5</w:t>
            </w:r>
          </w:p>
        </w:tc>
        <w:tc>
          <w:tcPr>
            <w:tcW w:w="241" w:type="pct"/>
            <w:tcBorders>
              <w:tl2br w:val="nil"/>
              <w:tr2bl w:val="nil"/>
            </w:tcBorders>
            <w:shd w:val="clear" w:color="auto" w:fill="auto"/>
            <w:vAlign w:val="center"/>
          </w:tcPr>
          <w:p w14:paraId="133E0615">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7.5</w:t>
            </w:r>
          </w:p>
        </w:tc>
        <w:tc>
          <w:tcPr>
            <w:tcW w:w="241" w:type="pct"/>
            <w:tcBorders>
              <w:tl2br w:val="nil"/>
              <w:tr2bl w:val="nil"/>
            </w:tcBorders>
            <w:shd w:val="clear" w:color="auto" w:fill="auto"/>
            <w:vAlign w:val="center"/>
          </w:tcPr>
          <w:p w14:paraId="31B16696">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5.7</w:t>
            </w:r>
          </w:p>
        </w:tc>
        <w:tc>
          <w:tcPr>
            <w:tcW w:w="219" w:type="pct"/>
            <w:tcBorders>
              <w:tl2br w:val="nil"/>
              <w:tr2bl w:val="nil"/>
            </w:tcBorders>
            <w:shd w:val="clear" w:color="auto" w:fill="auto"/>
            <w:vAlign w:val="center"/>
          </w:tcPr>
          <w:p w14:paraId="69AAA3D2">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50</w:t>
            </w:r>
          </w:p>
        </w:tc>
        <w:tc>
          <w:tcPr>
            <w:tcW w:w="219" w:type="pct"/>
            <w:tcBorders>
              <w:tl2br w:val="nil"/>
              <w:tr2bl w:val="nil"/>
            </w:tcBorders>
            <w:shd w:val="clear" w:color="auto" w:fill="auto"/>
            <w:vAlign w:val="center"/>
          </w:tcPr>
          <w:p w14:paraId="5DD1C2B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 xml:space="preserve">2.5 </w:t>
            </w:r>
          </w:p>
        </w:tc>
        <w:tc>
          <w:tcPr>
            <w:tcW w:w="186" w:type="pct"/>
            <w:tcBorders>
              <w:tl2br w:val="nil"/>
              <w:tr2bl w:val="nil"/>
            </w:tcBorders>
            <w:shd w:val="clear" w:color="auto" w:fill="auto"/>
            <w:vAlign w:val="center"/>
          </w:tcPr>
          <w:p w14:paraId="076D9D24">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17</w:t>
            </w:r>
          </w:p>
        </w:tc>
        <w:tc>
          <w:tcPr>
            <w:tcW w:w="185" w:type="pct"/>
            <w:tcBorders>
              <w:tl2br w:val="nil"/>
              <w:tr2bl w:val="nil"/>
            </w:tcBorders>
            <w:shd w:val="clear" w:color="auto" w:fill="auto"/>
            <w:vAlign w:val="center"/>
          </w:tcPr>
          <w:p w14:paraId="56EA838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0.94</w:t>
            </w:r>
          </w:p>
        </w:tc>
        <w:tc>
          <w:tcPr>
            <w:tcW w:w="235" w:type="pct"/>
            <w:tcBorders>
              <w:tl2br w:val="nil"/>
              <w:tr2bl w:val="nil"/>
            </w:tcBorders>
            <w:shd w:val="clear" w:color="auto" w:fill="auto"/>
            <w:vAlign w:val="center"/>
          </w:tcPr>
          <w:p w14:paraId="276EA37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0.565 </w:t>
            </w:r>
          </w:p>
        </w:tc>
        <w:tc>
          <w:tcPr>
            <w:tcW w:w="195" w:type="pct"/>
            <w:tcBorders>
              <w:tl2br w:val="nil"/>
              <w:tr2bl w:val="nil"/>
            </w:tcBorders>
            <w:shd w:val="clear" w:color="auto" w:fill="auto"/>
            <w:vAlign w:val="center"/>
          </w:tcPr>
          <w:p w14:paraId="3408C25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bookmarkStart w:id="1527" w:name="OLE_LINK540"/>
            <w:r>
              <w:rPr>
                <w:rFonts w:hint="default" w:ascii="Times New Roman" w:hAnsi="Times New Roman" w:eastAsia="宋体" w:cs="Times New Roman"/>
                <w:i w:val="0"/>
                <w:iCs w:val="0"/>
                <w:snapToGrid w:val="0"/>
                <w:color w:val="auto"/>
                <w:kern w:val="0"/>
                <w:sz w:val="22"/>
                <w:szCs w:val="22"/>
                <w:highlight w:val="none"/>
                <w:u w:val="none"/>
                <w:lang w:val="en-US" w:eastAsia="zh-CN" w:bidi="ar"/>
              </w:rPr>
              <w:t>0.0</w:t>
            </w:r>
            <w:bookmarkEnd w:id="1527"/>
            <w:r>
              <w:rPr>
                <w:rFonts w:hint="eastAsia" w:ascii="Times New Roman" w:hAnsi="Times New Roman" w:eastAsia="宋体" w:cs="Times New Roman"/>
                <w:i w:val="0"/>
                <w:iCs w:val="0"/>
                <w:snapToGrid w:val="0"/>
                <w:color w:val="auto"/>
                <w:kern w:val="0"/>
                <w:sz w:val="22"/>
                <w:szCs w:val="22"/>
                <w:highlight w:val="none"/>
                <w:u w:val="none"/>
                <w:lang w:val="en-US" w:eastAsia="zh-CN" w:bidi="ar"/>
              </w:rPr>
              <w:t>4</w:t>
            </w:r>
          </w:p>
        </w:tc>
        <w:tc>
          <w:tcPr>
            <w:tcW w:w="195" w:type="pct"/>
            <w:tcBorders>
              <w:tl2br w:val="nil"/>
              <w:tr2bl w:val="nil"/>
            </w:tcBorders>
            <w:shd w:val="clear" w:color="auto" w:fill="auto"/>
            <w:vAlign w:val="center"/>
          </w:tcPr>
          <w:p w14:paraId="5F30CDE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 xml:space="preserve">0.04 </w:t>
            </w:r>
          </w:p>
        </w:tc>
        <w:tc>
          <w:tcPr>
            <w:tcW w:w="171" w:type="pct"/>
            <w:tcBorders>
              <w:tl2br w:val="nil"/>
              <w:tr2bl w:val="nil"/>
            </w:tcBorders>
            <w:shd w:val="clear" w:color="auto" w:fill="auto"/>
            <w:vAlign w:val="center"/>
          </w:tcPr>
          <w:p w14:paraId="47D9B8A2">
            <w:pPr>
              <w:bidi w:val="0"/>
              <w:jc w:val="center"/>
              <w:rPr>
                <w:rFonts w:hint="default" w:ascii="Times New Roman" w:hAnsi="Times New Roman" w:eastAsia="宋体" w:cs="Times New Roman"/>
                <w:snapToGrid w:val="0"/>
                <w:color w:val="auto"/>
                <w:kern w:val="0"/>
                <w:sz w:val="21"/>
                <w:szCs w:val="21"/>
                <w:lang w:val="en-US" w:eastAsia="en-US" w:bidi="ar-SA"/>
              </w:rPr>
            </w:pPr>
            <w:bookmarkStart w:id="1528" w:name="OLE_LINK523"/>
            <w:r>
              <w:rPr>
                <w:rFonts w:hint="default" w:ascii="Times New Roman" w:hAnsi="Times New Roman" w:eastAsia="宋体" w:cs="Times New Roman"/>
                <w:i w:val="0"/>
                <w:iCs w:val="0"/>
                <w:color w:val="auto"/>
                <w:kern w:val="0"/>
                <w:sz w:val="21"/>
                <w:szCs w:val="21"/>
                <w:u w:val="none"/>
                <w:lang w:val="en-US" w:eastAsia="zh-CN" w:bidi="ar"/>
              </w:rPr>
              <w:t>ND</w:t>
            </w:r>
            <w:bookmarkEnd w:id="1528"/>
          </w:p>
        </w:tc>
        <w:tc>
          <w:tcPr>
            <w:tcW w:w="295" w:type="pct"/>
            <w:tcBorders>
              <w:tl2br w:val="nil"/>
              <w:tr2bl w:val="nil"/>
            </w:tcBorders>
            <w:shd w:val="clear" w:color="auto" w:fill="auto"/>
            <w:vAlign w:val="center"/>
          </w:tcPr>
          <w:p w14:paraId="5C7902C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0.</w:t>
            </w:r>
            <w:r>
              <w:rPr>
                <w:rFonts w:hint="eastAsia" w:ascii="Times New Roman" w:hAnsi="Times New Roman" w:eastAsia="宋体" w:cs="Times New Roman"/>
                <w:i w:val="0"/>
                <w:iCs w:val="0"/>
                <w:snapToGrid w:val="0"/>
                <w:color w:val="auto"/>
                <w:kern w:val="0"/>
                <w:sz w:val="22"/>
                <w:szCs w:val="22"/>
                <w:u w:val="none"/>
                <w:lang w:val="en-US" w:eastAsia="zh-CN" w:bidi="ar"/>
              </w:rPr>
              <w:t>000</w:t>
            </w:r>
            <w:r>
              <w:rPr>
                <w:rFonts w:hint="default" w:ascii="Times New Roman" w:hAnsi="Times New Roman" w:eastAsia="宋体" w:cs="Times New Roman"/>
                <w:i w:val="0"/>
                <w:iCs w:val="0"/>
                <w:snapToGrid w:val="0"/>
                <w:color w:val="auto"/>
                <w:kern w:val="0"/>
                <w:sz w:val="22"/>
                <w:szCs w:val="22"/>
                <w:u w:val="none"/>
                <w:lang w:val="en-US" w:eastAsia="zh-CN" w:bidi="ar"/>
              </w:rPr>
              <w:t xml:space="preserve">911 </w:t>
            </w:r>
          </w:p>
        </w:tc>
        <w:tc>
          <w:tcPr>
            <w:tcW w:w="194" w:type="pct"/>
            <w:tcBorders>
              <w:tl2br w:val="nil"/>
              <w:tr2bl w:val="nil"/>
            </w:tcBorders>
            <w:shd w:val="clear" w:color="auto" w:fill="auto"/>
            <w:vAlign w:val="center"/>
          </w:tcPr>
          <w:p w14:paraId="1390DC2D">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199" w:type="pct"/>
            <w:tcBorders>
              <w:tl2br w:val="nil"/>
              <w:tr2bl w:val="nil"/>
            </w:tcBorders>
            <w:shd w:val="clear" w:color="auto" w:fill="auto"/>
            <w:vAlign w:val="center"/>
          </w:tcPr>
          <w:p w14:paraId="15F1D655">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0.004</w:t>
            </w:r>
          </w:p>
        </w:tc>
        <w:tc>
          <w:tcPr>
            <w:tcW w:w="170" w:type="pct"/>
            <w:tcBorders>
              <w:tl2br w:val="nil"/>
              <w:tr2bl w:val="nil"/>
            </w:tcBorders>
            <w:shd w:val="clear" w:color="auto" w:fill="auto"/>
            <w:vAlign w:val="center"/>
          </w:tcPr>
          <w:p w14:paraId="1AADF660">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08" w:type="pct"/>
            <w:tcBorders>
              <w:tl2br w:val="nil"/>
              <w:tr2bl w:val="nil"/>
            </w:tcBorders>
            <w:shd w:val="clear" w:color="auto" w:fill="auto"/>
            <w:vAlign w:val="center"/>
          </w:tcPr>
          <w:p w14:paraId="13E564D1">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17" w:type="pct"/>
            <w:tcBorders>
              <w:tl2br w:val="nil"/>
              <w:tr2bl w:val="nil"/>
            </w:tcBorders>
            <w:shd w:val="clear" w:color="auto" w:fill="auto"/>
            <w:vAlign w:val="center"/>
          </w:tcPr>
          <w:p w14:paraId="19A3021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snapToGrid w:val="0"/>
                <w:color w:val="auto"/>
                <w:kern w:val="0"/>
                <w:sz w:val="22"/>
                <w:szCs w:val="22"/>
                <w:u w:val="none"/>
                <w:lang w:val="en-US" w:eastAsia="zh-CN" w:bidi="ar"/>
              </w:rPr>
              <w:t>0.0018</w:t>
            </w:r>
            <w:r>
              <w:rPr>
                <w:rFonts w:hint="default" w:ascii="Times New Roman" w:hAnsi="Times New Roman" w:eastAsia="宋体" w:cs="Times New Roman"/>
                <w:i w:val="0"/>
                <w:iCs w:val="0"/>
                <w:snapToGrid w:val="0"/>
                <w:color w:val="auto"/>
                <w:kern w:val="0"/>
                <w:sz w:val="22"/>
                <w:szCs w:val="22"/>
                <w:u w:val="none"/>
                <w:lang w:val="en-US" w:eastAsia="zh-CN" w:bidi="ar"/>
              </w:rPr>
              <w:t xml:space="preserve"> </w:t>
            </w:r>
          </w:p>
        </w:tc>
        <w:tc>
          <w:tcPr>
            <w:tcW w:w="170" w:type="pct"/>
            <w:tcBorders>
              <w:tl2br w:val="nil"/>
              <w:tr2bl w:val="nil"/>
            </w:tcBorders>
            <w:shd w:val="clear" w:color="auto" w:fill="auto"/>
            <w:vAlign w:val="center"/>
          </w:tcPr>
          <w:p w14:paraId="297B1D7C">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08" w:type="pct"/>
            <w:tcBorders>
              <w:tl2br w:val="nil"/>
              <w:tr2bl w:val="nil"/>
            </w:tcBorders>
            <w:shd w:val="clear" w:color="auto" w:fill="auto"/>
            <w:vAlign w:val="center"/>
          </w:tcPr>
          <w:p w14:paraId="5FC5278F">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180" w:type="pct"/>
            <w:tcBorders>
              <w:tl2br w:val="nil"/>
              <w:tr2bl w:val="nil"/>
            </w:tcBorders>
            <w:shd w:val="clear" w:color="auto" w:fill="auto"/>
            <w:vAlign w:val="center"/>
          </w:tcPr>
          <w:p w14:paraId="089CB9DA">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4.1</w:t>
            </w:r>
          </w:p>
        </w:tc>
        <w:tc>
          <w:tcPr>
            <w:tcW w:w="175" w:type="pct"/>
            <w:tcBorders>
              <w:tl2br w:val="nil"/>
              <w:tr2bl w:val="nil"/>
            </w:tcBorders>
            <w:shd w:val="clear" w:color="auto" w:fill="auto"/>
            <w:vAlign w:val="center"/>
          </w:tcPr>
          <w:p w14:paraId="1667D916">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0.44</w:t>
            </w:r>
          </w:p>
        </w:tc>
        <w:tc>
          <w:tcPr>
            <w:tcW w:w="192" w:type="pct"/>
            <w:tcBorders>
              <w:tl2br w:val="nil"/>
              <w:tr2bl w:val="nil"/>
            </w:tcBorders>
            <w:shd w:val="clear" w:color="auto" w:fill="auto"/>
            <w:vAlign w:val="center"/>
          </w:tcPr>
          <w:p w14:paraId="1A3B7EAA">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ND</w:t>
            </w:r>
          </w:p>
        </w:tc>
      </w:tr>
      <w:tr w14:paraId="6A4FC767">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46" w:hRule="atLeast"/>
        </w:trPr>
        <w:tc>
          <w:tcPr>
            <w:tcW w:w="211" w:type="pct"/>
            <w:vMerge w:val="continue"/>
            <w:tcBorders>
              <w:tl2br w:val="nil"/>
              <w:tr2bl w:val="nil"/>
            </w:tcBorders>
          </w:tcPr>
          <w:p w14:paraId="27DCD3AF">
            <w:pPr>
              <w:bidi w:val="0"/>
              <w:jc w:val="center"/>
              <w:rPr>
                <w:rFonts w:hint="default" w:ascii="Times New Roman" w:hAnsi="Times New Roman" w:eastAsia="宋体" w:cs="Times New Roman"/>
                <w:color w:val="auto"/>
                <w:sz w:val="21"/>
                <w:szCs w:val="21"/>
                <w:lang w:val="en-US"/>
              </w:rPr>
            </w:pPr>
          </w:p>
        </w:tc>
        <w:tc>
          <w:tcPr>
            <w:tcW w:w="255" w:type="pct"/>
            <w:tcBorders>
              <w:tl2br w:val="nil"/>
              <w:tr2bl w:val="nil"/>
            </w:tcBorders>
            <w:shd w:val="clear" w:color="auto" w:fill="auto"/>
            <w:vAlign w:val="center"/>
          </w:tcPr>
          <w:p w14:paraId="7AA1F2D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最小值</w:t>
            </w:r>
          </w:p>
        </w:tc>
        <w:tc>
          <w:tcPr>
            <w:tcW w:w="225" w:type="pct"/>
            <w:tcBorders>
              <w:tl2br w:val="nil"/>
              <w:tr2bl w:val="nil"/>
            </w:tcBorders>
            <w:shd w:val="clear" w:color="auto" w:fill="auto"/>
            <w:vAlign w:val="center"/>
          </w:tcPr>
          <w:p w14:paraId="0271988E">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28.3</w:t>
            </w:r>
          </w:p>
        </w:tc>
        <w:tc>
          <w:tcPr>
            <w:tcW w:w="241" w:type="pct"/>
            <w:tcBorders>
              <w:tl2br w:val="nil"/>
              <w:tr2bl w:val="nil"/>
            </w:tcBorders>
            <w:shd w:val="clear" w:color="auto" w:fill="auto"/>
            <w:vAlign w:val="center"/>
          </w:tcPr>
          <w:p w14:paraId="411BD395">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7.4</w:t>
            </w:r>
          </w:p>
        </w:tc>
        <w:tc>
          <w:tcPr>
            <w:tcW w:w="241" w:type="pct"/>
            <w:tcBorders>
              <w:tl2br w:val="nil"/>
              <w:tr2bl w:val="nil"/>
            </w:tcBorders>
            <w:shd w:val="clear" w:color="auto" w:fill="auto"/>
            <w:vAlign w:val="center"/>
          </w:tcPr>
          <w:p w14:paraId="2F925803">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5.6</w:t>
            </w:r>
          </w:p>
        </w:tc>
        <w:tc>
          <w:tcPr>
            <w:tcW w:w="219" w:type="pct"/>
            <w:tcBorders>
              <w:tl2br w:val="nil"/>
              <w:tr2bl w:val="nil"/>
            </w:tcBorders>
            <w:shd w:val="clear" w:color="auto" w:fill="auto"/>
            <w:vAlign w:val="center"/>
          </w:tcPr>
          <w:p w14:paraId="0F3766DE">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50</w:t>
            </w:r>
          </w:p>
        </w:tc>
        <w:tc>
          <w:tcPr>
            <w:tcW w:w="219" w:type="pct"/>
            <w:tcBorders>
              <w:tl2br w:val="nil"/>
              <w:tr2bl w:val="nil"/>
            </w:tcBorders>
            <w:shd w:val="clear" w:color="auto" w:fill="auto"/>
            <w:vAlign w:val="center"/>
          </w:tcPr>
          <w:p w14:paraId="3D0D210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 xml:space="preserve">2.0 </w:t>
            </w:r>
          </w:p>
        </w:tc>
        <w:tc>
          <w:tcPr>
            <w:tcW w:w="186" w:type="pct"/>
            <w:tcBorders>
              <w:tl2br w:val="nil"/>
              <w:tr2bl w:val="nil"/>
            </w:tcBorders>
            <w:shd w:val="clear" w:color="auto" w:fill="auto"/>
            <w:vAlign w:val="center"/>
          </w:tcPr>
          <w:p w14:paraId="33955954">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15</w:t>
            </w:r>
          </w:p>
        </w:tc>
        <w:tc>
          <w:tcPr>
            <w:tcW w:w="185" w:type="pct"/>
            <w:tcBorders>
              <w:tl2br w:val="nil"/>
              <w:tr2bl w:val="nil"/>
            </w:tcBorders>
            <w:shd w:val="clear" w:color="auto" w:fill="auto"/>
            <w:vAlign w:val="center"/>
          </w:tcPr>
          <w:p w14:paraId="0746A52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0.91</w:t>
            </w:r>
          </w:p>
        </w:tc>
        <w:tc>
          <w:tcPr>
            <w:tcW w:w="235" w:type="pct"/>
            <w:tcBorders>
              <w:tl2br w:val="nil"/>
              <w:tr2bl w:val="nil"/>
            </w:tcBorders>
            <w:shd w:val="clear" w:color="auto" w:fill="auto"/>
            <w:vAlign w:val="center"/>
          </w:tcPr>
          <w:p w14:paraId="5863FAB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0.536 </w:t>
            </w:r>
          </w:p>
        </w:tc>
        <w:tc>
          <w:tcPr>
            <w:tcW w:w="195" w:type="pct"/>
            <w:tcBorders>
              <w:tl2br w:val="nil"/>
              <w:tr2bl w:val="nil"/>
            </w:tcBorders>
            <w:shd w:val="clear" w:color="auto" w:fill="auto"/>
            <w:vAlign w:val="center"/>
          </w:tcPr>
          <w:p w14:paraId="3A81270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2"/>
                <w:szCs w:val="22"/>
                <w:highlight w:val="none"/>
                <w:u w:val="none"/>
                <w:lang w:val="en-US" w:eastAsia="zh-CN" w:bidi="ar"/>
              </w:rPr>
              <w:t>0.0</w:t>
            </w:r>
            <w:r>
              <w:rPr>
                <w:rFonts w:hint="eastAsia" w:ascii="Times New Roman" w:hAnsi="Times New Roman" w:eastAsia="宋体" w:cs="Times New Roman"/>
                <w:i w:val="0"/>
                <w:iCs w:val="0"/>
                <w:snapToGrid w:val="0"/>
                <w:color w:val="auto"/>
                <w:kern w:val="0"/>
                <w:sz w:val="22"/>
                <w:szCs w:val="22"/>
                <w:highlight w:val="none"/>
                <w:u w:val="none"/>
                <w:lang w:val="en-US" w:eastAsia="zh-CN" w:bidi="ar"/>
              </w:rPr>
              <w:t>2</w:t>
            </w:r>
          </w:p>
        </w:tc>
        <w:tc>
          <w:tcPr>
            <w:tcW w:w="195" w:type="pct"/>
            <w:tcBorders>
              <w:tl2br w:val="nil"/>
              <w:tr2bl w:val="nil"/>
            </w:tcBorders>
            <w:shd w:val="clear" w:color="auto" w:fill="auto"/>
            <w:vAlign w:val="center"/>
          </w:tcPr>
          <w:p w14:paraId="02FF9BA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 xml:space="preserve">0.03 </w:t>
            </w:r>
          </w:p>
        </w:tc>
        <w:tc>
          <w:tcPr>
            <w:tcW w:w="171" w:type="pct"/>
            <w:tcBorders>
              <w:tl2br w:val="nil"/>
              <w:tr2bl w:val="nil"/>
            </w:tcBorders>
            <w:shd w:val="clear" w:color="auto" w:fill="auto"/>
            <w:vAlign w:val="center"/>
          </w:tcPr>
          <w:p w14:paraId="549F583F">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95" w:type="pct"/>
            <w:tcBorders>
              <w:tl2br w:val="nil"/>
              <w:tr2bl w:val="nil"/>
            </w:tcBorders>
            <w:shd w:val="clear" w:color="auto" w:fill="auto"/>
            <w:vAlign w:val="center"/>
          </w:tcPr>
          <w:p w14:paraId="72DCD3D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0.</w:t>
            </w:r>
            <w:r>
              <w:rPr>
                <w:rFonts w:hint="eastAsia" w:ascii="Times New Roman" w:hAnsi="Times New Roman" w:eastAsia="宋体" w:cs="Times New Roman"/>
                <w:i w:val="0"/>
                <w:iCs w:val="0"/>
                <w:snapToGrid w:val="0"/>
                <w:color w:val="auto"/>
                <w:kern w:val="0"/>
                <w:sz w:val="22"/>
                <w:szCs w:val="22"/>
                <w:u w:val="none"/>
                <w:lang w:val="en-US" w:eastAsia="zh-CN" w:bidi="ar"/>
              </w:rPr>
              <w:t>000</w:t>
            </w:r>
            <w:r>
              <w:rPr>
                <w:rFonts w:hint="default" w:ascii="Times New Roman" w:hAnsi="Times New Roman" w:eastAsia="宋体" w:cs="Times New Roman"/>
                <w:i w:val="0"/>
                <w:iCs w:val="0"/>
                <w:snapToGrid w:val="0"/>
                <w:color w:val="auto"/>
                <w:kern w:val="0"/>
                <w:sz w:val="22"/>
                <w:szCs w:val="22"/>
                <w:u w:val="none"/>
                <w:lang w:val="en-US" w:eastAsia="zh-CN" w:bidi="ar"/>
              </w:rPr>
              <w:t xml:space="preserve">868 </w:t>
            </w:r>
          </w:p>
        </w:tc>
        <w:tc>
          <w:tcPr>
            <w:tcW w:w="194" w:type="pct"/>
            <w:tcBorders>
              <w:tl2br w:val="nil"/>
              <w:tr2bl w:val="nil"/>
            </w:tcBorders>
            <w:shd w:val="clear" w:color="auto" w:fill="auto"/>
            <w:vAlign w:val="center"/>
          </w:tcPr>
          <w:p w14:paraId="57C07763">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199" w:type="pct"/>
            <w:tcBorders>
              <w:tl2br w:val="nil"/>
              <w:tr2bl w:val="nil"/>
            </w:tcBorders>
            <w:shd w:val="clear" w:color="auto" w:fill="auto"/>
            <w:vAlign w:val="center"/>
          </w:tcPr>
          <w:p w14:paraId="5E330123">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170" w:type="pct"/>
            <w:tcBorders>
              <w:tl2br w:val="nil"/>
              <w:tr2bl w:val="nil"/>
            </w:tcBorders>
            <w:shd w:val="clear" w:color="auto" w:fill="auto"/>
            <w:vAlign w:val="center"/>
          </w:tcPr>
          <w:p w14:paraId="4BB5F443">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08" w:type="pct"/>
            <w:tcBorders>
              <w:tl2br w:val="nil"/>
              <w:tr2bl w:val="nil"/>
            </w:tcBorders>
            <w:shd w:val="clear" w:color="auto" w:fill="auto"/>
            <w:vAlign w:val="center"/>
          </w:tcPr>
          <w:p w14:paraId="3DE18509">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17" w:type="pct"/>
            <w:tcBorders>
              <w:tl2br w:val="nil"/>
              <w:tr2bl w:val="nil"/>
            </w:tcBorders>
            <w:shd w:val="clear" w:color="auto" w:fill="auto"/>
            <w:vAlign w:val="center"/>
          </w:tcPr>
          <w:p w14:paraId="6F9941A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snapToGrid w:val="0"/>
                <w:color w:val="auto"/>
                <w:kern w:val="0"/>
                <w:sz w:val="22"/>
                <w:szCs w:val="22"/>
                <w:u w:val="none"/>
                <w:lang w:val="en-US" w:eastAsia="zh-CN" w:bidi="ar"/>
              </w:rPr>
              <w:t>0.0018</w:t>
            </w:r>
            <w:r>
              <w:rPr>
                <w:rFonts w:hint="default" w:ascii="Times New Roman" w:hAnsi="Times New Roman" w:eastAsia="宋体" w:cs="Times New Roman"/>
                <w:i w:val="0"/>
                <w:iCs w:val="0"/>
                <w:snapToGrid w:val="0"/>
                <w:color w:val="auto"/>
                <w:kern w:val="0"/>
                <w:sz w:val="22"/>
                <w:szCs w:val="22"/>
                <w:u w:val="none"/>
                <w:lang w:val="en-US" w:eastAsia="zh-CN" w:bidi="ar"/>
              </w:rPr>
              <w:t xml:space="preserve"> </w:t>
            </w:r>
          </w:p>
        </w:tc>
        <w:tc>
          <w:tcPr>
            <w:tcW w:w="170" w:type="pct"/>
            <w:tcBorders>
              <w:tl2br w:val="nil"/>
              <w:tr2bl w:val="nil"/>
            </w:tcBorders>
            <w:shd w:val="clear" w:color="auto" w:fill="auto"/>
            <w:vAlign w:val="center"/>
          </w:tcPr>
          <w:p w14:paraId="696F7E52">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08" w:type="pct"/>
            <w:tcBorders>
              <w:tl2br w:val="nil"/>
              <w:tr2bl w:val="nil"/>
            </w:tcBorders>
            <w:shd w:val="clear" w:color="auto" w:fill="auto"/>
            <w:vAlign w:val="center"/>
          </w:tcPr>
          <w:p w14:paraId="2D79653C">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180" w:type="pct"/>
            <w:tcBorders>
              <w:tl2br w:val="nil"/>
              <w:tr2bl w:val="nil"/>
            </w:tcBorders>
            <w:shd w:val="clear" w:color="auto" w:fill="auto"/>
            <w:vAlign w:val="center"/>
          </w:tcPr>
          <w:p w14:paraId="42969668">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3.9</w:t>
            </w:r>
          </w:p>
        </w:tc>
        <w:tc>
          <w:tcPr>
            <w:tcW w:w="175" w:type="pct"/>
            <w:tcBorders>
              <w:tl2br w:val="nil"/>
              <w:tr2bl w:val="nil"/>
            </w:tcBorders>
            <w:shd w:val="clear" w:color="auto" w:fill="auto"/>
            <w:vAlign w:val="center"/>
          </w:tcPr>
          <w:p w14:paraId="2134E778">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0.40</w:t>
            </w:r>
          </w:p>
        </w:tc>
        <w:tc>
          <w:tcPr>
            <w:tcW w:w="192" w:type="pct"/>
            <w:tcBorders>
              <w:tl2br w:val="nil"/>
              <w:tr2bl w:val="nil"/>
            </w:tcBorders>
            <w:shd w:val="clear" w:color="auto" w:fill="auto"/>
            <w:vAlign w:val="center"/>
          </w:tcPr>
          <w:p w14:paraId="7B24423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r>
      <w:bookmarkEnd w:id="1520"/>
      <w:tr w14:paraId="18073A7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33" w:hRule="atLeast"/>
        </w:trPr>
        <w:tc>
          <w:tcPr>
            <w:tcW w:w="211" w:type="pct"/>
            <w:vMerge w:val="continue"/>
            <w:tcBorders>
              <w:tl2br w:val="nil"/>
              <w:tr2bl w:val="nil"/>
            </w:tcBorders>
          </w:tcPr>
          <w:p w14:paraId="19244DF8">
            <w:pPr>
              <w:bidi w:val="0"/>
              <w:jc w:val="center"/>
              <w:rPr>
                <w:rFonts w:hint="default" w:ascii="Times New Roman" w:hAnsi="Times New Roman" w:eastAsia="宋体" w:cs="Times New Roman"/>
                <w:color w:val="auto"/>
                <w:sz w:val="21"/>
                <w:szCs w:val="21"/>
                <w:lang w:val="en-US"/>
              </w:rPr>
            </w:pPr>
          </w:p>
        </w:tc>
        <w:tc>
          <w:tcPr>
            <w:tcW w:w="255" w:type="pct"/>
            <w:tcBorders>
              <w:tl2br w:val="nil"/>
              <w:tr2bl w:val="nil"/>
            </w:tcBorders>
            <w:shd w:val="clear" w:color="auto" w:fill="auto"/>
            <w:vAlign w:val="center"/>
          </w:tcPr>
          <w:p w14:paraId="5B03C67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平均浓度</w:t>
            </w:r>
          </w:p>
        </w:tc>
        <w:tc>
          <w:tcPr>
            <w:tcW w:w="225" w:type="pct"/>
            <w:tcBorders>
              <w:tl2br w:val="nil"/>
              <w:tr2bl w:val="nil"/>
            </w:tcBorders>
            <w:shd w:val="clear" w:color="auto" w:fill="auto"/>
            <w:vAlign w:val="center"/>
          </w:tcPr>
          <w:p w14:paraId="6AB2FF47">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28.4</w:t>
            </w:r>
          </w:p>
        </w:tc>
        <w:tc>
          <w:tcPr>
            <w:tcW w:w="241" w:type="pct"/>
            <w:tcBorders>
              <w:tl2br w:val="nil"/>
              <w:tr2bl w:val="nil"/>
            </w:tcBorders>
            <w:shd w:val="clear" w:color="auto" w:fill="auto"/>
            <w:vAlign w:val="center"/>
          </w:tcPr>
          <w:p w14:paraId="3EC0D97C">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7.4</w:t>
            </w:r>
          </w:p>
        </w:tc>
        <w:tc>
          <w:tcPr>
            <w:tcW w:w="241" w:type="pct"/>
            <w:tcBorders>
              <w:tl2br w:val="nil"/>
              <w:tr2bl w:val="nil"/>
            </w:tcBorders>
            <w:shd w:val="clear" w:color="auto" w:fill="auto"/>
            <w:vAlign w:val="center"/>
          </w:tcPr>
          <w:p w14:paraId="033EACFA">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5.6</w:t>
            </w:r>
          </w:p>
        </w:tc>
        <w:tc>
          <w:tcPr>
            <w:tcW w:w="219" w:type="pct"/>
            <w:tcBorders>
              <w:tl2br w:val="nil"/>
              <w:tr2bl w:val="nil"/>
            </w:tcBorders>
            <w:shd w:val="clear" w:color="auto" w:fill="auto"/>
            <w:vAlign w:val="center"/>
          </w:tcPr>
          <w:p w14:paraId="68B2263E">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50</w:t>
            </w:r>
          </w:p>
        </w:tc>
        <w:tc>
          <w:tcPr>
            <w:tcW w:w="219" w:type="pct"/>
            <w:tcBorders>
              <w:tl2br w:val="nil"/>
              <w:tr2bl w:val="nil"/>
            </w:tcBorders>
            <w:shd w:val="clear" w:color="auto" w:fill="auto"/>
            <w:vAlign w:val="center"/>
          </w:tcPr>
          <w:p w14:paraId="1B5FEC0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 xml:space="preserve">2.2 </w:t>
            </w:r>
          </w:p>
        </w:tc>
        <w:tc>
          <w:tcPr>
            <w:tcW w:w="186" w:type="pct"/>
            <w:tcBorders>
              <w:tl2br w:val="nil"/>
              <w:tr2bl w:val="nil"/>
            </w:tcBorders>
            <w:shd w:val="clear" w:color="auto" w:fill="auto"/>
            <w:vAlign w:val="center"/>
          </w:tcPr>
          <w:p w14:paraId="57C83DF5">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15</w:t>
            </w:r>
          </w:p>
        </w:tc>
        <w:tc>
          <w:tcPr>
            <w:tcW w:w="185" w:type="pct"/>
            <w:tcBorders>
              <w:tl2br w:val="nil"/>
              <w:tr2bl w:val="nil"/>
            </w:tcBorders>
            <w:shd w:val="clear" w:color="auto" w:fill="auto"/>
            <w:vAlign w:val="center"/>
          </w:tcPr>
          <w:p w14:paraId="02DD75B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i w:val="0"/>
                <w:iCs w:val="0"/>
                <w:snapToGrid w:val="0"/>
                <w:color w:val="auto"/>
                <w:kern w:val="0"/>
                <w:sz w:val="22"/>
                <w:szCs w:val="22"/>
                <w:highlight w:val="none"/>
                <w:u w:val="none"/>
                <w:lang w:val="en-US" w:eastAsia="zh-CN" w:bidi="ar"/>
              </w:rPr>
              <w:t>0.92</w:t>
            </w: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 </w:t>
            </w:r>
          </w:p>
        </w:tc>
        <w:tc>
          <w:tcPr>
            <w:tcW w:w="235" w:type="pct"/>
            <w:tcBorders>
              <w:tl2br w:val="nil"/>
              <w:tr2bl w:val="nil"/>
            </w:tcBorders>
            <w:shd w:val="clear" w:color="auto" w:fill="auto"/>
            <w:vAlign w:val="center"/>
          </w:tcPr>
          <w:p w14:paraId="054C235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0.549 </w:t>
            </w:r>
          </w:p>
        </w:tc>
        <w:tc>
          <w:tcPr>
            <w:tcW w:w="195" w:type="pct"/>
            <w:tcBorders>
              <w:tl2br w:val="nil"/>
              <w:tr2bl w:val="nil"/>
            </w:tcBorders>
            <w:shd w:val="clear" w:color="auto" w:fill="auto"/>
            <w:vAlign w:val="center"/>
          </w:tcPr>
          <w:p w14:paraId="241A0B0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2"/>
                <w:szCs w:val="22"/>
                <w:highlight w:val="none"/>
                <w:u w:val="none"/>
                <w:lang w:val="en-US" w:eastAsia="zh-CN" w:bidi="ar"/>
              </w:rPr>
              <w:t>0.0</w:t>
            </w:r>
            <w:r>
              <w:rPr>
                <w:rFonts w:hint="eastAsia" w:ascii="Times New Roman" w:hAnsi="Times New Roman" w:eastAsia="宋体" w:cs="Times New Roman"/>
                <w:i w:val="0"/>
                <w:iCs w:val="0"/>
                <w:snapToGrid w:val="0"/>
                <w:color w:val="auto"/>
                <w:kern w:val="0"/>
                <w:sz w:val="22"/>
                <w:szCs w:val="22"/>
                <w:highlight w:val="none"/>
                <w:u w:val="none"/>
                <w:lang w:val="en-US" w:eastAsia="zh-CN" w:bidi="ar"/>
              </w:rPr>
              <w:t>3</w:t>
            </w: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 </w:t>
            </w:r>
          </w:p>
        </w:tc>
        <w:tc>
          <w:tcPr>
            <w:tcW w:w="195" w:type="pct"/>
            <w:tcBorders>
              <w:tl2br w:val="nil"/>
              <w:tr2bl w:val="nil"/>
            </w:tcBorders>
            <w:shd w:val="clear" w:color="auto" w:fill="auto"/>
            <w:vAlign w:val="center"/>
          </w:tcPr>
          <w:p w14:paraId="13A9193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 xml:space="preserve">0.03 </w:t>
            </w:r>
          </w:p>
        </w:tc>
        <w:tc>
          <w:tcPr>
            <w:tcW w:w="171" w:type="pct"/>
            <w:tcBorders>
              <w:tl2br w:val="nil"/>
              <w:tr2bl w:val="nil"/>
            </w:tcBorders>
            <w:shd w:val="clear" w:color="auto" w:fill="auto"/>
            <w:vAlign w:val="center"/>
          </w:tcPr>
          <w:p w14:paraId="6C39E995">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295" w:type="pct"/>
            <w:tcBorders>
              <w:tl2br w:val="nil"/>
              <w:tr2bl w:val="nil"/>
            </w:tcBorders>
            <w:shd w:val="clear" w:color="auto" w:fill="auto"/>
            <w:vAlign w:val="center"/>
          </w:tcPr>
          <w:p w14:paraId="7E16F2B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0.</w:t>
            </w:r>
            <w:r>
              <w:rPr>
                <w:rFonts w:hint="eastAsia" w:ascii="Times New Roman" w:hAnsi="Times New Roman" w:eastAsia="宋体" w:cs="Times New Roman"/>
                <w:i w:val="0"/>
                <w:iCs w:val="0"/>
                <w:snapToGrid w:val="0"/>
                <w:color w:val="auto"/>
                <w:kern w:val="0"/>
                <w:sz w:val="22"/>
                <w:szCs w:val="22"/>
                <w:u w:val="none"/>
                <w:lang w:val="en-US" w:eastAsia="zh-CN" w:bidi="ar"/>
              </w:rPr>
              <w:t>000</w:t>
            </w:r>
            <w:r>
              <w:rPr>
                <w:rFonts w:hint="default" w:ascii="Times New Roman" w:hAnsi="Times New Roman" w:eastAsia="宋体" w:cs="Times New Roman"/>
                <w:i w:val="0"/>
                <w:iCs w:val="0"/>
                <w:snapToGrid w:val="0"/>
                <w:color w:val="auto"/>
                <w:kern w:val="0"/>
                <w:sz w:val="22"/>
                <w:szCs w:val="22"/>
                <w:u w:val="none"/>
                <w:lang w:val="en-US" w:eastAsia="zh-CN" w:bidi="ar"/>
              </w:rPr>
              <w:t xml:space="preserve">889 </w:t>
            </w:r>
          </w:p>
        </w:tc>
        <w:tc>
          <w:tcPr>
            <w:tcW w:w="194" w:type="pct"/>
            <w:tcBorders>
              <w:tl2br w:val="nil"/>
              <w:tr2bl w:val="nil"/>
            </w:tcBorders>
            <w:shd w:val="clear" w:color="auto" w:fill="auto"/>
            <w:vAlign w:val="center"/>
          </w:tcPr>
          <w:p w14:paraId="123E92B5">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color w:val="auto"/>
                <w:kern w:val="0"/>
                <w:sz w:val="21"/>
                <w:szCs w:val="21"/>
                <w:u w:val="none"/>
                <w:lang w:val="en-US" w:eastAsia="zh-CN" w:bidi="ar"/>
              </w:rPr>
              <w:t>/</w:t>
            </w:r>
          </w:p>
        </w:tc>
        <w:tc>
          <w:tcPr>
            <w:tcW w:w="199" w:type="pct"/>
            <w:tcBorders>
              <w:tl2br w:val="nil"/>
              <w:tr2bl w:val="nil"/>
            </w:tcBorders>
            <w:shd w:val="clear" w:color="auto" w:fill="auto"/>
            <w:vAlign w:val="center"/>
          </w:tcPr>
          <w:p w14:paraId="66A4FB4D">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w:t>
            </w:r>
          </w:p>
        </w:tc>
        <w:tc>
          <w:tcPr>
            <w:tcW w:w="170" w:type="pct"/>
            <w:tcBorders>
              <w:tl2br w:val="nil"/>
              <w:tr2bl w:val="nil"/>
            </w:tcBorders>
            <w:shd w:val="clear" w:color="auto" w:fill="auto"/>
            <w:vAlign w:val="center"/>
          </w:tcPr>
          <w:p w14:paraId="29262A5A">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color w:val="auto"/>
                <w:kern w:val="0"/>
                <w:sz w:val="21"/>
                <w:szCs w:val="21"/>
                <w:u w:val="none"/>
                <w:lang w:val="en-US" w:eastAsia="zh-CN" w:bidi="ar"/>
              </w:rPr>
              <w:t>/</w:t>
            </w:r>
          </w:p>
        </w:tc>
        <w:tc>
          <w:tcPr>
            <w:tcW w:w="208" w:type="pct"/>
            <w:tcBorders>
              <w:tl2br w:val="nil"/>
              <w:tr2bl w:val="nil"/>
            </w:tcBorders>
            <w:shd w:val="clear" w:color="auto" w:fill="auto"/>
            <w:vAlign w:val="center"/>
          </w:tcPr>
          <w:p w14:paraId="087FBD15">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color w:val="auto"/>
                <w:kern w:val="0"/>
                <w:sz w:val="21"/>
                <w:szCs w:val="21"/>
                <w:u w:val="none"/>
                <w:lang w:val="en-US" w:eastAsia="zh-CN" w:bidi="ar"/>
              </w:rPr>
              <w:t>/</w:t>
            </w:r>
          </w:p>
        </w:tc>
        <w:tc>
          <w:tcPr>
            <w:tcW w:w="217" w:type="pct"/>
            <w:tcBorders>
              <w:tl2br w:val="nil"/>
              <w:tr2bl w:val="nil"/>
            </w:tcBorders>
            <w:shd w:val="clear" w:color="auto" w:fill="auto"/>
            <w:vAlign w:val="center"/>
          </w:tcPr>
          <w:p w14:paraId="4CF5852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snapToGrid w:val="0"/>
                <w:color w:val="auto"/>
                <w:kern w:val="0"/>
                <w:sz w:val="22"/>
                <w:szCs w:val="22"/>
                <w:u w:val="none"/>
                <w:lang w:val="en-US" w:eastAsia="zh-CN" w:bidi="ar"/>
              </w:rPr>
              <w:t>0.0018</w:t>
            </w:r>
          </w:p>
        </w:tc>
        <w:tc>
          <w:tcPr>
            <w:tcW w:w="170" w:type="pct"/>
            <w:tcBorders>
              <w:tl2br w:val="nil"/>
              <w:tr2bl w:val="nil"/>
            </w:tcBorders>
            <w:shd w:val="clear" w:color="auto" w:fill="auto"/>
            <w:vAlign w:val="center"/>
          </w:tcPr>
          <w:p w14:paraId="54A111EF">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color w:val="auto"/>
                <w:kern w:val="0"/>
                <w:sz w:val="21"/>
                <w:szCs w:val="21"/>
                <w:u w:val="none"/>
                <w:lang w:val="en-US" w:eastAsia="zh-CN" w:bidi="ar"/>
              </w:rPr>
              <w:t>/</w:t>
            </w:r>
          </w:p>
        </w:tc>
        <w:tc>
          <w:tcPr>
            <w:tcW w:w="208" w:type="pct"/>
            <w:tcBorders>
              <w:tl2br w:val="nil"/>
              <w:tr2bl w:val="nil"/>
            </w:tcBorders>
            <w:shd w:val="clear" w:color="auto" w:fill="auto"/>
            <w:vAlign w:val="center"/>
          </w:tcPr>
          <w:p w14:paraId="420BE0F4">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color w:val="auto"/>
                <w:kern w:val="0"/>
                <w:sz w:val="21"/>
                <w:szCs w:val="21"/>
                <w:u w:val="none"/>
                <w:lang w:val="en-US" w:eastAsia="zh-CN" w:bidi="ar"/>
              </w:rPr>
              <w:t>/</w:t>
            </w:r>
          </w:p>
        </w:tc>
        <w:tc>
          <w:tcPr>
            <w:tcW w:w="180" w:type="pct"/>
            <w:tcBorders>
              <w:tl2br w:val="nil"/>
              <w:tr2bl w:val="nil"/>
            </w:tcBorders>
            <w:shd w:val="clear" w:color="auto" w:fill="auto"/>
            <w:vAlign w:val="center"/>
          </w:tcPr>
          <w:p w14:paraId="59B72730">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4.0</w:t>
            </w:r>
          </w:p>
        </w:tc>
        <w:tc>
          <w:tcPr>
            <w:tcW w:w="175" w:type="pct"/>
            <w:tcBorders>
              <w:tl2br w:val="nil"/>
              <w:tr2bl w:val="nil"/>
            </w:tcBorders>
            <w:shd w:val="clear" w:color="auto" w:fill="auto"/>
            <w:vAlign w:val="center"/>
          </w:tcPr>
          <w:p w14:paraId="71CB0022">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0.42</w:t>
            </w:r>
          </w:p>
        </w:tc>
        <w:tc>
          <w:tcPr>
            <w:tcW w:w="192" w:type="pct"/>
            <w:tcBorders>
              <w:tl2br w:val="nil"/>
              <w:tr2bl w:val="nil"/>
            </w:tcBorders>
            <w:shd w:val="clear" w:color="auto" w:fill="auto"/>
            <w:vAlign w:val="center"/>
          </w:tcPr>
          <w:p w14:paraId="5A0C246B">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r>
      <w:bookmarkEnd w:id="1521"/>
      <w:bookmarkEnd w:id="1522"/>
      <w:bookmarkEnd w:id="1523"/>
      <w:tr w14:paraId="047457D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512" w:hRule="atLeast"/>
        </w:trPr>
        <w:tc>
          <w:tcPr>
            <w:tcW w:w="211" w:type="pct"/>
            <w:vMerge w:val="continue"/>
            <w:tcBorders>
              <w:tl2br w:val="nil"/>
              <w:tr2bl w:val="nil"/>
            </w:tcBorders>
          </w:tcPr>
          <w:p w14:paraId="785A7DFC">
            <w:pPr>
              <w:bidi w:val="0"/>
              <w:jc w:val="center"/>
              <w:rPr>
                <w:rFonts w:hint="default" w:ascii="Times New Roman" w:hAnsi="Times New Roman" w:eastAsia="宋体" w:cs="Times New Roman"/>
                <w:color w:val="auto"/>
                <w:sz w:val="21"/>
                <w:szCs w:val="21"/>
                <w:lang w:val="en-US"/>
              </w:rPr>
            </w:pPr>
            <w:bookmarkStart w:id="1529" w:name="OLE_LINK529" w:colFirst="2" w:colLast="23"/>
          </w:p>
        </w:tc>
        <w:tc>
          <w:tcPr>
            <w:tcW w:w="255" w:type="pct"/>
            <w:tcBorders>
              <w:tl2br w:val="nil"/>
              <w:tr2bl w:val="nil"/>
            </w:tcBorders>
            <w:shd w:val="clear" w:color="auto" w:fill="auto"/>
            <w:vAlign w:val="center"/>
          </w:tcPr>
          <w:p w14:paraId="139D85DA">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最大单因子指数</w:t>
            </w:r>
          </w:p>
        </w:tc>
        <w:tc>
          <w:tcPr>
            <w:tcW w:w="225" w:type="pct"/>
            <w:tcBorders>
              <w:tl2br w:val="nil"/>
              <w:tr2bl w:val="nil"/>
            </w:tcBorders>
            <w:shd w:val="clear" w:color="auto" w:fill="auto"/>
            <w:vAlign w:val="center"/>
          </w:tcPr>
          <w:p w14:paraId="03A12EE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241" w:type="pct"/>
            <w:tcBorders>
              <w:tl2br w:val="nil"/>
              <w:tr2bl w:val="nil"/>
            </w:tcBorders>
            <w:shd w:val="clear" w:color="auto" w:fill="auto"/>
            <w:vAlign w:val="center"/>
          </w:tcPr>
          <w:p w14:paraId="44308A4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0.25</w:t>
            </w:r>
          </w:p>
        </w:tc>
        <w:tc>
          <w:tcPr>
            <w:tcW w:w="241" w:type="pct"/>
            <w:tcBorders>
              <w:tl2br w:val="nil"/>
              <w:tr2bl w:val="nil"/>
            </w:tcBorders>
            <w:shd w:val="clear" w:color="auto" w:fill="auto"/>
            <w:vAlign w:val="center"/>
          </w:tcPr>
          <w:p w14:paraId="66C5A79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0.75 </w:t>
            </w:r>
          </w:p>
        </w:tc>
        <w:tc>
          <w:tcPr>
            <w:tcW w:w="219" w:type="pct"/>
            <w:tcBorders>
              <w:tl2br w:val="nil"/>
              <w:tr2bl w:val="nil"/>
            </w:tcBorders>
            <w:shd w:val="clear" w:color="auto" w:fill="auto"/>
            <w:vAlign w:val="center"/>
          </w:tcPr>
          <w:p w14:paraId="2FA3CF8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219" w:type="pct"/>
            <w:tcBorders>
              <w:tl2br w:val="nil"/>
              <w:tr2bl w:val="nil"/>
            </w:tcBorders>
            <w:shd w:val="clear" w:color="auto" w:fill="auto"/>
            <w:vAlign w:val="center"/>
          </w:tcPr>
          <w:p w14:paraId="0B0DAD6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0.63 </w:t>
            </w:r>
          </w:p>
        </w:tc>
        <w:tc>
          <w:tcPr>
            <w:tcW w:w="186" w:type="pct"/>
            <w:tcBorders>
              <w:tl2br w:val="nil"/>
              <w:tr2bl w:val="nil"/>
            </w:tcBorders>
            <w:shd w:val="clear" w:color="auto" w:fill="auto"/>
            <w:vAlign w:val="center"/>
          </w:tcPr>
          <w:p w14:paraId="04FE2A8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0.85 </w:t>
            </w:r>
          </w:p>
        </w:tc>
        <w:tc>
          <w:tcPr>
            <w:tcW w:w="185" w:type="pct"/>
            <w:tcBorders>
              <w:tl2br w:val="nil"/>
              <w:tr2bl w:val="nil"/>
            </w:tcBorders>
            <w:shd w:val="clear" w:color="auto" w:fill="auto"/>
            <w:vAlign w:val="center"/>
          </w:tcPr>
          <w:p w14:paraId="376D291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0.94</w:t>
            </w:r>
            <w:r>
              <w:rPr>
                <w:rFonts w:hint="default" w:ascii="Times New Roman" w:hAnsi="Times New Roman" w:eastAsia="宋体" w:cs="Times New Roman"/>
                <w:i w:val="0"/>
                <w:iCs w:val="0"/>
                <w:snapToGrid w:val="0"/>
                <w:color w:val="auto"/>
                <w:kern w:val="0"/>
                <w:sz w:val="21"/>
                <w:szCs w:val="21"/>
                <w:highlight w:val="none"/>
                <w:u w:val="none"/>
                <w:lang w:val="en-US" w:eastAsia="zh-CN" w:bidi="ar"/>
              </w:rPr>
              <w:t xml:space="preserve"> </w:t>
            </w:r>
          </w:p>
        </w:tc>
        <w:tc>
          <w:tcPr>
            <w:tcW w:w="235" w:type="pct"/>
            <w:tcBorders>
              <w:tl2br w:val="nil"/>
              <w:tr2bl w:val="nil"/>
            </w:tcBorders>
            <w:shd w:val="clear" w:color="auto" w:fill="auto"/>
            <w:vAlign w:val="center"/>
          </w:tcPr>
          <w:p w14:paraId="126025C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 xml:space="preserve">0.57 </w:t>
            </w:r>
          </w:p>
        </w:tc>
        <w:tc>
          <w:tcPr>
            <w:tcW w:w="195" w:type="pct"/>
            <w:tcBorders>
              <w:tl2br w:val="nil"/>
              <w:tr2bl w:val="nil"/>
            </w:tcBorders>
            <w:shd w:val="clear" w:color="auto" w:fill="auto"/>
            <w:vAlign w:val="center"/>
          </w:tcPr>
          <w:p w14:paraId="1554CD8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0.80</w:t>
            </w:r>
            <w:r>
              <w:rPr>
                <w:rFonts w:hint="default" w:ascii="Times New Roman" w:hAnsi="Times New Roman" w:eastAsia="宋体" w:cs="Times New Roman"/>
                <w:i w:val="0"/>
                <w:iCs w:val="0"/>
                <w:snapToGrid w:val="0"/>
                <w:color w:val="auto"/>
                <w:kern w:val="0"/>
                <w:sz w:val="21"/>
                <w:szCs w:val="21"/>
                <w:highlight w:val="none"/>
                <w:u w:val="none"/>
                <w:lang w:val="en-US" w:eastAsia="zh-CN" w:bidi="ar"/>
              </w:rPr>
              <w:t xml:space="preserve"> </w:t>
            </w:r>
          </w:p>
        </w:tc>
        <w:tc>
          <w:tcPr>
            <w:tcW w:w="195" w:type="pct"/>
            <w:tcBorders>
              <w:tl2br w:val="nil"/>
              <w:tr2bl w:val="nil"/>
            </w:tcBorders>
            <w:shd w:val="clear" w:color="auto" w:fill="auto"/>
            <w:vAlign w:val="center"/>
          </w:tcPr>
          <w:p w14:paraId="0F8D22E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0.80 </w:t>
            </w:r>
          </w:p>
        </w:tc>
        <w:tc>
          <w:tcPr>
            <w:tcW w:w="171" w:type="pct"/>
            <w:tcBorders>
              <w:tl2br w:val="nil"/>
              <w:tr2bl w:val="nil"/>
            </w:tcBorders>
            <w:shd w:val="clear" w:color="auto" w:fill="auto"/>
            <w:vAlign w:val="center"/>
          </w:tcPr>
          <w:p w14:paraId="4D2C117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0.025 </w:t>
            </w:r>
          </w:p>
        </w:tc>
        <w:tc>
          <w:tcPr>
            <w:tcW w:w="295" w:type="pct"/>
            <w:tcBorders>
              <w:tl2br w:val="nil"/>
              <w:tr2bl w:val="nil"/>
            </w:tcBorders>
            <w:shd w:val="clear" w:color="auto" w:fill="auto"/>
            <w:vAlign w:val="center"/>
          </w:tcPr>
          <w:p w14:paraId="48B1BFD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0.18 </w:t>
            </w:r>
          </w:p>
        </w:tc>
        <w:tc>
          <w:tcPr>
            <w:tcW w:w="194" w:type="pct"/>
            <w:tcBorders>
              <w:tl2br w:val="nil"/>
              <w:tr2bl w:val="nil"/>
            </w:tcBorders>
            <w:shd w:val="clear" w:color="auto" w:fill="auto"/>
            <w:vAlign w:val="center"/>
          </w:tcPr>
          <w:p w14:paraId="21E40BE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0.040 </w:t>
            </w:r>
          </w:p>
        </w:tc>
        <w:tc>
          <w:tcPr>
            <w:tcW w:w="199" w:type="pct"/>
            <w:tcBorders>
              <w:tl2br w:val="nil"/>
              <w:tr2bl w:val="nil"/>
            </w:tcBorders>
            <w:shd w:val="clear" w:color="auto" w:fill="auto"/>
            <w:vAlign w:val="center"/>
          </w:tcPr>
          <w:p w14:paraId="2645074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0.004 </w:t>
            </w:r>
          </w:p>
        </w:tc>
        <w:tc>
          <w:tcPr>
            <w:tcW w:w="170" w:type="pct"/>
            <w:tcBorders>
              <w:tl2br w:val="nil"/>
              <w:tr2bl w:val="nil"/>
            </w:tcBorders>
            <w:shd w:val="clear" w:color="auto" w:fill="auto"/>
            <w:vAlign w:val="center"/>
          </w:tcPr>
          <w:p w14:paraId="3F18DC0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0.020 </w:t>
            </w:r>
          </w:p>
        </w:tc>
        <w:tc>
          <w:tcPr>
            <w:tcW w:w="208" w:type="pct"/>
            <w:tcBorders>
              <w:tl2br w:val="nil"/>
              <w:tr2bl w:val="nil"/>
            </w:tcBorders>
            <w:shd w:val="clear" w:color="auto" w:fill="auto"/>
            <w:vAlign w:val="center"/>
          </w:tcPr>
          <w:p w14:paraId="0B16947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0.700 </w:t>
            </w:r>
          </w:p>
        </w:tc>
        <w:tc>
          <w:tcPr>
            <w:tcW w:w="217" w:type="pct"/>
            <w:tcBorders>
              <w:tl2br w:val="nil"/>
              <w:tr2bl w:val="nil"/>
            </w:tcBorders>
            <w:shd w:val="clear" w:color="auto" w:fill="auto"/>
            <w:vAlign w:val="center"/>
          </w:tcPr>
          <w:p w14:paraId="05997E9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0.04 </w:t>
            </w:r>
          </w:p>
        </w:tc>
        <w:tc>
          <w:tcPr>
            <w:tcW w:w="170" w:type="pct"/>
            <w:tcBorders>
              <w:tl2br w:val="nil"/>
              <w:tr2bl w:val="nil"/>
            </w:tcBorders>
            <w:shd w:val="clear" w:color="auto" w:fill="auto"/>
            <w:vAlign w:val="center"/>
          </w:tcPr>
          <w:p w14:paraId="7AC3D6A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0.500 </w:t>
            </w:r>
          </w:p>
        </w:tc>
        <w:tc>
          <w:tcPr>
            <w:tcW w:w="208" w:type="pct"/>
            <w:tcBorders>
              <w:tl2br w:val="nil"/>
              <w:tr2bl w:val="nil"/>
            </w:tcBorders>
            <w:shd w:val="clear" w:color="auto" w:fill="auto"/>
            <w:vAlign w:val="center"/>
          </w:tcPr>
          <w:p w14:paraId="5F0A055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0.030 </w:t>
            </w:r>
          </w:p>
        </w:tc>
        <w:tc>
          <w:tcPr>
            <w:tcW w:w="180" w:type="pct"/>
            <w:tcBorders>
              <w:tl2br w:val="nil"/>
              <w:tr2bl w:val="nil"/>
            </w:tcBorders>
            <w:shd w:val="clear" w:color="auto" w:fill="auto"/>
            <w:vAlign w:val="center"/>
          </w:tcPr>
          <w:p w14:paraId="772B486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0.68 </w:t>
            </w:r>
          </w:p>
        </w:tc>
        <w:tc>
          <w:tcPr>
            <w:tcW w:w="175" w:type="pct"/>
            <w:tcBorders>
              <w:tl2br w:val="nil"/>
              <w:tr2bl w:val="nil"/>
            </w:tcBorders>
            <w:shd w:val="clear" w:color="auto" w:fill="auto"/>
            <w:vAlign w:val="center"/>
          </w:tcPr>
          <w:p w14:paraId="07E0979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0.44 </w:t>
            </w:r>
          </w:p>
        </w:tc>
        <w:tc>
          <w:tcPr>
            <w:tcW w:w="192" w:type="pct"/>
            <w:tcBorders>
              <w:tl2br w:val="nil"/>
              <w:tr2bl w:val="nil"/>
            </w:tcBorders>
            <w:shd w:val="clear" w:color="auto" w:fill="auto"/>
            <w:vAlign w:val="center"/>
          </w:tcPr>
          <w:p w14:paraId="32DD5E8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0.125 </w:t>
            </w:r>
          </w:p>
        </w:tc>
      </w:tr>
      <w:bookmarkEnd w:id="1524"/>
      <w:bookmarkEnd w:id="1525"/>
      <w:bookmarkEnd w:id="1526"/>
      <w:bookmarkEnd w:id="1529"/>
      <w:tr w14:paraId="114BB56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33" w:hRule="atLeast"/>
        </w:trPr>
        <w:tc>
          <w:tcPr>
            <w:tcW w:w="211" w:type="pct"/>
            <w:vMerge w:val="continue"/>
            <w:tcBorders>
              <w:tl2br w:val="nil"/>
              <w:tr2bl w:val="nil"/>
            </w:tcBorders>
          </w:tcPr>
          <w:p w14:paraId="37E619D2">
            <w:pPr>
              <w:bidi w:val="0"/>
              <w:jc w:val="center"/>
              <w:rPr>
                <w:rFonts w:hint="default" w:ascii="Times New Roman" w:hAnsi="Times New Roman" w:eastAsia="宋体" w:cs="Times New Roman"/>
                <w:color w:val="auto"/>
                <w:sz w:val="21"/>
                <w:szCs w:val="21"/>
                <w:lang w:val="en-US"/>
              </w:rPr>
            </w:pPr>
          </w:p>
        </w:tc>
        <w:tc>
          <w:tcPr>
            <w:tcW w:w="255" w:type="pct"/>
            <w:tcBorders>
              <w:tl2br w:val="nil"/>
              <w:tr2bl w:val="nil"/>
            </w:tcBorders>
            <w:shd w:val="clear" w:color="auto" w:fill="auto"/>
            <w:vAlign w:val="center"/>
          </w:tcPr>
          <w:p w14:paraId="099D19A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超标率（%）</w:t>
            </w:r>
          </w:p>
        </w:tc>
        <w:tc>
          <w:tcPr>
            <w:tcW w:w="225" w:type="pct"/>
            <w:tcBorders>
              <w:tl2br w:val="nil"/>
              <w:tr2bl w:val="nil"/>
            </w:tcBorders>
            <w:shd w:val="clear" w:color="auto" w:fill="auto"/>
            <w:vAlign w:val="center"/>
          </w:tcPr>
          <w:p w14:paraId="34C31493">
            <w:pPr>
              <w:bidi w:val="0"/>
              <w:jc w:val="center"/>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241" w:type="pct"/>
            <w:tcBorders>
              <w:tl2br w:val="nil"/>
              <w:tr2bl w:val="nil"/>
            </w:tcBorders>
            <w:shd w:val="clear" w:color="auto" w:fill="auto"/>
            <w:vAlign w:val="center"/>
          </w:tcPr>
          <w:p w14:paraId="318CF52B">
            <w:pPr>
              <w:bidi w:val="0"/>
              <w:jc w:val="center"/>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w:t>
            </w:r>
          </w:p>
        </w:tc>
        <w:tc>
          <w:tcPr>
            <w:tcW w:w="241" w:type="pct"/>
            <w:tcBorders>
              <w:tl2br w:val="nil"/>
              <w:tr2bl w:val="nil"/>
            </w:tcBorders>
            <w:shd w:val="clear" w:color="auto" w:fill="auto"/>
            <w:vAlign w:val="center"/>
          </w:tcPr>
          <w:p w14:paraId="032663AA">
            <w:pPr>
              <w:bidi w:val="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w:t>
            </w:r>
          </w:p>
        </w:tc>
        <w:tc>
          <w:tcPr>
            <w:tcW w:w="219" w:type="pct"/>
            <w:tcBorders>
              <w:tl2br w:val="nil"/>
              <w:tr2bl w:val="nil"/>
            </w:tcBorders>
            <w:shd w:val="clear" w:color="auto" w:fill="auto"/>
            <w:vAlign w:val="center"/>
          </w:tcPr>
          <w:p w14:paraId="38DDF819">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219" w:type="pct"/>
            <w:tcBorders>
              <w:tl2br w:val="nil"/>
              <w:tr2bl w:val="nil"/>
            </w:tcBorders>
            <w:shd w:val="clear" w:color="auto" w:fill="auto"/>
            <w:vAlign w:val="center"/>
          </w:tcPr>
          <w:p w14:paraId="3F684116">
            <w:pPr>
              <w:bidi w:val="0"/>
              <w:jc w:val="center"/>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w:t>
            </w:r>
          </w:p>
        </w:tc>
        <w:tc>
          <w:tcPr>
            <w:tcW w:w="186" w:type="pct"/>
            <w:tcBorders>
              <w:tl2br w:val="nil"/>
              <w:tr2bl w:val="nil"/>
            </w:tcBorders>
            <w:shd w:val="clear" w:color="auto" w:fill="auto"/>
            <w:vAlign w:val="center"/>
          </w:tcPr>
          <w:p w14:paraId="7FB5F024">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85" w:type="pct"/>
            <w:tcBorders>
              <w:tl2br w:val="nil"/>
              <w:tr2bl w:val="nil"/>
            </w:tcBorders>
            <w:shd w:val="clear" w:color="auto" w:fill="auto"/>
            <w:vAlign w:val="center"/>
          </w:tcPr>
          <w:p w14:paraId="1EC25CAF">
            <w:pPr>
              <w:bidi w:val="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snapToGrid w:val="0"/>
                <w:color w:val="auto"/>
                <w:kern w:val="0"/>
                <w:sz w:val="21"/>
                <w:szCs w:val="21"/>
                <w:highlight w:val="none"/>
                <w:lang w:val="en-US" w:eastAsia="zh-CN" w:bidi="ar-SA"/>
              </w:rPr>
              <w:t>0</w:t>
            </w:r>
          </w:p>
        </w:tc>
        <w:tc>
          <w:tcPr>
            <w:tcW w:w="235" w:type="pct"/>
            <w:tcBorders>
              <w:tl2br w:val="nil"/>
              <w:tr2bl w:val="nil"/>
            </w:tcBorders>
            <w:shd w:val="clear" w:color="auto" w:fill="auto"/>
            <w:vAlign w:val="center"/>
          </w:tcPr>
          <w:p w14:paraId="5B279833">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5" w:type="pct"/>
            <w:tcBorders>
              <w:tl2br w:val="nil"/>
              <w:tr2bl w:val="nil"/>
            </w:tcBorders>
            <w:shd w:val="clear" w:color="auto" w:fill="auto"/>
            <w:vAlign w:val="center"/>
          </w:tcPr>
          <w:p w14:paraId="5373E772">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5" w:type="pct"/>
            <w:tcBorders>
              <w:tl2br w:val="nil"/>
              <w:tr2bl w:val="nil"/>
            </w:tcBorders>
            <w:shd w:val="clear" w:color="auto" w:fill="auto"/>
            <w:vAlign w:val="center"/>
          </w:tcPr>
          <w:p w14:paraId="57240BD9">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1" w:type="pct"/>
            <w:tcBorders>
              <w:tl2br w:val="nil"/>
              <w:tr2bl w:val="nil"/>
            </w:tcBorders>
            <w:shd w:val="clear" w:color="auto" w:fill="auto"/>
            <w:vAlign w:val="center"/>
          </w:tcPr>
          <w:p w14:paraId="7630700B">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95" w:type="pct"/>
            <w:tcBorders>
              <w:tl2br w:val="nil"/>
              <w:tr2bl w:val="nil"/>
            </w:tcBorders>
            <w:shd w:val="clear" w:color="auto" w:fill="auto"/>
            <w:vAlign w:val="center"/>
          </w:tcPr>
          <w:p w14:paraId="60640D7A">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4" w:type="pct"/>
            <w:tcBorders>
              <w:tl2br w:val="nil"/>
              <w:tr2bl w:val="nil"/>
            </w:tcBorders>
            <w:shd w:val="clear" w:color="auto" w:fill="auto"/>
            <w:vAlign w:val="center"/>
          </w:tcPr>
          <w:p w14:paraId="671F26B7">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9" w:type="pct"/>
            <w:tcBorders>
              <w:tl2br w:val="nil"/>
              <w:tr2bl w:val="nil"/>
            </w:tcBorders>
            <w:shd w:val="clear" w:color="auto" w:fill="auto"/>
            <w:vAlign w:val="center"/>
          </w:tcPr>
          <w:p w14:paraId="1E7D63BB">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0" w:type="pct"/>
            <w:tcBorders>
              <w:tl2br w:val="nil"/>
              <w:tr2bl w:val="nil"/>
            </w:tcBorders>
            <w:shd w:val="clear" w:color="auto" w:fill="auto"/>
            <w:vAlign w:val="center"/>
          </w:tcPr>
          <w:p w14:paraId="18E86B72">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08" w:type="pct"/>
            <w:tcBorders>
              <w:tl2br w:val="nil"/>
              <w:tr2bl w:val="nil"/>
            </w:tcBorders>
            <w:shd w:val="clear" w:color="auto" w:fill="auto"/>
            <w:vAlign w:val="center"/>
          </w:tcPr>
          <w:p w14:paraId="654A099A">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17" w:type="pct"/>
            <w:tcBorders>
              <w:tl2br w:val="nil"/>
              <w:tr2bl w:val="nil"/>
            </w:tcBorders>
            <w:shd w:val="clear" w:color="auto" w:fill="auto"/>
            <w:vAlign w:val="center"/>
          </w:tcPr>
          <w:p w14:paraId="2F0A295E">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0" w:type="pct"/>
            <w:tcBorders>
              <w:tl2br w:val="nil"/>
              <w:tr2bl w:val="nil"/>
            </w:tcBorders>
            <w:shd w:val="clear" w:color="auto" w:fill="auto"/>
            <w:vAlign w:val="center"/>
          </w:tcPr>
          <w:p w14:paraId="478CA7FD">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08" w:type="pct"/>
            <w:tcBorders>
              <w:tl2br w:val="nil"/>
              <w:tr2bl w:val="nil"/>
            </w:tcBorders>
            <w:shd w:val="clear" w:color="auto" w:fill="auto"/>
            <w:vAlign w:val="center"/>
          </w:tcPr>
          <w:p w14:paraId="0F0474C8">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80" w:type="pct"/>
            <w:tcBorders>
              <w:tl2br w:val="nil"/>
              <w:tr2bl w:val="nil"/>
            </w:tcBorders>
            <w:shd w:val="clear" w:color="auto" w:fill="auto"/>
            <w:vAlign w:val="center"/>
          </w:tcPr>
          <w:p w14:paraId="778433FD">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5" w:type="pct"/>
            <w:tcBorders>
              <w:tl2br w:val="nil"/>
              <w:tr2bl w:val="nil"/>
            </w:tcBorders>
            <w:shd w:val="clear" w:color="auto" w:fill="auto"/>
            <w:vAlign w:val="center"/>
          </w:tcPr>
          <w:p w14:paraId="6EF8D66D">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2" w:type="pct"/>
            <w:tcBorders>
              <w:tl2br w:val="nil"/>
              <w:tr2bl w:val="nil"/>
            </w:tcBorders>
            <w:shd w:val="clear" w:color="auto" w:fill="auto"/>
            <w:vAlign w:val="center"/>
          </w:tcPr>
          <w:p w14:paraId="280DFE42">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r>
      <w:tr w14:paraId="519C737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211" w:type="pct"/>
            <w:vMerge w:val="restart"/>
            <w:tcBorders>
              <w:tl2br w:val="nil"/>
              <w:tr2bl w:val="nil"/>
            </w:tcBorders>
            <w:shd w:val="clear" w:color="auto" w:fill="auto"/>
            <w:vAlign w:val="center"/>
          </w:tcPr>
          <w:p w14:paraId="025803FE">
            <w:pPr>
              <w:bidi w:val="0"/>
              <w:jc w:val="center"/>
              <w:rPr>
                <w:rFonts w:hint="default" w:ascii="Times New Roman" w:hAnsi="Times New Roman" w:eastAsia="宋体" w:cs="Times New Roman"/>
                <w:snapToGrid w:val="0"/>
                <w:color w:val="auto"/>
                <w:kern w:val="0"/>
                <w:sz w:val="21"/>
                <w:szCs w:val="21"/>
                <w:lang w:val="en-US" w:eastAsia="en-US" w:bidi="ar-SA"/>
              </w:rPr>
            </w:pPr>
            <w:bookmarkStart w:id="1530" w:name="OLE_LINK816" w:colFirst="6" w:colLast="6"/>
            <w:bookmarkStart w:id="1531" w:name="OLE_LINK542" w:colFirst="8" w:colLast="8"/>
            <w:bookmarkStart w:id="1532" w:name="OLE_LINK818" w:colFirst="8" w:colLast="8"/>
            <w:bookmarkStart w:id="1533" w:name="OLE_LINK10" w:colFirst="8" w:colLast="10"/>
            <w:bookmarkStart w:id="1534" w:name="OLE_LINK819" w:colFirst="10" w:colLast="10"/>
            <w:bookmarkStart w:id="1535" w:name="OLE_LINK892" w:colFirst="6" w:colLast="6"/>
            <w:r>
              <w:rPr>
                <w:rFonts w:hint="default" w:ascii="Times New Roman" w:hAnsi="Times New Roman" w:cs="Times New Roman"/>
                <w:color w:val="auto"/>
                <w:kern w:val="2"/>
                <w:sz w:val="21"/>
                <w:szCs w:val="21"/>
                <w:highlight w:val="none"/>
                <w:lang w:val="en-US" w:eastAsia="zh-CN" w:bidi="ar-SA"/>
              </w:rPr>
              <w:t>H2</w:t>
            </w:r>
          </w:p>
        </w:tc>
        <w:tc>
          <w:tcPr>
            <w:tcW w:w="255" w:type="pct"/>
            <w:tcBorders>
              <w:tl2br w:val="nil"/>
              <w:tr2bl w:val="nil"/>
            </w:tcBorders>
            <w:shd w:val="clear" w:color="auto" w:fill="auto"/>
            <w:vAlign w:val="center"/>
          </w:tcPr>
          <w:p w14:paraId="58EEDAD5">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最大值</w:t>
            </w:r>
          </w:p>
        </w:tc>
        <w:tc>
          <w:tcPr>
            <w:tcW w:w="225" w:type="pct"/>
            <w:tcBorders>
              <w:tl2br w:val="nil"/>
              <w:tr2bl w:val="nil"/>
            </w:tcBorders>
            <w:shd w:val="clear" w:color="auto" w:fill="auto"/>
            <w:vAlign w:val="center"/>
          </w:tcPr>
          <w:p w14:paraId="29704344">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28.6</w:t>
            </w:r>
          </w:p>
        </w:tc>
        <w:tc>
          <w:tcPr>
            <w:tcW w:w="241" w:type="pct"/>
            <w:tcBorders>
              <w:tl2br w:val="nil"/>
              <w:tr2bl w:val="nil"/>
            </w:tcBorders>
            <w:shd w:val="clear" w:color="auto" w:fill="auto"/>
            <w:vAlign w:val="center"/>
          </w:tcPr>
          <w:p w14:paraId="1FA75FBF">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7.6</w:t>
            </w:r>
          </w:p>
        </w:tc>
        <w:tc>
          <w:tcPr>
            <w:tcW w:w="241" w:type="pct"/>
            <w:tcBorders>
              <w:tl2br w:val="nil"/>
              <w:tr2bl w:val="nil"/>
            </w:tcBorders>
            <w:shd w:val="clear" w:color="auto" w:fill="auto"/>
            <w:vAlign w:val="center"/>
          </w:tcPr>
          <w:p w14:paraId="486F73CD">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5.8</w:t>
            </w:r>
          </w:p>
        </w:tc>
        <w:tc>
          <w:tcPr>
            <w:tcW w:w="219" w:type="pct"/>
            <w:tcBorders>
              <w:tl2br w:val="nil"/>
              <w:tr2bl w:val="nil"/>
            </w:tcBorders>
            <w:shd w:val="clear" w:color="auto" w:fill="auto"/>
            <w:vAlign w:val="center"/>
          </w:tcPr>
          <w:p w14:paraId="7B147AFA">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48</w:t>
            </w:r>
          </w:p>
        </w:tc>
        <w:tc>
          <w:tcPr>
            <w:tcW w:w="219" w:type="pct"/>
            <w:tcBorders>
              <w:tl2br w:val="nil"/>
              <w:tr2bl w:val="nil"/>
            </w:tcBorders>
            <w:shd w:val="clear" w:color="auto" w:fill="auto"/>
            <w:vAlign w:val="center"/>
          </w:tcPr>
          <w:p w14:paraId="25F1A5B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3.3</w:t>
            </w:r>
          </w:p>
        </w:tc>
        <w:tc>
          <w:tcPr>
            <w:tcW w:w="186" w:type="pct"/>
            <w:tcBorders>
              <w:tl2br w:val="nil"/>
              <w:tr2bl w:val="nil"/>
            </w:tcBorders>
            <w:shd w:val="clear" w:color="auto" w:fill="auto"/>
            <w:vAlign w:val="center"/>
          </w:tcPr>
          <w:p w14:paraId="04D458D5">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15</w:t>
            </w:r>
          </w:p>
        </w:tc>
        <w:tc>
          <w:tcPr>
            <w:tcW w:w="185" w:type="pct"/>
            <w:tcBorders>
              <w:tl2br w:val="nil"/>
              <w:tr2bl w:val="nil"/>
            </w:tcBorders>
            <w:shd w:val="clear" w:color="auto" w:fill="auto"/>
            <w:vAlign w:val="center"/>
          </w:tcPr>
          <w:p w14:paraId="04B91C4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i w:val="0"/>
                <w:iCs w:val="0"/>
                <w:snapToGrid w:val="0"/>
                <w:color w:val="auto"/>
                <w:kern w:val="0"/>
                <w:sz w:val="22"/>
                <w:szCs w:val="22"/>
                <w:highlight w:val="none"/>
                <w:u w:val="none"/>
                <w:lang w:val="en-US" w:eastAsia="zh-CN" w:bidi="ar"/>
              </w:rPr>
              <w:t>0.87</w:t>
            </w: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 </w:t>
            </w:r>
          </w:p>
        </w:tc>
        <w:tc>
          <w:tcPr>
            <w:tcW w:w="235" w:type="pct"/>
            <w:tcBorders>
              <w:tl2br w:val="nil"/>
              <w:tr2bl w:val="nil"/>
            </w:tcBorders>
            <w:shd w:val="clear" w:color="auto" w:fill="auto"/>
            <w:vAlign w:val="center"/>
          </w:tcPr>
          <w:p w14:paraId="215CEC6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0.539 </w:t>
            </w:r>
          </w:p>
        </w:tc>
        <w:tc>
          <w:tcPr>
            <w:tcW w:w="195" w:type="pct"/>
            <w:tcBorders>
              <w:tl2br w:val="nil"/>
              <w:tr2bl w:val="nil"/>
            </w:tcBorders>
            <w:shd w:val="clear" w:color="auto" w:fill="auto"/>
            <w:vAlign w:val="center"/>
          </w:tcPr>
          <w:p w14:paraId="46EEC3C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2"/>
                <w:szCs w:val="22"/>
                <w:highlight w:val="none"/>
                <w:u w:val="none"/>
                <w:lang w:val="en-US" w:eastAsia="zh-CN" w:bidi="ar"/>
              </w:rPr>
              <w:t>0.0</w:t>
            </w:r>
            <w:r>
              <w:rPr>
                <w:rFonts w:hint="eastAsia" w:ascii="Times New Roman" w:hAnsi="Times New Roman" w:eastAsia="宋体" w:cs="Times New Roman"/>
                <w:i w:val="0"/>
                <w:iCs w:val="0"/>
                <w:snapToGrid w:val="0"/>
                <w:color w:val="auto"/>
                <w:kern w:val="0"/>
                <w:sz w:val="22"/>
                <w:szCs w:val="22"/>
                <w:highlight w:val="none"/>
                <w:u w:val="none"/>
                <w:lang w:val="en-US" w:eastAsia="zh-CN" w:bidi="ar"/>
              </w:rPr>
              <w:t>3</w:t>
            </w: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 </w:t>
            </w:r>
          </w:p>
        </w:tc>
        <w:tc>
          <w:tcPr>
            <w:tcW w:w="195" w:type="pct"/>
            <w:tcBorders>
              <w:tl2br w:val="nil"/>
              <w:tr2bl w:val="nil"/>
            </w:tcBorders>
            <w:shd w:val="clear" w:color="auto" w:fill="auto"/>
            <w:vAlign w:val="center"/>
          </w:tcPr>
          <w:p w14:paraId="2576104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 xml:space="preserve">0.04 </w:t>
            </w:r>
          </w:p>
        </w:tc>
        <w:tc>
          <w:tcPr>
            <w:tcW w:w="171" w:type="pct"/>
            <w:tcBorders>
              <w:tl2br w:val="nil"/>
              <w:tr2bl w:val="nil"/>
            </w:tcBorders>
            <w:shd w:val="clear" w:color="auto" w:fill="auto"/>
            <w:vAlign w:val="center"/>
          </w:tcPr>
          <w:p w14:paraId="7E94A6A8">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95" w:type="pct"/>
            <w:tcBorders>
              <w:tl2br w:val="nil"/>
              <w:tr2bl w:val="nil"/>
            </w:tcBorders>
            <w:shd w:val="clear" w:color="auto" w:fill="auto"/>
            <w:vAlign w:val="center"/>
          </w:tcPr>
          <w:p w14:paraId="2BA71F8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0.</w:t>
            </w:r>
            <w:r>
              <w:rPr>
                <w:rFonts w:hint="eastAsia" w:ascii="Times New Roman" w:hAnsi="Times New Roman" w:eastAsia="宋体" w:cs="Times New Roman"/>
                <w:i w:val="0"/>
                <w:iCs w:val="0"/>
                <w:snapToGrid w:val="0"/>
                <w:color w:val="auto"/>
                <w:kern w:val="0"/>
                <w:sz w:val="22"/>
                <w:szCs w:val="22"/>
                <w:u w:val="none"/>
                <w:lang w:val="en-US" w:eastAsia="zh-CN" w:bidi="ar"/>
              </w:rPr>
              <w:t>000</w:t>
            </w:r>
            <w:r>
              <w:rPr>
                <w:rFonts w:hint="default" w:ascii="Times New Roman" w:hAnsi="Times New Roman" w:eastAsia="宋体" w:cs="Times New Roman"/>
                <w:i w:val="0"/>
                <w:iCs w:val="0"/>
                <w:snapToGrid w:val="0"/>
                <w:color w:val="auto"/>
                <w:kern w:val="0"/>
                <w:sz w:val="22"/>
                <w:szCs w:val="22"/>
                <w:u w:val="none"/>
                <w:lang w:val="en-US" w:eastAsia="zh-CN" w:bidi="ar"/>
              </w:rPr>
              <w:t xml:space="preserve">774 </w:t>
            </w:r>
          </w:p>
        </w:tc>
        <w:tc>
          <w:tcPr>
            <w:tcW w:w="194" w:type="pct"/>
            <w:tcBorders>
              <w:tl2br w:val="nil"/>
              <w:tr2bl w:val="nil"/>
            </w:tcBorders>
            <w:shd w:val="clear" w:color="auto" w:fill="auto"/>
            <w:vAlign w:val="center"/>
          </w:tcPr>
          <w:p w14:paraId="5C7FA18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199" w:type="pct"/>
            <w:tcBorders>
              <w:tl2br w:val="nil"/>
              <w:tr2bl w:val="nil"/>
            </w:tcBorders>
            <w:shd w:val="clear" w:color="auto" w:fill="auto"/>
            <w:vAlign w:val="center"/>
          </w:tcPr>
          <w:p w14:paraId="1EA7E533">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0.004</w:t>
            </w:r>
          </w:p>
        </w:tc>
        <w:tc>
          <w:tcPr>
            <w:tcW w:w="170" w:type="pct"/>
            <w:tcBorders>
              <w:tl2br w:val="nil"/>
              <w:tr2bl w:val="nil"/>
            </w:tcBorders>
            <w:shd w:val="clear" w:color="auto" w:fill="auto"/>
            <w:vAlign w:val="center"/>
          </w:tcPr>
          <w:p w14:paraId="0B6DB233">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08" w:type="pct"/>
            <w:tcBorders>
              <w:tl2br w:val="nil"/>
              <w:tr2bl w:val="nil"/>
            </w:tcBorders>
            <w:shd w:val="clear" w:color="auto" w:fill="auto"/>
            <w:vAlign w:val="center"/>
          </w:tcPr>
          <w:p w14:paraId="2AF00C22">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17" w:type="pct"/>
            <w:tcBorders>
              <w:tl2br w:val="nil"/>
              <w:tr2bl w:val="nil"/>
            </w:tcBorders>
            <w:shd w:val="clear" w:color="auto" w:fill="auto"/>
            <w:vAlign w:val="center"/>
          </w:tcPr>
          <w:p w14:paraId="6DB0A08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snapToGrid w:val="0"/>
                <w:color w:val="auto"/>
                <w:kern w:val="0"/>
                <w:sz w:val="22"/>
                <w:szCs w:val="22"/>
                <w:u w:val="none"/>
                <w:lang w:val="en-US" w:eastAsia="zh-CN" w:bidi="ar"/>
              </w:rPr>
              <w:t>0.0021</w:t>
            </w:r>
          </w:p>
        </w:tc>
        <w:tc>
          <w:tcPr>
            <w:tcW w:w="170" w:type="pct"/>
            <w:tcBorders>
              <w:tl2br w:val="nil"/>
              <w:tr2bl w:val="nil"/>
            </w:tcBorders>
            <w:shd w:val="clear" w:color="auto" w:fill="auto"/>
            <w:vAlign w:val="center"/>
          </w:tcPr>
          <w:p w14:paraId="5DB22CAF">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08" w:type="pct"/>
            <w:tcBorders>
              <w:tl2br w:val="nil"/>
              <w:tr2bl w:val="nil"/>
            </w:tcBorders>
            <w:shd w:val="clear" w:color="auto" w:fill="auto"/>
            <w:vAlign w:val="center"/>
          </w:tcPr>
          <w:p w14:paraId="158A680D">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180" w:type="pct"/>
            <w:tcBorders>
              <w:tl2br w:val="nil"/>
              <w:tr2bl w:val="nil"/>
            </w:tcBorders>
            <w:shd w:val="clear" w:color="auto" w:fill="auto"/>
            <w:vAlign w:val="center"/>
          </w:tcPr>
          <w:p w14:paraId="24F81F2E">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4.0</w:t>
            </w:r>
          </w:p>
        </w:tc>
        <w:tc>
          <w:tcPr>
            <w:tcW w:w="175" w:type="pct"/>
            <w:tcBorders>
              <w:tl2br w:val="nil"/>
              <w:tr2bl w:val="nil"/>
            </w:tcBorders>
            <w:shd w:val="clear" w:color="auto" w:fill="auto"/>
            <w:vAlign w:val="center"/>
          </w:tcPr>
          <w:p w14:paraId="5326B454">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0.50</w:t>
            </w:r>
          </w:p>
        </w:tc>
        <w:tc>
          <w:tcPr>
            <w:tcW w:w="192" w:type="pct"/>
            <w:tcBorders>
              <w:tl2br w:val="nil"/>
              <w:tr2bl w:val="nil"/>
            </w:tcBorders>
            <w:shd w:val="clear" w:color="auto" w:fill="auto"/>
            <w:vAlign w:val="center"/>
          </w:tcPr>
          <w:p w14:paraId="6A679E00">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r>
      <w:tr w14:paraId="7CB2D63C">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74" w:hRule="atLeast"/>
        </w:trPr>
        <w:tc>
          <w:tcPr>
            <w:tcW w:w="211" w:type="pct"/>
            <w:vMerge w:val="continue"/>
            <w:tcBorders>
              <w:tl2br w:val="nil"/>
              <w:tr2bl w:val="nil"/>
            </w:tcBorders>
          </w:tcPr>
          <w:p w14:paraId="6FBCFD30">
            <w:pPr>
              <w:bidi w:val="0"/>
              <w:jc w:val="center"/>
              <w:rPr>
                <w:rFonts w:hint="default" w:ascii="Times New Roman" w:hAnsi="Times New Roman" w:eastAsia="宋体" w:cs="Times New Roman"/>
                <w:color w:val="auto"/>
                <w:sz w:val="21"/>
                <w:szCs w:val="21"/>
                <w:lang w:val="en-US"/>
              </w:rPr>
            </w:pPr>
            <w:bookmarkStart w:id="1536" w:name="OLE_LINK822" w:colFirst="3" w:colLast="13"/>
          </w:p>
        </w:tc>
        <w:tc>
          <w:tcPr>
            <w:tcW w:w="255" w:type="pct"/>
            <w:tcBorders>
              <w:tl2br w:val="nil"/>
              <w:tr2bl w:val="nil"/>
            </w:tcBorders>
            <w:shd w:val="clear" w:color="auto" w:fill="auto"/>
            <w:vAlign w:val="center"/>
          </w:tcPr>
          <w:p w14:paraId="0C1554BF">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最小值</w:t>
            </w:r>
          </w:p>
        </w:tc>
        <w:tc>
          <w:tcPr>
            <w:tcW w:w="225" w:type="pct"/>
            <w:tcBorders>
              <w:tl2br w:val="nil"/>
              <w:tr2bl w:val="nil"/>
            </w:tcBorders>
            <w:shd w:val="clear" w:color="auto" w:fill="auto"/>
            <w:vAlign w:val="center"/>
          </w:tcPr>
          <w:p w14:paraId="4ECA99EE">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28.4</w:t>
            </w:r>
          </w:p>
        </w:tc>
        <w:tc>
          <w:tcPr>
            <w:tcW w:w="241" w:type="pct"/>
            <w:tcBorders>
              <w:tl2br w:val="nil"/>
              <w:tr2bl w:val="nil"/>
            </w:tcBorders>
            <w:shd w:val="clear" w:color="auto" w:fill="auto"/>
            <w:vAlign w:val="center"/>
          </w:tcPr>
          <w:p w14:paraId="0B1BA263">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7.4</w:t>
            </w:r>
          </w:p>
        </w:tc>
        <w:tc>
          <w:tcPr>
            <w:tcW w:w="241" w:type="pct"/>
            <w:tcBorders>
              <w:tl2br w:val="nil"/>
              <w:tr2bl w:val="nil"/>
            </w:tcBorders>
            <w:shd w:val="clear" w:color="auto" w:fill="auto"/>
            <w:vAlign w:val="center"/>
          </w:tcPr>
          <w:p w14:paraId="20AA69AA">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5.7</w:t>
            </w:r>
          </w:p>
        </w:tc>
        <w:tc>
          <w:tcPr>
            <w:tcW w:w="219" w:type="pct"/>
            <w:tcBorders>
              <w:tl2br w:val="nil"/>
              <w:tr2bl w:val="nil"/>
            </w:tcBorders>
            <w:shd w:val="clear" w:color="auto" w:fill="auto"/>
            <w:vAlign w:val="center"/>
          </w:tcPr>
          <w:p w14:paraId="5D061EBB">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46</w:t>
            </w:r>
          </w:p>
        </w:tc>
        <w:tc>
          <w:tcPr>
            <w:tcW w:w="219" w:type="pct"/>
            <w:tcBorders>
              <w:tl2br w:val="nil"/>
              <w:tr2bl w:val="nil"/>
            </w:tcBorders>
            <w:shd w:val="clear" w:color="auto" w:fill="auto"/>
            <w:vAlign w:val="center"/>
          </w:tcPr>
          <w:p w14:paraId="7C5AB72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2.3</w:t>
            </w:r>
          </w:p>
        </w:tc>
        <w:tc>
          <w:tcPr>
            <w:tcW w:w="186" w:type="pct"/>
            <w:tcBorders>
              <w:tl2br w:val="nil"/>
              <w:tr2bl w:val="nil"/>
            </w:tcBorders>
            <w:shd w:val="clear" w:color="auto" w:fill="auto"/>
            <w:vAlign w:val="center"/>
          </w:tcPr>
          <w:p w14:paraId="72E71CF9">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11</w:t>
            </w:r>
          </w:p>
        </w:tc>
        <w:tc>
          <w:tcPr>
            <w:tcW w:w="185" w:type="pct"/>
            <w:tcBorders>
              <w:tl2br w:val="nil"/>
              <w:tr2bl w:val="nil"/>
            </w:tcBorders>
            <w:shd w:val="clear" w:color="auto" w:fill="auto"/>
            <w:vAlign w:val="center"/>
          </w:tcPr>
          <w:p w14:paraId="44DFCC5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i w:val="0"/>
                <w:iCs w:val="0"/>
                <w:snapToGrid w:val="0"/>
                <w:color w:val="auto"/>
                <w:kern w:val="0"/>
                <w:sz w:val="22"/>
                <w:szCs w:val="22"/>
                <w:highlight w:val="none"/>
                <w:u w:val="none"/>
                <w:lang w:val="en-US" w:eastAsia="zh-CN" w:bidi="ar"/>
              </w:rPr>
              <w:t>0.85</w:t>
            </w: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 </w:t>
            </w:r>
          </w:p>
        </w:tc>
        <w:tc>
          <w:tcPr>
            <w:tcW w:w="235" w:type="pct"/>
            <w:tcBorders>
              <w:tl2br w:val="nil"/>
              <w:tr2bl w:val="nil"/>
            </w:tcBorders>
            <w:shd w:val="clear" w:color="auto" w:fill="auto"/>
            <w:vAlign w:val="center"/>
          </w:tcPr>
          <w:p w14:paraId="402E762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0.515 </w:t>
            </w:r>
          </w:p>
        </w:tc>
        <w:tc>
          <w:tcPr>
            <w:tcW w:w="195" w:type="pct"/>
            <w:tcBorders>
              <w:tl2br w:val="nil"/>
              <w:tr2bl w:val="nil"/>
            </w:tcBorders>
            <w:shd w:val="clear" w:color="auto" w:fill="auto"/>
            <w:vAlign w:val="center"/>
          </w:tcPr>
          <w:p w14:paraId="6BC947A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2"/>
                <w:szCs w:val="22"/>
                <w:highlight w:val="none"/>
                <w:u w:val="none"/>
                <w:lang w:val="en-US" w:eastAsia="zh-CN" w:bidi="ar"/>
              </w:rPr>
              <w:t>0.0</w:t>
            </w:r>
            <w:r>
              <w:rPr>
                <w:rFonts w:hint="eastAsia" w:ascii="Times New Roman" w:hAnsi="Times New Roman" w:eastAsia="宋体" w:cs="Times New Roman"/>
                <w:i w:val="0"/>
                <w:iCs w:val="0"/>
                <w:snapToGrid w:val="0"/>
                <w:color w:val="auto"/>
                <w:kern w:val="0"/>
                <w:sz w:val="22"/>
                <w:szCs w:val="22"/>
                <w:highlight w:val="none"/>
                <w:u w:val="none"/>
                <w:lang w:val="en-US" w:eastAsia="zh-CN" w:bidi="ar"/>
              </w:rPr>
              <w:t>3</w:t>
            </w: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 </w:t>
            </w:r>
          </w:p>
        </w:tc>
        <w:tc>
          <w:tcPr>
            <w:tcW w:w="195" w:type="pct"/>
            <w:tcBorders>
              <w:tl2br w:val="nil"/>
              <w:tr2bl w:val="nil"/>
            </w:tcBorders>
            <w:shd w:val="clear" w:color="auto" w:fill="auto"/>
            <w:vAlign w:val="center"/>
          </w:tcPr>
          <w:p w14:paraId="422474C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 xml:space="preserve">0.02 </w:t>
            </w:r>
          </w:p>
        </w:tc>
        <w:tc>
          <w:tcPr>
            <w:tcW w:w="171" w:type="pct"/>
            <w:tcBorders>
              <w:tl2br w:val="nil"/>
              <w:tr2bl w:val="nil"/>
            </w:tcBorders>
            <w:shd w:val="clear" w:color="auto" w:fill="auto"/>
            <w:vAlign w:val="center"/>
          </w:tcPr>
          <w:p w14:paraId="0992CAF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95" w:type="pct"/>
            <w:tcBorders>
              <w:tl2br w:val="nil"/>
              <w:tr2bl w:val="nil"/>
            </w:tcBorders>
            <w:shd w:val="clear" w:color="auto" w:fill="auto"/>
            <w:vAlign w:val="center"/>
          </w:tcPr>
          <w:p w14:paraId="444E692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0.</w:t>
            </w:r>
            <w:r>
              <w:rPr>
                <w:rFonts w:hint="eastAsia" w:ascii="Times New Roman" w:hAnsi="Times New Roman" w:eastAsia="宋体" w:cs="Times New Roman"/>
                <w:i w:val="0"/>
                <w:iCs w:val="0"/>
                <w:snapToGrid w:val="0"/>
                <w:color w:val="auto"/>
                <w:kern w:val="0"/>
                <w:sz w:val="22"/>
                <w:szCs w:val="22"/>
                <w:u w:val="none"/>
                <w:lang w:val="en-US" w:eastAsia="zh-CN" w:bidi="ar"/>
              </w:rPr>
              <w:t>000</w:t>
            </w:r>
            <w:r>
              <w:rPr>
                <w:rFonts w:hint="default" w:ascii="Times New Roman" w:hAnsi="Times New Roman" w:eastAsia="宋体" w:cs="Times New Roman"/>
                <w:i w:val="0"/>
                <w:iCs w:val="0"/>
                <w:snapToGrid w:val="0"/>
                <w:color w:val="auto"/>
                <w:kern w:val="0"/>
                <w:sz w:val="22"/>
                <w:szCs w:val="22"/>
                <w:u w:val="none"/>
                <w:lang w:val="en-US" w:eastAsia="zh-CN" w:bidi="ar"/>
              </w:rPr>
              <w:t xml:space="preserve">668 </w:t>
            </w:r>
          </w:p>
        </w:tc>
        <w:tc>
          <w:tcPr>
            <w:tcW w:w="194" w:type="pct"/>
            <w:tcBorders>
              <w:tl2br w:val="nil"/>
              <w:tr2bl w:val="nil"/>
            </w:tcBorders>
            <w:shd w:val="clear" w:color="auto" w:fill="auto"/>
            <w:vAlign w:val="center"/>
          </w:tcPr>
          <w:p w14:paraId="4FA5A25E">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199" w:type="pct"/>
            <w:tcBorders>
              <w:tl2br w:val="nil"/>
              <w:tr2bl w:val="nil"/>
            </w:tcBorders>
            <w:shd w:val="clear" w:color="auto" w:fill="auto"/>
            <w:vAlign w:val="center"/>
          </w:tcPr>
          <w:p w14:paraId="163B2699">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ND</w:t>
            </w:r>
          </w:p>
        </w:tc>
        <w:tc>
          <w:tcPr>
            <w:tcW w:w="170" w:type="pct"/>
            <w:tcBorders>
              <w:tl2br w:val="nil"/>
              <w:tr2bl w:val="nil"/>
            </w:tcBorders>
            <w:shd w:val="clear" w:color="auto" w:fill="auto"/>
            <w:vAlign w:val="center"/>
          </w:tcPr>
          <w:p w14:paraId="3435ED29">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08" w:type="pct"/>
            <w:tcBorders>
              <w:tl2br w:val="nil"/>
              <w:tr2bl w:val="nil"/>
            </w:tcBorders>
            <w:shd w:val="clear" w:color="auto" w:fill="auto"/>
            <w:vAlign w:val="center"/>
          </w:tcPr>
          <w:p w14:paraId="4F996DC4">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17" w:type="pct"/>
            <w:tcBorders>
              <w:tl2br w:val="nil"/>
              <w:tr2bl w:val="nil"/>
            </w:tcBorders>
            <w:shd w:val="clear" w:color="auto" w:fill="auto"/>
            <w:vAlign w:val="center"/>
          </w:tcPr>
          <w:p w14:paraId="6069605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snapToGrid w:val="0"/>
                <w:color w:val="auto"/>
                <w:kern w:val="0"/>
                <w:sz w:val="22"/>
                <w:szCs w:val="22"/>
                <w:u w:val="none"/>
                <w:lang w:val="en-US" w:eastAsia="zh-CN" w:bidi="ar"/>
              </w:rPr>
              <w:t>0.0018</w:t>
            </w:r>
          </w:p>
        </w:tc>
        <w:tc>
          <w:tcPr>
            <w:tcW w:w="170" w:type="pct"/>
            <w:tcBorders>
              <w:tl2br w:val="nil"/>
              <w:tr2bl w:val="nil"/>
            </w:tcBorders>
            <w:shd w:val="clear" w:color="auto" w:fill="auto"/>
            <w:vAlign w:val="center"/>
          </w:tcPr>
          <w:p w14:paraId="7FB77601">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08" w:type="pct"/>
            <w:tcBorders>
              <w:tl2br w:val="nil"/>
              <w:tr2bl w:val="nil"/>
            </w:tcBorders>
            <w:shd w:val="clear" w:color="auto" w:fill="auto"/>
            <w:vAlign w:val="center"/>
          </w:tcPr>
          <w:p w14:paraId="3FD913FD">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180" w:type="pct"/>
            <w:tcBorders>
              <w:tl2br w:val="nil"/>
              <w:tr2bl w:val="nil"/>
            </w:tcBorders>
            <w:shd w:val="clear" w:color="auto" w:fill="auto"/>
            <w:vAlign w:val="center"/>
          </w:tcPr>
          <w:p w14:paraId="004EBA80">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3.7</w:t>
            </w:r>
          </w:p>
        </w:tc>
        <w:tc>
          <w:tcPr>
            <w:tcW w:w="175" w:type="pct"/>
            <w:tcBorders>
              <w:tl2br w:val="nil"/>
              <w:tr2bl w:val="nil"/>
            </w:tcBorders>
            <w:shd w:val="clear" w:color="auto" w:fill="auto"/>
            <w:vAlign w:val="center"/>
          </w:tcPr>
          <w:p w14:paraId="03A7D344">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0.47</w:t>
            </w:r>
          </w:p>
        </w:tc>
        <w:tc>
          <w:tcPr>
            <w:tcW w:w="192" w:type="pct"/>
            <w:tcBorders>
              <w:tl2br w:val="nil"/>
              <w:tr2bl w:val="nil"/>
            </w:tcBorders>
            <w:shd w:val="clear" w:color="auto" w:fill="auto"/>
            <w:vAlign w:val="center"/>
          </w:tcPr>
          <w:p w14:paraId="37B8739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r>
      <w:bookmarkEnd w:id="1530"/>
      <w:bookmarkEnd w:id="1531"/>
      <w:bookmarkEnd w:id="1536"/>
      <w:tr w14:paraId="03C16B5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211" w:type="pct"/>
            <w:vMerge w:val="continue"/>
            <w:tcBorders>
              <w:tl2br w:val="nil"/>
              <w:tr2bl w:val="nil"/>
            </w:tcBorders>
          </w:tcPr>
          <w:p w14:paraId="106CC6BF">
            <w:pPr>
              <w:bidi w:val="0"/>
              <w:jc w:val="center"/>
              <w:rPr>
                <w:rFonts w:hint="default" w:ascii="Times New Roman" w:hAnsi="Times New Roman" w:eastAsia="宋体" w:cs="Times New Roman"/>
                <w:color w:val="auto"/>
                <w:sz w:val="21"/>
                <w:szCs w:val="21"/>
                <w:lang w:val="en-US"/>
              </w:rPr>
            </w:pPr>
            <w:bookmarkStart w:id="1537" w:name="OLE_LINK535" w:colFirst="19" w:colLast="20"/>
          </w:p>
        </w:tc>
        <w:tc>
          <w:tcPr>
            <w:tcW w:w="255" w:type="pct"/>
            <w:tcBorders>
              <w:tl2br w:val="nil"/>
              <w:tr2bl w:val="nil"/>
            </w:tcBorders>
            <w:shd w:val="clear" w:color="auto" w:fill="auto"/>
            <w:vAlign w:val="center"/>
          </w:tcPr>
          <w:p w14:paraId="1A23F1A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平均浓度</w:t>
            </w:r>
          </w:p>
        </w:tc>
        <w:tc>
          <w:tcPr>
            <w:tcW w:w="225" w:type="pct"/>
            <w:tcBorders>
              <w:tl2br w:val="nil"/>
              <w:tr2bl w:val="nil"/>
            </w:tcBorders>
            <w:shd w:val="clear" w:color="auto" w:fill="auto"/>
            <w:vAlign w:val="center"/>
          </w:tcPr>
          <w:p w14:paraId="087FD744">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28.5</w:t>
            </w:r>
          </w:p>
        </w:tc>
        <w:tc>
          <w:tcPr>
            <w:tcW w:w="241" w:type="pct"/>
            <w:tcBorders>
              <w:tl2br w:val="nil"/>
              <w:tr2bl w:val="nil"/>
            </w:tcBorders>
            <w:shd w:val="clear" w:color="auto" w:fill="auto"/>
            <w:vAlign w:val="center"/>
          </w:tcPr>
          <w:p w14:paraId="610BAC2C">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7.5</w:t>
            </w:r>
          </w:p>
        </w:tc>
        <w:tc>
          <w:tcPr>
            <w:tcW w:w="241" w:type="pct"/>
            <w:tcBorders>
              <w:tl2br w:val="nil"/>
              <w:tr2bl w:val="nil"/>
            </w:tcBorders>
            <w:shd w:val="clear" w:color="auto" w:fill="auto"/>
            <w:vAlign w:val="center"/>
          </w:tcPr>
          <w:p w14:paraId="72204C06">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5.7</w:t>
            </w:r>
          </w:p>
        </w:tc>
        <w:tc>
          <w:tcPr>
            <w:tcW w:w="219" w:type="pct"/>
            <w:tcBorders>
              <w:tl2br w:val="nil"/>
              <w:tr2bl w:val="nil"/>
            </w:tcBorders>
            <w:shd w:val="clear" w:color="auto" w:fill="auto"/>
            <w:vAlign w:val="center"/>
          </w:tcPr>
          <w:p w14:paraId="59241F23">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46</w:t>
            </w:r>
          </w:p>
        </w:tc>
        <w:tc>
          <w:tcPr>
            <w:tcW w:w="219" w:type="pct"/>
            <w:tcBorders>
              <w:tl2br w:val="nil"/>
              <w:tr2bl w:val="nil"/>
            </w:tcBorders>
            <w:shd w:val="clear" w:color="auto" w:fill="auto"/>
            <w:vAlign w:val="center"/>
          </w:tcPr>
          <w:p w14:paraId="6BECF9F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i w:val="0"/>
                <w:iCs w:val="0"/>
                <w:snapToGrid w:val="0"/>
                <w:color w:val="auto"/>
                <w:kern w:val="0"/>
                <w:sz w:val="22"/>
                <w:szCs w:val="22"/>
                <w:highlight w:val="none"/>
                <w:u w:val="none"/>
                <w:lang w:val="en-US" w:eastAsia="zh-CN" w:bidi="ar"/>
              </w:rPr>
              <w:t>2.8</w:t>
            </w: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 </w:t>
            </w:r>
          </w:p>
        </w:tc>
        <w:tc>
          <w:tcPr>
            <w:tcW w:w="186" w:type="pct"/>
            <w:tcBorders>
              <w:tl2br w:val="nil"/>
              <w:tr2bl w:val="nil"/>
            </w:tcBorders>
            <w:shd w:val="clear" w:color="auto" w:fill="auto"/>
            <w:vAlign w:val="center"/>
          </w:tcPr>
          <w:p w14:paraId="17C25433">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12</w:t>
            </w:r>
          </w:p>
        </w:tc>
        <w:tc>
          <w:tcPr>
            <w:tcW w:w="185" w:type="pct"/>
            <w:tcBorders>
              <w:tl2br w:val="nil"/>
              <w:tr2bl w:val="nil"/>
            </w:tcBorders>
            <w:shd w:val="clear" w:color="auto" w:fill="auto"/>
            <w:vAlign w:val="center"/>
          </w:tcPr>
          <w:p w14:paraId="74F6E71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1.26 </w:t>
            </w:r>
          </w:p>
        </w:tc>
        <w:tc>
          <w:tcPr>
            <w:tcW w:w="235" w:type="pct"/>
            <w:tcBorders>
              <w:tl2br w:val="nil"/>
              <w:tr2bl w:val="nil"/>
            </w:tcBorders>
            <w:shd w:val="clear" w:color="auto" w:fill="auto"/>
            <w:vAlign w:val="center"/>
          </w:tcPr>
          <w:p w14:paraId="0A3F25C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0.528 </w:t>
            </w:r>
          </w:p>
        </w:tc>
        <w:tc>
          <w:tcPr>
            <w:tcW w:w="195" w:type="pct"/>
            <w:tcBorders>
              <w:tl2br w:val="nil"/>
              <w:tr2bl w:val="nil"/>
            </w:tcBorders>
            <w:shd w:val="clear" w:color="auto" w:fill="auto"/>
            <w:vAlign w:val="center"/>
          </w:tcPr>
          <w:p w14:paraId="376FDA2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2"/>
                <w:szCs w:val="22"/>
                <w:highlight w:val="none"/>
                <w:u w:val="none"/>
                <w:lang w:val="en-US" w:eastAsia="zh-CN" w:bidi="ar"/>
              </w:rPr>
              <w:t>0.0</w:t>
            </w:r>
            <w:r>
              <w:rPr>
                <w:rFonts w:hint="eastAsia" w:ascii="Times New Roman" w:hAnsi="Times New Roman" w:eastAsia="宋体" w:cs="Times New Roman"/>
                <w:i w:val="0"/>
                <w:iCs w:val="0"/>
                <w:snapToGrid w:val="0"/>
                <w:color w:val="auto"/>
                <w:kern w:val="0"/>
                <w:sz w:val="22"/>
                <w:szCs w:val="22"/>
                <w:highlight w:val="none"/>
                <w:u w:val="none"/>
                <w:lang w:val="en-US" w:eastAsia="zh-CN" w:bidi="ar"/>
              </w:rPr>
              <w:t>3</w:t>
            </w:r>
            <w:r>
              <w:rPr>
                <w:rFonts w:hint="default" w:ascii="Times New Roman" w:hAnsi="Times New Roman" w:eastAsia="宋体" w:cs="Times New Roman"/>
                <w:i w:val="0"/>
                <w:iCs w:val="0"/>
                <w:snapToGrid w:val="0"/>
                <w:color w:val="auto"/>
                <w:kern w:val="0"/>
                <w:sz w:val="22"/>
                <w:szCs w:val="22"/>
                <w:highlight w:val="none"/>
                <w:u w:val="none"/>
                <w:lang w:val="en-US" w:eastAsia="zh-CN" w:bidi="ar"/>
              </w:rPr>
              <w:t xml:space="preserve"> </w:t>
            </w:r>
          </w:p>
        </w:tc>
        <w:tc>
          <w:tcPr>
            <w:tcW w:w="195" w:type="pct"/>
            <w:tcBorders>
              <w:tl2br w:val="nil"/>
              <w:tr2bl w:val="nil"/>
            </w:tcBorders>
            <w:shd w:val="clear" w:color="auto" w:fill="auto"/>
            <w:vAlign w:val="center"/>
          </w:tcPr>
          <w:p w14:paraId="5C59106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 xml:space="preserve">0.03 </w:t>
            </w:r>
          </w:p>
        </w:tc>
        <w:tc>
          <w:tcPr>
            <w:tcW w:w="171" w:type="pct"/>
            <w:tcBorders>
              <w:tl2br w:val="nil"/>
              <w:tr2bl w:val="nil"/>
            </w:tcBorders>
            <w:shd w:val="clear" w:color="auto" w:fill="auto"/>
            <w:vAlign w:val="center"/>
          </w:tcPr>
          <w:p w14:paraId="664A7085">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295" w:type="pct"/>
            <w:tcBorders>
              <w:tl2br w:val="nil"/>
              <w:tr2bl w:val="nil"/>
            </w:tcBorders>
            <w:shd w:val="clear" w:color="auto" w:fill="auto"/>
            <w:vAlign w:val="center"/>
          </w:tcPr>
          <w:p w14:paraId="2CB6FD2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2"/>
                <w:szCs w:val="22"/>
                <w:u w:val="none"/>
                <w:lang w:val="en-US" w:eastAsia="zh-CN" w:bidi="ar"/>
              </w:rPr>
              <w:t>0.</w:t>
            </w:r>
            <w:r>
              <w:rPr>
                <w:rFonts w:hint="eastAsia" w:ascii="Times New Roman" w:hAnsi="Times New Roman" w:eastAsia="宋体" w:cs="Times New Roman"/>
                <w:i w:val="0"/>
                <w:iCs w:val="0"/>
                <w:snapToGrid w:val="0"/>
                <w:color w:val="auto"/>
                <w:kern w:val="0"/>
                <w:sz w:val="22"/>
                <w:szCs w:val="22"/>
                <w:u w:val="none"/>
                <w:lang w:val="en-US" w:eastAsia="zh-CN" w:bidi="ar"/>
              </w:rPr>
              <w:t>000</w:t>
            </w:r>
            <w:r>
              <w:rPr>
                <w:rFonts w:hint="default" w:ascii="Times New Roman" w:hAnsi="Times New Roman" w:eastAsia="宋体" w:cs="Times New Roman"/>
                <w:i w:val="0"/>
                <w:iCs w:val="0"/>
                <w:snapToGrid w:val="0"/>
                <w:color w:val="auto"/>
                <w:kern w:val="0"/>
                <w:sz w:val="22"/>
                <w:szCs w:val="22"/>
                <w:u w:val="none"/>
                <w:lang w:val="en-US" w:eastAsia="zh-CN" w:bidi="ar"/>
              </w:rPr>
              <w:t xml:space="preserve">732 </w:t>
            </w:r>
          </w:p>
        </w:tc>
        <w:tc>
          <w:tcPr>
            <w:tcW w:w="194" w:type="pct"/>
            <w:tcBorders>
              <w:tl2br w:val="nil"/>
              <w:tr2bl w:val="nil"/>
            </w:tcBorders>
            <w:shd w:val="clear" w:color="auto" w:fill="auto"/>
            <w:vAlign w:val="center"/>
          </w:tcPr>
          <w:p w14:paraId="37C12C8E">
            <w:pPr>
              <w:bidi w:val="0"/>
              <w:jc w:val="center"/>
              <w:rPr>
                <w:rFonts w:hint="eastAsia" w:ascii="Times New Roman" w:hAnsi="Times New Roman" w:eastAsia="宋体" w:cs="Times New Roman"/>
                <w:snapToGrid w:val="0"/>
                <w:color w:val="auto"/>
                <w:kern w:val="0"/>
                <w:sz w:val="21"/>
                <w:szCs w:val="21"/>
                <w:lang w:val="en-US" w:eastAsia="zh-CN" w:bidi="ar-SA"/>
              </w:rPr>
            </w:pPr>
            <w:bookmarkStart w:id="1538" w:name="OLE_LINK532"/>
            <w:r>
              <w:rPr>
                <w:rFonts w:hint="eastAsia" w:ascii="Times New Roman" w:hAnsi="Times New Roman" w:eastAsia="宋体" w:cs="Times New Roman"/>
                <w:snapToGrid w:val="0"/>
                <w:color w:val="auto"/>
                <w:kern w:val="0"/>
                <w:sz w:val="21"/>
                <w:szCs w:val="21"/>
                <w:lang w:val="en-US" w:eastAsia="zh-CN" w:bidi="ar-SA"/>
              </w:rPr>
              <w:t>/</w:t>
            </w:r>
            <w:bookmarkEnd w:id="1538"/>
          </w:p>
        </w:tc>
        <w:tc>
          <w:tcPr>
            <w:tcW w:w="199" w:type="pct"/>
            <w:tcBorders>
              <w:tl2br w:val="nil"/>
              <w:tr2bl w:val="nil"/>
            </w:tcBorders>
            <w:shd w:val="clear" w:color="auto" w:fill="auto"/>
            <w:vAlign w:val="center"/>
          </w:tcPr>
          <w:p w14:paraId="08938638">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170" w:type="pct"/>
            <w:tcBorders>
              <w:tl2br w:val="nil"/>
              <w:tr2bl w:val="nil"/>
            </w:tcBorders>
            <w:shd w:val="clear" w:color="auto" w:fill="auto"/>
            <w:vAlign w:val="center"/>
          </w:tcPr>
          <w:p w14:paraId="0166CD5D">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color w:val="auto"/>
                <w:kern w:val="0"/>
                <w:sz w:val="21"/>
                <w:szCs w:val="21"/>
                <w:u w:val="none"/>
                <w:lang w:val="en-US" w:eastAsia="zh-CN" w:bidi="ar"/>
              </w:rPr>
              <w:t>/</w:t>
            </w:r>
          </w:p>
        </w:tc>
        <w:tc>
          <w:tcPr>
            <w:tcW w:w="208" w:type="pct"/>
            <w:tcBorders>
              <w:tl2br w:val="nil"/>
              <w:tr2bl w:val="nil"/>
            </w:tcBorders>
            <w:shd w:val="clear" w:color="auto" w:fill="auto"/>
            <w:vAlign w:val="center"/>
          </w:tcPr>
          <w:p w14:paraId="3A198D53">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color w:val="auto"/>
                <w:kern w:val="0"/>
                <w:sz w:val="21"/>
                <w:szCs w:val="21"/>
                <w:u w:val="none"/>
                <w:lang w:val="en-US" w:eastAsia="zh-CN" w:bidi="ar"/>
              </w:rPr>
              <w:t>/</w:t>
            </w:r>
          </w:p>
        </w:tc>
        <w:tc>
          <w:tcPr>
            <w:tcW w:w="217" w:type="pct"/>
            <w:tcBorders>
              <w:tl2br w:val="nil"/>
              <w:tr2bl w:val="nil"/>
            </w:tcBorders>
            <w:shd w:val="clear" w:color="auto" w:fill="auto"/>
            <w:vAlign w:val="center"/>
          </w:tcPr>
          <w:p w14:paraId="7E94A9B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snapToGrid w:val="0"/>
                <w:color w:val="auto"/>
                <w:kern w:val="0"/>
                <w:sz w:val="22"/>
                <w:szCs w:val="22"/>
                <w:u w:val="none"/>
                <w:lang w:val="en-US" w:eastAsia="zh-CN" w:bidi="ar"/>
              </w:rPr>
              <w:t>0.0019</w:t>
            </w:r>
          </w:p>
        </w:tc>
        <w:tc>
          <w:tcPr>
            <w:tcW w:w="170" w:type="pct"/>
            <w:tcBorders>
              <w:tl2br w:val="nil"/>
              <w:tr2bl w:val="nil"/>
            </w:tcBorders>
            <w:shd w:val="clear" w:color="auto" w:fill="auto"/>
            <w:vAlign w:val="center"/>
          </w:tcPr>
          <w:p w14:paraId="0B4E4A3D">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208" w:type="pct"/>
            <w:tcBorders>
              <w:tl2br w:val="nil"/>
              <w:tr2bl w:val="nil"/>
            </w:tcBorders>
            <w:shd w:val="clear" w:color="auto" w:fill="auto"/>
            <w:vAlign w:val="center"/>
          </w:tcPr>
          <w:p w14:paraId="091F2A15">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180" w:type="pct"/>
            <w:tcBorders>
              <w:tl2br w:val="nil"/>
              <w:tr2bl w:val="nil"/>
            </w:tcBorders>
            <w:shd w:val="clear" w:color="auto" w:fill="auto"/>
            <w:vAlign w:val="center"/>
          </w:tcPr>
          <w:p w14:paraId="2AFC2913">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3.8</w:t>
            </w:r>
          </w:p>
        </w:tc>
        <w:tc>
          <w:tcPr>
            <w:tcW w:w="175" w:type="pct"/>
            <w:tcBorders>
              <w:tl2br w:val="nil"/>
              <w:tr2bl w:val="nil"/>
            </w:tcBorders>
            <w:shd w:val="clear" w:color="auto" w:fill="auto"/>
            <w:vAlign w:val="center"/>
          </w:tcPr>
          <w:p w14:paraId="6FDD5108">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0.49</w:t>
            </w:r>
          </w:p>
        </w:tc>
        <w:tc>
          <w:tcPr>
            <w:tcW w:w="192" w:type="pct"/>
            <w:tcBorders>
              <w:tl2br w:val="nil"/>
              <w:tr2bl w:val="nil"/>
            </w:tcBorders>
            <w:shd w:val="clear" w:color="auto" w:fill="auto"/>
            <w:vAlign w:val="center"/>
          </w:tcPr>
          <w:p w14:paraId="402FC1A4">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r>
      <w:bookmarkEnd w:id="1532"/>
      <w:bookmarkEnd w:id="1533"/>
      <w:bookmarkEnd w:id="1534"/>
      <w:bookmarkEnd w:id="1535"/>
      <w:bookmarkEnd w:id="1537"/>
      <w:tr w14:paraId="41D464F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493" w:hRule="atLeast"/>
        </w:trPr>
        <w:tc>
          <w:tcPr>
            <w:tcW w:w="211" w:type="pct"/>
            <w:vMerge w:val="continue"/>
            <w:tcBorders>
              <w:tl2br w:val="nil"/>
              <w:tr2bl w:val="nil"/>
            </w:tcBorders>
          </w:tcPr>
          <w:p w14:paraId="6CF0BE84">
            <w:pPr>
              <w:bidi w:val="0"/>
              <w:jc w:val="center"/>
              <w:rPr>
                <w:rFonts w:hint="default" w:ascii="Times New Roman" w:hAnsi="Times New Roman" w:eastAsia="宋体" w:cs="Times New Roman"/>
                <w:color w:val="auto"/>
                <w:sz w:val="21"/>
                <w:szCs w:val="21"/>
                <w:lang w:val="en-US"/>
              </w:rPr>
            </w:pPr>
            <w:bookmarkStart w:id="1539" w:name="OLE_LINK530" w:colFirst="2" w:colLast="23"/>
          </w:p>
        </w:tc>
        <w:tc>
          <w:tcPr>
            <w:tcW w:w="255" w:type="pct"/>
            <w:tcBorders>
              <w:tl2br w:val="nil"/>
              <w:tr2bl w:val="nil"/>
            </w:tcBorders>
            <w:shd w:val="clear" w:color="auto" w:fill="auto"/>
            <w:vAlign w:val="center"/>
          </w:tcPr>
          <w:p w14:paraId="78BBACA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最大单因子指数</w:t>
            </w:r>
          </w:p>
        </w:tc>
        <w:tc>
          <w:tcPr>
            <w:tcW w:w="225" w:type="pct"/>
            <w:tcBorders>
              <w:tl2br w:val="nil"/>
              <w:tr2bl w:val="nil"/>
            </w:tcBorders>
            <w:shd w:val="clear" w:color="auto" w:fill="auto"/>
            <w:vAlign w:val="center"/>
          </w:tcPr>
          <w:p w14:paraId="3B9EBEC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241" w:type="pct"/>
            <w:tcBorders>
              <w:tl2br w:val="nil"/>
              <w:tr2bl w:val="nil"/>
            </w:tcBorders>
            <w:shd w:val="clear" w:color="auto" w:fill="auto"/>
            <w:vAlign w:val="center"/>
          </w:tcPr>
          <w:p w14:paraId="379B703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0.3</w:t>
            </w:r>
          </w:p>
        </w:tc>
        <w:tc>
          <w:tcPr>
            <w:tcW w:w="241" w:type="pct"/>
            <w:tcBorders>
              <w:tl2br w:val="nil"/>
              <w:tr2bl w:val="nil"/>
            </w:tcBorders>
            <w:shd w:val="clear" w:color="auto" w:fill="auto"/>
            <w:vAlign w:val="center"/>
          </w:tcPr>
          <w:p w14:paraId="22405A0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0.71 </w:t>
            </w:r>
          </w:p>
        </w:tc>
        <w:tc>
          <w:tcPr>
            <w:tcW w:w="219" w:type="pct"/>
            <w:tcBorders>
              <w:tl2br w:val="nil"/>
              <w:tr2bl w:val="nil"/>
            </w:tcBorders>
            <w:shd w:val="clear" w:color="auto" w:fill="auto"/>
            <w:vAlign w:val="center"/>
          </w:tcPr>
          <w:p w14:paraId="56DDD11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219" w:type="pct"/>
            <w:tcBorders>
              <w:tl2br w:val="nil"/>
              <w:tr2bl w:val="nil"/>
            </w:tcBorders>
            <w:shd w:val="clear" w:color="auto" w:fill="auto"/>
            <w:vAlign w:val="center"/>
          </w:tcPr>
          <w:p w14:paraId="7BB67CE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r>
              <w:rPr>
                <w:rFonts w:hint="eastAsia" w:ascii="Times New Roman" w:hAnsi="Times New Roman" w:eastAsia="宋体" w:cs="Times New Roman"/>
                <w:i w:val="0"/>
                <w:iCs w:val="0"/>
                <w:snapToGrid w:val="0"/>
                <w:color w:val="auto"/>
                <w:kern w:val="0"/>
                <w:sz w:val="21"/>
                <w:szCs w:val="21"/>
                <w:u w:val="none"/>
                <w:lang w:val="en-US" w:eastAsia="zh-CN" w:bidi="ar"/>
              </w:rPr>
              <w:t>8</w:t>
            </w:r>
            <w:r>
              <w:rPr>
                <w:rFonts w:hint="default" w:ascii="Times New Roman" w:hAnsi="Times New Roman" w:eastAsia="宋体" w:cs="Times New Roman"/>
                <w:i w:val="0"/>
                <w:iCs w:val="0"/>
                <w:snapToGrid w:val="0"/>
                <w:color w:val="auto"/>
                <w:kern w:val="0"/>
                <w:sz w:val="21"/>
                <w:szCs w:val="21"/>
                <w:u w:val="none"/>
                <w:lang w:val="en-US" w:eastAsia="zh-CN" w:bidi="ar"/>
              </w:rPr>
              <w:t xml:space="preserve">3 </w:t>
            </w:r>
          </w:p>
        </w:tc>
        <w:tc>
          <w:tcPr>
            <w:tcW w:w="186" w:type="pct"/>
            <w:tcBorders>
              <w:tl2br w:val="nil"/>
              <w:tr2bl w:val="nil"/>
            </w:tcBorders>
            <w:shd w:val="clear" w:color="auto" w:fill="auto"/>
            <w:vAlign w:val="center"/>
          </w:tcPr>
          <w:p w14:paraId="2480222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0.75 </w:t>
            </w:r>
          </w:p>
        </w:tc>
        <w:tc>
          <w:tcPr>
            <w:tcW w:w="185" w:type="pct"/>
            <w:tcBorders>
              <w:tl2br w:val="nil"/>
              <w:tr2bl w:val="nil"/>
            </w:tcBorders>
            <w:shd w:val="clear" w:color="auto" w:fill="auto"/>
            <w:vAlign w:val="center"/>
          </w:tcPr>
          <w:p w14:paraId="2D53081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snapToGrid w:val="0"/>
                <w:color w:val="auto"/>
                <w:kern w:val="0"/>
                <w:sz w:val="21"/>
                <w:szCs w:val="21"/>
                <w:u w:val="none"/>
                <w:lang w:val="en-US" w:eastAsia="zh-CN" w:bidi="ar"/>
              </w:rPr>
              <w:t>0.87</w:t>
            </w:r>
            <w:r>
              <w:rPr>
                <w:rFonts w:hint="default" w:ascii="Times New Roman" w:hAnsi="Times New Roman" w:eastAsia="宋体" w:cs="Times New Roman"/>
                <w:i w:val="0"/>
                <w:iCs w:val="0"/>
                <w:snapToGrid w:val="0"/>
                <w:color w:val="auto"/>
                <w:kern w:val="0"/>
                <w:sz w:val="21"/>
                <w:szCs w:val="21"/>
                <w:u w:val="none"/>
                <w:lang w:val="en-US" w:eastAsia="zh-CN" w:bidi="ar"/>
              </w:rPr>
              <w:t xml:space="preserve"> </w:t>
            </w:r>
          </w:p>
        </w:tc>
        <w:tc>
          <w:tcPr>
            <w:tcW w:w="235" w:type="pct"/>
            <w:tcBorders>
              <w:tl2br w:val="nil"/>
              <w:tr2bl w:val="nil"/>
            </w:tcBorders>
            <w:shd w:val="clear" w:color="auto" w:fill="auto"/>
            <w:vAlign w:val="center"/>
          </w:tcPr>
          <w:p w14:paraId="0BBFA39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0.54 </w:t>
            </w:r>
          </w:p>
        </w:tc>
        <w:tc>
          <w:tcPr>
            <w:tcW w:w="195" w:type="pct"/>
            <w:tcBorders>
              <w:tl2br w:val="nil"/>
              <w:tr2bl w:val="nil"/>
            </w:tcBorders>
            <w:shd w:val="clear" w:color="auto" w:fill="auto"/>
            <w:vAlign w:val="center"/>
          </w:tcPr>
          <w:p w14:paraId="2386212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r>
              <w:rPr>
                <w:rFonts w:hint="eastAsia" w:ascii="Times New Roman" w:hAnsi="Times New Roman" w:eastAsia="宋体" w:cs="Times New Roman"/>
                <w:i w:val="0"/>
                <w:iCs w:val="0"/>
                <w:snapToGrid w:val="0"/>
                <w:color w:val="auto"/>
                <w:kern w:val="0"/>
                <w:sz w:val="21"/>
                <w:szCs w:val="21"/>
                <w:u w:val="none"/>
                <w:lang w:val="en-US" w:eastAsia="zh-CN" w:bidi="ar"/>
              </w:rPr>
              <w:t>15</w:t>
            </w:r>
            <w:r>
              <w:rPr>
                <w:rFonts w:hint="default" w:ascii="Times New Roman" w:hAnsi="Times New Roman" w:eastAsia="宋体" w:cs="Times New Roman"/>
                <w:i w:val="0"/>
                <w:iCs w:val="0"/>
                <w:snapToGrid w:val="0"/>
                <w:color w:val="auto"/>
                <w:kern w:val="0"/>
                <w:sz w:val="21"/>
                <w:szCs w:val="21"/>
                <w:u w:val="none"/>
                <w:lang w:val="en-US" w:eastAsia="zh-CN" w:bidi="ar"/>
              </w:rPr>
              <w:t xml:space="preserve"> </w:t>
            </w:r>
          </w:p>
        </w:tc>
        <w:tc>
          <w:tcPr>
            <w:tcW w:w="195" w:type="pct"/>
            <w:tcBorders>
              <w:tl2br w:val="nil"/>
              <w:tr2bl w:val="nil"/>
            </w:tcBorders>
            <w:shd w:val="clear" w:color="auto" w:fill="auto"/>
            <w:vAlign w:val="center"/>
          </w:tcPr>
          <w:p w14:paraId="6EC8DF5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0.80 </w:t>
            </w:r>
          </w:p>
        </w:tc>
        <w:tc>
          <w:tcPr>
            <w:tcW w:w="171" w:type="pct"/>
            <w:tcBorders>
              <w:tl2br w:val="nil"/>
              <w:tr2bl w:val="nil"/>
            </w:tcBorders>
            <w:shd w:val="clear" w:color="auto" w:fill="auto"/>
            <w:vAlign w:val="center"/>
          </w:tcPr>
          <w:p w14:paraId="3284DBF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0.025 </w:t>
            </w:r>
          </w:p>
        </w:tc>
        <w:tc>
          <w:tcPr>
            <w:tcW w:w="295" w:type="pct"/>
            <w:tcBorders>
              <w:tl2br w:val="nil"/>
              <w:tr2bl w:val="nil"/>
            </w:tcBorders>
            <w:shd w:val="clear" w:color="auto" w:fill="auto"/>
            <w:vAlign w:val="center"/>
          </w:tcPr>
          <w:p w14:paraId="1B1F3CF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0.15 </w:t>
            </w:r>
          </w:p>
        </w:tc>
        <w:tc>
          <w:tcPr>
            <w:tcW w:w="194" w:type="pct"/>
            <w:tcBorders>
              <w:tl2br w:val="nil"/>
              <w:tr2bl w:val="nil"/>
            </w:tcBorders>
            <w:shd w:val="clear" w:color="auto" w:fill="auto"/>
            <w:vAlign w:val="center"/>
          </w:tcPr>
          <w:p w14:paraId="53775DA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0.040 </w:t>
            </w:r>
          </w:p>
        </w:tc>
        <w:tc>
          <w:tcPr>
            <w:tcW w:w="199" w:type="pct"/>
            <w:tcBorders>
              <w:tl2br w:val="nil"/>
              <w:tr2bl w:val="nil"/>
            </w:tcBorders>
            <w:shd w:val="clear" w:color="auto" w:fill="auto"/>
            <w:vAlign w:val="center"/>
          </w:tcPr>
          <w:p w14:paraId="3A67737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0.004 </w:t>
            </w:r>
          </w:p>
        </w:tc>
        <w:tc>
          <w:tcPr>
            <w:tcW w:w="170" w:type="pct"/>
            <w:tcBorders>
              <w:tl2br w:val="nil"/>
              <w:tr2bl w:val="nil"/>
            </w:tcBorders>
            <w:shd w:val="clear" w:color="auto" w:fill="auto"/>
            <w:vAlign w:val="center"/>
          </w:tcPr>
          <w:p w14:paraId="4BE10D0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0.020 </w:t>
            </w:r>
          </w:p>
        </w:tc>
        <w:tc>
          <w:tcPr>
            <w:tcW w:w="208" w:type="pct"/>
            <w:tcBorders>
              <w:tl2br w:val="nil"/>
              <w:tr2bl w:val="nil"/>
            </w:tcBorders>
            <w:shd w:val="clear" w:color="auto" w:fill="auto"/>
            <w:vAlign w:val="center"/>
          </w:tcPr>
          <w:p w14:paraId="38BAE25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0.700 </w:t>
            </w:r>
          </w:p>
        </w:tc>
        <w:tc>
          <w:tcPr>
            <w:tcW w:w="217" w:type="pct"/>
            <w:tcBorders>
              <w:tl2br w:val="nil"/>
              <w:tr2bl w:val="nil"/>
            </w:tcBorders>
            <w:shd w:val="clear" w:color="auto" w:fill="auto"/>
            <w:vAlign w:val="center"/>
          </w:tcPr>
          <w:p w14:paraId="1A44B2E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0.04 </w:t>
            </w:r>
          </w:p>
        </w:tc>
        <w:tc>
          <w:tcPr>
            <w:tcW w:w="170" w:type="pct"/>
            <w:tcBorders>
              <w:tl2br w:val="nil"/>
              <w:tr2bl w:val="nil"/>
            </w:tcBorders>
            <w:shd w:val="clear" w:color="auto" w:fill="auto"/>
            <w:vAlign w:val="center"/>
          </w:tcPr>
          <w:p w14:paraId="5B91D1F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0.500 </w:t>
            </w:r>
          </w:p>
        </w:tc>
        <w:tc>
          <w:tcPr>
            <w:tcW w:w="208" w:type="pct"/>
            <w:tcBorders>
              <w:tl2br w:val="nil"/>
              <w:tr2bl w:val="nil"/>
            </w:tcBorders>
            <w:shd w:val="clear" w:color="auto" w:fill="auto"/>
            <w:vAlign w:val="center"/>
          </w:tcPr>
          <w:p w14:paraId="2E4B7DC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0.030 </w:t>
            </w:r>
          </w:p>
        </w:tc>
        <w:tc>
          <w:tcPr>
            <w:tcW w:w="180" w:type="pct"/>
            <w:tcBorders>
              <w:tl2br w:val="nil"/>
              <w:tr2bl w:val="nil"/>
            </w:tcBorders>
            <w:shd w:val="clear" w:color="auto" w:fill="auto"/>
            <w:vAlign w:val="center"/>
          </w:tcPr>
          <w:p w14:paraId="1A5C07F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0.67 </w:t>
            </w:r>
          </w:p>
        </w:tc>
        <w:tc>
          <w:tcPr>
            <w:tcW w:w="175" w:type="pct"/>
            <w:tcBorders>
              <w:tl2br w:val="nil"/>
              <w:tr2bl w:val="nil"/>
            </w:tcBorders>
            <w:shd w:val="clear" w:color="auto" w:fill="auto"/>
            <w:vAlign w:val="center"/>
          </w:tcPr>
          <w:p w14:paraId="3D6B992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0.50 </w:t>
            </w:r>
          </w:p>
        </w:tc>
        <w:tc>
          <w:tcPr>
            <w:tcW w:w="192" w:type="pct"/>
            <w:tcBorders>
              <w:tl2br w:val="nil"/>
              <w:tr2bl w:val="nil"/>
            </w:tcBorders>
            <w:shd w:val="clear" w:color="auto" w:fill="auto"/>
            <w:vAlign w:val="center"/>
          </w:tcPr>
          <w:p w14:paraId="530A0B4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0.125 </w:t>
            </w:r>
          </w:p>
        </w:tc>
      </w:tr>
      <w:bookmarkEnd w:id="1539"/>
      <w:tr w14:paraId="645F7882">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428" w:hRule="atLeast"/>
        </w:trPr>
        <w:tc>
          <w:tcPr>
            <w:tcW w:w="211" w:type="pct"/>
            <w:vMerge w:val="continue"/>
            <w:tcBorders>
              <w:tl2br w:val="nil"/>
              <w:tr2bl w:val="nil"/>
            </w:tcBorders>
          </w:tcPr>
          <w:p w14:paraId="295241E6">
            <w:pPr>
              <w:bidi w:val="0"/>
              <w:jc w:val="center"/>
              <w:rPr>
                <w:rFonts w:hint="default" w:ascii="Times New Roman" w:hAnsi="Times New Roman" w:eastAsia="宋体" w:cs="Times New Roman"/>
                <w:color w:val="auto"/>
                <w:sz w:val="21"/>
                <w:szCs w:val="21"/>
                <w:lang w:val="en-US"/>
              </w:rPr>
            </w:pPr>
            <w:bookmarkStart w:id="1540" w:name="OLE_LINK539" w:colFirst="2" w:colLast="23"/>
          </w:p>
        </w:tc>
        <w:tc>
          <w:tcPr>
            <w:tcW w:w="255" w:type="pct"/>
            <w:tcBorders>
              <w:tl2br w:val="nil"/>
              <w:tr2bl w:val="nil"/>
            </w:tcBorders>
            <w:shd w:val="clear" w:color="auto" w:fill="auto"/>
            <w:vAlign w:val="center"/>
          </w:tcPr>
          <w:p w14:paraId="73042260">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超标率（%）</w:t>
            </w:r>
          </w:p>
        </w:tc>
        <w:tc>
          <w:tcPr>
            <w:tcW w:w="225" w:type="pct"/>
            <w:tcBorders>
              <w:tl2br w:val="nil"/>
              <w:tr2bl w:val="nil"/>
            </w:tcBorders>
            <w:shd w:val="clear" w:color="auto" w:fill="auto"/>
            <w:vAlign w:val="center"/>
          </w:tcPr>
          <w:p w14:paraId="1972FE07">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241" w:type="pct"/>
            <w:tcBorders>
              <w:tl2br w:val="nil"/>
              <w:tr2bl w:val="nil"/>
            </w:tcBorders>
            <w:shd w:val="clear" w:color="auto" w:fill="auto"/>
            <w:vAlign w:val="center"/>
          </w:tcPr>
          <w:p w14:paraId="34B914A2">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41" w:type="pct"/>
            <w:tcBorders>
              <w:tl2br w:val="nil"/>
              <w:tr2bl w:val="nil"/>
            </w:tcBorders>
            <w:shd w:val="clear" w:color="auto" w:fill="auto"/>
            <w:vAlign w:val="center"/>
          </w:tcPr>
          <w:p w14:paraId="70CA363C">
            <w:pPr>
              <w:bidi w:val="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snapToGrid w:val="0"/>
                <w:color w:val="auto"/>
                <w:kern w:val="0"/>
                <w:sz w:val="21"/>
                <w:szCs w:val="21"/>
                <w:highlight w:val="none"/>
                <w:lang w:val="en-US" w:eastAsia="zh-CN" w:bidi="ar-SA"/>
              </w:rPr>
              <w:t>/</w:t>
            </w:r>
          </w:p>
        </w:tc>
        <w:tc>
          <w:tcPr>
            <w:tcW w:w="219" w:type="pct"/>
            <w:tcBorders>
              <w:tl2br w:val="nil"/>
              <w:tr2bl w:val="nil"/>
            </w:tcBorders>
            <w:shd w:val="clear" w:color="auto" w:fill="auto"/>
            <w:vAlign w:val="center"/>
          </w:tcPr>
          <w:p w14:paraId="41702EE6">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219" w:type="pct"/>
            <w:tcBorders>
              <w:tl2br w:val="nil"/>
              <w:tr2bl w:val="nil"/>
            </w:tcBorders>
            <w:shd w:val="clear" w:color="auto" w:fill="auto"/>
            <w:vAlign w:val="center"/>
          </w:tcPr>
          <w:p w14:paraId="784B0876">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86" w:type="pct"/>
            <w:tcBorders>
              <w:tl2br w:val="nil"/>
              <w:tr2bl w:val="nil"/>
            </w:tcBorders>
            <w:shd w:val="clear" w:color="auto" w:fill="auto"/>
            <w:vAlign w:val="center"/>
          </w:tcPr>
          <w:p w14:paraId="0A85A18C">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85" w:type="pct"/>
            <w:tcBorders>
              <w:tl2br w:val="nil"/>
              <w:tr2bl w:val="nil"/>
            </w:tcBorders>
            <w:shd w:val="clear" w:color="auto" w:fill="auto"/>
            <w:vAlign w:val="center"/>
          </w:tcPr>
          <w:p w14:paraId="70D20CA0">
            <w:pPr>
              <w:bidi w:val="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snapToGrid w:val="0"/>
                <w:color w:val="auto"/>
                <w:kern w:val="0"/>
                <w:sz w:val="21"/>
                <w:szCs w:val="21"/>
                <w:highlight w:val="none"/>
                <w:lang w:val="en-US" w:eastAsia="zh-CN" w:bidi="ar-SA"/>
              </w:rPr>
              <w:t>0</w:t>
            </w:r>
          </w:p>
        </w:tc>
        <w:tc>
          <w:tcPr>
            <w:tcW w:w="235" w:type="pct"/>
            <w:tcBorders>
              <w:tl2br w:val="nil"/>
              <w:tr2bl w:val="nil"/>
            </w:tcBorders>
            <w:shd w:val="clear" w:color="auto" w:fill="auto"/>
            <w:vAlign w:val="center"/>
          </w:tcPr>
          <w:p w14:paraId="1AEAB7B7">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5" w:type="pct"/>
            <w:tcBorders>
              <w:tl2br w:val="nil"/>
              <w:tr2bl w:val="nil"/>
            </w:tcBorders>
            <w:shd w:val="clear" w:color="auto" w:fill="auto"/>
            <w:vAlign w:val="center"/>
          </w:tcPr>
          <w:p w14:paraId="2B2C6D23">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5" w:type="pct"/>
            <w:tcBorders>
              <w:tl2br w:val="nil"/>
              <w:tr2bl w:val="nil"/>
            </w:tcBorders>
            <w:shd w:val="clear" w:color="auto" w:fill="auto"/>
            <w:vAlign w:val="center"/>
          </w:tcPr>
          <w:p w14:paraId="56E62B23">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1" w:type="pct"/>
            <w:tcBorders>
              <w:tl2br w:val="nil"/>
              <w:tr2bl w:val="nil"/>
            </w:tcBorders>
            <w:shd w:val="clear" w:color="auto" w:fill="auto"/>
            <w:vAlign w:val="center"/>
          </w:tcPr>
          <w:p w14:paraId="39860061">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95" w:type="pct"/>
            <w:tcBorders>
              <w:tl2br w:val="nil"/>
              <w:tr2bl w:val="nil"/>
            </w:tcBorders>
            <w:shd w:val="clear" w:color="auto" w:fill="auto"/>
            <w:vAlign w:val="center"/>
          </w:tcPr>
          <w:p w14:paraId="26F62196">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4" w:type="pct"/>
            <w:tcBorders>
              <w:tl2br w:val="nil"/>
              <w:tr2bl w:val="nil"/>
            </w:tcBorders>
            <w:shd w:val="clear" w:color="auto" w:fill="auto"/>
            <w:vAlign w:val="center"/>
          </w:tcPr>
          <w:p w14:paraId="084BE87F">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9" w:type="pct"/>
            <w:tcBorders>
              <w:tl2br w:val="nil"/>
              <w:tr2bl w:val="nil"/>
            </w:tcBorders>
            <w:shd w:val="clear" w:color="auto" w:fill="auto"/>
            <w:vAlign w:val="center"/>
          </w:tcPr>
          <w:p w14:paraId="197E0479">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0" w:type="pct"/>
            <w:tcBorders>
              <w:tl2br w:val="nil"/>
              <w:tr2bl w:val="nil"/>
            </w:tcBorders>
            <w:shd w:val="clear" w:color="auto" w:fill="auto"/>
            <w:vAlign w:val="center"/>
          </w:tcPr>
          <w:p w14:paraId="6E7A1465">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08" w:type="pct"/>
            <w:tcBorders>
              <w:tl2br w:val="nil"/>
              <w:tr2bl w:val="nil"/>
            </w:tcBorders>
            <w:shd w:val="clear" w:color="auto" w:fill="auto"/>
            <w:vAlign w:val="center"/>
          </w:tcPr>
          <w:p w14:paraId="1A9F1A85">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17" w:type="pct"/>
            <w:tcBorders>
              <w:tl2br w:val="nil"/>
              <w:tr2bl w:val="nil"/>
            </w:tcBorders>
            <w:shd w:val="clear" w:color="auto" w:fill="auto"/>
            <w:vAlign w:val="center"/>
          </w:tcPr>
          <w:p w14:paraId="02169237">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0" w:type="pct"/>
            <w:tcBorders>
              <w:tl2br w:val="nil"/>
              <w:tr2bl w:val="nil"/>
            </w:tcBorders>
            <w:shd w:val="clear" w:color="auto" w:fill="auto"/>
            <w:vAlign w:val="center"/>
          </w:tcPr>
          <w:p w14:paraId="02F7DB9B">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08" w:type="pct"/>
            <w:tcBorders>
              <w:tl2br w:val="nil"/>
              <w:tr2bl w:val="nil"/>
            </w:tcBorders>
            <w:shd w:val="clear" w:color="auto" w:fill="auto"/>
            <w:vAlign w:val="center"/>
          </w:tcPr>
          <w:p w14:paraId="4D711DB6">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80" w:type="pct"/>
            <w:tcBorders>
              <w:tl2br w:val="nil"/>
              <w:tr2bl w:val="nil"/>
            </w:tcBorders>
            <w:shd w:val="clear" w:color="auto" w:fill="auto"/>
            <w:vAlign w:val="center"/>
          </w:tcPr>
          <w:p w14:paraId="44AB71DD">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5" w:type="pct"/>
            <w:tcBorders>
              <w:tl2br w:val="nil"/>
              <w:tr2bl w:val="nil"/>
            </w:tcBorders>
            <w:shd w:val="clear" w:color="auto" w:fill="auto"/>
            <w:vAlign w:val="center"/>
          </w:tcPr>
          <w:p w14:paraId="09EA6C47">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2" w:type="pct"/>
            <w:tcBorders>
              <w:tl2br w:val="nil"/>
              <w:tr2bl w:val="nil"/>
            </w:tcBorders>
            <w:shd w:val="clear" w:color="auto" w:fill="auto"/>
            <w:vAlign w:val="center"/>
          </w:tcPr>
          <w:p w14:paraId="6FF916DE">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r>
      <w:bookmarkEnd w:id="1515"/>
      <w:bookmarkEnd w:id="1540"/>
      <w:tr w14:paraId="0E8B9C0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77" w:hRule="atLeast"/>
        </w:trPr>
        <w:tc>
          <w:tcPr>
            <w:tcW w:w="467" w:type="pct"/>
            <w:gridSpan w:val="2"/>
            <w:tcBorders>
              <w:tl2br w:val="nil"/>
              <w:tr2bl w:val="nil"/>
            </w:tcBorders>
            <w:shd w:val="clear" w:color="auto" w:fill="auto"/>
            <w:vAlign w:val="center"/>
          </w:tcPr>
          <w:p w14:paraId="57923D42">
            <w:pPr>
              <w:bidi w:val="0"/>
              <w:jc w:val="center"/>
              <w:rPr>
                <w:rFonts w:hint="default" w:ascii="Times New Roman" w:hAnsi="Times New Roman" w:eastAsia="宋体" w:cs="Times New Roman"/>
                <w:b w:val="0"/>
                <w:bCs w:val="0"/>
                <w:color w:val="auto"/>
                <w:sz w:val="21"/>
                <w:szCs w:val="21"/>
              </w:rPr>
            </w:pPr>
            <w:bookmarkStart w:id="1541" w:name="OLE_LINK483" w:colFirst="1" w:colLast="22"/>
            <w:r>
              <w:rPr>
                <w:rFonts w:hint="default" w:ascii="Times New Roman" w:hAnsi="Times New Roman" w:eastAsia="宋体" w:cs="Times New Roman"/>
                <w:color w:val="auto"/>
                <w:sz w:val="18"/>
                <w:szCs w:val="18"/>
                <w:lang w:val="en-US" w:eastAsia="zh-CN"/>
              </w:rPr>
              <w:t>Ⅳ</w:t>
            </w:r>
            <w:r>
              <w:rPr>
                <w:rFonts w:hint="eastAsia" w:ascii="Times New Roman" w:hAnsi="Times New Roman" w:eastAsia="宋体" w:cs="Times New Roman"/>
                <w:b w:val="0"/>
                <w:bCs w:val="0"/>
                <w:color w:val="auto"/>
                <w:sz w:val="21"/>
                <w:szCs w:val="21"/>
                <w:lang w:val="en-US" w:eastAsia="zh-CN"/>
              </w:rPr>
              <w:t>类限值</w:t>
            </w:r>
          </w:p>
        </w:tc>
        <w:tc>
          <w:tcPr>
            <w:tcW w:w="225" w:type="pct"/>
            <w:tcBorders>
              <w:tl2br w:val="nil"/>
              <w:tr2bl w:val="nil"/>
            </w:tcBorders>
            <w:shd w:val="clear" w:color="auto" w:fill="auto"/>
            <w:vAlign w:val="center"/>
          </w:tcPr>
          <w:p w14:paraId="52AC030E">
            <w:pPr>
              <w:bidi w:val="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241" w:type="pct"/>
            <w:tcBorders>
              <w:tl2br w:val="nil"/>
              <w:tr2bl w:val="nil"/>
            </w:tcBorders>
            <w:shd w:val="clear" w:color="auto" w:fill="auto"/>
            <w:vAlign w:val="center"/>
          </w:tcPr>
          <w:p w14:paraId="7E7D472B">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6-9</w:t>
            </w:r>
          </w:p>
        </w:tc>
        <w:tc>
          <w:tcPr>
            <w:tcW w:w="241" w:type="pct"/>
            <w:tcBorders>
              <w:tl2br w:val="nil"/>
              <w:tr2bl w:val="nil"/>
            </w:tcBorders>
            <w:shd w:val="clear" w:color="auto" w:fill="auto"/>
            <w:vAlign w:val="center"/>
          </w:tcPr>
          <w:p w14:paraId="342820D6">
            <w:pPr>
              <w:bidi w:val="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w:t>
            </w:r>
          </w:p>
        </w:tc>
        <w:tc>
          <w:tcPr>
            <w:tcW w:w="219" w:type="pct"/>
            <w:tcBorders>
              <w:tl2br w:val="nil"/>
              <w:tr2bl w:val="nil"/>
            </w:tcBorders>
            <w:shd w:val="clear" w:color="auto" w:fill="auto"/>
            <w:vAlign w:val="center"/>
          </w:tcPr>
          <w:p w14:paraId="0136355E">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p>
        </w:tc>
        <w:tc>
          <w:tcPr>
            <w:tcW w:w="219" w:type="pct"/>
            <w:tcBorders>
              <w:tl2br w:val="nil"/>
              <w:tr2bl w:val="nil"/>
            </w:tcBorders>
            <w:shd w:val="clear" w:color="auto" w:fill="auto"/>
            <w:vAlign w:val="center"/>
          </w:tcPr>
          <w:p w14:paraId="1BE65924">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6</w:t>
            </w:r>
          </w:p>
        </w:tc>
        <w:tc>
          <w:tcPr>
            <w:tcW w:w="186" w:type="pct"/>
            <w:tcBorders>
              <w:tl2br w:val="nil"/>
              <w:tr2bl w:val="nil"/>
            </w:tcBorders>
            <w:shd w:val="clear" w:color="auto" w:fill="auto"/>
            <w:vAlign w:val="center"/>
          </w:tcPr>
          <w:p w14:paraId="17F92882">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30</w:t>
            </w:r>
          </w:p>
        </w:tc>
        <w:tc>
          <w:tcPr>
            <w:tcW w:w="185" w:type="pct"/>
            <w:tcBorders>
              <w:tl2br w:val="nil"/>
              <w:tr2bl w:val="nil"/>
            </w:tcBorders>
            <w:shd w:val="clear" w:color="auto" w:fill="auto"/>
            <w:vAlign w:val="center"/>
          </w:tcPr>
          <w:p w14:paraId="310F6B0E">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1.5</w:t>
            </w:r>
          </w:p>
        </w:tc>
        <w:tc>
          <w:tcPr>
            <w:tcW w:w="235" w:type="pct"/>
            <w:tcBorders>
              <w:tl2br w:val="nil"/>
              <w:tr2bl w:val="nil"/>
            </w:tcBorders>
            <w:shd w:val="clear" w:color="auto" w:fill="auto"/>
            <w:vAlign w:val="center"/>
          </w:tcPr>
          <w:p w14:paraId="1EE4D246">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1.5</w:t>
            </w:r>
          </w:p>
        </w:tc>
        <w:tc>
          <w:tcPr>
            <w:tcW w:w="195" w:type="pct"/>
            <w:tcBorders>
              <w:tl2br w:val="nil"/>
              <w:tr2bl w:val="nil"/>
            </w:tcBorders>
            <w:shd w:val="clear" w:color="auto" w:fill="auto"/>
            <w:vAlign w:val="center"/>
          </w:tcPr>
          <w:p w14:paraId="0ACDFD66">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0.1</w:t>
            </w:r>
          </w:p>
        </w:tc>
        <w:tc>
          <w:tcPr>
            <w:tcW w:w="195" w:type="pct"/>
            <w:tcBorders>
              <w:tl2br w:val="nil"/>
              <w:tr2bl w:val="nil"/>
            </w:tcBorders>
            <w:shd w:val="clear" w:color="auto" w:fill="auto"/>
            <w:vAlign w:val="center"/>
          </w:tcPr>
          <w:p w14:paraId="1F8A3905">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0.5</w:t>
            </w:r>
          </w:p>
        </w:tc>
        <w:tc>
          <w:tcPr>
            <w:tcW w:w="171" w:type="pct"/>
            <w:tcBorders>
              <w:tl2br w:val="nil"/>
              <w:tr2bl w:val="nil"/>
            </w:tcBorders>
            <w:shd w:val="clear" w:color="auto" w:fill="auto"/>
            <w:vAlign w:val="center"/>
          </w:tcPr>
          <w:p w14:paraId="0AD1A3B6">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0.5</w:t>
            </w:r>
          </w:p>
        </w:tc>
        <w:tc>
          <w:tcPr>
            <w:tcW w:w="295" w:type="pct"/>
            <w:tcBorders>
              <w:tl2br w:val="nil"/>
              <w:tr2bl w:val="nil"/>
            </w:tcBorders>
            <w:shd w:val="clear" w:color="auto" w:fill="auto"/>
            <w:vAlign w:val="center"/>
          </w:tcPr>
          <w:p w14:paraId="409CF731">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0.005</w:t>
            </w:r>
          </w:p>
        </w:tc>
        <w:tc>
          <w:tcPr>
            <w:tcW w:w="194" w:type="pct"/>
            <w:tcBorders>
              <w:tl2br w:val="nil"/>
              <w:tr2bl w:val="nil"/>
            </w:tcBorders>
            <w:shd w:val="clear" w:color="auto" w:fill="auto"/>
            <w:vAlign w:val="center"/>
          </w:tcPr>
          <w:p w14:paraId="61BD3584">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0.05</w:t>
            </w:r>
          </w:p>
        </w:tc>
        <w:tc>
          <w:tcPr>
            <w:tcW w:w="199" w:type="pct"/>
            <w:tcBorders>
              <w:tl2br w:val="nil"/>
              <w:tr2bl w:val="nil"/>
            </w:tcBorders>
            <w:shd w:val="clear" w:color="auto" w:fill="auto"/>
            <w:vAlign w:val="center"/>
          </w:tcPr>
          <w:p w14:paraId="38C1D436">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2.0</w:t>
            </w:r>
          </w:p>
        </w:tc>
        <w:tc>
          <w:tcPr>
            <w:tcW w:w="170" w:type="pct"/>
            <w:tcBorders>
              <w:tl2br w:val="nil"/>
              <w:tr2bl w:val="nil"/>
            </w:tcBorders>
            <w:shd w:val="clear" w:color="auto" w:fill="auto"/>
            <w:vAlign w:val="center"/>
          </w:tcPr>
          <w:p w14:paraId="6BD7115F">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0.1</w:t>
            </w:r>
          </w:p>
        </w:tc>
        <w:tc>
          <w:tcPr>
            <w:tcW w:w="208" w:type="pct"/>
            <w:tcBorders>
              <w:tl2br w:val="nil"/>
              <w:tr2bl w:val="nil"/>
            </w:tcBorders>
            <w:shd w:val="clear" w:color="auto" w:fill="auto"/>
            <w:vAlign w:val="center"/>
          </w:tcPr>
          <w:p w14:paraId="197071BF">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0.05</w:t>
            </w:r>
          </w:p>
        </w:tc>
        <w:tc>
          <w:tcPr>
            <w:tcW w:w="217" w:type="pct"/>
            <w:tcBorders>
              <w:tl2br w:val="nil"/>
              <w:tr2bl w:val="nil"/>
            </w:tcBorders>
            <w:shd w:val="clear" w:color="auto" w:fill="auto"/>
            <w:vAlign w:val="center"/>
          </w:tcPr>
          <w:p w14:paraId="6F45E5E7">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0.1</w:t>
            </w:r>
          </w:p>
        </w:tc>
        <w:tc>
          <w:tcPr>
            <w:tcW w:w="170" w:type="pct"/>
            <w:tcBorders>
              <w:tl2br w:val="nil"/>
              <w:tr2bl w:val="nil"/>
            </w:tcBorders>
            <w:shd w:val="clear" w:color="auto" w:fill="auto"/>
            <w:vAlign w:val="center"/>
          </w:tcPr>
          <w:p w14:paraId="04A26FA8">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0.02</w:t>
            </w:r>
          </w:p>
        </w:tc>
        <w:tc>
          <w:tcPr>
            <w:tcW w:w="208" w:type="pct"/>
            <w:tcBorders>
              <w:tl2br w:val="nil"/>
              <w:tr2bl w:val="nil"/>
            </w:tcBorders>
            <w:shd w:val="clear" w:color="auto" w:fill="auto"/>
            <w:vAlign w:val="center"/>
          </w:tcPr>
          <w:p w14:paraId="6B6C5014">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0.01</w:t>
            </w:r>
          </w:p>
        </w:tc>
        <w:tc>
          <w:tcPr>
            <w:tcW w:w="180" w:type="pct"/>
            <w:tcBorders>
              <w:tl2br w:val="nil"/>
              <w:tr2bl w:val="nil"/>
            </w:tcBorders>
            <w:shd w:val="clear" w:color="auto" w:fill="auto"/>
            <w:vAlign w:val="center"/>
          </w:tcPr>
          <w:p w14:paraId="75F6AD59">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10</w:t>
            </w:r>
          </w:p>
        </w:tc>
        <w:tc>
          <w:tcPr>
            <w:tcW w:w="175" w:type="pct"/>
            <w:tcBorders>
              <w:tl2br w:val="nil"/>
              <w:tr2bl w:val="nil"/>
            </w:tcBorders>
            <w:shd w:val="clear" w:color="auto" w:fill="auto"/>
            <w:vAlign w:val="center"/>
          </w:tcPr>
          <w:p w14:paraId="2C27E7B6">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1.5</w:t>
            </w:r>
          </w:p>
        </w:tc>
        <w:tc>
          <w:tcPr>
            <w:tcW w:w="192" w:type="pct"/>
            <w:tcBorders>
              <w:tl2br w:val="nil"/>
              <w:tr2bl w:val="nil"/>
            </w:tcBorders>
            <w:shd w:val="clear" w:color="auto" w:fill="auto"/>
            <w:vAlign w:val="center"/>
          </w:tcPr>
          <w:p w14:paraId="64F87CE8">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0.3</w:t>
            </w:r>
          </w:p>
        </w:tc>
      </w:tr>
      <w:tr w14:paraId="31F00AE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83" w:hRule="atLeast"/>
        </w:trPr>
        <w:tc>
          <w:tcPr>
            <w:tcW w:w="467" w:type="pct"/>
            <w:gridSpan w:val="2"/>
            <w:tcBorders>
              <w:tl2br w:val="nil"/>
              <w:tr2bl w:val="nil"/>
            </w:tcBorders>
            <w:shd w:val="clear" w:color="auto" w:fill="auto"/>
            <w:vAlign w:val="center"/>
          </w:tcPr>
          <w:p w14:paraId="62B50742">
            <w:pPr>
              <w:bidi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检出限</w:t>
            </w:r>
          </w:p>
        </w:tc>
        <w:tc>
          <w:tcPr>
            <w:tcW w:w="225" w:type="pct"/>
            <w:tcBorders>
              <w:tl2br w:val="nil"/>
              <w:tr2bl w:val="nil"/>
            </w:tcBorders>
            <w:shd w:val="clear" w:color="auto" w:fill="auto"/>
            <w:vAlign w:val="center"/>
          </w:tcPr>
          <w:p w14:paraId="0EAFB6CC">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241" w:type="pct"/>
            <w:tcBorders>
              <w:tl2br w:val="nil"/>
              <w:tr2bl w:val="nil"/>
            </w:tcBorders>
            <w:shd w:val="clear" w:color="auto" w:fill="auto"/>
            <w:vAlign w:val="center"/>
          </w:tcPr>
          <w:p w14:paraId="37EB36A8">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241" w:type="pct"/>
            <w:tcBorders>
              <w:tl2br w:val="nil"/>
              <w:tr2bl w:val="nil"/>
            </w:tcBorders>
            <w:shd w:val="clear" w:color="auto" w:fill="auto"/>
            <w:vAlign w:val="center"/>
          </w:tcPr>
          <w:p w14:paraId="0F939DFE">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219" w:type="pct"/>
            <w:tcBorders>
              <w:tl2br w:val="nil"/>
              <w:tr2bl w:val="nil"/>
            </w:tcBorders>
            <w:shd w:val="clear" w:color="auto" w:fill="auto"/>
            <w:vAlign w:val="center"/>
          </w:tcPr>
          <w:p w14:paraId="7AB6C7A3">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p>
        </w:tc>
        <w:tc>
          <w:tcPr>
            <w:tcW w:w="219" w:type="pct"/>
            <w:tcBorders>
              <w:tl2br w:val="nil"/>
              <w:tr2bl w:val="nil"/>
            </w:tcBorders>
            <w:shd w:val="clear" w:color="auto" w:fill="auto"/>
            <w:vAlign w:val="center"/>
          </w:tcPr>
          <w:p w14:paraId="04D75DB3">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0.5</w:t>
            </w:r>
          </w:p>
        </w:tc>
        <w:tc>
          <w:tcPr>
            <w:tcW w:w="186" w:type="pct"/>
            <w:tcBorders>
              <w:tl2br w:val="nil"/>
              <w:tr2bl w:val="nil"/>
            </w:tcBorders>
            <w:shd w:val="clear" w:color="auto" w:fill="auto"/>
            <w:vAlign w:val="center"/>
          </w:tcPr>
          <w:p w14:paraId="345E19AC">
            <w:pPr>
              <w:bidi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w:t>
            </w:r>
          </w:p>
        </w:tc>
        <w:tc>
          <w:tcPr>
            <w:tcW w:w="185" w:type="pct"/>
            <w:tcBorders>
              <w:tl2br w:val="nil"/>
              <w:tr2bl w:val="nil"/>
            </w:tcBorders>
            <w:shd w:val="clear" w:color="auto" w:fill="auto"/>
            <w:vAlign w:val="center"/>
          </w:tcPr>
          <w:p w14:paraId="29186DE5">
            <w:pPr>
              <w:keepNext w:val="0"/>
              <w:keepLines w:val="0"/>
              <w:widowControl/>
              <w:suppressLineNumbers w:val="0"/>
              <w:jc w:val="center"/>
              <w:textAlignment w:val="center"/>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0.05</w:t>
            </w:r>
          </w:p>
        </w:tc>
        <w:tc>
          <w:tcPr>
            <w:tcW w:w="235" w:type="pct"/>
            <w:tcBorders>
              <w:tl2br w:val="nil"/>
              <w:tr2bl w:val="nil"/>
            </w:tcBorders>
            <w:shd w:val="clear" w:color="auto" w:fill="auto"/>
            <w:vAlign w:val="center"/>
          </w:tcPr>
          <w:p w14:paraId="7C832C5B">
            <w:pPr>
              <w:keepNext w:val="0"/>
              <w:keepLines w:val="0"/>
              <w:widowControl/>
              <w:suppressLineNumbers w:val="0"/>
              <w:jc w:val="center"/>
              <w:textAlignment w:val="center"/>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0.025</w:t>
            </w:r>
          </w:p>
        </w:tc>
        <w:tc>
          <w:tcPr>
            <w:tcW w:w="195" w:type="pct"/>
            <w:tcBorders>
              <w:tl2br w:val="nil"/>
              <w:tr2bl w:val="nil"/>
            </w:tcBorders>
            <w:shd w:val="clear" w:color="auto" w:fill="auto"/>
            <w:vAlign w:val="center"/>
          </w:tcPr>
          <w:p w14:paraId="4F2D5582">
            <w:pPr>
              <w:keepNext w:val="0"/>
              <w:keepLines w:val="0"/>
              <w:widowControl/>
              <w:suppressLineNumbers w:val="0"/>
              <w:jc w:val="center"/>
              <w:textAlignment w:val="center"/>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0.01</w:t>
            </w:r>
          </w:p>
        </w:tc>
        <w:tc>
          <w:tcPr>
            <w:tcW w:w="195" w:type="pct"/>
            <w:tcBorders>
              <w:tl2br w:val="nil"/>
              <w:tr2bl w:val="nil"/>
            </w:tcBorders>
            <w:shd w:val="clear" w:color="auto" w:fill="auto"/>
            <w:vAlign w:val="center"/>
          </w:tcPr>
          <w:p w14:paraId="3732B710">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highlight w:val="none"/>
                <w:u w:val="none"/>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0.01</w:t>
            </w:r>
          </w:p>
        </w:tc>
        <w:tc>
          <w:tcPr>
            <w:tcW w:w="171" w:type="pct"/>
            <w:tcBorders>
              <w:tl2br w:val="nil"/>
              <w:tr2bl w:val="nil"/>
            </w:tcBorders>
            <w:shd w:val="clear" w:color="auto" w:fill="auto"/>
            <w:vAlign w:val="center"/>
          </w:tcPr>
          <w:p w14:paraId="5556D8DC">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highlight w:val="none"/>
                <w:u w:val="none"/>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0.01</w:t>
            </w:r>
          </w:p>
        </w:tc>
        <w:tc>
          <w:tcPr>
            <w:tcW w:w="295" w:type="pct"/>
            <w:tcBorders>
              <w:tl2br w:val="nil"/>
              <w:tr2bl w:val="nil"/>
            </w:tcBorders>
            <w:shd w:val="clear" w:color="auto" w:fill="auto"/>
            <w:vAlign w:val="center"/>
          </w:tcPr>
          <w:p w14:paraId="5525FFF9">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0.000</w:t>
            </w:r>
            <w:r>
              <w:rPr>
                <w:rFonts w:hint="eastAsia" w:ascii="Times New Roman" w:hAnsi="Times New Roman" w:eastAsia="宋体" w:cs="Times New Roman"/>
                <w:i w:val="0"/>
                <w:iCs w:val="0"/>
                <w:snapToGrid w:val="0"/>
                <w:color w:val="auto"/>
                <w:kern w:val="0"/>
                <w:sz w:val="21"/>
                <w:szCs w:val="21"/>
                <w:highlight w:val="none"/>
                <w:u w:val="none"/>
                <w:lang w:val="en-US" w:eastAsia="zh-CN" w:bidi="ar"/>
              </w:rPr>
              <w:t>25</w:t>
            </w:r>
          </w:p>
        </w:tc>
        <w:tc>
          <w:tcPr>
            <w:tcW w:w="194" w:type="pct"/>
            <w:tcBorders>
              <w:tl2br w:val="nil"/>
              <w:tr2bl w:val="nil"/>
            </w:tcBorders>
            <w:shd w:val="clear" w:color="auto" w:fill="auto"/>
            <w:vAlign w:val="center"/>
          </w:tcPr>
          <w:p w14:paraId="65F10267">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highlight w:val="none"/>
                <w:u w:val="none"/>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0.004</w:t>
            </w:r>
          </w:p>
        </w:tc>
        <w:tc>
          <w:tcPr>
            <w:tcW w:w="199" w:type="pct"/>
            <w:tcBorders>
              <w:tl2br w:val="nil"/>
              <w:tr2bl w:val="nil"/>
            </w:tcBorders>
            <w:shd w:val="clear" w:color="auto" w:fill="auto"/>
            <w:vAlign w:val="center"/>
          </w:tcPr>
          <w:p w14:paraId="243EAF54">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w:t>
            </w:r>
            <w:r>
              <w:rPr>
                <w:rFonts w:hint="eastAsia" w:ascii="Times New Roman" w:hAnsi="Times New Roman" w:eastAsia="宋体" w:cs="Times New Roman"/>
                <w:i w:val="0"/>
                <w:iCs w:val="0"/>
                <w:snapToGrid w:val="0"/>
                <w:color w:val="auto"/>
                <w:kern w:val="0"/>
                <w:sz w:val="21"/>
                <w:szCs w:val="21"/>
                <w:highlight w:val="none"/>
                <w:u w:val="none"/>
                <w:lang w:val="en-US" w:eastAsia="zh-CN" w:bidi="ar"/>
              </w:rPr>
              <w:t>01</w:t>
            </w:r>
          </w:p>
        </w:tc>
        <w:tc>
          <w:tcPr>
            <w:tcW w:w="170" w:type="pct"/>
            <w:tcBorders>
              <w:tl2br w:val="nil"/>
              <w:tr2bl w:val="nil"/>
            </w:tcBorders>
            <w:shd w:val="clear" w:color="auto" w:fill="auto"/>
            <w:vAlign w:val="center"/>
          </w:tcPr>
          <w:p w14:paraId="2CAACDF7">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highlight w:val="none"/>
                <w:u w:val="none"/>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w:t>
            </w:r>
            <w:r>
              <w:rPr>
                <w:rFonts w:hint="eastAsia" w:ascii="Times New Roman" w:hAnsi="Times New Roman" w:eastAsia="宋体" w:cs="Times New Roman"/>
                <w:i w:val="0"/>
                <w:iCs w:val="0"/>
                <w:snapToGrid w:val="0"/>
                <w:color w:val="auto"/>
                <w:kern w:val="0"/>
                <w:sz w:val="21"/>
                <w:szCs w:val="21"/>
                <w:highlight w:val="none"/>
                <w:u w:val="none"/>
                <w:lang w:val="en-US" w:eastAsia="zh-CN" w:bidi="ar"/>
              </w:rPr>
              <w:t>1</w:t>
            </w:r>
          </w:p>
        </w:tc>
        <w:tc>
          <w:tcPr>
            <w:tcW w:w="208" w:type="pct"/>
            <w:tcBorders>
              <w:tl2br w:val="nil"/>
              <w:tr2bl w:val="nil"/>
            </w:tcBorders>
            <w:shd w:val="clear" w:color="auto" w:fill="auto"/>
            <w:vAlign w:val="center"/>
          </w:tcPr>
          <w:p w14:paraId="709B7087">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w:t>
            </w:r>
            <w:r>
              <w:rPr>
                <w:rFonts w:hint="eastAsia" w:ascii="Times New Roman" w:hAnsi="Times New Roman" w:eastAsia="宋体" w:cs="Times New Roman"/>
                <w:i w:val="0"/>
                <w:iCs w:val="0"/>
                <w:snapToGrid w:val="0"/>
                <w:color w:val="auto"/>
                <w:kern w:val="0"/>
                <w:sz w:val="21"/>
                <w:szCs w:val="21"/>
                <w:highlight w:val="none"/>
                <w:u w:val="none"/>
                <w:lang w:val="en-US" w:eastAsia="zh-CN" w:bidi="ar"/>
              </w:rPr>
              <w:t>025</w:t>
            </w:r>
          </w:p>
        </w:tc>
        <w:tc>
          <w:tcPr>
            <w:tcW w:w="217" w:type="pct"/>
            <w:tcBorders>
              <w:tl2br w:val="nil"/>
              <w:tr2bl w:val="nil"/>
            </w:tcBorders>
            <w:shd w:val="clear" w:color="auto" w:fill="auto"/>
            <w:vAlign w:val="center"/>
          </w:tcPr>
          <w:p w14:paraId="5D859326">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highlight w:val="none"/>
                <w:u w:val="none"/>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0.0003</w:t>
            </w:r>
          </w:p>
        </w:tc>
        <w:tc>
          <w:tcPr>
            <w:tcW w:w="170" w:type="pct"/>
            <w:tcBorders>
              <w:tl2br w:val="nil"/>
              <w:tr2bl w:val="nil"/>
            </w:tcBorders>
            <w:shd w:val="clear" w:color="auto" w:fill="auto"/>
            <w:vAlign w:val="center"/>
          </w:tcPr>
          <w:p w14:paraId="70DDBC91">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w:t>
            </w:r>
            <w:r>
              <w:rPr>
                <w:rFonts w:hint="eastAsia" w:ascii="Times New Roman" w:hAnsi="Times New Roman" w:eastAsia="宋体" w:cs="Times New Roman"/>
                <w:i w:val="0"/>
                <w:iCs w:val="0"/>
                <w:snapToGrid w:val="0"/>
                <w:color w:val="auto"/>
                <w:kern w:val="0"/>
                <w:sz w:val="21"/>
                <w:szCs w:val="21"/>
                <w:highlight w:val="none"/>
                <w:u w:val="none"/>
                <w:lang w:val="en-US" w:eastAsia="zh-CN" w:bidi="ar"/>
              </w:rPr>
              <w:t>07</w:t>
            </w:r>
          </w:p>
        </w:tc>
        <w:tc>
          <w:tcPr>
            <w:tcW w:w="208" w:type="pct"/>
            <w:tcBorders>
              <w:tl2br w:val="nil"/>
              <w:tr2bl w:val="nil"/>
            </w:tcBorders>
            <w:shd w:val="clear" w:color="auto" w:fill="auto"/>
            <w:vAlign w:val="center"/>
          </w:tcPr>
          <w:p w14:paraId="15F37FCF">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highlight w:val="none"/>
                <w:u w:val="none"/>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0.0003</w:t>
            </w:r>
          </w:p>
        </w:tc>
        <w:tc>
          <w:tcPr>
            <w:tcW w:w="180" w:type="pct"/>
            <w:tcBorders>
              <w:tl2br w:val="nil"/>
              <w:tr2bl w:val="nil"/>
            </w:tcBorders>
            <w:shd w:val="clear" w:color="auto" w:fill="auto"/>
            <w:vAlign w:val="center"/>
          </w:tcPr>
          <w:p w14:paraId="4FCF489D">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highlight w:val="none"/>
                <w:u w:val="none"/>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w:t>
            </w:r>
            <w:r>
              <w:rPr>
                <w:rFonts w:hint="eastAsia" w:ascii="Times New Roman" w:hAnsi="Times New Roman" w:eastAsia="宋体" w:cs="Times New Roman"/>
                <w:i w:val="0"/>
                <w:iCs w:val="0"/>
                <w:snapToGrid w:val="0"/>
                <w:color w:val="auto"/>
                <w:kern w:val="0"/>
                <w:sz w:val="21"/>
                <w:szCs w:val="21"/>
                <w:highlight w:val="none"/>
                <w:u w:val="none"/>
                <w:lang w:val="en-US" w:eastAsia="zh-CN" w:bidi="ar"/>
              </w:rPr>
              <w:t>5</w:t>
            </w:r>
          </w:p>
        </w:tc>
        <w:tc>
          <w:tcPr>
            <w:tcW w:w="175" w:type="pct"/>
            <w:tcBorders>
              <w:tl2br w:val="nil"/>
              <w:tr2bl w:val="nil"/>
            </w:tcBorders>
            <w:shd w:val="clear" w:color="auto" w:fill="auto"/>
            <w:vAlign w:val="center"/>
          </w:tcPr>
          <w:p w14:paraId="233A0B2C">
            <w:pPr>
              <w:keepNext w:val="0"/>
              <w:keepLines w:val="0"/>
              <w:widowControl/>
              <w:suppressLineNumbers w:val="0"/>
              <w:jc w:val="center"/>
              <w:textAlignment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0.05</w:t>
            </w:r>
          </w:p>
        </w:tc>
        <w:tc>
          <w:tcPr>
            <w:tcW w:w="192" w:type="pct"/>
            <w:tcBorders>
              <w:tl2br w:val="nil"/>
              <w:tr2bl w:val="nil"/>
            </w:tcBorders>
            <w:shd w:val="clear" w:color="auto" w:fill="auto"/>
            <w:vAlign w:val="center"/>
          </w:tcPr>
          <w:p w14:paraId="43ECD9AA">
            <w:pPr>
              <w:keepNext w:val="0"/>
              <w:keepLines w:val="0"/>
              <w:widowControl/>
              <w:suppressLineNumbers w:val="0"/>
              <w:jc w:val="center"/>
              <w:textAlignment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0.05</w:t>
            </w:r>
          </w:p>
        </w:tc>
      </w:tr>
      <w:bookmarkEnd w:id="1541"/>
      <w:tr w14:paraId="40B007C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211" w:type="pct"/>
            <w:vMerge w:val="restart"/>
            <w:tcBorders>
              <w:tl2br w:val="nil"/>
              <w:tr2bl w:val="nil"/>
            </w:tcBorders>
            <w:shd w:val="clear" w:color="auto" w:fill="auto"/>
            <w:vAlign w:val="center"/>
          </w:tcPr>
          <w:p w14:paraId="74232766">
            <w:pPr>
              <w:bidi w:val="0"/>
              <w:jc w:val="center"/>
              <w:rPr>
                <w:rFonts w:hint="default" w:ascii="Times New Roman" w:hAnsi="Times New Roman" w:eastAsia="宋体" w:cs="Times New Roman"/>
                <w:snapToGrid w:val="0"/>
                <w:color w:val="auto"/>
                <w:kern w:val="0"/>
                <w:sz w:val="21"/>
                <w:szCs w:val="21"/>
                <w:lang w:val="en-US" w:eastAsia="en-US" w:bidi="ar-SA"/>
              </w:rPr>
            </w:pPr>
            <w:bookmarkStart w:id="1542" w:name="OLE_LINK525" w:colFirst="12" w:colLast="18"/>
            <w:r>
              <w:rPr>
                <w:rFonts w:hint="default" w:ascii="Times New Roman" w:hAnsi="Times New Roman" w:cs="Times New Roman"/>
                <w:color w:val="auto"/>
                <w:kern w:val="2"/>
                <w:sz w:val="21"/>
                <w:szCs w:val="21"/>
                <w:highlight w:val="none"/>
                <w:lang w:val="en-US" w:eastAsia="zh-CN" w:bidi="ar-SA"/>
              </w:rPr>
              <w:t>H</w:t>
            </w:r>
            <w:r>
              <w:rPr>
                <w:rFonts w:hint="eastAsia" w:ascii="Times New Roman" w:hAnsi="Times New Roman" w:cs="Times New Roman"/>
                <w:color w:val="auto"/>
                <w:kern w:val="2"/>
                <w:sz w:val="21"/>
                <w:szCs w:val="21"/>
                <w:highlight w:val="none"/>
                <w:lang w:val="en-US" w:eastAsia="zh-CN" w:bidi="ar-SA"/>
              </w:rPr>
              <w:t>3</w:t>
            </w:r>
          </w:p>
        </w:tc>
        <w:tc>
          <w:tcPr>
            <w:tcW w:w="255" w:type="pct"/>
            <w:tcBorders>
              <w:tl2br w:val="nil"/>
              <w:tr2bl w:val="nil"/>
            </w:tcBorders>
            <w:shd w:val="clear" w:color="auto" w:fill="auto"/>
            <w:vAlign w:val="center"/>
          </w:tcPr>
          <w:p w14:paraId="28B01A80">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最大值</w:t>
            </w:r>
          </w:p>
        </w:tc>
        <w:tc>
          <w:tcPr>
            <w:tcW w:w="225" w:type="pct"/>
            <w:tcBorders>
              <w:tl2br w:val="nil"/>
              <w:tr2bl w:val="nil"/>
            </w:tcBorders>
            <w:shd w:val="clear" w:color="auto" w:fill="auto"/>
            <w:vAlign w:val="center"/>
          </w:tcPr>
          <w:p w14:paraId="7545F38C">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22</w:t>
            </w:r>
            <w:bookmarkStart w:id="1543" w:name="OLE_LINK524"/>
            <w:r>
              <w:rPr>
                <w:rFonts w:hint="eastAsia" w:ascii="Times New Roman" w:hAnsi="Times New Roman" w:eastAsia="宋体" w:cs="Times New Roman"/>
                <w:snapToGrid w:val="0"/>
                <w:color w:val="auto"/>
                <w:kern w:val="0"/>
                <w:sz w:val="21"/>
                <w:szCs w:val="21"/>
                <w:lang w:val="en-US" w:eastAsia="zh-CN" w:bidi="ar-SA"/>
              </w:rPr>
              <w:t>.</w:t>
            </w:r>
            <w:bookmarkEnd w:id="1543"/>
            <w:r>
              <w:rPr>
                <w:rFonts w:hint="eastAsia" w:ascii="Times New Roman" w:hAnsi="Times New Roman" w:eastAsia="宋体" w:cs="Times New Roman"/>
                <w:snapToGrid w:val="0"/>
                <w:color w:val="auto"/>
                <w:kern w:val="0"/>
                <w:sz w:val="21"/>
                <w:szCs w:val="21"/>
                <w:lang w:val="en-US" w:eastAsia="zh-CN" w:bidi="ar-SA"/>
              </w:rPr>
              <w:t>7</w:t>
            </w:r>
          </w:p>
        </w:tc>
        <w:tc>
          <w:tcPr>
            <w:tcW w:w="241" w:type="pct"/>
            <w:tcBorders>
              <w:tl2br w:val="nil"/>
              <w:tr2bl w:val="nil"/>
            </w:tcBorders>
            <w:shd w:val="clear" w:color="auto" w:fill="auto"/>
            <w:vAlign w:val="center"/>
          </w:tcPr>
          <w:p w14:paraId="71924414">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7.4</w:t>
            </w:r>
          </w:p>
        </w:tc>
        <w:tc>
          <w:tcPr>
            <w:tcW w:w="241" w:type="pct"/>
            <w:tcBorders>
              <w:tl2br w:val="nil"/>
              <w:tr2bl w:val="nil"/>
            </w:tcBorders>
            <w:shd w:val="clear" w:color="auto" w:fill="auto"/>
            <w:vAlign w:val="center"/>
          </w:tcPr>
          <w:p w14:paraId="4E851456">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6.88</w:t>
            </w:r>
          </w:p>
        </w:tc>
        <w:tc>
          <w:tcPr>
            <w:tcW w:w="219" w:type="pct"/>
            <w:tcBorders>
              <w:tl2br w:val="nil"/>
              <w:tr2bl w:val="nil"/>
            </w:tcBorders>
            <w:shd w:val="clear" w:color="auto" w:fill="auto"/>
            <w:vAlign w:val="center"/>
          </w:tcPr>
          <w:p w14:paraId="7CF81FF6">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70</w:t>
            </w:r>
          </w:p>
        </w:tc>
        <w:tc>
          <w:tcPr>
            <w:tcW w:w="219" w:type="pct"/>
            <w:tcBorders>
              <w:tl2br w:val="nil"/>
              <w:tr2bl w:val="nil"/>
            </w:tcBorders>
            <w:shd w:val="clear" w:color="auto" w:fill="auto"/>
            <w:vAlign w:val="center"/>
          </w:tcPr>
          <w:p w14:paraId="2BDBD88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5.4</w:t>
            </w:r>
          </w:p>
        </w:tc>
        <w:tc>
          <w:tcPr>
            <w:tcW w:w="186" w:type="pct"/>
            <w:tcBorders>
              <w:tl2br w:val="nil"/>
              <w:tr2bl w:val="nil"/>
            </w:tcBorders>
            <w:shd w:val="clear" w:color="auto" w:fill="auto"/>
            <w:vAlign w:val="center"/>
          </w:tcPr>
          <w:p w14:paraId="3237ECC4">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19</w:t>
            </w:r>
          </w:p>
        </w:tc>
        <w:tc>
          <w:tcPr>
            <w:tcW w:w="185" w:type="pct"/>
            <w:tcBorders>
              <w:tl2br w:val="nil"/>
              <w:tr2bl w:val="nil"/>
            </w:tcBorders>
            <w:shd w:val="clear" w:color="auto" w:fill="auto"/>
            <w:vAlign w:val="center"/>
          </w:tcPr>
          <w:p w14:paraId="5BF3BBC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0.76</w:t>
            </w:r>
          </w:p>
        </w:tc>
        <w:tc>
          <w:tcPr>
            <w:tcW w:w="235" w:type="pct"/>
            <w:tcBorders>
              <w:tl2br w:val="nil"/>
              <w:tr2bl w:val="nil"/>
            </w:tcBorders>
            <w:shd w:val="clear" w:color="auto" w:fill="auto"/>
            <w:vAlign w:val="center"/>
          </w:tcPr>
          <w:p w14:paraId="1C57A9A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0.182</w:t>
            </w:r>
          </w:p>
        </w:tc>
        <w:tc>
          <w:tcPr>
            <w:tcW w:w="195" w:type="pct"/>
            <w:tcBorders>
              <w:tl2br w:val="nil"/>
              <w:tr2bl w:val="nil"/>
            </w:tcBorders>
            <w:shd w:val="clear" w:color="auto" w:fill="auto"/>
            <w:vAlign w:val="center"/>
          </w:tcPr>
          <w:p w14:paraId="6AFB31B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0.06</w:t>
            </w:r>
          </w:p>
        </w:tc>
        <w:tc>
          <w:tcPr>
            <w:tcW w:w="195" w:type="pct"/>
            <w:tcBorders>
              <w:tl2br w:val="nil"/>
              <w:tr2bl w:val="nil"/>
            </w:tcBorders>
            <w:shd w:val="clear" w:color="auto" w:fill="auto"/>
            <w:vAlign w:val="center"/>
          </w:tcPr>
          <w:p w14:paraId="24D6AE2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0.03</w:t>
            </w:r>
          </w:p>
        </w:tc>
        <w:tc>
          <w:tcPr>
            <w:tcW w:w="171" w:type="pct"/>
            <w:tcBorders>
              <w:tl2br w:val="nil"/>
              <w:tr2bl w:val="nil"/>
            </w:tcBorders>
            <w:shd w:val="clear" w:color="auto" w:fill="auto"/>
            <w:vAlign w:val="center"/>
          </w:tcPr>
          <w:p w14:paraId="559BDA3E">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95" w:type="pct"/>
            <w:tcBorders>
              <w:tl2br w:val="nil"/>
              <w:tr2bl w:val="nil"/>
            </w:tcBorders>
            <w:shd w:val="clear" w:color="auto" w:fill="auto"/>
            <w:vAlign w:val="center"/>
          </w:tcPr>
          <w:p w14:paraId="76DB295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194" w:type="pct"/>
            <w:tcBorders>
              <w:tl2br w:val="nil"/>
              <w:tr2bl w:val="nil"/>
            </w:tcBorders>
            <w:shd w:val="clear" w:color="auto" w:fill="auto"/>
            <w:vAlign w:val="center"/>
          </w:tcPr>
          <w:p w14:paraId="1BFE8692">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199" w:type="pct"/>
            <w:tcBorders>
              <w:tl2br w:val="nil"/>
              <w:tr2bl w:val="nil"/>
            </w:tcBorders>
            <w:shd w:val="clear" w:color="auto" w:fill="auto"/>
            <w:vAlign w:val="center"/>
          </w:tcPr>
          <w:p w14:paraId="4EAD0092">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ND</w:t>
            </w:r>
          </w:p>
        </w:tc>
        <w:tc>
          <w:tcPr>
            <w:tcW w:w="170" w:type="pct"/>
            <w:tcBorders>
              <w:tl2br w:val="nil"/>
              <w:tr2bl w:val="nil"/>
            </w:tcBorders>
            <w:shd w:val="clear" w:color="auto" w:fill="auto"/>
            <w:vAlign w:val="center"/>
          </w:tcPr>
          <w:p w14:paraId="64539D1A">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208" w:type="pct"/>
            <w:tcBorders>
              <w:tl2br w:val="nil"/>
              <w:tr2bl w:val="nil"/>
            </w:tcBorders>
            <w:shd w:val="clear" w:color="auto" w:fill="auto"/>
            <w:vAlign w:val="center"/>
          </w:tcPr>
          <w:p w14:paraId="092C93A6">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217" w:type="pct"/>
            <w:tcBorders>
              <w:tl2br w:val="nil"/>
              <w:tr2bl w:val="nil"/>
            </w:tcBorders>
            <w:shd w:val="clear" w:color="auto" w:fill="auto"/>
            <w:vAlign w:val="center"/>
          </w:tcPr>
          <w:p w14:paraId="747927C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170" w:type="pct"/>
            <w:tcBorders>
              <w:tl2br w:val="nil"/>
              <w:tr2bl w:val="nil"/>
            </w:tcBorders>
            <w:shd w:val="clear" w:color="auto" w:fill="auto"/>
            <w:vAlign w:val="center"/>
          </w:tcPr>
          <w:p w14:paraId="2AA849F2">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0.007</w:t>
            </w:r>
          </w:p>
        </w:tc>
        <w:tc>
          <w:tcPr>
            <w:tcW w:w="208" w:type="pct"/>
            <w:tcBorders>
              <w:tl2br w:val="nil"/>
              <w:tr2bl w:val="nil"/>
            </w:tcBorders>
            <w:shd w:val="clear" w:color="auto" w:fill="auto"/>
            <w:vAlign w:val="center"/>
          </w:tcPr>
          <w:p w14:paraId="4FAFBD76">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0.0030</w:t>
            </w:r>
          </w:p>
        </w:tc>
        <w:tc>
          <w:tcPr>
            <w:tcW w:w="180" w:type="pct"/>
            <w:tcBorders>
              <w:tl2br w:val="nil"/>
              <w:tr2bl w:val="nil"/>
            </w:tcBorders>
            <w:shd w:val="clear" w:color="auto" w:fill="auto"/>
            <w:vAlign w:val="center"/>
          </w:tcPr>
          <w:p w14:paraId="1047F657">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3.8</w:t>
            </w:r>
          </w:p>
        </w:tc>
        <w:tc>
          <w:tcPr>
            <w:tcW w:w="175" w:type="pct"/>
            <w:tcBorders>
              <w:tl2br w:val="nil"/>
              <w:tr2bl w:val="nil"/>
            </w:tcBorders>
            <w:shd w:val="clear" w:color="auto" w:fill="auto"/>
            <w:vAlign w:val="center"/>
          </w:tcPr>
          <w:p w14:paraId="71BB4190">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0.23</w:t>
            </w:r>
          </w:p>
        </w:tc>
        <w:tc>
          <w:tcPr>
            <w:tcW w:w="192" w:type="pct"/>
            <w:tcBorders>
              <w:tl2br w:val="nil"/>
              <w:tr2bl w:val="nil"/>
            </w:tcBorders>
            <w:shd w:val="clear" w:color="auto" w:fill="auto"/>
            <w:vAlign w:val="center"/>
          </w:tcPr>
          <w:p w14:paraId="591EC2C1">
            <w:pPr>
              <w:bidi w:val="0"/>
              <w:jc w:val="center"/>
              <w:rPr>
                <w:rFonts w:hint="default" w:ascii="Times New Roman" w:hAnsi="Times New Roman" w:eastAsia="宋体" w:cs="Times New Roman"/>
                <w:snapToGrid w:val="0"/>
                <w:color w:val="auto"/>
                <w:kern w:val="0"/>
                <w:sz w:val="21"/>
                <w:szCs w:val="21"/>
                <w:lang w:val="en-US" w:eastAsia="zh-CN" w:bidi="ar-SA"/>
              </w:rPr>
            </w:pPr>
            <w:bookmarkStart w:id="1544" w:name="OLE_LINK527"/>
            <w:r>
              <w:rPr>
                <w:rFonts w:hint="default" w:ascii="Times New Roman" w:hAnsi="Times New Roman" w:eastAsia="宋体" w:cs="Times New Roman"/>
                <w:snapToGrid w:val="0"/>
                <w:color w:val="auto"/>
                <w:kern w:val="0"/>
                <w:sz w:val="21"/>
                <w:szCs w:val="21"/>
                <w:lang w:val="en-US" w:eastAsia="zh-CN" w:bidi="ar-SA"/>
              </w:rPr>
              <w:t>ND</w:t>
            </w:r>
            <w:bookmarkEnd w:id="1544"/>
          </w:p>
        </w:tc>
      </w:tr>
      <w:tr w14:paraId="7E16A497">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84" w:hRule="atLeast"/>
        </w:trPr>
        <w:tc>
          <w:tcPr>
            <w:tcW w:w="211" w:type="pct"/>
            <w:vMerge w:val="continue"/>
            <w:tcBorders>
              <w:tl2br w:val="nil"/>
              <w:tr2bl w:val="nil"/>
            </w:tcBorders>
          </w:tcPr>
          <w:p w14:paraId="7BD37707">
            <w:pPr>
              <w:bidi w:val="0"/>
              <w:jc w:val="center"/>
              <w:rPr>
                <w:rFonts w:hint="default" w:ascii="Times New Roman" w:hAnsi="Times New Roman" w:eastAsia="宋体" w:cs="Times New Roman"/>
                <w:color w:val="auto"/>
                <w:sz w:val="21"/>
                <w:szCs w:val="21"/>
                <w:lang w:val="en-US"/>
              </w:rPr>
            </w:pPr>
          </w:p>
        </w:tc>
        <w:tc>
          <w:tcPr>
            <w:tcW w:w="255" w:type="pct"/>
            <w:tcBorders>
              <w:tl2br w:val="nil"/>
              <w:tr2bl w:val="nil"/>
            </w:tcBorders>
            <w:shd w:val="clear" w:color="auto" w:fill="auto"/>
            <w:vAlign w:val="center"/>
          </w:tcPr>
          <w:p w14:paraId="38A7FBB5">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最小值</w:t>
            </w:r>
          </w:p>
        </w:tc>
        <w:tc>
          <w:tcPr>
            <w:tcW w:w="225" w:type="pct"/>
            <w:tcBorders>
              <w:tl2br w:val="nil"/>
              <w:tr2bl w:val="nil"/>
            </w:tcBorders>
            <w:shd w:val="clear" w:color="auto" w:fill="auto"/>
            <w:vAlign w:val="center"/>
          </w:tcPr>
          <w:p w14:paraId="1D655F78">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21.9</w:t>
            </w:r>
          </w:p>
        </w:tc>
        <w:tc>
          <w:tcPr>
            <w:tcW w:w="241" w:type="pct"/>
            <w:tcBorders>
              <w:tl2br w:val="nil"/>
              <w:tr2bl w:val="nil"/>
            </w:tcBorders>
            <w:shd w:val="clear" w:color="auto" w:fill="auto"/>
            <w:vAlign w:val="center"/>
          </w:tcPr>
          <w:p w14:paraId="1D69DA14">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7.3</w:t>
            </w:r>
          </w:p>
        </w:tc>
        <w:tc>
          <w:tcPr>
            <w:tcW w:w="241" w:type="pct"/>
            <w:tcBorders>
              <w:tl2br w:val="nil"/>
              <w:tr2bl w:val="nil"/>
            </w:tcBorders>
            <w:shd w:val="clear" w:color="auto" w:fill="auto"/>
            <w:vAlign w:val="center"/>
          </w:tcPr>
          <w:p w14:paraId="2D4931B1">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6.81</w:t>
            </w:r>
          </w:p>
        </w:tc>
        <w:tc>
          <w:tcPr>
            <w:tcW w:w="219" w:type="pct"/>
            <w:tcBorders>
              <w:tl2br w:val="nil"/>
              <w:tr2bl w:val="nil"/>
            </w:tcBorders>
            <w:shd w:val="clear" w:color="auto" w:fill="auto"/>
            <w:vAlign w:val="center"/>
          </w:tcPr>
          <w:p w14:paraId="784FF975">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68</w:t>
            </w:r>
          </w:p>
        </w:tc>
        <w:tc>
          <w:tcPr>
            <w:tcW w:w="219" w:type="pct"/>
            <w:tcBorders>
              <w:tl2br w:val="nil"/>
              <w:tr2bl w:val="nil"/>
            </w:tcBorders>
            <w:shd w:val="clear" w:color="auto" w:fill="auto"/>
            <w:vAlign w:val="center"/>
          </w:tcPr>
          <w:p w14:paraId="101E357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5.1</w:t>
            </w:r>
          </w:p>
        </w:tc>
        <w:tc>
          <w:tcPr>
            <w:tcW w:w="186" w:type="pct"/>
            <w:tcBorders>
              <w:tl2br w:val="nil"/>
              <w:tr2bl w:val="nil"/>
            </w:tcBorders>
            <w:shd w:val="clear" w:color="auto" w:fill="auto"/>
            <w:vAlign w:val="center"/>
          </w:tcPr>
          <w:p w14:paraId="602D89B3">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18</w:t>
            </w:r>
          </w:p>
        </w:tc>
        <w:tc>
          <w:tcPr>
            <w:tcW w:w="185" w:type="pct"/>
            <w:tcBorders>
              <w:tl2br w:val="nil"/>
              <w:tr2bl w:val="nil"/>
            </w:tcBorders>
            <w:shd w:val="clear" w:color="auto" w:fill="auto"/>
            <w:vAlign w:val="center"/>
          </w:tcPr>
          <w:p w14:paraId="65A4C1A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0.74</w:t>
            </w:r>
          </w:p>
        </w:tc>
        <w:tc>
          <w:tcPr>
            <w:tcW w:w="235" w:type="pct"/>
            <w:tcBorders>
              <w:tl2br w:val="nil"/>
              <w:tr2bl w:val="nil"/>
            </w:tcBorders>
            <w:shd w:val="clear" w:color="auto" w:fill="auto"/>
            <w:vAlign w:val="center"/>
          </w:tcPr>
          <w:p w14:paraId="67B29E3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0.169</w:t>
            </w:r>
          </w:p>
        </w:tc>
        <w:tc>
          <w:tcPr>
            <w:tcW w:w="195" w:type="pct"/>
            <w:tcBorders>
              <w:tl2br w:val="nil"/>
              <w:tr2bl w:val="nil"/>
            </w:tcBorders>
            <w:shd w:val="clear" w:color="auto" w:fill="auto"/>
            <w:vAlign w:val="center"/>
          </w:tcPr>
          <w:p w14:paraId="4BA0B7F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0.05</w:t>
            </w:r>
          </w:p>
        </w:tc>
        <w:tc>
          <w:tcPr>
            <w:tcW w:w="195" w:type="pct"/>
            <w:tcBorders>
              <w:tl2br w:val="nil"/>
              <w:tr2bl w:val="nil"/>
            </w:tcBorders>
            <w:shd w:val="clear" w:color="auto" w:fill="auto"/>
            <w:vAlign w:val="center"/>
          </w:tcPr>
          <w:p w14:paraId="4554F6C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0.02</w:t>
            </w:r>
          </w:p>
        </w:tc>
        <w:tc>
          <w:tcPr>
            <w:tcW w:w="171" w:type="pct"/>
            <w:tcBorders>
              <w:tl2br w:val="nil"/>
              <w:tr2bl w:val="nil"/>
            </w:tcBorders>
            <w:shd w:val="clear" w:color="auto" w:fill="auto"/>
            <w:vAlign w:val="center"/>
          </w:tcPr>
          <w:p w14:paraId="193E8043">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95" w:type="pct"/>
            <w:tcBorders>
              <w:tl2br w:val="nil"/>
              <w:tr2bl w:val="nil"/>
            </w:tcBorders>
            <w:shd w:val="clear" w:color="auto" w:fill="auto"/>
            <w:vAlign w:val="center"/>
          </w:tcPr>
          <w:p w14:paraId="33354B5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194" w:type="pct"/>
            <w:tcBorders>
              <w:tl2br w:val="nil"/>
              <w:tr2bl w:val="nil"/>
            </w:tcBorders>
            <w:shd w:val="clear" w:color="auto" w:fill="auto"/>
            <w:vAlign w:val="center"/>
          </w:tcPr>
          <w:p w14:paraId="2CA5D5B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199" w:type="pct"/>
            <w:tcBorders>
              <w:tl2br w:val="nil"/>
              <w:tr2bl w:val="nil"/>
            </w:tcBorders>
            <w:shd w:val="clear" w:color="auto" w:fill="auto"/>
            <w:vAlign w:val="center"/>
          </w:tcPr>
          <w:p w14:paraId="52FB85FA">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170" w:type="pct"/>
            <w:tcBorders>
              <w:tl2br w:val="nil"/>
              <w:tr2bl w:val="nil"/>
            </w:tcBorders>
            <w:shd w:val="clear" w:color="auto" w:fill="auto"/>
            <w:vAlign w:val="center"/>
          </w:tcPr>
          <w:p w14:paraId="061B36AF">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208" w:type="pct"/>
            <w:tcBorders>
              <w:tl2br w:val="nil"/>
              <w:tr2bl w:val="nil"/>
            </w:tcBorders>
            <w:shd w:val="clear" w:color="auto" w:fill="auto"/>
            <w:vAlign w:val="center"/>
          </w:tcPr>
          <w:p w14:paraId="3F611865">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217" w:type="pct"/>
            <w:tcBorders>
              <w:tl2br w:val="nil"/>
              <w:tr2bl w:val="nil"/>
            </w:tcBorders>
            <w:shd w:val="clear" w:color="auto" w:fill="auto"/>
            <w:vAlign w:val="center"/>
          </w:tcPr>
          <w:p w14:paraId="66FCF41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170" w:type="pct"/>
            <w:tcBorders>
              <w:tl2br w:val="nil"/>
              <w:tr2bl w:val="nil"/>
            </w:tcBorders>
            <w:shd w:val="clear" w:color="auto" w:fill="auto"/>
            <w:vAlign w:val="center"/>
          </w:tcPr>
          <w:p w14:paraId="734C0641">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208" w:type="pct"/>
            <w:tcBorders>
              <w:tl2br w:val="nil"/>
              <w:tr2bl w:val="nil"/>
            </w:tcBorders>
            <w:shd w:val="clear" w:color="auto" w:fill="auto"/>
            <w:vAlign w:val="center"/>
          </w:tcPr>
          <w:p w14:paraId="31DDDEA1">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0.0028</w:t>
            </w:r>
          </w:p>
        </w:tc>
        <w:tc>
          <w:tcPr>
            <w:tcW w:w="180" w:type="pct"/>
            <w:tcBorders>
              <w:tl2br w:val="nil"/>
              <w:tr2bl w:val="nil"/>
            </w:tcBorders>
            <w:shd w:val="clear" w:color="auto" w:fill="auto"/>
            <w:vAlign w:val="center"/>
          </w:tcPr>
          <w:p w14:paraId="1AF904BC">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3.5</w:t>
            </w:r>
          </w:p>
        </w:tc>
        <w:tc>
          <w:tcPr>
            <w:tcW w:w="175" w:type="pct"/>
            <w:tcBorders>
              <w:tl2br w:val="nil"/>
              <w:tr2bl w:val="nil"/>
            </w:tcBorders>
            <w:shd w:val="clear" w:color="auto" w:fill="auto"/>
            <w:vAlign w:val="center"/>
          </w:tcPr>
          <w:p w14:paraId="3D09D9DC">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0.23</w:t>
            </w:r>
          </w:p>
        </w:tc>
        <w:tc>
          <w:tcPr>
            <w:tcW w:w="192" w:type="pct"/>
            <w:tcBorders>
              <w:tl2br w:val="nil"/>
              <w:tr2bl w:val="nil"/>
            </w:tcBorders>
            <w:shd w:val="clear" w:color="auto" w:fill="auto"/>
            <w:vAlign w:val="center"/>
          </w:tcPr>
          <w:p w14:paraId="2CADDAE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r>
      <w:bookmarkEnd w:id="1542"/>
      <w:tr w14:paraId="2C5B63BB">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509" w:hRule="atLeast"/>
        </w:trPr>
        <w:tc>
          <w:tcPr>
            <w:tcW w:w="211" w:type="pct"/>
            <w:vMerge w:val="continue"/>
            <w:tcBorders>
              <w:tl2br w:val="nil"/>
              <w:tr2bl w:val="nil"/>
            </w:tcBorders>
          </w:tcPr>
          <w:p w14:paraId="11A503B9">
            <w:pPr>
              <w:bidi w:val="0"/>
              <w:jc w:val="center"/>
              <w:rPr>
                <w:rFonts w:hint="default" w:ascii="Times New Roman" w:hAnsi="Times New Roman" w:eastAsia="宋体" w:cs="Times New Roman"/>
                <w:color w:val="auto"/>
                <w:sz w:val="21"/>
                <w:szCs w:val="21"/>
                <w:lang w:val="en-US"/>
              </w:rPr>
            </w:pPr>
            <w:bookmarkStart w:id="1545" w:name="OLE_LINK533" w:colFirst="12" w:colLast="18"/>
            <w:bookmarkStart w:id="1546" w:name="OLE_LINK531" w:colFirst="2" w:colLast="23"/>
          </w:p>
        </w:tc>
        <w:tc>
          <w:tcPr>
            <w:tcW w:w="255" w:type="pct"/>
            <w:tcBorders>
              <w:tl2br w:val="nil"/>
              <w:tr2bl w:val="nil"/>
            </w:tcBorders>
            <w:shd w:val="clear" w:color="auto" w:fill="auto"/>
            <w:vAlign w:val="center"/>
          </w:tcPr>
          <w:p w14:paraId="7505D025">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平均浓度</w:t>
            </w:r>
          </w:p>
        </w:tc>
        <w:tc>
          <w:tcPr>
            <w:tcW w:w="225" w:type="pct"/>
            <w:tcBorders>
              <w:tl2br w:val="nil"/>
              <w:tr2bl w:val="nil"/>
            </w:tcBorders>
            <w:shd w:val="clear" w:color="auto" w:fill="auto"/>
            <w:vAlign w:val="center"/>
          </w:tcPr>
          <w:p w14:paraId="0EB4E0E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22.3</w:t>
            </w:r>
          </w:p>
        </w:tc>
        <w:tc>
          <w:tcPr>
            <w:tcW w:w="241" w:type="pct"/>
            <w:tcBorders>
              <w:tl2br w:val="nil"/>
              <w:tr2bl w:val="nil"/>
            </w:tcBorders>
            <w:shd w:val="clear" w:color="auto" w:fill="auto"/>
            <w:vAlign w:val="center"/>
          </w:tcPr>
          <w:p w14:paraId="036BD06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7.35</w:t>
            </w:r>
          </w:p>
        </w:tc>
        <w:tc>
          <w:tcPr>
            <w:tcW w:w="241" w:type="pct"/>
            <w:tcBorders>
              <w:tl2br w:val="nil"/>
              <w:tr2bl w:val="nil"/>
            </w:tcBorders>
            <w:shd w:val="clear" w:color="auto" w:fill="auto"/>
            <w:vAlign w:val="center"/>
          </w:tcPr>
          <w:p w14:paraId="4EA1AAA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6.85 </w:t>
            </w:r>
          </w:p>
        </w:tc>
        <w:tc>
          <w:tcPr>
            <w:tcW w:w="219" w:type="pct"/>
            <w:tcBorders>
              <w:tl2br w:val="nil"/>
              <w:tr2bl w:val="nil"/>
            </w:tcBorders>
            <w:shd w:val="clear" w:color="auto" w:fill="auto"/>
            <w:vAlign w:val="center"/>
          </w:tcPr>
          <w:p w14:paraId="432E477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69</w:t>
            </w:r>
          </w:p>
        </w:tc>
        <w:tc>
          <w:tcPr>
            <w:tcW w:w="219" w:type="pct"/>
            <w:tcBorders>
              <w:tl2br w:val="nil"/>
              <w:tr2bl w:val="nil"/>
            </w:tcBorders>
            <w:shd w:val="clear" w:color="auto" w:fill="auto"/>
            <w:vAlign w:val="center"/>
          </w:tcPr>
          <w:p w14:paraId="760D217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5.3 </w:t>
            </w:r>
          </w:p>
        </w:tc>
        <w:tc>
          <w:tcPr>
            <w:tcW w:w="186" w:type="pct"/>
            <w:tcBorders>
              <w:tl2br w:val="nil"/>
              <w:tr2bl w:val="nil"/>
            </w:tcBorders>
            <w:shd w:val="clear" w:color="auto" w:fill="auto"/>
            <w:vAlign w:val="center"/>
          </w:tcPr>
          <w:p w14:paraId="5994343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19 </w:t>
            </w:r>
          </w:p>
        </w:tc>
        <w:tc>
          <w:tcPr>
            <w:tcW w:w="185" w:type="pct"/>
            <w:tcBorders>
              <w:tl2br w:val="nil"/>
              <w:tr2bl w:val="nil"/>
            </w:tcBorders>
            <w:shd w:val="clear" w:color="auto" w:fill="auto"/>
            <w:vAlign w:val="center"/>
          </w:tcPr>
          <w:p w14:paraId="0E82A2A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0.75</w:t>
            </w:r>
          </w:p>
        </w:tc>
        <w:tc>
          <w:tcPr>
            <w:tcW w:w="235" w:type="pct"/>
            <w:tcBorders>
              <w:tl2br w:val="nil"/>
              <w:tr2bl w:val="nil"/>
            </w:tcBorders>
            <w:shd w:val="clear" w:color="auto" w:fill="auto"/>
            <w:vAlign w:val="center"/>
          </w:tcPr>
          <w:p w14:paraId="2746038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0.176 </w:t>
            </w:r>
          </w:p>
        </w:tc>
        <w:tc>
          <w:tcPr>
            <w:tcW w:w="195" w:type="pct"/>
            <w:tcBorders>
              <w:tl2br w:val="nil"/>
              <w:tr2bl w:val="nil"/>
            </w:tcBorders>
            <w:shd w:val="clear" w:color="auto" w:fill="auto"/>
            <w:vAlign w:val="center"/>
          </w:tcPr>
          <w:p w14:paraId="62EB034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0.06 </w:t>
            </w:r>
          </w:p>
        </w:tc>
        <w:tc>
          <w:tcPr>
            <w:tcW w:w="195" w:type="pct"/>
            <w:tcBorders>
              <w:tl2br w:val="nil"/>
              <w:tr2bl w:val="nil"/>
            </w:tcBorders>
            <w:shd w:val="clear" w:color="auto" w:fill="auto"/>
            <w:vAlign w:val="center"/>
          </w:tcPr>
          <w:p w14:paraId="73A0684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0.03 </w:t>
            </w:r>
          </w:p>
        </w:tc>
        <w:tc>
          <w:tcPr>
            <w:tcW w:w="171" w:type="pct"/>
            <w:tcBorders>
              <w:tl2br w:val="nil"/>
              <w:tr2bl w:val="nil"/>
            </w:tcBorders>
            <w:shd w:val="clear" w:color="auto" w:fill="auto"/>
            <w:vAlign w:val="center"/>
          </w:tcPr>
          <w:p w14:paraId="05DADEF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295" w:type="pct"/>
            <w:tcBorders>
              <w:tl2br w:val="nil"/>
              <w:tr2bl w:val="nil"/>
            </w:tcBorders>
            <w:shd w:val="clear" w:color="auto" w:fill="auto"/>
            <w:vAlign w:val="center"/>
          </w:tcPr>
          <w:p w14:paraId="2C8EFEB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194" w:type="pct"/>
            <w:tcBorders>
              <w:tl2br w:val="nil"/>
              <w:tr2bl w:val="nil"/>
            </w:tcBorders>
            <w:shd w:val="clear" w:color="auto" w:fill="auto"/>
            <w:vAlign w:val="center"/>
          </w:tcPr>
          <w:p w14:paraId="50D34C5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199" w:type="pct"/>
            <w:tcBorders>
              <w:tl2br w:val="nil"/>
              <w:tr2bl w:val="nil"/>
            </w:tcBorders>
            <w:shd w:val="clear" w:color="auto" w:fill="auto"/>
            <w:vAlign w:val="center"/>
          </w:tcPr>
          <w:p w14:paraId="5AB95BC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170" w:type="pct"/>
            <w:tcBorders>
              <w:tl2br w:val="nil"/>
              <w:tr2bl w:val="nil"/>
            </w:tcBorders>
            <w:shd w:val="clear" w:color="auto" w:fill="auto"/>
            <w:vAlign w:val="center"/>
          </w:tcPr>
          <w:p w14:paraId="19B16C5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208" w:type="pct"/>
            <w:tcBorders>
              <w:tl2br w:val="nil"/>
              <w:tr2bl w:val="nil"/>
            </w:tcBorders>
            <w:shd w:val="clear" w:color="auto" w:fill="auto"/>
            <w:vAlign w:val="center"/>
          </w:tcPr>
          <w:p w14:paraId="40D2402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217" w:type="pct"/>
            <w:tcBorders>
              <w:tl2br w:val="nil"/>
              <w:tr2bl w:val="nil"/>
            </w:tcBorders>
            <w:shd w:val="clear" w:color="auto" w:fill="auto"/>
            <w:vAlign w:val="center"/>
          </w:tcPr>
          <w:p w14:paraId="19F32E1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bookmarkStart w:id="1547" w:name="OLE_LINK534"/>
            <w:r>
              <w:rPr>
                <w:rFonts w:hint="eastAsia" w:ascii="Times New Roman" w:hAnsi="Times New Roman" w:eastAsia="宋体" w:cs="Times New Roman"/>
                <w:snapToGrid w:val="0"/>
                <w:color w:val="auto"/>
                <w:kern w:val="0"/>
                <w:sz w:val="21"/>
                <w:szCs w:val="21"/>
                <w:lang w:val="en-US" w:eastAsia="zh-CN" w:bidi="ar-SA"/>
              </w:rPr>
              <w:t>/</w:t>
            </w:r>
            <w:bookmarkEnd w:id="1547"/>
          </w:p>
        </w:tc>
        <w:tc>
          <w:tcPr>
            <w:tcW w:w="170" w:type="pct"/>
            <w:tcBorders>
              <w:tl2br w:val="nil"/>
              <w:tr2bl w:val="nil"/>
            </w:tcBorders>
            <w:shd w:val="clear" w:color="auto" w:fill="auto"/>
            <w:vAlign w:val="center"/>
          </w:tcPr>
          <w:p w14:paraId="0511966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0.007</w:t>
            </w:r>
          </w:p>
        </w:tc>
        <w:tc>
          <w:tcPr>
            <w:tcW w:w="208" w:type="pct"/>
            <w:tcBorders>
              <w:tl2br w:val="nil"/>
              <w:tr2bl w:val="nil"/>
            </w:tcBorders>
            <w:shd w:val="clear" w:color="auto" w:fill="auto"/>
            <w:vAlign w:val="center"/>
          </w:tcPr>
          <w:p w14:paraId="01C431D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0.0029</w:t>
            </w:r>
          </w:p>
        </w:tc>
        <w:tc>
          <w:tcPr>
            <w:tcW w:w="180" w:type="pct"/>
            <w:tcBorders>
              <w:tl2br w:val="nil"/>
              <w:tr2bl w:val="nil"/>
            </w:tcBorders>
            <w:shd w:val="clear" w:color="auto" w:fill="auto"/>
            <w:vAlign w:val="center"/>
          </w:tcPr>
          <w:p w14:paraId="4981C47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3.7 </w:t>
            </w:r>
          </w:p>
        </w:tc>
        <w:tc>
          <w:tcPr>
            <w:tcW w:w="175" w:type="pct"/>
            <w:tcBorders>
              <w:tl2br w:val="nil"/>
              <w:tr2bl w:val="nil"/>
            </w:tcBorders>
            <w:shd w:val="clear" w:color="auto" w:fill="auto"/>
            <w:vAlign w:val="center"/>
          </w:tcPr>
          <w:p w14:paraId="70627B4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0.23</w:t>
            </w:r>
          </w:p>
        </w:tc>
        <w:tc>
          <w:tcPr>
            <w:tcW w:w="192" w:type="pct"/>
            <w:tcBorders>
              <w:tl2br w:val="nil"/>
              <w:tr2bl w:val="nil"/>
            </w:tcBorders>
            <w:shd w:val="clear" w:color="auto" w:fill="auto"/>
            <w:vAlign w:val="center"/>
          </w:tcPr>
          <w:p w14:paraId="43BCAF4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r>
      <w:bookmarkEnd w:id="1545"/>
      <w:tr w14:paraId="3DB9AD13">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531" w:hRule="atLeast"/>
        </w:trPr>
        <w:tc>
          <w:tcPr>
            <w:tcW w:w="211" w:type="pct"/>
            <w:vMerge w:val="continue"/>
            <w:tcBorders>
              <w:tl2br w:val="nil"/>
              <w:tr2bl w:val="nil"/>
            </w:tcBorders>
          </w:tcPr>
          <w:p w14:paraId="48F695B4">
            <w:pPr>
              <w:bidi w:val="0"/>
              <w:jc w:val="center"/>
              <w:rPr>
                <w:rFonts w:hint="default" w:ascii="Times New Roman" w:hAnsi="Times New Roman" w:eastAsia="宋体" w:cs="Times New Roman"/>
                <w:color w:val="auto"/>
                <w:sz w:val="21"/>
                <w:szCs w:val="21"/>
                <w:lang w:val="en-US"/>
              </w:rPr>
            </w:pPr>
          </w:p>
        </w:tc>
        <w:tc>
          <w:tcPr>
            <w:tcW w:w="255" w:type="pct"/>
            <w:tcBorders>
              <w:tl2br w:val="nil"/>
              <w:tr2bl w:val="nil"/>
            </w:tcBorders>
            <w:shd w:val="clear" w:color="auto" w:fill="auto"/>
            <w:vAlign w:val="center"/>
          </w:tcPr>
          <w:p w14:paraId="0DEFCDD0">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最大单因子指数</w:t>
            </w:r>
          </w:p>
        </w:tc>
        <w:tc>
          <w:tcPr>
            <w:tcW w:w="225" w:type="pct"/>
            <w:tcBorders>
              <w:tl2br w:val="nil"/>
              <w:tr2bl w:val="nil"/>
            </w:tcBorders>
            <w:shd w:val="clear" w:color="auto" w:fill="auto"/>
            <w:vAlign w:val="center"/>
          </w:tcPr>
          <w:p w14:paraId="4AC9C1C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241" w:type="pct"/>
            <w:tcBorders>
              <w:tl2br w:val="nil"/>
              <w:tr2bl w:val="nil"/>
            </w:tcBorders>
            <w:shd w:val="clear" w:color="auto" w:fill="auto"/>
            <w:vAlign w:val="center"/>
          </w:tcPr>
          <w:p w14:paraId="693FAE4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0.2</w:t>
            </w:r>
          </w:p>
        </w:tc>
        <w:tc>
          <w:tcPr>
            <w:tcW w:w="241" w:type="pct"/>
            <w:tcBorders>
              <w:tl2br w:val="nil"/>
              <w:tr2bl w:val="nil"/>
            </w:tcBorders>
            <w:shd w:val="clear" w:color="auto" w:fill="auto"/>
            <w:vAlign w:val="center"/>
          </w:tcPr>
          <w:p w14:paraId="771440C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0.32 </w:t>
            </w:r>
          </w:p>
        </w:tc>
        <w:tc>
          <w:tcPr>
            <w:tcW w:w="219" w:type="pct"/>
            <w:tcBorders>
              <w:tl2br w:val="nil"/>
              <w:tr2bl w:val="nil"/>
            </w:tcBorders>
            <w:shd w:val="clear" w:color="auto" w:fill="auto"/>
            <w:vAlign w:val="center"/>
          </w:tcPr>
          <w:p w14:paraId="34F120D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219" w:type="pct"/>
            <w:tcBorders>
              <w:tl2br w:val="nil"/>
              <w:tr2bl w:val="nil"/>
            </w:tcBorders>
            <w:shd w:val="clear" w:color="auto" w:fill="auto"/>
            <w:vAlign w:val="center"/>
          </w:tcPr>
          <w:p w14:paraId="251BADF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0.90 </w:t>
            </w:r>
          </w:p>
        </w:tc>
        <w:tc>
          <w:tcPr>
            <w:tcW w:w="186" w:type="pct"/>
            <w:tcBorders>
              <w:tl2br w:val="nil"/>
              <w:tr2bl w:val="nil"/>
            </w:tcBorders>
            <w:shd w:val="clear" w:color="auto" w:fill="auto"/>
            <w:vAlign w:val="center"/>
          </w:tcPr>
          <w:p w14:paraId="1C893E3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0.63 </w:t>
            </w:r>
          </w:p>
        </w:tc>
        <w:tc>
          <w:tcPr>
            <w:tcW w:w="185" w:type="pct"/>
            <w:tcBorders>
              <w:tl2br w:val="nil"/>
              <w:tr2bl w:val="nil"/>
            </w:tcBorders>
            <w:shd w:val="clear" w:color="auto" w:fill="auto"/>
            <w:vAlign w:val="center"/>
          </w:tcPr>
          <w:p w14:paraId="51B31CD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0.51 </w:t>
            </w:r>
          </w:p>
        </w:tc>
        <w:tc>
          <w:tcPr>
            <w:tcW w:w="235" w:type="pct"/>
            <w:tcBorders>
              <w:tl2br w:val="nil"/>
              <w:tr2bl w:val="nil"/>
            </w:tcBorders>
            <w:shd w:val="clear" w:color="auto" w:fill="auto"/>
            <w:vAlign w:val="center"/>
          </w:tcPr>
          <w:p w14:paraId="0D89030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0.12 </w:t>
            </w:r>
          </w:p>
        </w:tc>
        <w:tc>
          <w:tcPr>
            <w:tcW w:w="195" w:type="pct"/>
            <w:tcBorders>
              <w:tl2br w:val="nil"/>
              <w:tr2bl w:val="nil"/>
            </w:tcBorders>
            <w:shd w:val="clear" w:color="auto" w:fill="auto"/>
            <w:vAlign w:val="center"/>
          </w:tcPr>
          <w:p w14:paraId="5E8270F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0.60 </w:t>
            </w:r>
          </w:p>
        </w:tc>
        <w:tc>
          <w:tcPr>
            <w:tcW w:w="195" w:type="pct"/>
            <w:tcBorders>
              <w:tl2br w:val="nil"/>
              <w:tr2bl w:val="nil"/>
            </w:tcBorders>
            <w:shd w:val="clear" w:color="auto" w:fill="auto"/>
            <w:vAlign w:val="center"/>
          </w:tcPr>
          <w:p w14:paraId="675AF09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0.06 </w:t>
            </w:r>
          </w:p>
        </w:tc>
        <w:tc>
          <w:tcPr>
            <w:tcW w:w="171" w:type="pct"/>
            <w:tcBorders>
              <w:tl2br w:val="nil"/>
              <w:tr2bl w:val="nil"/>
            </w:tcBorders>
            <w:shd w:val="clear" w:color="auto" w:fill="auto"/>
            <w:vAlign w:val="center"/>
          </w:tcPr>
          <w:p w14:paraId="30345C3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0.010 </w:t>
            </w:r>
          </w:p>
        </w:tc>
        <w:tc>
          <w:tcPr>
            <w:tcW w:w="295" w:type="pct"/>
            <w:tcBorders>
              <w:tl2br w:val="nil"/>
              <w:tr2bl w:val="nil"/>
            </w:tcBorders>
            <w:shd w:val="clear" w:color="auto" w:fill="auto"/>
            <w:vAlign w:val="center"/>
          </w:tcPr>
          <w:p w14:paraId="542ECE2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0.05 </w:t>
            </w:r>
          </w:p>
        </w:tc>
        <w:tc>
          <w:tcPr>
            <w:tcW w:w="194" w:type="pct"/>
            <w:tcBorders>
              <w:tl2br w:val="nil"/>
              <w:tr2bl w:val="nil"/>
            </w:tcBorders>
            <w:shd w:val="clear" w:color="auto" w:fill="auto"/>
            <w:vAlign w:val="center"/>
          </w:tcPr>
          <w:p w14:paraId="130D703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0.040 </w:t>
            </w:r>
          </w:p>
        </w:tc>
        <w:tc>
          <w:tcPr>
            <w:tcW w:w="199" w:type="pct"/>
            <w:tcBorders>
              <w:tl2br w:val="nil"/>
              <w:tr2bl w:val="nil"/>
            </w:tcBorders>
            <w:shd w:val="clear" w:color="auto" w:fill="auto"/>
            <w:vAlign w:val="center"/>
          </w:tcPr>
          <w:p w14:paraId="49FEFDD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0.003 </w:t>
            </w:r>
          </w:p>
        </w:tc>
        <w:tc>
          <w:tcPr>
            <w:tcW w:w="170" w:type="pct"/>
            <w:tcBorders>
              <w:tl2br w:val="nil"/>
              <w:tr2bl w:val="nil"/>
            </w:tcBorders>
            <w:shd w:val="clear" w:color="auto" w:fill="auto"/>
            <w:vAlign w:val="center"/>
          </w:tcPr>
          <w:p w14:paraId="5CFCBC9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0.050 </w:t>
            </w:r>
          </w:p>
        </w:tc>
        <w:tc>
          <w:tcPr>
            <w:tcW w:w="208" w:type="pct"/>
            <w:tcBorders>
              <w:tl2br w:val="nil"/>
              <w:tr2bl w:val="nil"/>
            </w:tcBorders>
            <w:shd w:val="clear" w:color="auto" w:fill="auto"/>
            <w:vAlign w:val="center"/>
          </w:tcPr>
          <w:p w14:paraId="497083D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0.025 </w:t>
            </w:r>
          </w:p>
        </w:tc>
        <w:tc>
          <w:tcPr>
            <w:tcW w:w="217" w:type="pct"/>
            <w:tcBorders>
              <w:tl2br w:val="nil"/>
              <w:tr2bl w:val="nil"/>
            </w:tcBorders>
            <w:shd w:val="clear" w:color="auto" w:fill="auto"/>
            <w:vAlign w:val="center"/>
          </w:tcPr>
          <w:p w14:paraId="0F7E4F6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0.002 </w:t>
            </w:r>
          </w:p>
        </w:tc>
        <w:tc>
          <w:tcPr>
            <w:tcW w:w="170" w:type="pct"/>
            <w:tcBorders>
              <w:tl2br w:val="nil"/>
              <w:tr2bl w:val="nil"/>
            </w:tcBorders>
            <w:shd w:val="clear" w:color="auto" w:fill="auto"/>
            <w:vAlign w:val="center"/>
          </w:tcPr>
          <w:p w14:paraId="5409B45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0.350 </w:t>
            </w:r>
          </w:p>
        </w:tc>
        <w:tc>
          <w:tcPr>
            <w:tcW w:w="208" w:type="pct"/>
            <w:tcBorders>
              <w:tl2br w:val="nil"/>
              <w:tr2bl w:val="nil"/>
            </w:tcBorders>
            <w:shd w:val="clear" w:color="auto" w:fill="auto"/>
            <w:vAlign w:val="center"/>
          </w:tcPr>
          <w:p w14:paraId="1E63C7B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0.300 </w:t>
            </w:r>
          </w:p>
        </w:tc>
        <w:tc>
          <w:tcPr>
            <w:tcW w:w="180" w:type="pct"/>
            <w:tcBorders>
              <w:tl2br w:val="nil"/>
              <w:tr2bl w:val="nil"/>
            </w:tcBorders>
            <w:shd w:val="clear" w:color="auto" w:fill="auto"/>
            <w:vAlign w:val="center"/>
          </w:tcPr>
          <w:p w14:paraId="2E2899E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0.38 </w:t>
            </w:r>
          </w:p>
        </w:tc>
        <w:tc>
          <w:tcPr>
            <w:tcW w:w="175" w:type="pct"/>
            <w:tcBorders>
              <w:tl2br w:val="nil"/>
              <w:tr2bl w:val="nil"/>
            </w:tcBorders>
            <w:shd w:val="clear" w:color="auto" w:fill="auto"/>
            <w:vAlign w:val="center"/>
          </w:tcPr>
          <w:p w14:paraId="4695CBA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0.15 </w:t>
            </w:r>
          </w:p>
        </w:tc>
        <w:tc>
          <w:tcPr>
            <w:tcW w:w="192" w:type="pct"/>
            <w:tcBorders>
              <w:tl2br w:val="nil"/>
              <w:tr2bl w:val="nil"/>
            </w:tcBorders>
            <w:shd w:val="clear" w:color="auto" w:fill="auto"/>
            <w:vAlign w:val="center"/>
          </w:tcPr>
          <w:p w14:paraId="51DC472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0.083 </w:t>
            </w:r>
          </w:p>
        </w:tc>
      </w:tr>
      <w:bookmarkEnd w:id="1546"/>
      <w:tr w14:paraId="0004663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496" w:hRule="atLeast"/>
        </w:trPr>
        <w:tc>
          <w:tcPr>
            <w:tcW w:w="211" w:type="pct"/>
            <w:vMerge w:val="continue"/>
            <w:tcBorders>
              <w:tl2br w:val="nil"/>
              <w:tr2bl w:val="nil"/>
            </w:tcBorders>
          </w:tcPr>
          <w:p w14:paraId="3FD8672E">
            <w:pPr>
              <w:bidi w:val="0"/>
              <w:jc w:val="center"/>
              <w:rPr>
                <w:rFonts w:hint="default" w:ascii="Times New Roman" w:hAnsi="Times New Roman" w:eastAsia="宋体" w:cs="Times New Roman"/>
                <w:color w:val="auto"/>
                <w:sz w:val="21"/>
                <w:szCs w:val="21"/>
                <w:lang w:val="en-US"/>
              </w:rPr>
            </w:pPr>
          </w:p>
        </w:tc>
        <w:tc>
          <w:tcPr>
            <w:tcW w:w="255" w:type="pct"/>
            <w:tcBorders>
              <w:tl2br w:val="nil"/>
              <w:tr2bl w:val="nil"/>
            </w:tcBorders>
            <w:shd w:val="clear" w:color="auto" w:fill="auto"/>
            <w:vAlign w:val="center"/>
          </w:tcPr>
          <w:p w14:paraId="044E6AA1">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超标率（%）</w:t>
            </w:r>
          </w:p>
        </w:tc>
        <w:tc>
          <w:tcPr>
            <w:tcW w:w="225" w:type="pct"/>
            <w:tcBorders>
              <w:tl2br w:val="nil"/>
              <w:tr2bl w:val="nil"/>
            </w:tcBorders>
            <w:shd w:val="clear" w:color="auto" w:fill="auto"/>
            <w:vAlign w:val="center"/>
          </w:tcPr>
          <w:p w14:paraId="72ED6BED">
            <w:pPr>
              <w:bidi w:val="0"/>
              <w:jc w:val="center"/>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241" w:type="pct"/>
            <w:tcBorders>
              <w:tl2br w:val="nil"/>
              <w:tr2bl w:val="nil"/>
            </w:tcBorders>
            <w:shd w:val="clear" w:color="auto" w:fill="auto"/>
            <w:vAlign w:val="center"/>
          </w:tcPr>
          <w:p w14:paraId="4CEFBE0B">
            <w:pPr>
              <w:bidi w:val="0"/>
              <w:jc w:val="center"/>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w:t>
            </w:r>
          </w:p>
        </w:tc>
        <w:tc>
          <w:tcPr>
            <w:tcW w:w="241" w:type="pct"/>
            <w:tcBorders>
              <w:tl2br w:val="nil"/>
              <w:tr2bl w:val="nil"/>
            </w:tcBorders>
            <w:shd w:val="clear" w:color="auto" w:fill="auto"/>
            <w:vAlign w:val="center"/>
          </w:tcPr>
          <w:p w14:paraId="22128B65">
            <w:pPr>
              <w:bidi w:val="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w:t>
            </w:r>
          </w:p>
        </w:tc>
        <w:tc>
          <w:tcPr>
            <w:tcW w:w="219" w:type="pct"/>
            <w:tcBorders>
              <w:tl2br w:val="nil"/>
              <w:tr2bl w:val="nil"/>
            </w:tcBorders>
            <w:shd w:val="clear" w:color="auto" w:fill="auto"/>
            <w:vAlign w:val="center"/>
          </w:tcPr>
          <w:p w14:paraId="2018A8EC">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w:t>
            </w:r>
          </w:p>
        </w:tc>
        <w:tc>
          <w:tcPr>
            <w:tcW w:w="219" w:type="pct"/>
            <w:tcBorders>
              <w:tl2br w:val="nil"/>
              <w:tr2bl w:val="nil"/>
            </w:tcBorders>
            <w:shd w:val="clear" w:color="auto" w:fill="auto"/>
            <w:vAlign w:val="center"/>
          </w:tcPr>
          <w:p w14:paraId="7909030A">
            <w:pPr>
              <w:bidi w:val="0"/>
              <w:jc w:val="center"/>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w:t>
            </w:r>
          </w:p>
        </w:tc>
        <w:tc>
          <w:tcPr>
            <w:tcW w:w="186" w:type="pct"/>
            <w:tcBorders>
              <w:tl2br w:val="nil"/>
              <w:tr2bl w:val="nil"/>
            </w:tcBorders>
            <w:shd w:val="clear" w:color="auto" w:fill="auto"/>
            <w:vAlign w:val="center"/>
          </w:tcPr>
          <w:p w14:paraId="708FA81F">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85" w:type="pct"/>
            <w:tcBorders>
              <w:tl2br w:val="nil"/>
              <w:tr2bl w:val="nil"/>
            </w:tcBorders>
            <w:shd w:val="clear" w:color="auto" w:fill="auto"/>
            <w:vAlign w:val="center"/>
          </w:tcPr>
          <w:p w14:paraId="2007FE2C">
            <w:pPr>
              <w:bidi w:val="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snapToGrid w:val="0"/>
                <w:color w:val="auto"/>
                <w:kern w:val="0"/>
                <w:sz w:val="21"/>
                <w:szCs w:val="21"/>
                <w:highlight w:val="none"/>
                <w:lang w:val="en-US" w:eastAsia="zh-CN" w:bidi="ar-SA"/>
              </w:rPr>
              <w:t>0</w:t>
            </w:r>
          </w:p>
        </w:tc>
        <w:tc>
          <w:tcPr>
            <w:tcW w:w="235" w:type="pct"/>
            <w:tcBorders>
              <w:tl2br w:val="nil"/>
              <w:tr2bl w:val="nil"/>
            </w:tcBorders>
            <w:shd w:val="clear" w:color="auto" w:fill="auto"/>
            <w:vAlign w:val="center"/>
          </w:tcPr>
          <w:p w14:paraId="061E2244">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5" w:type="pct"/>
            <w:tcBorders>
              <w:tl2br w:val="nil"/>
              <w:tr2bl w:val="nil"/>
            </w:tcBorders>
            <w:shd w:val="clear" w:color="auto" w:fill="auto"/>
            <w:vAlign w:val="center"/>
          </w:tcPr>
          <w:p w14:paraId="29624FA9">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5" w:type="pct"/>
            <w:tcBorders>
              <w:tl2br w:val="nil"/>
              <w:tr2bl w:val="nil"/>
            </w:tcBorders>
            <w:shd w:val="clear" w:color="auto" w:fill="auto"/>
            <w:vAlign w:val="center"/>
          </w:tcPr>
          <w:p w14:paraId="12DB1492">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1" w:type="pct"/>
            <w:tcBorders>
              <w:tl2br w:val="nil"/>
              <w:tr2bl w:val="nil"/>
            </w:tcBorders>
            <w:shd w:val="clear" w:color="auto" w:fill="auto"/>
            <w:vAlign w:val="center"/>
          </w:tcPr>
          <w:p w14:paraId="268787CA">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95" w:type="pct"/>
            <w:tcBorders>
              <w:tl2br w:val="nil"/>
              <w:tr2bl w:val="nil"/>
            </w:tcBorders>
            <w:shd w:val="clear" w:color="auto" w:fill="auto"/>
            <w:vAlign w:val="center"/>
          </w:tcPr>
          <w:p w14:paraId="523BDD64">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4" w:type="pct"/>
            <w:tcBorders>
              <w:tl2br w:val="nil"/>
              <w:tr2bl w:val="nil"/>
            </w:tcBorders>
            <w:shd w:val="clear" w:color="auto" w:fill="auto"/>
            <w:vAlign w:val="center"/>
          </w:tcPr>
          <w:p w14:paraId="5BDF790C">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9" w:type="pct"/>
            <w:tcBorders>
              <w:tl2br w:val="nil"/>
              <w:tr2bl w:val="nil"/>
            </w:tcBorders>
            <w:shd w:val="clear" w:color="auto" w:fill="auto"/>
            <w:vAlign w:val="center"/>
          </w:tcPr>
          <w:p w14:paraId="70612116">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0" w:type="pct"/>
            <w:tcBorders>
              <w:tl2br w:val="nil"/>
              <w:tr2bl w:val="nil"/>
            </w:tcBorders>
            <w:shd w:val="clear" w:color="auto" w:fill="auto"/>
            <w:vAlign w:val="center"/>
          </w:tcPr>
          <w:p w14:paraId="4AB4338C">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08" w:type="pct"/>
            <w:tcBorders>
              <w:tl2br w:val="nil"/>
              <w:tr2bl w:val="nil"/>
            </w:tcBorders>
            <w:shd w:val="clear" w:color="auto" w:fill="auto"/>
            <w:vAlign w:val="center"/>
          </w:tcPr>
          <w:p w14:paraId="7F5B61E9">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17" w:type="pct"/>
            <w:tcBorders>
              <w:tl2br w:val="nil"/>
              <w:tr2bl w:val="nil"/>
            </w:tcBorders>
            <w:shd w:val="clear" w:color="auto" w:fill="auto"/>
            <w:vAlign w:val="center"/>
          </w:tcPr>
          <w:p w14:paraId="79A7DBBA">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0" w:type="pct"/>
            <w:tcBorders>
              <w:tl2br w:val="nil"/>
              <w:tr2bl w:val="nil"/>
            </w:tcBorders>
            <w:shd w:val="clear" w:color="auto" w:fill="auto"/>
            <w:vAlign w:val="center"/>
          </w:tcPr>
          <w:p w14:paraId="1E7965AB">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08" w:type="pct"/>
            <w:tcBorders>
              <w:tl2br w:val="nil"/>
              <w:tr2bl w:val="nil"/>
            </w:tcBorders>
            <w:shd w:val="clear" w:color="auto" w:fill="auto"/>
            <w:vAlign w:val="center"/>
          </w:tcPr>
          <w:p w14:paraId="58D9898F">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80" w:type="pct"/>
            <w:tcBorders>
              <w:tl2br w:val="nil"/>
              <w:tr2bl w:val="nil"/>
            </w:tcBorders>
            <w:shd w:val="clear" w:color="auto" w:fill="auto"/>
            <w:vAlign w:val="center"/>
          </w:tcPr>
          <w:p w14:paraId="18F8F3EF">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5" w:type="pct"/>
            <w:tcBorders>
              <w:tl2br w:val="nil"/>
              <w:tr2bl w:val="nil"/>
            </w:tcBorders>
            <w:shd w:val="clear" w:color="auto" w:fill="auto"/>
            <w:vAlign w:val="center"/>
          </w:tcPr>
          <w:p w14:paraId="02CEB631">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2" w:type="pct"/>
            <w:tcBorders>
              <w:tl2br w:val="nil"/>
              <w:tr2bl w:val="nil"/>
            </w:tcBorders>
            <w:shd w:val="clear" w:color="auto" w:fill="auto"/>
            <w:vAlign w:val="center"/>
          </w:tcPr>
          <w:p w14:paraId="45A9AC80">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r>
      <w:tr w14:paraId="6C3BD20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46" w:hRule="atLeast"/>
        </w:trPr>
        <w:tc>
          <w:tcPr>
            <w:tcW w:w="211" w:type="pct"/>
            <w:vMerge w:val="restart"/>
            <w:tcBorders>
              <w:tl2br w:val="nil"/>
              <w:tr2bl w:val="nil"/>
            </w:tcBorders>
            <w:shd w:val="clear" w:color="auto" w:fill="auto"/>
            <w:vAlign w:val="center"/>
          </w:tcPr>
          <w:p w14:paraId="225BC3E1">
            <w:pPr>
              <w:bidi w:val="0"/>
              <w:jc w:val="center"/>
              <w:rPr>
                <w:rFonts w:hint="default" w:ascii="Times New Roman" w:hAnsi="Times New Roman" w:eastAsia="宋体" w:cs="Times New Roman"/>
                <w:snapToGrid w:val="0"/>
                <w:color w:val="auto"/>
                <w:kern w:val="0"/>
                <w:sz w:val="21"/>
                <w:szCs w:val="21"/>
                <w:lang w:val="en-US" w:eastAsia="en-US" w:bidi="ar-SA"/>
              </w:rPr>
            </w:pPr>
            <w:bookmarkStart w:id="1548" w:name="OLE_LINK526" w:colFirst="12" w:colLast="18"/>
            <w:bookmarkStart w:id="1549" w:name="OLE_LINK528" w:colFirst="19" w:colLast="19"/>
            <w:bookmarkStart w:id="1550" w:name="OLE_LINK538" w:colFirst="10" w:colLast="10"/>
            <w:r>
              <w:rPr>
                <w:rFonts w:hint="default" w:ascii="Times New Roman" w:hAnsi="Times New Roman" w:cs="Times New Roman"/>
                <w:color w:val="auto"/>
                <w:kern w:val="2"/>
                <w:sz w:val="21"/>
                <w:szCs w:val="21"/>
                <w:highlight w:val="none"/>
                <w:lang w:val="en-US" w:eastAsia="zh-CN" w:bidi="ar-SA"/>
              </w:rPr>
              <w:t>H</w:t>
            </w:r>
            <w:r>
              <w:rPr>
                <w:rFonts w:hint="eastAsia" w:ascii="Times New Roman" w:hAnsi="Times New Roman" w:cs="Times New Roman"/>
                <w:color w:val="auto"/>
                <w:kern w:val="2"/>
                <w:sz w:val="21"/>
                <w:szCs w:val="21"/>
                <w:highlight w:val="none"/>
                <w:lang w:val="en-US" w:eastAsia="zh-CN" w:bidi="ar-SA"/>
              </w:rPr>
              <w:t>4</w:t>
            </w:r>
          </w:p>
        </w:tc>
        <w:tc>
          <w:tcPr>
            <w:tcW w:w="255" w:type="pct"/>
            <w:tcBorders>
              <w:tl2br w:val="nil"/>
              <w:tr2bl w:val="nil"/>
            </w:tcBorders>
            <w:shd w:val="clear" w:color="auto" w:fill="auto"/>
            <w:vAlign w:val="center"/>
          </w:tcPr>
          <w:p w14:paraId="2A6AEBA4">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最大值</w:t>
            </w:r>
          </w:p>
        </w:tc>
        <w:tc>
          <w:tcPr>
            <w:tcW w:w="225" w:type="pct"/>
            <w:tcBorders>
              <w:tl2br w:val="nil"/>
              <w:tr2bl w:val="nil"/>
            </w:tcBorders>
            <w:shd w:val="clear" w:color="auto" w:fill="auto"/>
            <w:vAlign w:val="center"/>
          </w:tcPr>
          <w:p w14:paraId="2D15E2AE">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23.1</w:t>
            </w:r>
          </w:p>
        </w:tc>
        <w:tc>
          <w:tcPr>
            <w:tcW w:w="241" w:type="pct"/>
            <w:tcBorders>
              <w:tl2br w:val="nil"/>
              <w:tr2bl w:val="nil"/>
            </w:tcBorders>
            <w:shd w:val="clear" w:color="auto" w:fill="auto"/>
            <w:vAlign w:val="center"/>
          </w:tcPr>
          <w:p w14:paraId="62E2EFCE">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7.7</w:t>
            </w:r>
          </w:p>
        </w:tc>
        <w:tc>
          <w:tcPr>
            <w:tcW w:w="241" w:type="pct"/>
            <w:tcBorders>
              <w:tl2br w:val="nil"/>
              <w:tr2bl w:val="nil"/>
            </w:tcBorders>
            <w:shd w:val="clear" w:color="auto" w:fill="auto"/>
            <w:vAlign w:val="center"/>
          </w:tcPr>
          <w:p w14:paraId="7969E09E">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6.91</w:t>
            </w:r>
          </w:p>
        </w:tc>
        <w:tc>
          <w:tcPr>
            <w:tcW w:w="219" w:type="pct"/>
            <w:tcBorders>
              <w:tl2br w:val="nil"/>
              <w:tr2bl w:val="nil"/>
            </w:tcBorders>
            <w:shd w:val="clear" w:color="auto" w:fill="auto"/>
            <w:vAlign w:val="center"/>
          </w:tcPr>
          <w:p w14:paraId="714870B9">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75</w:t>
            </w:r>
          </w:p>
        </w:tc>
        <w:tc>
          <w:tcPr>
            <w:tcW w:w="219" w:type="pct"/>
            <w:tcBorders>
              <w:tl2br w:val="nil"/>
              <w:tr2bl w:val="nil"/>
            </w:tcBorders>
            <w:shd w:val="clear" w:color="auto" w:fill="auto"/>
            <w:vAlign w:val="center"/>
          </w:tcPr>
          <w:p w14:paraId="2C5400C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5.4</w:t>
            </w:r>
          </w:p>
        </w:tc>
        <w:tc>
          <w:tcPr>
            <w:tcW w:w="186" w:type="pct"/>
            <w:tcBorders>
              <w:tl2br w:val="nil"/>
              <w:tr2bl w:val="nil"/>
            </w:tcBorders>
            <w:shd w:val="clear" w:color="auto" w:fill="auto"/>
            <w:vAlign w:val="center"/>
          </w:tcPr>
          <w:p w14:paraId="15C0E096">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19</w:t>
            </w:r>
          </w:p>
        </w:tc>
        <w:tc>
          <w:tcPr>
            <w:tcW w:w="185" w:type="pct"/>
            <w:tcBorders>
              <w:tl2br w:val="nil"/>
              <w:tr2bl w:val="nil"/>
            </w:tcBorders>
            <w:shd w:val="clear" w:color="auto" w:fill="auto"/>
            <w:vAlign w:val="center"/>
          </w:tcPr>
          <w:p w14:paraId="6714B1E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0.98</w:t>
            </w:r>
          </w:p>
        </w:tc>
        <w:tc>
          <w:tcPr>
            <w:tcW w:w="235" w:type="pct"/>
            <w:tcBorders>
              <w:tl2br w:val="nil"/>
              <w:tr2bl w:val="nil"/>
            </w:tcBorders>
            <w:shd w:val="clear" w:color="auto" w:fill="auto"/>
            <w:vAlign w:val="center"/>
          </w:tcPr>
          <w:p w14:paraId="35E686C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0.112</w:t>
            </w:r>
          </w:p>
        </w:tc>
        <w:tc>
          <w:tcPr>
            <w:tcW w:w="195" w:type="pct"/>
            <w:tcBorders>
              <w:tl2br w:val="nil"/>
              <w:tr2bl w:val="nil"/>
            </w:tcBorders>
            <w:shd w:val="clear" w:color="auto" w:fill="auto"/>
            <w:vAlign w:val="center"/>
          </w:tcPr>
          <w:p w14:paraId="52F2B95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0.08</w:t>
            </w:r>
          </w:p>
        </w:tc>
        <w:tc>
          <w:tcPr>
            <w:tcW w:w="195" w:type="pct"/>
            <w:tcBorders>
              <w:tl2br w:val="nil"/>
              <w:tr2bl w:val="nil"/>
            </w:tcBorders>
            <w:shd w:val="clear" w:color="auto" w:fill="auto"/>
            <w:vAlign w:val="center"/>
          </w:tcPr>
          <w:p w14:paraId="6A8C84C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0.02</w:t>
            </w:r>
          </w:p>
        </w:tc>
        <w:tc>
          <w:tcPr>
            <w:tcW w:w="171" w:type="pct"/>
            <w:tcBorders>
              <w:tl2br w:val="nil"/>
              <w:tr2bl w:val="nil"/>
            </w:tcBorders>
            <w:shd w:val="clear" w:color="auto" w:fill="auto"/>
            <w:vAlign w:val="center"/>
          </w:tcPr>
          <w:p w14:paraId="2746AB9D">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95" w:type="pct"/>
            <w:tcBorders>
              <w:tl2br w:val="nil"/>
              <w:tr2bl w:val="nil"/>
            </w:tcBorders>
            <w:shd w:val="clear" w:color="auto" w:fill="auto"/>
            <w:vAlign w:val="center"/>
          </w:tcPr>
          <w:p w14:paraId="5385802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194" w:type="pct"/>
            <w:tcBorders>
              <w:tl2br w:val="nil"/>
              <w:tr2bl w:val="nil"/>
            </w:tcBorders>
            <w:shd w:val="clear" w:color="auto" w:fill="auto"/>
            <w:vAlign w:val="center"/>
          </w:tcPr>
          <w:p w14:paraId="19116CB2">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199" w:type="pct"/>
            <w:tcBorders>
              <w:tl2br w:val="nil"/>
              <w:tr2bl w:val="nil"/>
            </w:tcBorders>
            <w:shd w:val="clear" w:color="auto" w:fill="auto"/>
            <w:vAlign w:val="center"/>
          </w:tcPr>
          <w:p w14:paraId="523A8483">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ND</w:t>
            </w:r>
          </w:p>
        </w:tc>
        <w:tc>
          <w:tcPr>
            <w:tcW w:w="170" w:type="pct"/>
            <w:tcBorders>
              <w:tl2br w:val="nil"/>
              <w:tr2bl w:val="nil"/>
            </w:tcBorders>
            <w:shd w:val="clear" w:color="auto" w:fill="auto"/>
            <w:vAlign w:val="center"/>
          </w:tcPr>
          <w:p w14:paraId="0F695096">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0.01</w:t>
            </w:r>
          </w:p>
        </w:tc>
        <w:tc>
          <w:tcPr>
            <w:tcW w:w="208" w:type="pct"/>
            <w:tcBorders>
              <w:tl2br w:val="nil"/>
              <w:tr2bl w:val="nil"/>
            </w:tcBorders>
            <w:shd w:val="clear" w:color="auto" w:fill="auto"/>
            <w:vAlign w:val="center"/>
          </w:tcPr>
          <w:p w14:paraId="60190FEE">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217" w:type="pct"/>
            <w:tcBorders>
              <w:tl2br w:val="nil"/>
              <w:tr2bl w:val="nil"/>
            </w:tcBorders>
            <w:shd w:val="clear" w:color="auto" w:fill="auto"/>
            <w:vAlign w:val="center"/>
          </w:tcPr>
          <w:p w14:paraId="3C1856A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170" w:type="pct"/>
            <w:tcBorders>
              <w:tl2br w:val="nil"/>
              <w:tr2bl w:val="nil"/>
            </w:tcBorders>
            <w:shd w:val="clear" w:color="auto" w:fill="auto"/>
            <w:vAlign w:val="center"/>
          </w:tcPr>
          <w:p w14:paraId="3AAC690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208" w:type="pct"/>
            <w:tcBorders>
              <w:tl2br w:val="nil"/>
              <w:tr2bl w:val="nil"/>
            </w:tcBorders>
            <w:shd w:val="clear" w:color="auto" w:fill="auto"/>
            <w:vAlign w:val="center"/>
          </w:tcPr>
          <w:p w14:paraId="5DAA1E3A">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0.0024</w:t>
            </w:r>
          </w:p>
        </w:tc>
        <w:tc>
          <w:tcPr>
            <w:tcW w:w="180" w:type="pct"/>
            <w:tcBorders>
              <w:tl2br w:val="nil"/>
              <w:tr2bl w:val="nil"/>
            </w:tcBorders>
            <w:shd w:val="clear" w:color="auto" w:fill="auto"/>
            <w:vAlign w:val="center"/>
          </w:tcPr>
          <w:p w14:paraId="26C262B8">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3.8</w:t>
            </w:r>
          </w:p>
        </w:tc>
        <w:tc>
          <w:tcPr>
            <w:tcW w:w="175" w:type="pct"/>
            <w:tcBorders>
              <w:tl2br w:val="nil"/>
              <w:tr2bl w:val="nil"/>
            </w:tcBorders>
            <w:shd w:val="clear" w:color="auto" w:fill="auto"/>
            <w:vAlign w:val="center"/>
          </w:tcPr>
          <w:p w14:paraId="0760B621">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0.24</w:t>
            </w:r>
          </w:p>
        </w:tc>
        <w:tc>
          <w:tcPr>
            <w:tcW w:w="192" w:type="pct"/>
            <w:tcBorders>
              <w:tl2br w:val="nil"/>
              <w:tr2bl w:val="nil"/>
            </w:tcBorders>
            <w:shd w:val="clear" w:color="auto" w:fill="auto"/>
            <w:vAlign w:val="center"/>
          </w:tcPr>
          <w:p w14:paraId="48150C70">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r>
      <w:tr w14:paraId="7A432E6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90" w:hRule="atLeast"/>
        </w:trPr>
        <w:tc>
          <w:tcPr>
            <w:tcW w:w="211" w:type="pct"/>
            <w:vMerge w:val="continue"/>
            <w:tcBorders>
              <w:tl2br w:val="nil"/>
              <w:tr2bl w:val="nil"/>
            </w:tcBorders>
          </w:tcPr>
          <w:p w14:paraId="3E5E3612">
            <w:pPr>
              <w:bidi w:val="0"/>
              <w:jc w:val="center"/>
              <w:rPr>
                <w:rFonts w:hint="default" w:ascii="Times New Roman" w:hAnsi="Times New Roman" w:eastAsia="宋体" w:cs="Times New Roman"/>
                <w:color w:val="auto"/>
                <w:sz w:val="21"/>
                <w:szCs w:val="21"/>
                <w:lang w:val="en-US"/>
              </w:rPr>
            </w:pPr>
          </w:p>
        </w:tc>
        <w:tc>
          <w:tcPr>
            <w:tcW w:w="255" w:type="pct"/>
            <w:tcBorders>
              <w:tl2br w:val="nil"/>
              <w:tr2bl w:val="nil"/>
            </w:tcBorders>
            <w:shd w:val="clear" w:color="auto" w:fill="auto"/>
            <w:vAlign w:val="center"/>
          </w:tcPr>
          <w:p w14:paraId="702FD5D3">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最小值</w:t>
            </w:r>
          </w:p>
        </w:tc>
        <w:tc>
          <w:tcPr>
            <w:tcW w:w="225" w:type="pct"/>
            <w:tcBorders>
              <w:tl2br w:val="nil"/>
              <w:tr2bl w:val="nil"/>
            </w:tcBorders>
            <w:shd w:val="clear" w:color="auto" w:fill="auto"/>
            <w:vAlign w:val="center"/>
          </w:tcPr>
          <w:p w14:paraId="49903E68">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22.4</w:t>
            </w:r>
          </w:p>
        </w:tc>
        <w:tc>
          <w:tcPr>
            <w:tcW w:w="241" w:type="pct"/>
            <w:tcBorders>
              <w:tl2br w:val="nil"/>
              <w:tr2bl w:val="nil"/>
            </w:tcBorders>
            <w:shd w:val="clear" w:color="auto" w:fill="auto"/>
            <w:vAlign w:val="center"/>
          </w:tcPr>
          <w:p w14:paraId="1E6D585C">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7.6</w:t>
            </w:r>
          </w:p>
        </w:tc>
        <w:tc>
          <w:tcPr>
            <w:tcW w:w="241" w:type="pct"/>
            <w:tcBorders>
              <w:tl2br w:val="nil"/>
              <w:tr2bl w:val="nil"/>
            </w:tcBorders>
            <w:shd w:val="clear" w:color="auto" w:fill="auto"/>
            <w:vAlign w:val="center"/>
          </w:tcPr>
          <w:p w14:paraId="3DA8454F">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6.88</w:t>
            </w:r>
          </w:p>
        </w:tc>
        <w:tc>
          <w:tcPr>
            <w:tcW w:w="219" w:type="pct"/>
            <w:tcBorders>
              <w:tl2br w:val="nil"/>
              <w:tr2bl w:val="nil"/>
            </w:tcBorders>
            <w:shd w:val="clear" w:color="auto" w:fill="auto"/>
            <w:vAlign w:val="center"/>
          </w:tcPr>
          <w:p w14:paraId="266C2B65">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73</w:t>
            </w:r>
          </w:p>
        </w:tc>
        <w:tc>
          <w:tcPr>
            <w:tcW w:w="219" w:type="pct"/>
            <w:tcBorders>
              <w:tl2br w:val="nil"/>
              <w:tr2bl w:val="nil"/>
            </w:tcBorders>
            <w:shd w:val="clear" w:color="auto" w:fill="auto"/>
            <w:vAlign w:val="center"/>
          </w:tcPr>
          <w:p w14:paraId="74B7B68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4.7</w:t>
            </w:r>
          </w:p>
        </w:tc>
        <w:tc>
          <w:tcPr>
            <w:tcW w:w="186" w:type="pct"/>
            <w:tcBorders>
              <w:tl2br w:val="nil"/>
              <w:tr2bl w:val="nil"/>
            </w:tcBorders>
            <w:shd w:val="clear" w:color="auto" w:fill="auto"/>
            <w:vAlign w:val="center"/>
          </w:tcPr>
          <w:p w14:paraId="641D7CC6">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15</w:t>
            </w:r>
          </w:p>
        </w:tc>
        <w:tc>
          <w:tcPr>
            <w:tcW w:w="185" w:type="pct"/>
            <w:tcBorders>
              <w:tl2br w:val="nil"/>
              <w:tr2bl w:val="nil"/>
            </w:tcBorders>
            <w:shd w:val="clear" w:color="auto" w:fill="auto"/>
            <w:vAlign w:val="center"/>
          </w:tcPr>
          <w:p w14:paraId="261F82D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0.95</w:t>
            </w:r>
          </w:p>
        </w:tc>
        <w:tc>
          <w:tcPr>
            <w:tcW w:w="235" w:type="pct"/>
            <w:tcBorders>
              <w:tl2br w:val="nil"/>
              <w:tr2bl w:val="nil"/>
            </w:tcBorders>
            <w:shd w:val="clear" w:color="auto" w:fill="auto"/>
            <w:vAlign w:val="center"/>
          </w:tcPr>
          <w:p w14:paraId="15F811F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0.099</w:t>
            </w:r>
          </w:p>
        </w:tc>
        <w:tc>
          <w:tcPr>
            <w:tcW w:w="195" w:type="pct"/>
            <w:tcBorders>
              <w:tl2br w:val="nil"/>
              <w:tr2bl w:val="nil"/>
            </w:tcBorders>
            <w:shd w:val="clear" w:color="auto" w:fill="auto"/>
            <w:vAlign w:val="center"/>
          </w:tcPr>
          <w:p w14:paraId="15C9C47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0.07</w:t>
            </w:r>
          </w:p>
        </w:tc>
        <w:tc>
          <w:tcPr>
            <w:tcW w:w="195" w:type="pct"/>
            <w:tcBorders>
              <w:tl2br w:val="nil"/>
              <w:tr2bl w:val="nil"/>
            </w:tcBorders>
            <w:shd w:val="clear" w:color="auto" w:fill="auto"/>
            <w:vAlign w:val="center"/>
          </w:tcPr>
          <w:p w14:paraId="603149E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0.02</w:t>
            </w:r>
          </w:p>
        </w:tc>
        <w:tc>
          <w:tcPr>
            <w:tcW w:w="171" w:type="pct"/>
            <w:tcBorders>
              <w:tl2br w:val="nil"/>
              <w:tr2bl w:val="nil"/>
            </w:tcBorders>
            <w:shd w:val="clear" w:color="auto" w:fill="auto"/>
            <w:vAlign w:val="center"/>
          </w:tcPr>
          <w:p w14:paraId="3607510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ND</w:t>
            </w:r>
          </w:p>
        </w:tc>
        <w:tc>
          <w:tcPr>
            <w:tcW w:w="295" w:type="pct"/>
            <w:tcBorders>
              <w:tl2br w:val="nil"/>
              <w:tr2bl w:val="nil"/>
            </w:tcBorders>
            <w:shd w:val="clear" w:color="auto" w:fill="auto"/>
            <w:vAlign w:val="center"/>
          </w:tcPr>
          <w:p w14:paraId="2228B35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194" w:type="pct"/>
            <w:tcBorders>
              <w:tl2br w:val="nil"/>
              <w:tr2bl w:val="nil"/>
            </w:tcBorders>
            <w:shd w:val="clear" w:color="auto" w:fill="auto"/>
            <w:vAlign w:val="center"/>
          </w:tcPr>
          <w:p w14:paraId="75D56FBA">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199" w:type="pct"/>
            <w:tcBorders>
              <w:tl2br w:val="nil"/>
              <w:tr2bl w:val="nil"/>
            </w:tcBorders>
            <w:shd w:val="clear" w:color="auto" w:fill="auto"/>
            <w:vAlign w:val="center"/>
          </w:tcPr>
          <w:p w14:paraId="45E1041A">
            <w:pPr>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ND</w:t>
            </w:r>
          </w:p>
        </w:tc>
        <w:tc>
          <w:tcPr>
            <w:tcW w:w="170" w:type="pct"/>
            <w:tcBorders>
              <w:tl2br w:val="nil"/>
              <w:tr2bl w:val="nil"/>
            </w:tcBorders>
            <w:shd w:val="clear" w:color="auto" w:fill="auto"/>
            <w:vAlign w:val="center"/>
          </w:tcPr>
          <w:p w14:paraId="3EF1DEFE">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0.01</w:t>
            </w:r>
          </w:p>
        </w:tc>
        <w:tc>
          <w:tcPr>
            <w:tcW w:w="208" w:type="pct"/>
            <w:tcBorders>
              <w:tl2br w:val="nil"/>
              <w:tr2bl w:val="nil"/>
            </w:tcBorders>
            <w:shd w:val="clear" w:color="auto" w:fill="auto"/>
            <w:vAlign w:val="center"/>
          </w:tcPr>
          <w:p w14:paraId="4B937B1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217" w:type="pct"/>
            <w:tcBorders>
              <w:tl2br w:val="nil"/>
              <w:tr2bl w:val="nil"/>
            </w:tcBorders>
            <w:shd w:val="clear" w:color="auto" w:fill="auto"/>
            <w:vAlign w:val="center"/>
          </w:tcPr>
          <w:p w14:paraId="645D2E2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170" w:type="pct"/>
            <w:tcBorders>
              <w:tl2br w:val="nil"/>
              <w:tr2bl w:val="nil"/>
            </w:tcBorders>
            <w:shd w:val="clear" w:color="auto" w:fill="auto"/>
            <w:vAlign w:val="center"/>
          </w:tcPr>
          <w:p w14:paraId="71B8289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c>
          <w:tcPr>
            <w:tcW w:w="208" w:type="pct"/>
            <w:tcBorders>
              <w:tl2br w:val="nil"/>
              <w:tr2bl w:val="nil"/>
            </w:tcBorders>
            <w:shd w:val="clear" w:color="auto" w:fill="auto"/>
            <w:vAlign w:val="center"/>
          </w:tcPr>
          <w:p w14:paraId="080173C4">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0.0023</w:t>
            </w:r>
          </w:p>
        </w:tc>
        <w:tc>
          <w:tcPr>
            <w:tcW w:w="180" w:type="pct"/>
            <w:tcBorders>
              <w:tl2br w:val="nil"/>
              <w:tr2bl w:val="nil"/>
            </w:tcBorders>
            <w:shd w:val="clear" w:color="auto" w:fill="auto"/>
            <w:vAlign w:val="center"/>
          </w:tcPr>
          <w:p w14:paraId="7397A2EE">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3.7</w:t>
            </w:r>
          </w:p>
        </w:tc>
        <w:tc>
          <w:tcPr>
            <w:tcW w:w="175" w:type="pct"/>
            <w:tcBorders>
              <w:tl2br w:val="nil"/>
              <w:tr2bl w:val="nil"/>
            </w:tcBorders>
            <w:shd w:val="clear" w:color="auto" w:fill="auto"/>
            <w:vAlign w:val="center"/>
          </w:tcPr>
          <w:p w14:paraId="6FD8351C">
            <w:pPr>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0.24</w:t>
            </w:r>
          </w:p>
        </w:tc>
        <w:tc>
          <w:tcPr>
            <w:tcW w:w="192" w:type="pct"/>
            <w:tcBorders>
              <w:tl2br w:val="nil"/>
              <w:tr2bl w:val="nil"/>
            </w:tcBorders>
            <w:shd w:val="clear" w:color="auto" w:fill="auto"/>
            <w:vAlign w:val="center"/>
          </w:tcPr>
          <w:p w14:paraId="59681CFE">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ND</w:t>
            </w:r>
          </w:p>
        </w:tc>
      </w:tr>
      <w:bookmarkEnd w:id="1548"/>
      <w:bookmarkEnd w:id="1549"/>
      <w:bookmarkEnd w:id="1550"/>
      <w:tr w14:paraId="65EC144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476" w:hRule="atLeast"/>
        </w:trPr>
        <w:tc>
          <w:tcPr>
            <w:tcW w:w="211" w:type="pct"/>
            <w:vMerge w:val="continue"/>
            <w:tcBorders>
              <w:tl2br w:val="nil"/>
              <w:tr2bl w:val="nil"/>
            </w:tcBorders>
          </w:tcPr>
          <w:p w14:paraId="21030FD3">
            <w:pPr>
              <w:bidi w:val="0"/>
              <w:jc w:val="center"/>
              <w:rPr>
                <w:rFonts w:hint="default" w:ascii="Times New Roman" w:hAnsi="Times New Roman" w:eastAsia="宋体" w:cs="Times New Roman"/>
                <w:color w:val="auto"/>
                <w:sz w:val="21"/>
                <w:szCs w:val="21"/>
                <w:lang w:val="en-US"/>
              </w:rPr>
            </w:pPr>
            <w:bookmarkStart w:id="1551" w:name="OLE_LINK537" w:colFirst="17" w:colLast="19"/>
            <w:bookmarkStart w:id="1552" w:name="OLE_LINK536" w:colFirst="12" w:colLast="15"/>
          </w:p>
        </w:tc>
        <w:tc>
          <w:tcPr>
            <w:tcW w:w="255" w:type="pct"/>
            <w:tcBorders>
              <w:tl2br w:val="nil"/>
              <w:tr2bl w:val="nil"/>
            </w:tcBorders>
            <w:shd w:val="clear" w:color="auto" w:fill="auto"/>
            <w:vAlign w:val="center"/>
          </w:tcPr>
          <w:p w14:paraId="33E98E8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平均浓度</w:t>
            </w:r>
          </w:p>
        </w:tc>
        <w:tc>
          <w:tcPr>
            <w:tcW w:w="225" w:type="pct"/>
            <w:tcBorders>
              <w:tl2br w:val="nil"/>
              <w:tr2bl w:val="nil"/>
            </w:tcBorders>
            <w:shd w:val="clear" w:color="auto" w:fill="auto"/>
            <w:vAlign w:val="center"/>
          </w:tcPr>
          <w:p w14:paraId="45AB414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 xml:space="preserve">22.8 </w:t>
            </w:r>
          </w:p>
        </w:tc>
        <w:tc>
          <w:tcPr>
            <w:tcW w:w="241" w:type="pct"/>
            <w:tcBorders>
              <w:tl2br w:val="nil"/>
              <w:tr2bl w:val="nil"/>
            </w:tcBorders>
            <w:shd w:val="clear" w:color="auto" w:fill="auto"/>
            <w:vAlign w:val="center"/>
          </w:tcPr>
          <w:p w14:paraId="1690F70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7.7 </w:t>
            </w:r>
          </w:p>
        </w:tc>
        <w:tc>
          <w:tcPr>
            <w:tcW w:w="241" w:type="pct"/>
            <w:tcBorders>
              <w:tl2br w:val="nil"/>
              <w:tr2bl w:val="nil"/>
            </w:tcBorders>
            <w:shd w:val="clear" w:color="auto" w:fill="auto"/>
            <w:vAlign w:val="center"/>
          </w:tcPr>
          <w:p w14:paraId="1DFC354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6.90 </w:t>
            </w:r>
          </w:p>
        </w:tc>
        <w:tc>
          <w:tcPr>
            <w:tcW w:w="219" w:type="pct"/>
            <w:tcBorders>
              <w:tl2br w:val="nil"/>
              <w:tr2bl w:val="nil"/>
            </w:tcBorders>
            <w:shd w:val="clear" w:color="auto" w:fill="auto"/>
            <w:vAlign w:val="center"/>
          </w:tcPr>
          <w:p w14:paraId="649F864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74</w:t>
            </w:r>
          </w:p>
        </w:tc>
        <w:tc>
          <w:tcPr>
            <w:tcW w:w="219" w:type="pct"/>
            <w:tcBorders>
              <w:tl2br w:val="nil"/>
              <w:tr2bl w:val="nil"/>
            </w:tcBorders>
            <w:shd w:val="clear" w:color="auto" w:fill="auto"/>
            <w:vAlign w:val="center"/>
          </w:tcPr>
          <w:p w14:paraId="3342DF2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5.1 </w:t>
            </w:r>
          </w:p>
        </w:tc>
        <w:tc>
          <w:tcPr>
            <w:tcW w:w="186" w:type="pct"/>
            <w:tcBorders>
              <w:tl2br w:val="nil"/>
              <w:tr2bl w:val="nil"/>
            </w:tcBorders>
            <w:shd w:val="clear" w:color="auto" w:fill="auto"/>
            <w:vAlign w:val="center"/>
          </w:tcPr>
          <w:p w14:paraId="7DD6899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17</w:t>
            </w:r>
          </w:p>
        </w:tc>
        <w:tc>
          <w:tcPr>
            <w:tcW w:w="185" w:type="pct"/>
            <w:tcBorders>
              <w:tl2br w:val="nil"/>
              <w:tr2bl w:val="nil"/>
            </w:tcBorders>
            <w:shd w:val="clear" w:color="auto" w:fill="auto"/>
            <w:vAlign w:val="center"/>
          </w:tcPr>
          <w:p w14:paraId="3737F4C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0.97 </w:t>
            </w:r>
          </w:p>
        </w:tc>
        <w:tc>
          <w:tcPr>
            <w:tcW w:w="235" w:type="pct"/>
            <w:tcBorders>
              <w:tl2br w:val="nil"/>
              <w:tr2bl w:val="nil"/>
            </w:tcBorders>
            <w:shd w:val="clear" w:color="auto" w:fill="auto"/>
            <w:vAlign w:val="center"/>
          </w:tcPr>
          <w:p w14:paraId="0178402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0.106 </w:t>
            </w:r>
          </w:p>
        </w:tc>
        <w:tc>
          <w:tcPr>
            <w:tcW w:w="195" w:type="pct"/>
            <w:tcBorders>
              <w:tl2br w:val="nil"/>
              <w:tr2bl w:val="nil"/>
            </w:tcBorders>
            <w:shd w:val="clear" w:color="auto" w:fill="auto"/>
            <w:vAlign w:val="center"/>
          </w:tcPr>
          <w:p w14:paraId="4E075F3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0.08 </w:t>
            </w:r>
          </w:p>
        </w:tc>
        <w:tc>
          <w:tcPr>
            <w:tcW w:w="195" w:type="pct"/>
            <w:tcBorders>
              <w:tl2br w:val="nil"/>
              <w:tr2bl w:val="nil"/>
            </w:tcBorders>
            <w:shd w:val="clear" w:color="auto" w:fill="auto"/>
            <w:vAlign w:val="center"/>
          </w:tcPr>
          <w:p w14:paraId="690A4A6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0.02</w:t>
            </w:r>
          </w:p>
        </w:tc>
        <w:tc>
          <w:tcPr>
            <w:tcW w:w="171" w:type="pct"/>
            <w:tcBorders>
              <w:tl2br w:val="nil"/>
              <w:tr2bl w:val="nil"/>
            </w:tcBorders>
            <w:shd w:val="clear" w:color="auto" w:fill="auto"/>
            <w:vAlign w:val="center"/>
          </w:tcPr>
          <w:p w14:paraId="0984E60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295" w:type="pct"/>
            <w:tcBorders>
              <w:tl2br w:val="nil"/>
              <w:tr2bl w:val="nil"/>
            </w:tcBorders>
            <w:shd w:val="clear" w:color="auto" w:fill="auto"/>
            <w:vAlign w:val="center"/>
          </w:tcPr>
          <w:p w14:paraId="6794CC4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194" w:type="pct"/>
            <w:tcBorders>
              <w:tl2br w:val="nil"/>
              <w:tr2bl w:val="nil"/>
            </w:tcBorders>
            <w:shd w:val="clear" w:color="auto" w:fill="auto"/>
            <w:vAlign w:val="center"/>
          </w:tcPr>
          <w:p w14:paraId="012A0F13">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199" w:type="pct"/>
            <w:tcBorders>
              <w:tl2br w:val="nil"/>
              <w:tr2bl w:val="nil"/>
            </w:tcBorders>
            <w:shd w:val="clear" w:color="auto" w:fill="auto"/>
            <w:vAlign w:val="center"/>
          </w:tcPr>
          <w:p w14:paraId="083A114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170" w:type="pct"/>
            <w:tcBorders>
              <w:tl2br w:val="nil"/>
              <w:tr2bl w:val="nil"/>
            </w:tcBorders>
            <w:shd w:val="clear" w:color="auto" w:fill="auto"/>
            <w:vAlign w:val="center"/>
          </w:tcPr>
          <w:p w14:paraId="5325775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0.01</w:t>
            </w:r>
          </w:p>
        </w:tc>
        <w:tc>
          <w:tcPr>
            <w:tcW w:w="208" w:type="pct"/>
            <w:tcBorders>
              <w:tl2br w:val="nil"/>
              <w:tr2bl w:val="nil"/>
            </w:tcBorders>
            <w:shd w:val="clear" w:color="auto" w:fill="auto"/>
            <w:vAlign w:val="center"/>
          </w:tcPr>
          <w:p w14:paraId="4B0B72C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217" w:type="pct"/>
            <w:tcBorders>
              <w:tl2br w:val="nil"/>
              <w:tr2bl w:val="nil"/>
            </w:tcBorders>
            <w:shd w:val="clear" w:color="auto" w:fill="auto"/>
            <w:vAlign w:val="center"/>
          </w:tcPr>
          <w:p w14:paraId="780F834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170" w:type="pct"/>
            <w:tcBorders>
              <w:tl2br w:val="nil"/>
              <w:tr2bl w:val="nil"/>
            </w:tcBorders>
            <w:shd w:val="clear" w:color="auto" w:fill="auto"/>
            <w:vAlign w:val="center"/>
          </w:tcPr>
          <w:p w14:paraId="5BDC13F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208" w:type="pct"/>
            <w:tcBorders>
              <w:tl2br w:val="nil"/>
              <w:tr2bl w:val="nil"/>
            </w:tcBorders>
            <w:shd w:val="clear" w:color="auto" w:fill="auto"/>
            <w:vAlign w:val="center"/>
          </w:tcPr>
          <w:p w14:paraId="323A8EE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0.0024 </w:t>
            </w:r>
          </w:p>
        </w:tc>
        <w:tc>
          <w:tcPr>
            <w:tcW w:w="180" w:type="pct"/>
            <w:tcBorders>
              <w:tl2br w:val="nil"/>
              <w:tr2bl w:val="nil"/>
            </w:tcBorders>
            <w:shd w:val="clear" w:color="auto" w:fill="auto"/>
            <w:vAlign w:val="center"/>
          </w:tcPr>
          <w:p w14:paraId="15C90EB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3.8 </w:t>
            </w:r>
          </w:p>
        </w:tc>
        <w:tc>
          <w:tcPr>
            <w:tcW w:w="175" w:type="pct"/>
            <w:tcBorders>
              <w:tl2br w:val="nil"/>
              <w:tr2bl w:val="nil"/>
            </w:tcBorders>
            <w:shd w:val="clear" w:color="auto" w:fill="auto"/>
            <w:vAlign w:val="center"/>
          </w:tcPr>
          <w:p w14:paraId="1107727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0.24</w:t>
            </w:r>
          </w:p>
        </w:tc>
        <w:tc>
          <w:tcPr>
            <w:tcW w:w="192" w:type="pct"/>
            <w:tcBorders>
              <w:tl2br w:val="nil"/>
              <w:tr2bl w:val="nil"/>
            </w:tcBorders>
            <w:shd w:val="clear" w:color="auto" w:fill="auto"/>
            <w:vAlign w:val="center"/>
          </w:tcPr>
          <w:p w14:paraId="7983508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r>
      <w:bookmarkEnd w:id="1551"/>
      <w:bookmarkEnd w:id="1552"/>
      <w:tr w14:paraId="5E82426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656" w:hRule="atLeast"/>
        </w:trPr>
        <w:tc>
          <w:tcPr>
            <w:tcW w:w="211" w:type="pct"/>
            <w:vMerge w:val="continue"/>
            <w:tcBorders>
              <w:tl2br w:val="nil"/>
              <w:tr2bl w:val="nil"/>
            </w:tcBorders>
          </w:tcPr>
          <w:p w14:paraId="3FCDC747">
            <w:pPr>
              <w:bidi w:val="0"/>
              <w:jc w:val="center"/>
              <w:rPr>
                <w:rFonts w:hint="default" w:ascii="Times New Roman" w:hAnsi="Times New Roman" w:eastAsia="宋体" w:cs="Times New Roman"/>
                <w:color w:val="auto"/>
                <w:sz w:val="21"/>
                <w:szCs w:val="21"/>
                <w:lang w:val="en-US"/>
              </w:rPr>
            </w:pPr>
          </w:p>
        </w:tc>
        <w:tc>
          <w:tcPr>
            <w:tcW w:w="255" w:type="pct"/>
            <w:tcBorders>
              <w:tl2br w:val="nil"/>
              <w:tr2bl w:val="nil"/>
            </w:tcBorders>
            <w:shd w:val="clear" w:color="auto" w:fill="auto"/>
            <w:vAlign w:val="center"/>
          </w:tcPr>
          <w:p w14:paraId="3CE25E59">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最大单因子指数</w:t>
            </w:r>
          </w:p>
        </w:tc>
        <w:tc>
          <w:tcPr>
            <w:tcW w:w="225" w:type="pct"/>
            <w:tcBorders>
              <w:tl2br w:val="nil"/>
              <w:tr2bl w:val="nil"/>
            </w:tcBorders>
            <w:shd w:val="clear" w:color="auto" w:fill="auto"/>
            <w:vAlign w:val="center"/>
          </w:tcPr>
          <w:p w14:paraId="71E11E8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bookmarkStart w:id="1553" w:name="OLE_LINK522"/>
            <w:r>
              <w:rPr>
                <w:rFonts w:hint="default" w:ascii="Times New Roman" w:hAnsi="Times New Roman" w:eastAsia="宋体" w:cs="Times New Roman"/>
                <w:i w:val="0"/>
                <w:iCs w:val="0"/>
                <w:snapToGrid w:val="0"/>
                <w:color w:val="auto"/>
                <w:kern w:val="0"/>
                <w:sz w:val="21"/>
                <w:szCs w:val="21"/>
                <w:u w:val="none"/>
                <w:lang w:val="en-US" w:eastAsia="zh-CN" w:bidi="ar"/>
              </w:rPr>
              <w:t>/</w:t>
            </w:r>
            <w:bookmarkEnd w:id="1553"/>
          </w:p>
        </w:tc>
        <w:tc>
          <w:tcPr>
            <w:tcW w:w="241" w:type="pct"/>
            <w:tcBorders>
              <w:tl2br w:val="nil"/>
              <w:tr2bl w:val="nil"/>
            </w:tcBorders>
            <w:shd w:val="clear" w:color="auto" w:fill="auto"/>
            <w:vAlign w:val="center"/>
          </w:tcPr>
          <w:p w14:paraId="5A6A5E2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0.35</w:t>
            </w:r>
          </w:p>
        </w:tc>
        <w:tc>
          <w:tcPr>
            <w:tcW w:w="241" w:type="pct"/>
            <w:tcBorders>
              <w:tl2br w:val="nil"/>
              <w:tr2bl w:val="nil"/>
            </w:tcBorders>
            <w:shd w:val="clear" w:color="auto" w:fill="auto"/>
            <w:vAlign w:val="center"/>
          </w:tcPr>
          <w:p w14:paraId="3DF641E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0.30 </w:t>
            </w:r>
          </w:p>
        </w:tc>
        <w:tc>
          <w:tcPr>
            <w:tcW w:w="219" w:type="pct"/>
            <w:tcBorders>
              <w:tl2br w:val="nil"/>
              <w:tr2bl w:val="nil"/>
            </w:tcBorders>
            <w:shd w:val="clear" w:color="auto" w:fill="auto"/>
            <w:vAlign w:val="center"/>
          </w:tcPr>
          <w:p w14:paraId="6DC0079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w:t>
            </w:r>
          </w:p>
        </w:tc>
        <w:tc>
          <w:tcPr>
            <w:tcW w:w="219" w:type="pct"/>
            <w:tcBorders>
              <w:tl2br w:val="nil"/>
              <w:tr2bl w:val="nil"/>
            </w:tcBorders>
            <w:shd w:val="clear" w:color="auto" w:fill="auto"/>
            <w:vAlign w:val="center"/>
          </w:tcPr>
          <w:p w14:paraId="10706E0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0.90 </w:t>
            </w:r>
          </w:p>
        </w:tc>
        <w:tc>
          <w:tcPr>
            <w:tcW w:w="186" w:type="pct"/>
            <w:tcBorders>
              <w:tl2br w:val="nil"/>
              <w:tr2bl w:val="nil"/>
            </w:tcBorders>
            <w:shd w:val="clear" w:color="auto" w:fill="auto"/>
            <w:vAlign w:val="center"/>
          </w:tcPr>
          <w:p w14:paraId="24FEC51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0.63 </w:t>
            </w:r>
          </w:p>
        </w:tc>
        <w:tc>
          <w:tcPr>
            <w:tcW w:w="185" w:type="pct"/>
            <w:tcBorders>
              <w:tl2br w:val="nil"/>
              <w:tr2bl w:val="nil"/>
            </w:tcBorders>
            <w:shd w:val="clear" w:color="auto" w:fill="auto"/>
            <w:vAlign w:val="center"/>
          </w:tcPr>
          <w:p w14:paraId="36E027C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0.65 </w:t>
            </w:r>
          </w:p>
        </w:tc>
        <w:tc>
          <w:tcPr>
            <w:tcW w:w="235" w:type="pct"/>
            <w:tcBorders>
              <w:tl2br w:val="nil"/>
              <w:tr2bl w:val="nil"/>
            </w:tcBorders>
            <w:shd w:val="clear" w:color="auto" w:fill="auto"/>
            <w:vAlign w:val="center"/>
          </w:tcPr>
          <w:p w14:paraId="383C7DD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0.07 </w:t>
            </w:r>
          </w:p>
        </w:tc>
        <w:tc>
          <w:tcPr>
            <w:tcW w:w="195" w:type="pct"/>
            <w:tcBorders>
              <w:tl2br w:val="nil"/>
              <w:tr2bl w:val="nil"/>
            </w:tcBorders>
            <w:shd w:val="clear" w:color="auto" w:fill="auto"/>
            <w:vAlign w:val="center"/>
          </w:tcPr>
          <w:p w14:paraId="3ECE0E5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0.80 </w:t>
            </w:r>
          </w:p>
        </w:tc>
        <w:tc>
          <w:tcPr>
            <w:tcW w:w="195" w:type="pct"/>
            <w:tcBorders>
              <w:tl2br w:val="nil"/>
              <w:tr2bl w:val="nil"/>
            </w:tcBorders>
            <w:shd w:val="clear" w:color="auto" w:fill="auto"/>
            <w:vAlign w:val="center"/>
          </w:tcPr>
          <w:p w14:paraId="4124EEB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0.04 </w:t>
            </w:r>
          </w:p>
        </w:tc>
        <w:tc>
          <w:tcPr>
            <w:tcW w:w="171" w:type="pct"/>
            <w:tcBorders>
              <w:tl2br w:val="nil"/>
              <w:tr2bl w:val="nil"/>
            </w:tcBorders>
            <w:shd w:val="clear" w:color="auto" w:fill="auto"/>
            <w:vAlign w:val="center"/>
          </w:tcPr>
          <w:p w14:paraId="42E7EAD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0.010 </w:t>
            </w:r>
          </w:p>
        </w:tc>
        <w:tc>
          <w:tcPr>
            <w:tcW w:w="295" w:type="pct"/>
            <w:tcBorders>
              <w:tl2br w:val="nil"/>
              <w:tr2bl w:val="nil"/>
            </w:tcBorders>
            <w:shd w:val="clear" w:color="auto" w:fill="auto"/>
            <w:vAlign w:val="center"/>
          </w:tcPr>
          <w:p w14:paraId="439F98D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0.05 </w:t>
            </w:r>
          </w:p>
        </w:tc>
        <w:tc>
          <w:tcPr>
            <w:tcW w:w="194" w:type="pct"/>
            <w:tcBorders>
              <w:tl2br w:val="nil"/>
              <w:tr2bl w:val="nil"/>
            </w:tcBorders>
            <w:shd w:val="clear" w:color="auto" w:fill="auto"/>
            <w:vAlign w:val="center"/>
          </w:tcPr>
          <w:p w14:paraId="0DEC735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0.040 </w:t>
            </w:r>
          </w:p>
        </w:tc>
        <w:tc>
          <w:tcPr>
            <w:tcW w:w="199" w:type="pct"/>
            <w:tcBorders>
              <w:tl2br w:val="nil"/>
              <w:tr2bl w:val="nil"/>
            </w:tcBorders>
            <w:shd w:val="clear" w:color="auto" w:fill="auto"/>
            <w:vAlign w:val="center"/>
          </w:tcPr>
          <w:p w14:paraId="672D604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0.003 </w:t>
            </w:r>
          </w:p>
        </w:tc>
        <w:tc>
          <w:tcPr>
            <w:tcW w:w="170" w:type="pct"/>
            <w:tcBorders>
              <w:tl2br w:val="nil"/>
              <w:tr2bl w:val="nil"/>
            </w:tcBorders>
            <w:shd w:val="clear" w:color="auto" w:fill="auto"/>
            <w:vAlign w:val="center"/>
          </w:tcPr>
          <w:p w14:paraId="31375AA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0.100 </w:t>
            </w:r>
          </w:p>
        </w:tc>
        <w:tc>
          <w:tcPr>
            <w:tcW w:w="208" w:type="pct"/>
            <w:tcBorders>
              <w:tl2br w:val="nil"/>
              <w:tr2bl w:val="nil"/>
            </w:tcBorders>
            <w:shd w:val="clear" w:color="auto" w:fill="auto"/>
            <w:vAlign w:val="center"/>
          </w:tcPr>
          <w:p w14:paraId="49523AB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0.025 </w:t>
            </w:r>
          </w:p>
        </w:tc>
        <w:tc>
          <w:tcPr>
            <w:tcW w:w="217" w:type="pct"/>
            <w:tcBorders>
              <w:tl2br w:val="nil"/>
              <w:tr2bl w:val="nil"/>
            </w:tcBorders>
            <w:shd w:val="clear" w:color="auto" w:fill="auto"/>
            <w:vAlign w:val="center"/>
          </w:tcPr>
          <w:p w14:paraId="4F2AC00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0.002 </w:t>
            </w:r>
          </w:p>
        </w:tc>
        <w:tc>
          <w:tcPr>
            <w:tcW w:w="170" w:type="pct"/>
            <w:tcBorders>
              <w:tl2br w:val="nil"/>
              <w:tr2bl w:val="nil"/>
            </w:tcBorders>
            <w:shd w:val="clear" w:color="auto" w:fill="auto"/>
            <w:vAlign w:val="center"/>
          </w:tcPr>
          <w:p w14:paraId="09DF8A4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0.175</w:t>
            </w:r>
          </w:p>
        </w:tc>
        <w:tc>
          <w:tcPr>
            <w:tcW w:w="208" w:type="pct"/>
            <w:tcBorders>
              <w:tl2br w:val="nil"/>
              <w:tr2bl w:val="nil"/>
            </w:tcBorders>
            <w:shd w:val="clear" w:color="auto" w:fill="auto"/>
            <w:vAlign w:val="center"/>
          </w:tcPr>
          <w:p w14:paraId="54EF63C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0.240 </w:t>
            </w:r>
          </w:p>
        </w:tc>
        <w:tc>
          <w:tcPr>
            <w:tcW w:w="180" w:type="pct"/>
            <w:tcBorders>
              <w:tl2br w:val="nil"/>
              <w:tr2bl w:val="nil"/>
            </w:tcBorders>
            <w:shd w:val="clear" w:color="auto" w:fill="auto"/>
            <w:vAlign w:val="center"/>
          </w:tcPr>
          <w:p w14:paraId="2F1D39E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0.38 </w:t>
            </w:r>
          </w:p>
        </w:tc>
        <w:tc>
          <w:tcPr>
            <w:tcW w:w="175" w:type="pct"/>
            <w:tcBorders>
              <w:tl2br w:val="nil"/>
              <w:tr2bl w:val="nil"/>
            </w:tcBorders>
            <w:shd w:val="clear" w:color="auto" w:fill="auto"/>
            <w:vAlign w:val="center"/>
          </w:tcPr>
          <w:p w14:paraId="52A51FD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0.16 </w:t>
            </w:r>
          </w:p>
        </w:tc>
        <w:tc>
          <w:tcPr>
            <w:tcW w:w="192" w:type="pct"/>
            <w:tcBorders>
              <w:tl2br w:val="nil"/>
              <w:tr2bl w:val="nil"/>
            </w:tcBorders>
            <w:shd w:val="clear" w:color="auto" w:fill="auto"/>
            <w:vAlign w:val="center"/>
          </w:tcPr>
          <w:p w14:paraId="3ED8419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0.083 </w:t>
            </w:r>
          </w:p>
        </w:tc>
      </w:tr>
      <w:tr w14:paraId="7AF6911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77" w:hRule="atLeast"/>
        </w:trPr>
        <w:tc>
          <w:tcPr>
            <w:tcW w:w="211" w:type="pct"/>
            <w:vMerge w:val="continue"/>
            <w:tcBorders>
              <w:tl2br w:val="nil"/>
              <w:tr2bl w:val="nil"/>
            </w:tcBorders>
          </w:tcPr>
          <w:p w14:paraId="5A2F7474">
            <w:pPr>
              <w:bidi w:val="0"/>
              <w:jc w:val="center"/>
              <w:rPr>
                <w:rFonts w:hint="default" w:ascii="Times New Roman" w:hAnsi="Times New Roman" w:eastAsia="宋体" w:cs="Times New Roman"/>
                <w:color w:val="auto"/>
                <w:sz w:val="21"/>
                <w:szCs w:val="21"/>
                <w:lang w:val="en-US"/>
              </w:rPr>
            </w:pPr>
          </w:p>
        </w:tc>
        <w:tc>
          <w:tcPr>
            <w:tcW w:w="255" w:type="pct"/>
            <w:tcBorders>
              <w:tl2br w:val="nil"/>
              <w:tr2bl w:val="nil"/>
            </w:tcBorders>
            <w:shd w:val="clear" w:color="auto" w:fill="auto"/>
            <w:vAlign w:val="center"/>
          </w:tcPr>
          <w:p w14:paraId="6099A6F0">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超标率（%）</w:t>
            </w:r>
          </w:p>
        </w:tc>
        <w:tc>
          <w:tcPr>
            <w:tcW w:w="225" w:type="pct"/>
            <w:tcBorders>
              <w:tl2br w:val="nil"/>
              <w:tr2bl w:val="nil"/>
            </w:tcBorders>
            <w:shd w:val="clear" w:color="auto" w:fill="auto"/>
            <w:vAlign w:val="center"/>
          </w:tcPr>
          <w:p w14:paraId="2ADEDFA3">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241" w:type="pct"/>
            <w:tcBorders>
              <w:tl2br w:val="nil"/>
              <w:tr2bl w:val="nil"/>
            </w:tcBorders>
            <w:shd w:val="clear" w:color="auto" w:fill="auto"/>
            <w:vAlign w:val="center"/>
          </w:tcPr>
          <w:p w14:paraId="39694888">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41" w:type="pct"/>
            <w:tcBorders>
              <w:tl2br w:val="nil"/>
              <w:tr2bl w:val="nil"/>
            </w:tcBorders>
            <w:shd w:val="clear" w:color="auto" w:fill="auto"/>
            <w:vAlign w:val="center"/>
          </w:tcPr>
          <w:p w14:paraId="228E9878">
            <w:pPr>
              <w:bidi w:val="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snapToGrid w:val="0"/>
                <w:color w:val="auto"/>
                <w:kern w:val="0"/>
                <w:sz w:val="21"/>
                <w:szCs w:val="21"/>
                <w:highlight w:val="none"/>
                <w:lang w:val="en-US" w:eastAsia="zh-CN" w:bidi="ar-SA"/>
              </w:rPr>
              <w:t>/</w:t>
            </w:r>
          </w:p>
        </w:tc>
        <w:tc>
          <w:tcPr>
            <w:tcW w:w="219" w:type="pct"/>
            <w:tcBorders>
              <w:tl2br w:val="nil"/>
              <w:tr2bl w:val="nil"/>
            </w:tcBorders>
            <w:shd w:val="clear" w:color="auto" w:fill="auto"/>
            <w:vAlign w:val="center"/>
          </w:tcPr>
          <w:p w14:paraId="393C86A5">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w:t>
            </w:r>
          </w:p>
        </w:tc>
        <w:tc>
          <w:tcPr>
            <w:tcW w:w="219" w:type="pct"/>
            <w:tcBorders>
              <w:tl2br w:val="nil"/>
              <w:tr2bl w:val="nil"/>
            </w:tcBorders>
            <w:shd w:val="clear" w:color="auto" w:fill="auto"/>
            <w:vAlign w:val="center"/>
          </w:tcPr>
          <w:p w14:paraId="36625365">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86" w:type="pct"/>
            <w:tcBorders>
              <w:tl2br w:val="nil"/>
              <w:tr2bl w:val="nil"/>
            </w:tcBorders>
            <w:shd w:val="clear" w:color="auto" w:fill="auto"/>
            <w:vAlign w:val="center"/>
          </w:tcPr>
          <w:p w14:paraId="7525F197">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highlight w:val="none"/>
                <w:lang w:val="en-US" w:eastAsia="zh-CN" w:bidi="ar-SA"/>
              </w:rPr>
              <w:t>0</w:t>
            </w:r>
          </w:p>
        </w:tc>
        <w:tc>
          <w:tcPr>
            <w:tcW w:w="185" w:type="pct"/>
            <w:tcBorders>
              <w:tl2br w:val="nil"/>
              <w:tr2bl w:val="nil"/>
            </w:tcBorders>
            <w:shd w:val="clear" w:color="auto" w:fill="auto"/>
            <w:vAlign w:val="center"/>
          </w:tcPr>
          <w:p w14:paraId="7FE3B44C">
            <w:pPr>
              <w:bidi w:val="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snapToGrid w:val="0"/>
                <w:color w:val="auto"/>
                <w:kern w:val="0"/>
                <w:sz w:val="21"/>
                <w:szCs w:val="21"/>
                <w:highlight w:val="none"/>
                <w:lang w:val="en-US" w:eastAsia="zh-CN" w:bidi="ar-SA"/>
              </w:rPr>
              <w:t>0</w:t>
            </w:r>
          </w:p>
        </w:tc>
        <w:tc>
          <w:tcPr>
            <w:tcW w:w="235" w:type="pct"/>
            <w:tcBorders>
              <w:tl2br w:val="nil"/>
              <w:tr2bl w:val="nil"/>
            </w:tcBorders>
            <w:shd w:val="clear" w:color="auto" w:fill="auto"/>
            <w:vAlign w:val="center"/>
          </w:tcPr>
          <w:p w14:paraId="52A6D32B">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5" w:type="pct"/>
            <w:tcBorders>
              <w:tl2br w:val="nil"/>
              <w:tr2bl w:val="nil"/>
            </w:tcBorders>
            <w:shd w:val="clear" w:color="auto" w:fill="auto"/>
            <w:vAlign w:val="center"/>
          </w:tcPr>
          <w:p w14:paraId="55DC1888">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5" w:type="pct"/>
            <w:tcBorders>
              <w:tl2br w:val="nil"/>
              <w:tr2bl w:val="nil"/>
            </w:tcBorders>
            <w:shd w:val="clear" w:color="auto" w:fill="auto"/>
            <w:vAlign w:val="center"/>
          </w:tcPr>
          <w:p w14:paraId="6EE1A4F1">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1" w:type="pct"/>
            <w:tcBorders>
              <w:tl2br w:val="nil"/>
              <w:tr2bl w:val="nil"/>
            </w:tcBorders>
            <w:shd w:val="clear" w:color="auto" w:fill="auto"/>
            <w:vAlign w:val="center"/>
          </w:tcPr>
          <w:p w14:paraId="634D7138">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95" w:type="pct"/>
            <w:tcBorders>
              <w:tl2br w:val="nil"/>
              <w:tr2bl w:val="nil"/>
            </w:tcBorders>
            <w:shd w:val="clear" w:color="auto" w:fill="auto"/>
            <w:vAlign w:val="center"/>
          </w:tcPr>
          <w:p w14:paraId="3721932C">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4" w:type="pct"/>
            <w:tcBorders>
              <w:tl2br w:val="nil"/>
              <w:tr2bl w:val="nil"/>
            </w:tcBorders>
            <w:shd w:val="clear" w:color="auto" w:fill="auto"/>
            <w:vAlign w:val="center"/>
          </w:tcPr>
          <w:p w14:paraId="14F98641">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9" w:type="pct"/>
            <w:tcBorders>
              <w:tl2br w:val="nil"/>
              <w:tr2bl w:val="nil"/>
            </w:tcBorders>
            <w:shd w:val="clear" w:color="auto" w:fill="auto"/>
            <w:vAlign w:val="center"/>
          </w:tcPr>
          <w:p w14:paraId="6C05D834">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0" w:type="pct"/>
            <w:tcBorders>
              <w:tl2br w:val="nil"/>
              <w:tr2bl w:val="nil"/>
            </w:tcBorders>
            <w:shd w:val="clear" w:color="auto" w:fill="auto"/>
            <w:vAlign w:val="center"/>
          </w:tcPr>
          <w:p w14:paraId="3349C82E">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08" w:type="pct"/>
            <w:tcBorders>
              <w:tl2br w:val="nil"/>
              <w:tr2bl w:val="nil"/>
            </w:tcBorders>
            <w:shd w:val="clear" w:color="auto" w:fill="auto"/>
            <w:vAlign w:val="center"/>
          </w:tcPr>
          <w:p w14:paraId="564628D7">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17" w:type="pct"/>
            <w:tcBorders>
              <w:tl2br w:val="nil"/>
              <w:tr2bl w:val="nil"/>
            </w:tcBorders>
            <w:shd w:val="clear" w:color="auto" w:fill="auto"/>
            <w:vAlign w:val="center"/>
          </w:tcPr>
          <w:p w14:paraId="2C8290DF">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0" w:type="pct"/>
            <w:tcBorders>
              <w:tl2br w:val="nil"/>
              <w:tr2bl w:val="nil"/>
            </w:tcBorders>
            <w:shd w:val="clear" w:color="auto" w:fill="auto"/>
            <w:vAlign w:val="center"/>
          </w:tcPr>
          <w:p w14:paraId="4B149B19">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208" w:type="pct"/>
            <w:tcBorders>
              <w:tl2br w:val="nil"/>
              <w:tr2bl w:val="nil"/>
            </w:tcBorders>
            <w:shd w:val="clear" w:color="auto" w:fill="auto"/>
            <w:vAlign w:val="center"/>
          </w:tcPr>
          <w:p w14:paraId="548359E2">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80" w:type="pct"/>
            <w:tcBorders>
              <w:tl2br w:val="nil"/>
              <w:tr2bl w:val="nil"/>
            </w:tcBorders>
            <w:shd w:val="clear" w:color="auto" w:fill="auto"/>
            <w:vAlign w:val="center"/>
          </w:tcPr>
          <w:p w14:paraId="02D04173">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75" w:type="pct"/>
            <w:tcBorders>
              <w:tl2br w:val="nil"/>
              <w:tr2bl w:val="nil"/>
            </w:tcBorders>
            <w:shd w:val="clear" w:color="auto" w:fill="auto"/>
            <w:vAlign w:val="center"/>
          </w:tcPr>
          <w:p w14:paraId="750D3236">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c>
          <w:tcPr>
            <w:tcW w:w="192" w:type="pct"/>
            <w:tcBorders>
              <w:tl2br w:val="nil"/>
              <w:tr2bl w:val="nil"/>
            </w:tcBorders>
            <w:shd w:val="clear" w:color="auto" w:fill="auto"/>
            <w:vAlign w:val="center"/>
          </w:tcPr>
          <w:p w14:paraId="03AA9281">
            <w:pPr>
              <w:bidi w:val="0"/>
              <w:jc w:val="center"/>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bidi="ar-SA"/>
              </w:rPr>
              <w:t>0</w:t>
            </w:r>
          </w:p>
        </w:tc>
      </w:tr>
    </w:tbl>
    <w:p w14:paraId="35018B76">
      <w:pPr>
        <w:rPr>
          <w:color w:val="auto"/>
        </w:rPr>
        <w:sectPr>
          <w:headerReference r:id="rId22" w:type="default"/>
          <w:footerReference r:id="rId23" w:type="default"/>
          <w:pgSz w:w="16839" w:h="11907"/>
          <w:pgMar w:top="1176" w:right="1408" w:bottom="1622" w:left="1411" w:header="862" w:footer="1445" w:gutter="0"/>
          <w:pgBorders>
            <w:top w:val="none" w:sz="0" w:space="0"/>
            <w:left w:val="none" w:sz="0" w:space="0"/>
            <w:bottom w:val="none" w:sz="0" w:space="0"/>
            <w:right w:val="none" w:sz="0" w:space="0"/>
          </w:pgBorders>
          <w:pgNumType w:fmt="decimal"/>
          <w:cols w:space="720" w:num="1"/>
        </w:sectPr>
      </w:pPr>
    </w:p>
    <w:p w14:paraId="32BBD081">
      <w:pPr>
        <w:spacing w:before="300" w:line="218" w:lineRule="auto"/>
        <w:ind w:left="83"/>
        <w:outlineLvl w:val="2"/>
        <w:rPr>
          <w:rFonts w:ascii="宋体" w:hAnsi="宋体" w:eastAsia="宋体" w:cs="宋体"/>
          <w:color w:val="auto"/>
          <w:sz w:val="24"/>
          <w:szCs w:val="24"/>
        </w:rPr>
      </w:pPr>
      <w:bookmarkStart w:id="1554" w:name="_Toc18663"/>
      <w:r>
        <w:rPr>
          <w:rFonts w:ascii="Times New Roman" w:hAnsi="Times New Roman" w:eastAsia="Times New Roman" w:cs="Times New Roman"/>
          <w:b/>
          <w:bCs/>
          <w:color w:val="auto"/>
          <w:spacing w:val="-2"/>
          <w:sz w:val="24"/>
          <w:szCs w:val="24"/>
        </w:rPr>
        <w:t>6.3.3</w:t>
      </w:r>
      <w:r>
        <w:rPr>
          <w:rFonts w:ascii="宋体" w:hAnsi="宋体" w:eastAsia="宋体" w:cs="宋体"/>
          <w:b/>
          <w:bCs/>
          <w:color w:val="auto"/>
          <w:spacing w:val="-2"/>
          <w:sz w:val="24"/>
          <w:szCs w:val="24"/>
        </w:rPr>
        <w:t>声环境质量现状监测与评价</w:t>
      </w:r>
      <w:bookmarkEnd w:id="1554"/>
      <w:bookmarkStart w:id="1555" w:name="pindex9043"/>
      <w:bookmarkEnd w:id="1555"/>
    </w:p>
    <w:p w14:paraId="0BF6007B">
      <w:pPr>
        <w:spacing w:before="184" w:line="219" w:lineRule="auto"/>
        <w:ind w:left="90"/>
        <w:rPr>
          <w:rFonts w:hint="eastAsia" w:ascii="Times New Roman" w:hAnsi="Times New Roman" w:eastAsia="宋体" w:cs="Times New Roman"/>
          <w:b/>
          <w:bCs/>
          <w:color w:val="auto"/>
          <w:spacing w:val="-2"/>
          <w:sz w:val="24"/>
          <w:szCs w:val="24"/>
          <w:lang w:val="en-US" w:eastAsia="zh-CN"/>
        </w:rPr>
      </w:pPr>
      <w:r>
        <w:rPr>
          <w:color w:val="auto"/>
        </w:rPr>
        <w:fldChar w:fldCharType="begin"/>
      </w:r>
      <w:r>
        <w:rPr>
          <w:color w:val="auto"/>
        </w:rPr>
        <w:instrText xml:space="preserve"> HYPERLINK "6.3.3.1" </w:instrText>
      </w:r>
      <w:r>
        <w:rPr>
          <w:color w:val="auto"/>
        </w:rPr>
        <w:fldChar w:fldCharType="separate"/>
      </w:r>
      <w:r>
        <w:rPr>
          <w:rFonts w:ascii="Times New Roman" w:hAnsi="Times New Roman" w:eastAsia="Times New Roman" w:cs="Times New Roman"/>
          <w:b/>
          <w:bCs/>
          <w:color w:val="auto"/>
          <w:spacing w:val="-2"/>
          <w:sz w:val="24"/>
          <w:szCs w:val="24"/>
        </w:rPr>
        <w:t>6.3.3.1</w:t>
      </w:r>
      <w:r>
        <w:rPr>
          <w:rFonts w:ascii="Times New Roman" w:hAnsi="Times New Roman" w:eastAsia="Times New Roman" w:cs="Times New Roman"/>
          <w:b/>
          <w:bCs/>
          <w:color w:val="auto"/>
          <w:spacing w:val="-2"/>
          <w:sz w:val="24"/>
          <w:szCs w:val="24"/>
        </w:rPr>
        <w:fldChar w:fldCharType="end"/>
      </w:r>
      <w:r>
        <w:rPr>
          <w:rFonts w:hint="eastAsia" w:ascii="Times New Roman" w:hAnsi="Times New Roman" w:eastAsia="宋体" w:cs="Times New Roman"/>
          <w:b/>
          <w:bCs/>
          <w:color w:val="auto"/>
          <w:spacing w:val="-2"/>
          <w:sz w:val="24"/>
          <w:szCs w:val="24"/>
          <w:lang w:val="en-US" w:eastAsia="zh-CN"/>
        </w:rPr>
        <w:t>声环境质量现状监测</w:t>
      </w:r>
      <w:bookmarkStart w:id="1556" w:name="pindex9044"/>
      <w:bookmarkEnd w:id="1556"/>
    </w:p>
    <w:p w14:paraId="36C6604B">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（1）监测布点</w:t>
      </w:r>
      <w:bookmarkStart w:id="1557" w:name="pindex9045"/>
      <w:bookmarkEnd w:id="1557"/>
    </w:p>
    <w:p w14:paraId="1F255893">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本次区域评估范围布设2</w:t>
      </w:r>
      <w:r>
        <w:rPr>
          <w:rFonts w:hint="eastAsia" w:ascii="Times New Roman" w:hAnsi="Times New Roman" w:eastAsia="宋体" w:cs="Times New Roman"/>
          <w:color w:val="auto"/>
          <w:sz w:val="24"/>
          <w:szCs w:val="24"/>
          <w:highlight w:val="none"/>
          <w:lang w:val="en-US" w:eastAsia="zh-CN"/>
        </w:rPr>
        <w:t>8</w:t>
      </w:r>
      <w:r>
        <w:rPr>
          <w:rFonts w:ascii="Times New Roman" w:hAnsi="Times New Roman" w:eastAsia="宋体" w:cs="Times New Roman"/>
          <w:color w:val="auto"/>
          <w:sz w:val="24"/>
          <w:szCs w:val="24"/>
          <w:highlight w:val="none"/>
        </w:rPr>
        <w:t>个噪声监测点，监测点位</w:t>
      </w:r>
      <w:r>
        <w:rPr>
          <w:rFonts w:hint="eastAsia" w:ascii="Times New Roman" w:hAnsi="Times New Roman" w:eastAsia="宋体" w:cs="Times New Roman"/>
          <w:color w:val="auto"/>
          <w:sz w:val="24"/>
          <w:szCs w:val="24"/>
          <w:highlight w:val="none"/>
          <w:lang w:val="en-US" w:eastAsia="zh-CN"/>
        </w:rPr>
        <w:t>附图5</w:t>
      </w:r>
      <w:r>
        <w:rPr>
          <w:rFonts w:ascii="Times New Roman" w:hAnsi="Times New Roman" w:eastAsia="宋体" w:cs="Times New Roman"/>
          <w:color w:val="auto"/>
          <w:sz w:val="24"/>
          <w:szCs w:val="24"/>
          <w:highlight w:val="none"/>
        </w:rPr>
        <w:t>。</w:t>
      </w:r>
    </w:p>
    <w:p w14:paraId="65395789">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工业区噪声：</w:t>
      </w:r>
      <w:r>
        <w:rPr>
          <w:rFonts w:hint="eastAsia" w:ascii="Times New Roman" w:hAnsi="Times New Roman" w:eastAsia="宋体" w:cs="Times New Roman"/>
          <w:color w:val="auto"/>
          <w:sz w:val="24"/>
          <w:szCs w:val="24"/>
          <w:highlight w:val="none"/>
          <w:lang w:val="en-US" w:eastAsia="zh-CN"/>
        </w:rPr>
        <w:t>24</w:t>
      </w:r>
      <w:r>
        <w:rPr>
          <w:rFonts w:ascii="Times New Roman" w:hAnsi="Times New Roman" w:eastAsia="宋体" w:cs="Times New Roman"/>
          <w:color w:val="auto"/>
          <w:sz w:val="24"/>
          <w:szCs w:val="24"/>
          <w:highlight w:val="none"/>
        </w:rPr>
        <w:t>个；交通噪声：</w:t>
      </w:r>
      <w:r>
        <w:rPr>
          <w:rFonts w:hint="eastAsia" w:ascii="Times New Roman" w:hAnsi="Times New Roman" w:eastAsia="宋体" w:cs="Times New Roman"/>
          <w:color w:val="auto"/>
          <w:sz w:val="24"/>
          <w:szCs w:val="24"/>
          <w:highlight w:val="none"/>
          <w:lang w:val="en-US" w:eastAsia="zh-CN"/>
        </w:rPr>
        <w:t>4</w:t>
      </w:r>
      <w:r>
        <w:rPr>
          <w:rFonts w:ascii="Times New Roman" w:hAnsi="Times New Roman" w:eastAsia="宋体" w:cs="Times New Roman"/>
          <w:color w:val="auto"/>
          <w:sz w:val="24"/>
          <w:szCs w:val="24"/>
          <w:highlight w:val="none"/>
        </w:rPr>
        <w:t>个。</w:t>
      </w:r>
    </w:p>
    <w:p w14:paraId="25FA3F37">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（2）监测频次和监测因子</w:t>
      </w:r>
      <w:bookmarkStart w:id="1558" w:name="pindex9048"/>
      <w:bookmarkEnd w:id="1558"/>
    </w:p>
    <w:p w14:paraId="1254517C">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监测时间为</w:t>
      </w:r>
      <w:r>
        <w:rPr>
          <w:rFonts w:hint="eastAsia" w:ascii="Times New Roman" w:hAnsi="Times New Roman" w:eastAsia="宋体" w:cs="Times New Roman"/>
          <w:color w:val="auto"/>
          <w:sz w:val="24"/>
          <w:szCs w:val="24"/>
          <w:highlight w:val="none"/>
          <w:lang w:val="en-US" w:eastAsia="zh-CN"/>
        </w:rPr>
        <w:t>2024</w:t>
      </w:r>
      <w:r>
        <w:rPr>
          <w:rFonts w:ascii="Times New Roman" w:hAnsi="Times New Roman" w:eastAsia="宋体" w:cs="Times New Roman"/>
          <w:color w:val="auto"/>
          <w:sz w:val="24"/>
          <w:szCs w:val="24"/>
          <w:highlight w:val="none"/>
        </w:rPr>
        <w:t>年</w:t>
      </w:r>
      <w:r>
        <w:rPr>
          <w:rFonts w:hint="eastAsia" w:ascii="Times New Roman" w:hAnsi="Times New Roman" w:eastAsia="宋体" w:cs="Times New Roman"/>
          <w:color w:val="auto"/>
          <w:sz w:val="24"/>
          <w:szCs w:val="24"/>
          <w:highlight w:val="none"/>
          <w:lang w:val="en-US" w:eastAsia="zh-CN"/>
        </w:rPr>
        <w:t>8</w:t>
      </w:r>
      <w:r>
        <w:rPr>
          <w:rFonts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6</w:t>
      </w:r>
      <w:r>
        <w:rPr>
          <w:rFonts w:ascii="Times New Roman" w:hAnsi="Times New Roman" w:eastAsia="宋体" w:cs="Times New Roman"/>
          <w:color w:val="auto"/>
          <w:sz w:val="24"/>
          <w:szCs w:val="24"/>
          <w:highlight w:val="none"/>
        </w:rPr>
        <w:t>日至</w:t>
      </w:r>
      <w:r>
        <w:rPr>
          <w:rFonts w:hint="eastAsia" w:ascii="Times New Roman" w:hAnsi="Times New Roman" w:eastAsia="宋体" w:cs="Times New Roman"/>
          <w:color w:val="auto"/>
          <w:sz w:val="24"/>
          <w:szCs w:val="24"/>
          <w:highlight w:val="none"/>
          <w:lang w:val="en-US" w:eastAsia="zh-CN"/>
        </w:rPr>
        <w:t>8</w:t>
      </w:r>
      <w:r>
        <w:rPr>
          <w:rFonts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8</w:t>
      </w:r>
      <w:r>
        <w:rPr>
          <w:rFonts w:ascii="Times New Roman" w:hAnsi="Times New Roman" w:eastAsia="宋体" w:cs="Times New Roman"/>
          <w:color w:val="auto"/>
          <w:sz w:val="24"/>
          <w:szCs w:val="24"/>
          <w:highlight w:val="none"/>
        </w:rPr>
        <w:t>日连续</w:t>
      </w:r>
      <w:r>
        <w:rPr>
          <w:rFonts w:hint="eastAsia" w:ascii="Times New Roman" w:hAnsi="Times New Roman" w:eastAsia="宋体" w:cs="Times New Roman"/>
          <w:color w:val="auto"/>
          <w:sz w:val="24"/>
          <w:szCs w:val="24"/>
          <w:highlight w:val="none"/>
          <w:lang w:val="en-US" w:eastAsia="zh-CN"/>
        </w:rPr>
        <w:t>三</w:t>
      </w:r>
      <w:r>
        <w:rPr>
          <w:rFonts w:ascii="Times New Roman" w:hAnsi="Times New Roman" w:eastAsia="宋体" w:cs="Times New Roman"/>
          <w:color w:val="auto"/>
          <w:sz w:val="24"/>
          <w:szCs w:val="24"/>
          <w:highlight w:val="none"/>
        </w:rPr>
        <w:t>天，每天昼夜各一次，监测因子为等效声级Leq。</w:t>
      </w:r>
    </w:p>
    <w:p w14:paraId="50AA4E70">
      <w:pPr>
        <w:spacing w:line="50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（3）</w:t>
      </w:r>
      <w:sdt>
        <w:sdtPr>
          <w:rPr>
            <w:color w:val="auto"/>
          </w:rPr>
          <w:alias w:val="易错词检查"/>
          <w:tag w:val="auto"/>
          <w:id w:val="3111003"/>
        </w:sdtPr>
        <w:sdtEndPr>
          <w:rPr>
            <w:color w:val="auto"/>
          </w:rPr>
        </w:sdtEndPr>
        <w:sdtContent>
          <w:bookmarkStart w:id="1559" w:name="bkReivew3111003"/>
          <w:r>
            <w:rPr>
              <w:rFonts w:ascii="Times New Roman" w:hAnsi="Times New Roman" w:eastAsia="宋体" w:cs="Times New Roman"/>
              <w:color w:val="auto"/>
              <w:sz w:val="24"/>
              <w:szCs w:val="24"/>
            </w:rPr>
            <w:t>监测方法</w:t>
          </w:r>
          <w:bookmarkEnd w:id="1559"/>
        </w:sdtContent>
      </w:sdt>
      <w:bookmarkStart w:id="1560" w:name="pindex9050"/>
      <w:bookmarkEnd w:id="1560"/>
    </w:p>
    <w:p w14:paraId="72D04B86">
      <w:pPr>
        <w:spacing w:line="500" w:lineRule="exact"/>
        <w:ind w:firstLine="420" w:firstLineChars="200"/>
        <w:rPr>
          <w:rFonts w:ascii="Times New Roman" w:hAnsi="Times New Roman" w:eastAsia="宋体" w:cs="Times New Roman"/>
          <w:color w:val="auto"/>
          <w:sz w:val="24"/>
          <w:szCs w:val="24"/>
        </w:rPr>
      </w:pPr>
      <w:sdt>
        <w:sdtPr>
          <w:rPr>
            <w:color w:val="auto"/>
          </w:rPr>
          <w:alias w:val="易错词检查"/>
          <w:tag w:val="auto"/>
          <w:id w:val="173623"/>
        </w:sdtPr>
        <w:sdtEndPr>
          <w:rPr>
            <w:color w:val="auto"/>
          </w:rPr>
        </w:sdtEndPr>
        <w:sdtContent>
          <w:bookmarkStart w:id="1561" w:name="bkReivew173623"/>
          <w:r>
            <w:rPr>
              <w:rFonts w:ascii="Times New Roman" w:hAnsi="Times New Roman" w:eastAsia="宋体" w:cs="Times New Roman"/>
              <w:color w:val="auto"/>
              <w:sz w:val="24"/>
              <w:szCs w:val="24"/>
            </w:rPr>
            <w:t>监测方法</w:t>
          </w:r>
          <w:bookmarkEnd w:id="1561"/>
        </w:sdtContent>
      </w:sdt>
      <w:r>
        <w:rPr>
          <w:rFonts w:ascii="Times New Roman" w:hAnsi="Times New Roman" w:eastAsia="宋体" w:cs="Times New Roman"/>
          <w:color w:val="auto"/>
          <w:sz w:val="24"/>
          <w:szCs w:val="24"/>
        </w:rPr>
        <w:t>为《声环境质量标准》（GB3096-2008）中规定的方法。</w:t>
      </w:r>
    </w:p>
    <w:p w14:paraId="136E3681">
      <w:pPr>
        <w:spacing w:line="50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（4）</w:t>
      </w:r>
      <w:sdt>
        <w:sdtPr>
          <w:rPr>
            <w:color w:val="auto"/>
          </w:rPr>
          <w:alias w:val="易错词检查"/>
          <w:tag w:val="auto"/>
          <w:id w:val="1143425"/>
        </w:sdtPr>
        <w:sdtEndPr>
          <w:rPr>
            <w:color w:val="auto"/>
          </w:rPr>
        </w:sdtEndPr>
        <w:sdtContent>
          <w:bookmarkStart w:id="1562" w:name="bkReivew1143425"/>
          <w:r>
            <w:rPr>
              <w:rFonts w:ascii="Times New Roman" w:hAnsi="Times New Roman" w:eastAsia="宋体" w:cs="Times New Roman"/>
              <w:color w:val="auto"/>
              <w:sz w:val="24"/>
              <w:szCs w:val="24"/>
            </w:rPr>
            <w:t>监测结果</w:t>
          </w:r>
          <w:bookmarkEnd w:id="1562"/>
        </w:sdtContent>
      </w:sdt>
      <w:bookmarkStart w:id="1563" w:name="pindex9052"/>
      <w:bookmarkEnd w:id="1563"/>
    </w:p>
    <w:p w14:paraId="6C1A2C94">
      <w:pPr>
        <w:spacing w:line="50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各</w:t>
      </w:r>
      <w:sdt>
        <w:sdtPr>
          <w:rPr>
            <w:color w:val="auto"/>
          </w:rPr>
          <w:alias w:val="易错词检查"/>
          <w:tag w:val="auto"/>
          <w:id w:val="172702"/>
        </w:sdtPr>
        <w:sdtEndPr>
          <w:rPr>
            <w:color w:val="auto"/>
          </w:rPr>
        </w:sdtEndPr>
        <w:sdtContent>
          <w:bookmarkStart w:id="1564" w:name="bkReivew172702"/>
          <w:r>
            <w:rPr>
              <w:rFonts w:ascii="Times New Roman" w:hAnsi="Times New Roman" w:eastAsia="宋体" w:cs="Times New Roman"/>
              <w:color w:val="auto"/>
              <w:sz w:val="24"/>
              <w:szCs w:val="24"/>
            </w:rPr>
            <w:t>监</w:t>
          </w:r>
          <w:bookmarkEnd w:id="1564"/>
        </w:sdtContent>
      </w:sdt>
      <w:r>
        <w:rPr>
          <w:rFonts w:ascii="Times New Roman" w:hAnsi="Times New Roman" w:eastAsia="宋体" w:cs="Times New Roman"/>
          <w:color w:val="auto"/>
          <w:sz w:val="24"/>
          <w:szCs w:val="24"/>
        </w:rPr>
        <w:t>测点噪声的监测、评价结果见表</w:t>
      </w:r>
      <w:r>
        <w:rPr>
          <w:rFonts w:hint="eastAsia" w:ascii="Times New Roman" w:hAnsi="Times New Roman" w:eastAsia="宋体" w:cs="Times New Roman"/>
          <w:color w:val="auto"/>
          <w:sz w:val="24"/>
          <w:szCs w:val="24"/>
          <w:lang w:val="en-US" w:eastAsia="zh-CN"/>
        </w:rPr>
        <w:t>6.3-17-</w:t>
      </w:r>
      <w:r>
        <w:rPr>
          <w:rFonts w:ascii="Times New Roman" w:hAnsi="Times New Roman" w:eastAsia="宋体" w:cs="Times New Roman"/>
          <w:color w:val="auto"/>
          <w:sz w:val="24"/>
          <w:szCs w:val="24"/>
        </w:rPr>
        <w:t>表</w:t>
      </w:r>
      <w:r>
        <w:rPr>
          <w:rFonts w:hint="eastAsia" w:ascii="Times New Roman" w:hAnsi="Times New Roman" w:eastAsia="宋体" w:cs="Times New Roman"/>
          <w:color w:val="auto"/>
          <w:sz w:val="24"/>
          <w:szCs w:val="24"/>
          <w:lang w:val="en-US" w:eastAsia="zh-CN"/>
        </w:rPr>
        <w:t>6.3-18</w:t>
      </w:r>
      <w:r>
        <w:rPr>
          <w:rFonts w:ascii="Times New Roman" w:hAnsi="Times New Roman" w:eastAsia="宋体" w:cs="Times New Roman"/>
          <w:color w:val="auto"/>
          <w:sz w:val="24"/>
          <w:szCs w:val="24"/>
        </w:rPr>
        <w:t>。</w:t>
      </w:r>
    </w:p>
    <w:p w14:paraId="4BBAD68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Cs/>
          <w:color w:val="auto"/>
          <w:sz w:val="24"/>
          <w:szCs w:val="28"/>
          <w:highlight w:val="none"/>
          <w:lang w:eastAsia="zh-CN"/>
        </w:rPr>
      </w:pPr>
      <w:r>
        <w:rPr>
          <w:rFonts w:ascii="Times New Roman" w:hAnsi="Times New Roman" w:eastAsia="宋体" w:cs="Times New Roman"/>
          <w:b/>
          <w:bCs w:val="0"/>
          <w:color w:val="auto"/>
          <w:sz w:val="24"/>
          <w:szCs w:val="28"/>
          <w:highlight w:val="none"/>
        </w:rPr>
        <w:t>表</w:t>
      </w:r>
      <w:r>
        <w:rPr>
          <w:rFonts w:hint="eastAsia" w:ascii="Times New Roman" w:hAnsi="Times New Roman" w:eastAsia="宋体" w:cs="Times New Roman"/>
          <w:b/>
          <w:bCs w:val="0"/>
          <w:color w:val="auto"/>
          <w:sz w:val="24"/>
          <w:szCs w:val="28"/>
          <w:highlight w:val="none"/>
          <w:lang w:val="en-US" w:eastAsia="zh-CN"/>
        </w:rPr>
        <w:t>6.3-17</w:t>
      </w:r>
      <w:r>
        <w:rPr>
          <w:rFonts w:ascii="Times New Roman" w:hAnsi="Times New Roman" w:eastAsia="宋体" w:cs="Times New Roman"/>
          <w:b/>
          <w:bCs w:val="0"/>
          <w:color w:val="auto"/>
          <w:sz w:val="24"/>
          <w:szCs w:val="28"/>
          <w:highlight w:val="none"/>
        </w:rPr>
        <w:t xml:space="preserve">  交通噪声监测结果一览表</w:t>
      </w:r>
      <w:r>
        <w:rPr>
          <w:rFonts w:hint="eastAsia" w:ascii="Times New Roman" w:hAnsi="Times New Roman" w:eastAsia="宋体" w:cs="Times New Roman"/>
          <w:b/>
          <w:bCs w:val="0"/>
          <w:color w:val="auto"/>
          <w:sz w:val="24"/>
          <w:szCs w:val="28"/>
          <w:highlight w:val="none"/>
          <w:lang w:eastAsia="zh-CN"/>
        </w:rPr>
        <w:t>（</w:t>
      </w:r>
      <w:r>
        <w:rPr>
          <w:rFonts w:ascii="Times New Roman" w:hAnsi="Times New Roman" w:eastAsia="宋体" w:cs="Times New Roman"/>
          <w:b/>
          <w:bCs w:val="0"/>
          <w:color w:val="auto"/>
          <w:sz w:val="24"/>
          <w:szCs w:val="28"/>
          <w:highlight w:val="none"/>
        </w:rPr>
        <w:t>dB</w:t>
      </w:r>
      <w:r>
        <w:rPr>
          <w:rFonts w:hint="eastAsia" w:ascii="Times New Roman" w:hAnsi="Times New Roman" w:eastAsia="宋体" w:cs="Times New Roman"/>
          <w:b/>
          <w:bCs w:val="0"/>
          <w:color w:val="auto"/>
          <w:sz w:val="24"/>
          <w:szCs w:val="28"/>
          <w:highlight w:val="none"/>
          <w:lang w:eastAsia="zh-CN"/>
        </w:rPr>
        <w:t>（</w:t>
      </w:r>
      <w:r>
        <w:rPr>
          <w:rFonts w:ascii="Times New Roman" w:hAnsi="Times New Roman" w:eastAsia="宋体" w:cs="Times New Roman"/>
          <w:b/>
          <w:bCs w:val="0"/>
          <w:color w:val="auto"/>
          <w:sz w:val="24"/>
          <w:szCs w:val="28"/>
          <w:highlight w:val="none"/>
        </w:rPr>
        <w:t>A</w:t>
      </w:r>
      <w:r>
        <w:rPr>
          <w:rFonts w:hint="eastAsia" w:ascii="Times New Roman" w:hAnsi="Times New Roman" w:eastAsia="宋体" w:cs="Times New Roman"/>
          <w:b/>
          <w:bCs w:val="0"/>
          <w:color w:val="auto"/>
          <w:sz w:val="24"/>
          <w:szCs w:val="28"/>
          <w:highlight w:val="none"/>
          <w:lang w:eastAsia="zh-CN"/>
        </w:rPr>
        <w:t>））</w:t>
      </w:r>
      <w:bookmarkStart w:id="1565" w:name="pindex9054"/>
      <w:bookmarkEnd w:id="1565"/>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245"/>
        <w:gridCol w:w="954"/>
        <w:gridCol w:w="946"/>
        <w:gridCol w:w="700"/>
        <w:gridCol w:w="682"/>
        <w:gridCol w:w="1323"/>
        <w:gridCol w:w="1323"/>
        <w:gridCol w:w="638"/>
        <w:gridCol w:w="764"/>
      </w:tblGrid>
      <w:tr w14:paraId="14D7418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725" w:type="pct"/>
            <w:vMerge w:val="restart"/>
            <w:vAlign w:val="center"/>
          </w:tcPr>
          <w:p w14:paraId="602C893F">
            <w:pPr>
              <w:widowControl w:val="0"/>
              <w:autoSpaceDE w:val="0"/>
              <w:autoSpaceDN w:val="0"/>
              <w:adjustRightInd w:val="0"/>
              <w:snapToGrid w:val="0"/>
              <w:jc w:val="center"/>
              <w:rPr>
                <w:rFonts w:hint="default" w:ascii="Times New Roman" w:hAnsi="Times New Roman" w:eastAsia="宋体" w:cs="Times New Roman"/>
                <w:b/>
                <w:color w:val="auto"/>
                <w:kern w:val="0"/>
                <w:sz w:val="21"/>
                <w:szCs w:val="21"/>
                <w:lang w:val="zh-CN"/>
              </w:rPr>
            </w:pPr>
            <w:r>
              <w:rPr>
                <w:rFonts w:hint="default" w:ascii="Times New Roman" w:hAnsi="Times New Roman" w:eastAsia="宋体" w:cs="Times New Roman"/>
                <w:b/>
                <w:color w:val="auto"/>
                <w:kern w:val="0"/>
                <w:sz w:val="21"/>
                <w:szCs w:val="21"/>
                <w:lang w:val="zh-CN"/>
              </w:rPr>
              <w:t>监测</w:t>
            </w:r>
          </w:p>
          <w:p w14:paraId="1861D672">
            <w:pPr>
              <w:widowControl w:val="0"/>
              <w:autoSpaceDE w:val="0"/>
              <w:autoSpaceDN w:val="0"/>
              <w:adjustRightInd w:val="0"/>
              <w:snapToGrid w:val="0"/>
              <w:jc w:val="center"/>
              <w:rPr>
                <w:rFonts w:hint="default" w:ascii="Times New Roman" w:hAnsi="Times New Roman" w:eastAsia="宋体" w:cs="Times New Roman"/>
                <w:b/>
                <w:color w:val="auto"/>
                <w:kern w:val="0"/>
                <w:sz w:val="21"/>
                <w:szCs w:val="21"/>
                <w:lang w:val="zh-CN"/>
              </w:rPr>
            </w:pPr>
            <w:r>
              <w:rPr>
                <w:rFonts w:hint="default" w:ascii="Times New Roman" w:hAnsi="Times New Roman" w:eastAsia="宋体" w:cs="Times New Roman"/>
                <w:b/>
                <w:color w:val="auto"/>
                <w:kern w:val="0"/>
                <w:sz w:val="21"/>
                <w:szCs w:val="21"/>
                <w:lang w:val="zh-CN"/>
              </w:rPr>
              <w:t>点位</w:t>
            </w:r>
          </w:p>
        </w:tc>
        <w:tc>
          <w:tcPr>
            <w:tcW w:w="1913" w:type="pct"/>
            <w:gridSpan w:val="4"/>
            <w:vAlign w:val="center"/>
          </w:tcPr>
          <w:p w14:paraId="409B78DF">
            <w:pPr>
              <w:widowControl w:val="0"/>
              <w:autoSpaceDE w:val="0"/>
              <w:autoSpaceDN w:val="0"/>
              <w:adjustRightInd w:val="0"/>
              <w:snapToGrid w:val="0"/>
              <w:jc w:val="center"/>
              <w:rPr>
                <w:rFonts w:hint="default" w:ascii="Times New Roman" w:hAnsi="Times New Roman" w:eastAsia="宋体" w:cs="Times New Roman"/>
                <w:b/>
                <w:color w:val="auto"/>
                <w:kern w:val="0"/>
                <w:sz w:val="21"/>
                <w:szCs w:val="21"/>
                <w:lang w:val="zh-CN"/>
              </w:rPr>
            </w:pPr>
            <w:r>
              <w:rPr>
                <w:rFonts w:hint="default" w:ascii="Times New Roman" w:hAnsi="Times New Roman" w:eastAsia="宋体" w:cs="Times New Roman"/>
                <w:b/>
                <w:color w:val="auto"/>
                <w:kern w:val="0"/>
                <w:sz w:val="21"/>
                <w:szCs w:val="21"/>
                <w:lang w:val="zh-CN"/>
              </w:rPr>
              <w:t>昼间</w:t>
            </w:r>
          </w:p>
        </w:tc>
        <w:tc>
          <w:tcPr>
            <w:tcW w:w="2360" w:type="pct"/>
            <w:gridSpan w:val="4"/>
            <w:vAlign w:val="center"/>
          </w:tcPr>
          <w:p w14:paraId="003E9ABB">
            <w:pPr>
              <w:widowControl w:val="0"/>
              <w:autoSpaceDE w:val="0"/>
              <w:autoSpaceDN w:val="0"/>
              <w:adjustRightInd w:val="0"/>
              <w:snapToGrid w:val="0"/>
              <w:jc w:val="center"/>
              <w:rPr>
                <w:rFonts w:hint="default" w:ascii="Times New Roman" w:hAnsi="Times New Roman" w:eastAsia="宋体" w:cs="Times New Roman"/>
                <w:b/>
                <w:color w:val="auto"/>
                <w:kern w:val="0"/>
                <w:sz w:val="21"/>
                <w:szCs w:val="21"/>
                <w:lang w:val="zh-CN"/>
              </w:rPr>
            </w:pPr>
            <w:r>
              <w:rPr>
                <w:rFonts w:hint="default" w:ascii="Times New Roman" w:hAnsi="Times New Roman" w:eastAsia="宋体" w:cs="Times New Roman"/>
                <w:b/>
                <w:color w:val="auto"/>
                <w:kern w:val="0"/>
                <w:sz w:val="21"/>
                <w:szCs w:val="21"/>
                <w:lang w:val="zh-CN"/>
              </w:rPr>
              <w:t>夜间</w:t>
            </w:r>
          </w:p>
        </w:tc>
      </w:tr>
      <w:tr w14:paraId="0A5FD9F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725" w:type="pct"/>
            <w:vMerge w:val="continue"/>
            <w:vAlign w:val="center"/>
          </w:tcPr>
          <w:p w14:paraId="6CDAB497">
            <w:pPr>
              <w:widowControl w:val="0"/>
              <w:autoSpaceDE w:val="0"/>
              <w:autoSpaceDN w:val="0"/>
              <w:adjustRightInd w:val="0"/>
              <w:snapToGrid w:val="0"/>
              <w:jc w:val="center"/>
              <w:rPr>
                <w:rFonts w:hint="default" w:ascii="Times New Roman" w:hAnsi="Times New Roman" w:eastAsia="宋体" w:cs="Times New Roman"/>
                <w:b/>
                <w:color w:val="auto"/>
                <w:kern w:val="0"/>
                <w:sz w:val="21"/>
                <w:szCs w:val="21"/>
                <w:lang w:val="zh-CN"/>
              </w:rPr>
            </w:pPr>
          </w:p>
        </w:tc>
        <w:tc>
          <w:tcPr>
            <w:tcW w:w="556" w:type="pct"/>
            <w:vAlign w:val="center"/>
          </w:tcPr>
          <w:p w14:paraId="60ABBF4F">
            <w:pPr>
              <w:widowControl w:val="0"/>
              <w:autoSpaceDE w:val="0"/>
              <w:autoSpaceDN w:val="0"/>
              <w:adjustRightInd w:val="0"/>
              <w:snapToGrid w:val="0"/>
              <w:jc w:val="center"/>
              <w:rPr>
                <w:rFonts w:hint="default" w:ascii="Times New Roman" w:hAnsi="Times New Roman" w:eastAsia="宋体" w:cs="Times New Roman"/>
                <w:b/>
                <w:color w:val="auto"/>
                <w:kern w:val="0"/>
                <w:sz w:val="21"/>
                <w:szCs w:val="21"/>
                <w:lang w:val="zh-CN"/>
              </w:rPr>
            </w:pPr>
            <w:r>
              <w:rPr>
                <w:rFonts w:hint="default" w:ascii="Times New Roman" w:hAnsi="Times New Roman" w:eastAsia="宋体" w:cs="Times New Roman"/>
                <w:b/>
                <w:bCs/>
                <w:color w:val="auto"/>
                <w:sz w:val="21"/>
                <w:szCs w:val="21"/>
                <w:lang w:val="en-US" w:eastAsia="zh-CN"/>
              </w:rPr>
              <w:t>2024.8.6~8.7</w:t>
            </w:r>
          </w:p>
        </w:tc>
        <w:tc>
          <w:tcPr>
            <w:tcW w:w="551" w:type="pct"/>
            <w:vAlign w:val="center"/>
          </w:tcPr>
          <w:p w14:paraId="365CDF42">
            <w:pPr>
              <w:widowControl w:val="0"/>
              <w:autoSpaceDE w:val="0"/>
              <w:autoSpaceDN w:val="0"/>
              <w:adjustRightInd w:val="0"/>
              <w:snapToGrid w:val="0"/>
              <w:jc w:val="center"/>
              <w:rPr>
                <w:rFonts w:hint="default" w:ascii="Times New Roman" w:hAnsi="Times New Roman" w:eastAsia="宋体" w:cs="Times New Roman"/>
                <w:b/>
                <w:color w:val="auto"/>
                <w:kern w:val="0"/>
                <w:sz w:val="21"/>
                <w:szCs w:val="21"/>
                <w:lang w:val="zh-CN"/>
              </w:rPr>
            </w:pPr>
            <w:r>
              <w:rPr>
                <w:rFonts w:hint="default" w:ascii="Times New Roman" w:hAnsi="Times New Roman" w:eastAsia="宋体" w:cs="Times New Roman"/>
                <w:b/>
                <w:bCs/>
                <w:color w:val="auto"/>
                <w:sz w:val="21"/>
                <w:szCs w:val="21"/>
                <w:lang w:val="en-US" w:eastAsia="zh-CN"/>
              </w:rPr>
              <w:t>2024.8.7~8.8</w:t>
            </w:r>
          </w:p>
        </w:tc>
        <w:tc>
          <w:tcPr>
            <w:tcW w:w="408" w:type="pct"/>
            <w:vAlign w:val="center"/>
          </w:tcPr>
          <w:p w14:paraId="1DEB722B">
            <w:pPr>
              <w:widowControl w:val="0"/>
              <w:autoSpaceDE w:val="0"/>
              <w:autoSpaceDN w:val="0"/>
              <w:adjustRightInd w:val="0"/>
              <w:snapToGrid w:val="0"/>
              <w:jc w:val="center"/>
              <w:rPr>
                <w:rFonts w:hint="default" w:ascii="Times New Roman" w:hAnsi="Times New Roman" w:eastAsia="宋体" w:cs="Times New Roman"/>
                <w:b/>
                <w:color w:val="auto"/>
                <w:kern w:val="0"/>
                <w:sz w:val="21"/>
                <w:szCs w:val="21"/>
                <w:lang w:val="zh-CN"/>
              </w:rPr>
            </w:pPr>
            <w:r>
              <w:rPr>
                <w:rFonts w:hint="default" w:ascii="Times New Roman" w:hAnsi="Times New Roman" w:eastAsia="宋体" w:cs="Times New Roman"/>
                <w:b/>
                <w:color w:val="auto"/>
                <w:kern w:val="0"/>
                <w:sz w:val="21"/>
                <w:szCs w:val="21"/>
                <w:lang w:val="zh-CN"/>
              </w:rPr>
              <w:t>标准</w:t>
            </w:r>
          </w:p>
        </w:tc>
        <w:tc>
          <w:tcPr>
            <w:tcW w:w="397" w:type="pct"/>
            <w:vAlign w:val="center"/>
          </w:tcPr>
          <w:p w14:paraId="67AD239B">
            <w:pPr>
              <w:widowControl w:val="0"/>
              <w:autoSpaceDE w:val="0"/>
              <w:autoSpaceDN w:val="0"/>
              <w:adjustRightInd w:val="0"/>
              <w:snapToGrid w:val="0"/>
              <w:jc w:val="center"/>
              <w:rPr>
                <w:rFonts w:hint="default" w:ascii="Times New Roman" w:hAnsi="Times New Roman" w:eastAsia="宋体" w:cs="Times New Roman"/>
                <w:b/>
                <w:color w:val="auto"/>
                <w:kern w:val="0"/>
                <w:sz w:val="21"/>
                <w:szCs w:val="21"/>
                <w:lang w:val="zh-CN"/>
              </w:rPr>
            </w:pPr>
            <w:r>
              <w:rPr>
                <w:rFonts w:hint="default" w:ascii="Times New Roman" w:hAnsi="Times New Roman" w:eastAsia="宋体" w:cs="Times New Roman"/>
                <w:b/>
                <w:color w:val="auto"/>
                <w:kern w:val="0"/>
                <w:sz w:val="21"/>
                <w:szCs w:val="21"/>
                <w:lang w:val="zh-CN"/>
              </w:rPr>
              <w:t>达标状况</w:t>
            </w:r>
          </w:p>
        </w:tc>
        <w:tc>
          <w:tcPr>
            <w:tcW w:w="771" w:type="pct"/>
            <w:vAlign w:val="center"/>
          </w:tcPr>
          <w:p w14:paraId="166109C7">
            <w:pPr>
              <w:widowControl w:val="0"/>
              <w:autoSpaceDE w:val="0"/>
              <w:autoSpaceDN w:val="0"/>
              <w:adjustRightInd w:val="0"/>
              <w:snapToGrid w:val="0"/>
              <w:jc w:val="center"/>
              <w:rPr>
                <w:rFonts w:hint="default" w:ascii="Times New Roman" w:hAnsi="Times New Roman" w:eastAsia="宋体" w:cs="Times New Roman"/>
                <w:b/>
                <w:color w:val="auto"/>
                <w:kern w:val="0"/>
                <w:sz w:val="21"/>
                <w:szCs w:val="21"/>
                <w:lang w:val="zh-CN"/>
              </w:rPr>
            </w:pPr>
            <w:r>
              <w:rPr>
                <w:rFonts w:hint="default" w:ascii="Times New Roman" w:hAnsi="Times New Roman" w:eastAsia="宋体" w:cs="Times New Roman"/>
                <w:b/>
                <w:bCs/>
                <w:color w:val="auto"/>
                <w:sz w:val="21"/>
                <w:szCs w:val="21"/>
                <w:lang w:val="en-US" w:eastAsia="zh-CN"/>
              </w:rPr>
              <w:t>2024.8.6~8.7</w:t>
            </w:r>
          </w:p>
        </w:tc>
        <w:tc>
          <w:tcPr>
            <w:tcW w:w="771" w:type="pct"/>
            <w:vAlign w:val="center"/>
          </w:tcPr>
          <w:p w14:paraId="489977ED">
            <w:pPr>
              <w:widowControl w:val="0"/>
              <w:autoSpaceDE w:val="0"/>
              <w:autoSpaceDN w:val="0"/>
              <w:adjustRightInd w:val="0"/>
              <w:snapToGrid w:val="0"/>
              <w:jc w:val="center"/>
              <w:rPr>
                <w:rFonts w:hint="default" w:ascii="Times New Roman" w:hAnsi="Times New Roman" w:eastAsia="宋体" w:cs="Times New Roman"/>
                <w:b/>
                <w:color w:val="auto"/>
                <w:kern w:val="0"/>
                <w:sz w:val="21"/>
                <w:szCs w:val="21"/>
                <w:lang w:val="zh-CN"/>
              </w:rPr>
            </w:pPr>
            <w:r>
              <w:rPr>
                <w:rFonts w:hint="default" w:ascii="Times New Roman" w:hAnsi="Times New Roman" w:eastAsia="宋体" w:cs="Times New Roman"/>
                <w:b/>
                <w:bCs/>
                <w:color w:val="auto"/>
                <w:sz w:val="21"/>
                <w:szCs w:val="21"/>
                <w:lang w:val="en-US" w:eastAsia="zh-CN"/>
              </w:rPr>
              <w:t>2024.8.7~8.8</w:t>
            </w:r>
          </w:p>
        </w:tc>
        <w:tc>
          <w:tcPr>
            <w:tcW w:w="372" w:type="pct"/>
            <w:vAlign w:val="center"/>
          </w:tcPr>
          <w:p w14:paraId="1E6B919A">
            <w:pPr>
              <w:widowControl w:val="0"/>
              <w:autoSpaceDE w:val="0"/>
              <w:autoSpaceDN w:val="0"/>
              <w:adjustRightInd w:val="0"/>
              <w:snapToGrid w:val="0"/>
              <w:jc w:val="center"/>
              <w:rPr>
                <w:rFonts w:hint="default" w:ascii="Times New Roman" w:hAnsi="Times New Roman" w:eastAsia="宋体" w:cs="Times New Roman"/>
                <w:b/>
                <w:color w:val="auto"/>
                <w:kern w:val="0"/>
                <w:sz w:val="21"/>
                <w:szCs w:val="21"/>
                <w:lang w:val="zh-CN"/>
              </w:rPr>
            </w:pPr>
            <w:r>
              <w:rPr>
                <w:rFonts w:hint="default" w:ascii="Times New Roman" w:hAnsi="Times New Roman" w:eastAsia="宋体" w:cs="Times New Roman"/>
                <w:b/>
                <w:color w:val="auto"/>
                <w:kern w:val="0"/>
                <w:sz w:val="21"/>
                <w:szCs w:val="21"/>
                <w:lang w:val="zh-CN"/>
              </w:rPr>
              <w:t>标准</w:t>
            </w:r>
          </w:p>
        </w:tc>
        <w:tc>
          <w:tcPr>
            <w:tcW w:w="445" w:type="pct"/>
            <w:vAlign w:val="center"/>
          </w:tcPr>
          <w:p w14:paraId="1C72E890">
            <w:pPr>
              <w:widowControl w:val="0"/>
              <w:autoSpaceDE w:val="0"/>
              <w:autoSpaceDN w:val="0"/>
              <w:adjustRightInd w:val="0"/>
              <w:snapToGrid w:val="0"/>
              <w:jc w:val="center"/>
              <w:rPr>
                <w:rFonts w:hint="default" w:ascii="Times New Roman" w:hAnsi="Times New Roman" w:eastAsia="宋体" w:cs="Times New Roman"/>
                <w:b/>
                <w:color w:val="auto"/>
                <w:kern w:val="0"/>
                <w:sz w:val="21"/>
                <w:szCs w:val="21"/>
                <w:lang w:val="zh-CN"/>
              </w:rPr>
            </w:pPr>
            <w:r>
              <w:rPr>
                <w:rFonts w:hint="default" w:ascii="Times New Roman" w:hAnsi="Times New Roman" w:eastAsia="宋体" w:cs="Times New Roman"/>
                <w:b/>
                <w:color w:val="auto"/>
                <w:kern w:val="0"/>
                <w:sz w:val="21"/>
                <w:szCs w:val="21"/>
                <w:lang w:val="zh-CN"/>
              </w:rPr>
              <w:t>达标状况</w:t>
            </w:r>
          </w:p>
        </w:tc>
      </w:tr>
      <w:tr w14:paraId="2B238C3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725" w:type="pct"/>
            <w:vAlign w:val="center"/>
          </w:tcPr>
          <w:p w14:paraId="5B574B2F">
            <w:pPr>
              <w:widowControl w:val="0"/>
              <w:jc w:val="center"/>
              <w:rPr>
                <w:rFonts w:hint="default" w:ascii="Times New Roman" w:hAnsi="Times New Roman" w:eastAsia="宋体" w:cs="Times New Roman"/>
                <w:color w:val="auto"/>
                <w:kern w:val="0"/>
                <w:sz w:val="21"/>
                <w:szCs w:val="21"/>
                <w:lang w:val="zh-CN"/>
              </w:rPr>
            </w:pPr>
            <w:r>
              <w:rPr>
                <w:rFonts w:hint="default" w:ascii="Times New Roman" w:hAnsi="Times New Roman" w:eastAsia="宋体" w:cs="Times New Roman"/>
                <w:color w:val="auto"/>
                <w:kern w:val="2"/>
                <w:sz w:val="21"/>
                <w:szCs w:val="21"/>
                <w:lang w:val="en-US" w:eastAsia="zh-CN" w:bidi="ar-SA"/>
              </w:rPr>
              <w:t>N3京台线与秦淮路交叉</w:t>
            </w:r>
          </w:p>
        </w:tc>
        <w:tc>
          <w:tcPr>
            <w:tcW w:w="556" w:type="pct"/>
            <w:vAlign w:val="center"/>
          </w:tcPr>
          <w:p w14:paraId="2DA92FD7">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2"/>
                <w:sz w:val="21"/>
                <w:szCs w:val="21"/>
                <w:lang w:val="en-US" w:eastAsia="zh-CN" w:bidi="ar-SA"/>
              </w:rPr>
              <w:t>68.6</w:t>
            </w:r>
          </w:p>
        </w:tc>
        <w:tc>
          <w:tcPr>
            <w:tcW w:w="551" w:type="pct"/>
            <w:vAlign w:val="center"/>
          </w:tcPr>
          <w:p w14:paraId="466944C4">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val="en-US" w:eastAsia="zh-CN"/>
              </w:rPr>
              <w:t>67.9</w:t>
            </w:r>
          </w:p>
        </w:tc>
        <w:tc>
          <w:tcPr>
            <w:tcW w:w="408" w:type="pct"/>
            <w:vAlign w:val="center"/>
          </w:tcPr>
          <w:p w14:paraId="43A19872">
            <w:pPr>
              <w:widowControl w:val="0"/>
              <w:adjustRightInd w:val="0"/>
              <w:snapToGrid w:val="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70</w:t>
            </w:r>
          </w:p>
        </w:tc>
        <w:tc>
          <w:tcPr>
            <w:tcW w:w="397" w:type="pct"/>
            <w:vAlign w:val="center"/>
          </w:tcPr>
          <w:p w14:paraId="730C5E26">
            <w:pPr>
              <w:widowControl w:val="0"/>
              <w:autoSpaceDE w:val="0"/>
              <w:autoSpaceDN w:val="0"/>
              <w:adjustRightInd w:val="0"/>
              <w:snapToGrid w:val="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达标</w:t>
            </w:r>
          </w:p>
        </w:tc>
        <w:tc>
          <w:tcPr>
            <w:tcW w:w="771" w:type="pct"/>
            <w:vAlign w:val="center"/>
          </w:tcPr>
          <w:p w14:paraId="306C906E">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2"/>
                <w:sz w:val="21"/>
                <w:szCs w:val="21"/>
                <w:lang w:val="en-US" w:eastAsia="zh-CN" w:bidi="ar-SA"/>
              </w:rPr>
              <w:t>53.2</w:t>
            </w:r>
          </w:p>
        </w:tc>
        <w:tc>
          <w:tcPr>
            <w:tcW w:w="771" w:type="pct"/>
            <w:vAlign w:val="center"/>
          </w:tcPr>
          <w:p w14:paraId="63F945FE">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val="en-US" w:eastAsia="zh-CN"/>
              </w:rPr>
              <w:t>53.0</w:t>
            </w:r>
          </w:p>
        </w:tc>
        <w:tc>
          <w:tcPr>
            <w:tcW w:w="372" w:type="pct"/>
            <w:vAlign w:val="center"/>
          </w:tcPr>
          <w:p w14:paraId="22811F4F">
            <w:pPr>
              <w:widowControl w:val="0"/>
              <w:adjustRightInd w:val="0"/>
              <w:snapToGrid w:val="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55</w:t>
            </w:r>
          </w:p>
        </w:tc>
        <w:tc>
          <w:tcPr>
            <w:tcW w:w="445" w:type="pct"/>
            <w:vAlign w:val="center"/>
          </w:tcPr>
          <w:p w14:paraId="556EA339">
            <w:pPr>
              <w:widowControl w:val="0"/>
              <w:autoSpaceDE w:val="0"/>
              <w:autoSpaceDN w:val="0"/>
              <w:adjustRightInd w:val="0"/>
              <w:snapToGrid w:val="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达标</w:t>
            </w:r>
          </w:p>
        </w:tc>
      </w:tr>
      <w:tr w14:paraId="1962DEA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839" w:hRule="atLeast"/>
          <w:jc w:val="center"/>
        </w:trPr>
        <w:tc>
          <w:tcPr>
            <w:tcW w:w="725" w:type="pct"/>
            <w:vAlign w:val="center"/>
          </w:tcPr>
          <w:p w14:paraId="3452F4CC">
            <w:pPr>
              <w:widowControl w:val="0"/>
              <w:jc w:val="center"/>
              <w:rPr>
                <w:rFonts w:hint="default" w:ascii="Times New Roman" w:hAnsi="Times New Roman" w:eastAsia="宋体" w:cs="Times New Roman"/>
                <w:color w:val="auto"/>
                <w:kern w:val="0"/>
                <w:sz w:val="21"/>
                <w:szCs w:val="21"/>
                <w:lang w:val="zh-CN"/>
              </w:rPr>
            </w:pPr>
            <w:r>
              <w:rPr>
                <w:rFonts w:hint="default" w:ascii="Times New Roman" w:hAnsi="Times New Roman" w:eastAsia="宋体" w:cs="Times New Roman"/>
                <w:color w:val="auto"/>
                <w:kern w:val="2"/>
                <w:sz w:val="21"/>
                <w:szCs w:val="21"/>
                <w:lang w:val="en-US" w:eastAsia="zh-CN" w:bidi="ar-SA"/>
              </w:rPr>
              <w:t>N7机场高速与天元西路交叉口</w:t>
            </w:r>
          </w:p>
        </w:tc>
        <w:tc>
          <w:tcPr>
            <w:tcW w:w="556" w:type="pct"/>
            <w:vAlign w:val="center"/>
          </w:tcPr>
          <w:p w14:paraId="2443B8A4">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2"/>
                <w:sz w:val="21"/>
                <w:szCs w:val="21"/>
                <w:lang w:val="en-US" w:eastAsia="zh-CN" w:bidi="ar-SA"/>
              </w:rPr>
              <w:t>66.9</w:t>
            </w:r>
          </w:p>
        </w:tc>
        <w:tc>
          <w:tcPr>
            <w:tcW w:w="551" w:type="pct"/>
            <w:vAlign w:val="center"/>
          </w:tcPr>
          <w:p w14:paraId="581100AB">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val="en-US" w:eastAsia="zh-CN"/>
              </w:rPr>
              <w:t>66.3</w:t>
            </w:r>
          </w:p>
        </w:tc>
        <w:tc>
          <w:tcPr>
            <w:tcW w:w="408" w:type="pct"/>
            <w:vAlign w:val="center"/>
          </w:tcPr>
          <w:p w14:paraId="1E53EB10">
            <w:pPr>
              <w:widowControl w:val="0"/>
              <w:adjustRightInd w:val="0"/>
              <w:snapToGrid w:val="0"/>
              <w:jc w:val="center"/>
              <w:rPr>
                <w:rFonts w:hint="default"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lang w:val="en-US" w:eastAsia="zh-CN"/>
              </w:rPr>
              <w:t>70</w:t>
            </w:r>
          </w:p>
        </w:tc>
        <w:tc>
          <w:tcPr>
            <w:tcW w:w="397" w:type="pct"/>
            <w:vAlign w:val="center"/>
          </w:tcPr>
          <w:p w14:paraId="2DADD355">
            <w:pPr>
              <w:widowControl w:val="0"/>
              <w:autoSpaceDE w:val="0"/>
              <w:autoSpaceDN w:val="0"/>
              <w:adjustRightInd w:val="0"/>
              <w:snapToGrid w:val="0"/>
              <w:jc w:val="center"/>
              <w:rPr>
                <w:rFonts w:hint="default" w:ascii="Times New Roman" w:hAnsi="Times New Roman" w:eastAsia="宋体" w:cs="Times New Roman"/>
                <w:color w:val="auto"/>
                <w:kern w:val="0"/>
                <w:sz w:val="21"/>
                <w:szCs w:val="21"/>
                <w:lang w:val="zh-CN"/>
              </w:rPr>
            </w:pPr>
            <w:r>
              <w:rPr>
                <w:rFonts w:hint="eastAsia" w:ascii="Times New Roman" w:hAnsi="Times New Roman" w:eastAsia="宋体" w:cs="Times New Roman"/>
                <w:color w:val="auto"/>
                <w:kern w:val="0"/>
                <w:sz w:val="21"/>
                <w:szCs w:val="21"/>
                <w:lang w:val="en-US" w:eastAsia="zh-CN"/>
              </w:rPr>
              <w:t>达标</w:t>
            </w:r>
          </w:p>
        </w:tc>
        <w:tc>
          <w:tcPr>
            <w:tcW w:w="771" w:type="pct"/>
            <w:vAlign w:val="center"/>
          </w:tcPr>
          <w:p w14:paraId="5B999D8E">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2"/>
                <w:sz w:val="21"/>
                <w:szCs w:val="21"/>
                <w:lang w:val="en-US" w:eastAsia="zh-CN" w:bidi="ar-SA"/>
              </w:rPr>
              <w:t>52.2</w:t>
            </w:r>
          </w:p>
        </w:tc>
        <w:tc>
          <w:tcPr>
            <w:tcW w:w="771" w:type="pct"/>
            <w:vAlign w:val="center"/>
          </w:tcPr>
          <w:p w14:paraId="1B37A4A3">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val="en-US" w:eastAsia="zh-CN"/>
              </w:rPr>
              <w:t>52.0</w:t>
            </w:r>
          </w:p>
        </w:tc>
        <w:tc>
          <w:tcPr>
            <w:tcW w:w="372" w:type="pct"/>
            <w:vAlign w:val="center"/>
          </w:tcPr>
          <w:p w14:paraId="3C214B32">
            <w:pPr>
              <w:widowControl w:val="0"/>
              <w:adjustRightInd w:val="0"/>
              <w:snapToGrid w:val="0"/>
              <w:jc w:val="center"/>
              <w:rPr>
                <w:rFonts w:hint="default"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lang w:val="en-US" w:eastAsia="zh-CN"/>
              </w:rPr>
              <w:t>55</w:t>
            </w:r>
          </w:p>
        </w:tc>
        <w:tc>
          <w:tcPr>
            <w:tcW w:w="445" w:type="pct"/>
            <w:vAlign w:val="center"/>
          </w:tcPr>
          <w:p w14:paraId="5120BD01">
            <w:pPr>
              <w:widowControl w:val="0"/>
              <w:autoSpaceDE w:val="0"/>
              <w:autoSpaceDN w:val="0"/>
              <w:adjustRightInd w:val="0"/>
              <w:snapToGrid w:val="0"/>
              <w:jc w:val="center"/>
              <w:rPr>
                <w:rFonts w:hint="default" w:ascii="Times New Roman" w:hAnsi="Times New Roman" w:eastAsia="宋体" w:cs="Times New Roman"/>
                <w:color w:val="auto"/>
                <w:kern w:val="0"/>
                <w:sz w:val="21"/>
                <w:szCs w:val="21"/>
                <w:lang w:val="zh-CN"/>
              </w:rPr>
            </w:pPr>
            <w:r>
              <w:rPr>
                <w:rFonts w:hint="eastAsia" w:ascii="Times New Roman" w:hAnsi="Times New Roman" w:eastAsia="宋体" w:cs="Times New Roman"/>
                <w:color w:val="auto"/>
                <w:kern w:val="0"/>
                <w:sz w:val="21"/>
                <w:szCs w:val="21"/>
                <w:lang w:val="en-US" w:eastAsia="zh-CN"/>
              </w:rPr>
              <w:t>达标</w:t>
            </w:r>
          </w:p>
        </w:tc>
      </w:tr>
      <w:tr w14:paraId="01BB805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725" w:type="pct"/>
            <w:vAlign w:val="center"/>
          </w:tcPr>
          <w:p w14:paraId="4C86297E">
            <w:pPr>
              <w:widowControl w:val="0"/>
              <w:jc w:val="center"/>
              <w:rPr>
                <w:rFonts w:hint="default" w:ascii="Times New Roman" w:hAnsi="Times New Roman" w:eastAsia="宋体" w:cs="Times New Roman"/>
                <w:color w:val="auto"/>
                <w:kern w:val="0"/>
                <w:sz w:val="21"/>
                <w:szCs w:val="21"/>
                <w:lang w:val="zh-CN"/>
              </w:rPr>
            </w:pPr>
            <w:r>
              <w:rPr>
                <w:rFonts w:hint="default" w:ascii="Times New Roman" w:hAnsi="Times New Roman" w:eastAsia="宋体" w:cs="Times New Roman"/>
                <w:color w:val="auto"/>
                <w:sz w:val="21"/>
                <w:szCs w:val="21"/>
                <w:lang w:val="en-US" w:eastAsia="zh-CN"/>
              </w:rPr>
              <w:t>N15苏源大道与吉印</w:t>
            </w:r>
            <w:r>
              <w:rPr>
                <w:rFonts w:hint="eastAsia" w:ascii="Times New Roman" w:hAnsi="Times New Roman" w:eastAsia="宋体" w:cs="Times New Roman"/>
                <w:color w:val="auto"/>
                <w:sz w:val="21"/>
                <w:szCs w:val="21"/>
                <w:lang w:val="en-US" w:eastAsia="zh-CN"/>
              </w:rPr>
              <w:t>大道交会处</w:t>
            </w:r>
          </w:p>
        </w:tc>
        <w:tc>
          <w:tcPr>
            <w:tcW w:w="556" w:type="pct"/>
            <w:vAlign w:val="center"/>
          </w:tcPr>
          <w:p w14:paraId="57AA1630">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2"/>
                <w:sz w:val="21"/>
                <w:szCs w:val="21"/>
                <w:lang w:val="en-US" w:eastAsia="zh-CN" w:bidi="ar-SA"/>
              </w:rPr>
              <w:t>67.2</w:t>
            </w:r>
          </w:p>
        </w:tc>
        <w:tc>
          <w:tcPr>
            <w:tcW w:w="551" w:type="pct"/>
            <w:vAlign w:val="center"/>
          </w:tcPr>
          <w:p w14:paraId="280B294B">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val="en-US" w:eastAsia="zh-CN"/>
              </w:rPr>
              <w:t>67.5</w:t>
            </w:r>
          </w:p>
        </w:tc>
        <w:tc>
          <w:tcPr>
            <w:tcW w:w="408" w:type="pct"/>
            <w:vAlign w:val="center"/>
          </w:tcPr>
          <w:p w14:paraId="65B5A864">
            <w:pPr>
              <w:widowControl w:val="0"/>
              <w:adjustRightInd w:val="0"/>
              <w:snapToGrid w:val="0"/>
              <w:jc w:val="center"/>
              <w:rPr>
                <w:rFonts w:hint="default"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lang w:val="en-US" w:eastAsia="zh-CN"/>
              </w:rPr>
              <w:t>70</w:t>
            </w:r>
          </w:p>
        </w:tc>
        <w:tc>
          <w:tcPr>
            <w:tcW w:w="397" w:type="pct"/>
            <w:vAlign w:val="center"/>
          </w:tcPr>
          <w:p w14:paraId="472B8762">
            <w:pPr>
              <w:widowControl w:val="0"/>
              <w:autoSpaceDE w:val="0"/>
              <w:autoSpaceDN w:val="0"/>
              <w:adjustRightInd w:val="0"/>
              <w:snapToGrid w:val="0"/>
              <w:jc w:val="center"/>
              <w:rPr>
                <w:rFonts w:hint="default" w:ascii="Times New Roman" w:hAnsi="Times New Roman" w:eastAsia="宋体" w:cs="Times New Roman"/>
                <w:color w:val="auto"/>
                <w:kern w:val="0"/>
                <w:sz w:val="21"/>
                <w:szCs w:val="21"/>
                <w:lang w:val="zh-CN"/>
              </w:rPr>
            </w:pPr>
            <w:r>
              <w:rPr>
                <w:rFonts w:hint="eastAsia" w:ascii="Times New Roman" w:hAnsi="Times New Roman" w:eastAsia="宋体" w:cs="Times New Roman"/>
                <w:color w:val="auto"/>
                <w:kern w:val="0"/>
                <w:sz w:val="21"/>
                <w:szCs w:val="21"/>
                <w:lang w:val="en-US" w:eastAsia="zh-CN"/>
              </w:rPr>
              <w:t>达标</w:t>
            </w:r>
          </w:p>
        </w:tc>
        <w:tc>
          <w:tcPr>
            <w:tcW w:w="771" w:type="pct"/>
            <w:vAlign w:val="center"/>
          </w:tcPr>
          <w:p w14:paraId="74A09947">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2"/>
                <w:sz w:val="21"/>
                <w:szCs w:val="21"/>
                <w:lang w:val="en-US" w:eastAsia="zh-CN" w:bidi="ar-SA"/>
              </w:rPr>
              <w:t>51.9</w:t>
            </w:r>
          </w:p>
        </w:tc>
        <w:tc>
          <w:tcPr>
            <w:tcW w:w="771" w:type="pct"/>
            <w:vAlign w:val="center"/>
          </w:tcPr>
          <w:p w14:paraId="532E2580">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val="en-US" w:eastAsia="zh-CN"/>
              </w:rPr>
              <w:t>52.1</w:t>
            </w:r>
          </w:p>
        </w:tc>
        <w:tc>
          <w:tcPr>
            <w:tcW w:w="372" w:type="pct"/>
            <w:vAlign w:val="center"/>
          </w:tcPr>
          <w:p w14:paraId="14D65B3D">
            <w:pPr>
              <w:widowControl w:val="0"/>
              <w:adjustRightInd w:val="0"/>
              <w:snapToGrid w:val="0"/>
              <w:jc w:val="center"/>
              <w:rPr>
                <w:rFonts w:hint="default"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lang w:val="en-US" w:eastAsia="zh-CN"/>
              </w:rPr>
              <w:t>55</w:t>
            </w:r>
          </w:p>
        </w:tc>
        <w:tc>
          <w:tcPr>
            <w:tcW w:w="445" w:type="pct"/>
            <w:vAlign w:val="center"/>
          </w:tcPr>
          <w:p w14:paraId="23BD05E7">
            <w:pPr>
              <w:widowControl w:val="0"/>
              <w:autoSpaceDE w:val="0"/>
              <w:autoSpaceDN w:val="0"/>
              <w:adjustRightInd w:val="0"/>
              <w:snapToGrid w:val="0"/>
              <w:jc w:val="center"/>
              <w:rPr>
                <w:rFonts w:hint="default" w:ascii="Times New Roman" w:hAnsi="Times New Roman" w:eastAsia="宋体" w:cs="Times New Roman"/>
                <w:color w:val="auto"/>
                <w:kern w:val="0"/>
                <w:sz w:val="21"/>
                <w:szCs w:val="21"/>
                <w:lang w:val="zh-CN"/>
              </w:rPr>
            </w:pPr>
            <w:r>
              <w:rPr>
                <w:rFonts w:hint="eastAsia" w:ascii="Times New Roman" w:hAnsi="Times New Roman" w:eastAsia="宋体" w:cs="Times New Roman"/>
                <w:color w:val="auto"/>
                <w:kern w:val="0"/>
                <w:sz w:val="21"/>
                <w:szCs w:val="21"/>
                <w:lang w:val="en-US" w:eastAsia="zh-CN"/>
              </w:rPr>
              <w:t>达标</w:t>
            </w:r>
          </w:p>
        </w:tc>
      </w:tr>
      <w:tr w14:paraId="2C0B586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725" w:type="pct"/>
            <w:vAlign w:val="center"/>
          </w:tcPr>
          <w:p w14:paraId="72D2AAA2">
            <w:pPr>
              <w:pStyle w:val="30"/>
              <w:keepNext w:val="0"/>
              <w:keepLines w:val="0"/>
              <w:widowControl w:val="0"/>
              <w:suppressLineNumbers w:val="0"/>
              <w:spacing w:before="0" w:beforeAutospacing="0" w:after="0" w:afterAutospacing="0"/>
              <w:ind w:left="0" w:leftChars="0" w:right="0" w:rightChars="0"/>
              <w:rPr>
                <w:rFonts w:hint="default" w:ascii="Times New Roman" w:hAnsi="Times New Roman" w:eastAsia="宋体" w:cs="Times New Roman"/>
                <w:color w:val="auto"/>
                <w:kern w:val="0"/>
                <w:sz w:val="21"/>
                <w:szCs w:val="21"/>
                <w:lang w:val="zh-CN"/>
              </w:rPr>
            </w:pPr>
            <w:r>
              <w:rPr>
                <w:rFonts w:hint="default" w:ascii="Times New Roman" w:hAnsi="Times New Roman" w:eastAsia="宋体" w:cs="Times New Roman"/>
                <w:color w:val="auto"/>
                <w:sz w:val="21"/>
                <w:szCs w:val="21"/>
                <w:lang w:val="en-US" w:eastAsia="zh-CN"/>
              </w:rPr>
              <w:t>N20宁宣高速与绕城高速</w:t>
            </w:r>
          </w:p>
        </w:tc>
        <w:tc>
          <w:tcPr>
            <w:tcW w:w="556" w:type="pct"/>
            <w:vAlign w:val="center"/>
          </w:tcPr>
          <w:p w14:paraId="57BB5238">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2"/>
                <w:sz w:val="21"/>
                <w:szCs w:val="21"/>
                <w:lang w:val="en-US" w:eastAsia="zh-CN" w:bidi="ar-SA"/>
              </w:rPr>
              <w:t>69.4</w:t>
            </w:r>
          </w:p>
        </w:tc>
        <w:tc>
          <w:tcPr>
            <w:tcW w:w="551" w:type="pct"/>
            <w:vAlign w:val="center"/>
          </w:tcPr>
          <w:p w14:paraId="1FDAA2FA">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val="en-US" w:eastAsia="zh-CN"/>
              </w:rPr>
              <w:t>69.2</w:t>
            </w:r>
          </w:p>
        </w:tc>
        <w:tc>
          <w:tcPr>
            <w:tcW w:w="408" w:type="pct"/>
            <w:vAlign w:val="center"/>
          </w:tcPr>
          <w:p w14:paraId="2AB64F1E">
            <w:pPr>
              <w:widowControl w:val="0"/>
              <w:adjustRightInd w:val="0"/>
              <w:snapToGrid w:val="0"/>
              <w:jc w:val="center"/>
              <w:rPr>
                <w:rFonts w:hint="default"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lang w:val="en-US" w:eastAsia="zh-CN"/>
              </w:rPr>
              <w:t>70</w:t>
            </w:r>
          </w:p>
        </w:tc>
        <w:tc>
          <w:tcPr>
            <w:tcW w:w="397" w:type="pct"/>
            <w:vAlign w:val="center"/>
          </w:tcPr>
          <w:p w14:paraId="7CAB01CE">
            <w:pPr>
              <w:widowControl w:val="0"/>
              <w:autoSpaceDE w:val="0"/>
              <w:autoSpaceDN w:val="0"/>
              <w:adjustRightInd w:val="0"/>
              <w:snapToGrid w:val="0"/>
              <w:jc w:val="center"/>
              <w:rPr>
                <w:rFonts w:hint="default" w:ascii="Times New Roman" w:hAnsi="Times New Roman" w:eastAsia="宋体" w:cs="Times New Roman"/>
                <w:color w:val="auto"/>
                <w:kern w:val="0"/>
                <w:sz w:val="21"/>
                <w:szCs w:val="21"/>
                <w:lang w:val="zh-CN"/>
              </w:rPr>
            </w:pPr>
            <w:r>
              <w:rPr>
                <w:rFonts w:hint="eastAsia" w:ascii="Times New Roman" w:hAnsi="Times New Roman" w:eastAsia="宋体" w:cs="Times New Roman"/>
                <w:color w:val="auto"/>
                <w:kern w:val="0"/>
                <w:sz w:val="21"/>
                <w:szCs w:val="21"/>
                <w:lang w:val="en-US" w:eastAsia="zh-CN"/>
              </w:rPr>
              <w:t>达标</w:t>
            </w:r>
          </w:p>
        </w:tc>
        <w:tc>
          <w:tcPr>
            <w:tcW w:w="771" w:type="pct"/>
            <w:vAlign w:val="center"/>
          </w:tcPr>
          <w:p w14:paraId="2C5C6DD3">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2"/>
                <w:sz w:val="21"/>
                <w:szCs w:val="21"/>
                <w:lang w:val="en-US" w:eastAsia="zh-CN" w:bidi="ar-SA"/>
              </w:rPr>
              <w:t>54.2</w:t>
            </w:r>
          </w:p>
        </w:tc>
        <w:tc>
          <w:tcPr>
            <w:tcW w:w="771" w:type="pct"/>
            <w:vAlign w:val="center"/>
          </w:tcPr>
          <w:p w14:paraId="1B3157DD">
            <w:pPr>
              <w:widowControl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val="en-US" w:eastAsia="zh-CN"/>
              </w:rPr>
              <w:t>53.0</w:t>
            </w:r>
          </w:p>
        </w:tc>
        <w:tc>
          <w:tcPr>
            <w:tcW w:w="372" w:type="pct"/>
            <w:vAlign w:val="center"/>
          </w:tcPr>
          <w:p w14:paraId="5079DBA4">
            <w:pPr>
              <w:widowControl w:val="0"/>
              <w:adjustRightInd w:val="0"/>
              <w:snapToGrid w:val="0"/>
              <w:jc w:val="center"/>
              <w:rPr>
                <w:rFonts w:hint="default"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lang w:val="en-US" w:eastAsia="zh-CN"/>
              </w:rPr>
              <w:t>55</w:t>
            </w:r>
          </w:p>
        </w:tc>
        <w:tc>
          <w:tcPr>
            <w:tcW w:w="445" w:type="pct"/>
            <w:vAlign w:val="center"/>
          </w:tcPr>
          <w:p w14:paraId="7087BF2E">
            <w:pPr>
              <w:widowControl w:val="0"/>
              <w:autoSpaceDE w:val="0"/>
              <w:autoSpaceDN w:val="0"/>
              <w:adjustRightInd w:val="0"/>
              <w:snapToGrid w:val="0"/>
              <w:jc w:val="center"/>
              <w:rPr>
                <w:rFonts w:hint="default" w:ascii="Times New Roman" w:hAnsi="Times New Roman" w:eastAsia="宋体" w:cs="Times New Roman"/>
                <w:color w:val="auto"/>
                <w:kern w:val="0"/>
                <w:sz w:val="21"/>
                <w:szCs w:val="21"/>
                <w:lang w:val="zh-CN"/>
              </w:rPr>
            </w:pPr>
            <w:r>
              <w:rPr>
                <w:rFonts w:hint="eastAsia" w:ascii="Times New Roman" w:hAnsi="Times New Roman" w:eastAsia="宋体" w:cs="Times New Roman"/>
                <w:color w:val="auto"/>
                <w:kern w:val="0"/>
                <w:sz w:val="21"/>
                <w:szCs w:val="21"/>
                <w:lang w:val="en-US" w:eastAsia="zh-CN"/>
              </w:rPr>
              <w:t>达标</w:t>
            </w:r>
          </w:p>
        </w:tc>
      </w:tr>
    </w:tbl>
    <w:p w14:paraId="390C3D9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b/>
          <w:bCs w:val="0"/>
          <w:color w:val="auto"/>
          <w:sz w:val="24"/>
          <w:szCs w:val="28"/>
          <w:highlight w:val="none"/>
        </w:rPr>
      </w:pPr>
      <w:r>
        <w:rPr>
          <w:rFonts w:ascii="Times New Roman" w:hAnsi="Times New Roman" w:eastAsia="宋体" w:cs="Times New Roman"/>
          <w:b/>
          <w:bCs w:val="0"/>
          <w:color w:val="auto"/>
          <w:sz w:val="24"/>
          <w:szCs w:val="28"/>
          <w:highlight w:val="none"/>
        </w:rPr>
        <w:t>表</w:t>
      </w:r>
      <w:r>
        <w:rPr>
          <w:rFonts w:hint="eastAsia" w:ascii="Times New Roman" w:hAnsi="Times New Roman" w:eastAsia="宋体" w:cs="Times New Roman"/>
          <w:b/>
          <w:bCs w:val="0"/>
          <w:color w:val="auto"/>
          <w:sz w:val="24"/>
          <w:szCs w:val="28"/>
          <w:highlight w:val="none"/>
          <w:lang w:val="en-US" w:eastAsia="zh-CN"/>
        </w:rPr>
        <w:t>6.3-18</w:t>
      </w:r>
      <w:r>
        <w:rPr>
          <w:rFonts w:ascii="Times New Roman" w:hAnsi="Times New Roman" w:eastAsia="宋体" w:cs="Times New Roman"/>
          <w:b/>
          <w:bCs w:val="0"/>
          <w:color w:val="auto"/>
          <w:sz w:val="24"/>
          <w:szCs w:val="28"/>
          <w:highlight w:val="none"/>
        </w:rPr>
        <w:t xml:space="preserve">  工业区噪声监测结果一览表</w:t>
      </w:r>
      <w:r>
        <w:rPr>
          <w:rFonts w:hint="eastAsia" w:ascii="Times New Roman" w:hAnsi="Times New Roman" w:eastAsia="宋体" w:cs="Times New Roman"/>
          <w:b/>
          <w:bCs w:val="0"/>
          <w:color w:val="auto"/>
          <w:sz w:val="24"/>
          <w:szCs w:val="28"/>
          <w:highlight w:val="none"/>
          <w:lang w:eastAsia="zh-CN"/>
        </w:rPr>
        <w:t>（</w:t>
      </w:r>
      <w:r>
        <w:rPr>
          <w:rFonts w:ascii="Times New Roman" w:hAnsi="Times New Roman" w:eastAsia="宋体" w:cs="Times New Roman"/>
          <w:b/>
          <w:bCs w:val="0"/>
          <w:color w:val="auto"/>
          <w:sz w:val="24"/>
          <w:szCs w:val="28"/>
          <w:highlight w:val="none"/>
        </w:rPr>
        <w:t>dB</w:t>
      </w:r>
      <w:r>
        <w:rPr>
          <w:rFonts w:hint="eastAsia" w:ascii="Times New Roman" w:hAnsi="Times New Roman" w:eastAsia="宋体" w:cs="Times New Roman"/>
          <w:b/>
          <w:bCs w:val="0"/>
          <w:color w:val="auto"/>
          <w:sz w:val="24"/>
          <w:szCs w:val="28"/>
          <w:highlight w:val="none"/>
          <w:lang w:eastAsia="zh-CN"/>
        </w:rPr>
        <w:t>（</w:t>
      </w:r>
      <w:r>
        <w:rPr>
          <w:rFonts w:ascii="Times New Roman" w:hAnsi="Times New Roman" w:eastAsia="宋体" w:cs="Times New Roman"/>
          <w:b/>
          <w:bCs w:val="0"/>
          <w:color w:val="auto"/>
          <w:sz w:val="24"/>
          <w:szCs w:val="28"/>
          <w:highlight w:val="none"/>
        </w:rPr>
        <w:t>A</w:t>
      </w:r>
      <w:r>
        <w:rPr>
          <w:rFonts w:hint="eastAsia" w:ascii="Times New Roman" w:hAnsi="Times New Roman" w:eastAsia="宋体" w:cs="Times New Roman"/>
          <w:b/>
          <w:bCs w:val="0"/>
          <w:color w:val="auto"/>
          <w:sz w:val="24"/>
          <w:szCs w:val="28"/>
          <w:highlight w:val="none"/>
          <w:lang w:eastAsia="zh-CN"/>
        </w:rPr>
        <w:t>））</w:t>
      </w:r>
      <w:bookmarkStart w:id="1566" w:name="pindex9104"/>
      <w:bookmarkEnd w:id="1566"/>
    </w:p>
    <w:tbl>
      <w:tblPr>
        <w:tblStyle w:val="20"/>
        <w:tblW w:w="847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4"/>
        <w:gridCol w:w="1060"/>
        <w:gridCol w:w="1019"/>
        <w:gridCol w:w="1128"/>
        <w:gridCol w:w="594"/>
        <w:gridCol w:w="651"/>
        <w:gridCol w:w="1122"/>
        <w:gridCol w:w="1092"/>
        <w:gridCol w:w="607"/>
        <w:gridCol w:w="572"/>
      </w:tblGrid>
      <w:tr w14:paraId="67DBB2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634" w:type="dxa"/>
            <w:vMerge w:val="restart"/>
            <w:tcBorders>
              <w:tl2br w:val="nil"/>
              <w:tr2bl w:val="nil"/>
            </w:tcBorders>
            <w:vAlign w:val="center"/>
          </w:tcPr>
          <w:p w14:paraId="544C1E87">
            <w:pPr>
              <w:widowControl w:val="0"/>
              <w:bidi w:val="0"/>
              <w:jc w:val="center"/>
              <w:rPr>
                <w:rFonts w:hint="default" w:ascii="Times New Roman" w:hAnsi="Times New Roman" w:eastAsia="宋体" w:cs="Times New Roman"/>
                <w:b/>
                <w:bCs/>
                <w:color w:val="auto"/>
                <w:sz w:val="21"/>
                <w:szCs w:val="21"/>
                <w:lang w:val="en-US" w:eastAsia="zh-CN"/>
              </w:rPr>
            </w:pPr>
            <w:bookmarkStart w:id="1567" w:name="OLE_LINK544"/>
            <w:r>
              <w:rPr>
                <w:rFonts w:hint="eastAsia" w:ascii="Times New Roman" w:hAnsi="Times New Roman" w:eastAsia="宋体" w:cs="Times New Roman"/>
                <w:b/>
                <w:bCs/>
                <w:color w:val="auto"/>
                <w:sz w:val="21"/>
                <w:szCs w:val="21"/>
                <w:lang w:val="en-US" w:eastAsia="zh-CN"/>
              </w:rPr>
              <w:t>声功能区</w:t>
            </w:r>
            <w:bookmarkEnd w:id="1567"/>
          </w:p>
        </w:tc>
        <w:tc>
          <w:tcPr>
            <w:tcW w:w="1060" w:type="dxa"/>
            <w:vMerge w:val="restart"/>
            <w:tcBorders>
              <w:tl2br w:val="nil"/>
              <w:tr2bl w:val="nil"/>
            </w:tcBorders>
            <w:vAlign w:val="center"/>
          </w:tcPr>
          <w:p w14:paraId="44331721">
            <w:pPr>
              <w:widowControl w:val="0"/>
              <w:bidi w:val="0"/>
              <w:jc w:val="center"/>
              <w:rPr>
                <w:rFonts w:hint="default" w:ascii="Times New Roman" w:hAnsi="Times New Roman" w:eastAsia="宋体" w:cs="Times New Roman"/>
                <w:b/>
                <w:bCs/>
                <w:color w:val="auto"/>
                <w:sz w:val="21"/>
                <w:szCs w:val="21"/>
                <w:lang w:val="zh-CN"/>
              </w:rPr>
            </w:pPr>
            <w:r>
              <w:rPr>
                <w:rFonts w:hint="default" w:ascii="Times New Roman" w:hAnsi="Times New Roman" w:eastAsia="宋体" w:cs="Times New Roman"/>
                <w:b/>
                <w:bCs/>
                <w:color w:val="auto"/>
                <w:sz w:val="21"/>
                <w:szCs w:val="21"/>
                <w:lang w:val="zh-CN"/>
              </w:rPr>
              <w:t>监测</w:t>
            </w:r>
          </w:p>
          <w:p w14:paraId="01B12431">
            <w:pPr>
              <w:widowControl w:val="0"/>
              <w:bidi w:val="0"/>
              <w:jc w:val="center"/>
              <w:rPr>
                <w:color w:val="auto"/>
                <w:vertAlign w:val="baseline"/>
              </w:rPr>
            </w:pPr>
            <w:r>
              <w:rPr>
                <w:rFonts w:hint="default" w:ascii="Times New Roman" w:hAnsi="Times New Roman" w:eastAsia="宋体" w:cs="Times New Roman"/>
                <w:b/>
                <w:bCs/>
                <w:color w:val="auto"/>
                <w:sz w:val="21"/>
                <w:szCs w:val="21"/>
                <w:highlight w:val="none"/>
                <w:lang w:val="zh-CN"/>
              </w:rPr>
              <w:t>点位</w:t>
            </w:r>
          </w:p>
        </w:tc>
        <w:tc>
          <w:tcPr>
            <w:tcW w:w="3392" w:type="dxa"/>
            <w:gridSpan w:val="4"/>
            <w:tcBorders>
              <w:tl2br w:val="nil"/>
              <w:tr2bl w:val="nil"/>
            </w:tcBorders>
            <w:vAlign w:val="center"/>
          </w:tcPr>
          <w:p w14:paraId="1502A2BC">
            <w:pPr>
              <w:widowControl w:val="0"/>
              <w:bidi w:val="0"/>
              <w:jc w:val="center"/>
              <w:rPr>
                <w:color w:val="auto"/>
                <w:vertAlign w:val="baseline"/>
              </w:rPr>
            </w:pPr>
            <w:r>
              <w:rPr>
                <w:rFonts w:hint="default" w:ascii="Times New Roman" w:hAnsi="Times New Roman" w:eastAsia="宋体" w:cs="Times New Roman"/>
                <w:b/>
                <w:bCs/>
                <w:color w:val="auto"/>
                <w:sz w:val="21"/>
                <w:szCs w:val="21"/>
                <w:lang w:val="zh-CN"/>
              </w:rPr>
              <w:t>昼间</w:t>
            </w:r>
          </w:p>
        </w:tc>
        <w:tc>
          <w:tcPr>
            <w:tcW w:w="3393" w:type="dxa"/>
            <w:gridSpan w:val="4"/>
            <w:tcBorders>
              <w:tl2br w:val="nil"/>
              <w:tr2bl w:val="nil"/>
            </w:tcBorders>
            <w:vAlign w:val="center"/>
          </w:tcPr>
          <w:p w14:paraId="19F28779">
            <w:pPr>
              <w:widowControl w:val="0"/>
              <w:bidi w:val="0"/>
              <w:jc w:val="center"/>
              <w:rPr>
                <w:color w:val="auto"/>
                <w:vertAlign w:val="baseline"/>
              </w:rPr>
            </w:pPr>
            <w:r>
              <w:rPr>
                <w:rFonts w:hint="default" w:ascii="Times New Roman" w:hAnsi="Times New Roman" w:eastAsia="宋体" w:cs="Times New Roman"/>
                <w:b/>
                <w:bCs/>
                <w:color w:val="auto"/>
                <w:sz w:val="21"/>
                <w:szCs w:val="21"/>
                <w:lang w:val="zh-CN"/>
              </w:rPr>
              <w:t>夜间</w:t>
            </w:r>
          </w:p>
        </w:tc>
      </w:tr>
      <w:tr w14:paraId="38DB74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34" w:type="dxa"/>
            <w:vMerge w:val="continue"/>
            <w:tcBorders>
              <w:tl2br w:val="nil"/>
              <w:tr2bl w:val="nil"/>
            </w:tcBorders>
            <w:vAlign w:val="center"/>
          </w:tcPr>
          <w:p w14:paraId="05F505FD">
            <w:pPr>
              <w:widowControl w:val="0"/>
              <w:bidi w:val="0"/>
              <w:jc w:val="center"/>
              <w:rPr>
                <w:color w:val="auto"/>
                <w:vertAlign w:val="baseline"/>
              </w:rPr>
            </w:pPr>
          </w:p>
        </w:tc>
        <w:tc>
          <w:tcPr>
            <w:tcW w:w="1060" w:type="dxa"/>
            <w:vMerge w:val="continue"/>
            <w:tcBorders>
              <w:tl2br w:val="nil"/>
              <w:tr2bl w:val="nil"/>
            </w:tcBorders>
            <w:vAlign w:val="center"/>
          </w:tcPr>
          <w:p w14:paraId="047AAAE7">
            <w:pPr>
              <w:widowControl w:val="0"/>
              <w:bidi w:val="0"/>
              <w:jc w:val="center"/>
              <w:rPr>
                <w:color w:val="auto"/>
                <w:vertAlign w:val="baseline"/>
              </w:rPr>
            </w:pPr>
          </w:p>
        </w:tc>
        <w:tc>
          <w:tcPr>
            <w:tcW w:w="1019" w:type="dxa"/>
            <w:tcBorders>
              <w:tl2br w:val="nil"/>
              <w:tr2bl w:val="nil"/>
            </w:tcBorders>
            <w:vAlign w:val="center"/>
          </w:tcPr>
          <w:p w14:paraId="4BDCB07C">
            <w:pPr>
              <w:widowControl w:val="0"/>
              <w:bidi w:val="0"/>
              <w:jc w:val="center"/>
              <w:rPr>
                <w:color w:val="auto"/>
                <w:vertAlign w:val="baseline"/>
              </w:rPr>
            </w:pPr>
            <w:r>
              <w:rPr>
                <w:rFonts w:hint="default" w:ascii="Times New Roman" w:hAnsi="Times New Roman" w:eastAsia="宋体" w:cs="Times New Roman"/>
                <w:b/>
                <w:bCs/>
                <w:color w:val="auto"/>
                <w:sz w:val="21"/>
                <w:szCs w:val="21"/>
                <w:lang w:val="en-US" w:eastAsia="zh-CN"/>
              </w:rPr>
              <w:t>2024.8.6</w:t>
            </w:r>
          </w:p>
        </w:tc>
        <w:tc>
          <w:tcPr>
            <w:tcW w:w="1128" w:type="dxa"/>
            <w:tcBorders>
              <w:tl2br w:val="nil"/>
              <w:tr2bl w:val="nil"/>
            </w:tcBorders>
            <w:vAlign w:val="center"/>
          </w:tcPr>
          <w:p w14:paraId="552EDF96">
            <w:pPr>
              <w:widowControl w:val="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2024.8.7</w:t>
            </w:r>
          </w:p>
          <w:p w14:paraId="021661DE">
            <w:pPr>
              <w:widowControl w:val="0"/>
              <w:bidi w:val="0"/>
              <w:jc w:val="center"/>
              <w:rPr>
                <w:color w:val="auto"/>
                <w:vertAlign w:val="baseline"/>
              </w:rPr>
            </w:pPr>
            <w:r>
              <w:rPr>
                <w:rFonts w:hint="default" w:ascii="Times New Roman" w:hAnsi="Times New Roman" w:eastAsia="宋体" w:cs="Times New Roman"/>
                <w:b/>
                <w:bCs/>
                <w:color w:val="auto"/>
                <w:sz w:val="21"/>
                <w:szCs w:val="21"/>
                <w:lang w:val="en-US" w:eastAsia="zh-CN"/>
              </w:rPr>
              <w:t>-8.8</w:t>
            </w:r>
          </w:p>
        </w:tc>
        <w:tc>
          <w:tcPr>
            <w:tcW w:w="594" w:type="dxa"/>
            <w:tcBorders>
              <w:tl2br w:val="nil"/>
              <w:tr2bl w:val="nil"/>
            </w:tcBorders>
            <w:vAlign w:val="center"/>
          </w:tcPr>
          <w:p w14:paraId="79F16F26">
            <w:pPr>
              <w:widowControl w:val="0"/>
              <w:bidi w:val="0"/>
              <w:jc w:val="center"/>
              <w:rPr>
                <w:color w:val="auto"/>
                <w:vertAlign w:val="baseline"/>
              </w:rPr>
            </w:pPr>
            <w:r>
              <w:rPr>
                <w:rFonts w:hint="default" w:ascii="Times New Roman" w:hAnsi="Times New Roman" w:eastAsia="宋体" w:cs="Times New Roman"/>
                <w:b/>
                <w:bCs/>
                <w:color w:val="auto"/>
                <w:sz w:val="21"/>
                <w:szCs w:val="21"/>
                <w:lang w:val="zh-CN"/>
              </w:rPr>
              <w:t>标准</w:t>
            </w:r>
          </w:p>
        </w:tc>
        <w:tc>
          <w:tcPr>
            <w:tcW w:w="651" w:type="dxa"/>
            <w:tcBorders>
              <w:tl2br w:val="nil"/>
              <w:tr2bl w:val="nil"/>
            </w:tcBorders>
            <w:vAlign w:val="center"/>
          </w:tcPr>
          <w:p w14:paraId="6ABAA0A2">
            <w:pPr>
              <w:widowControl w:val="0"/>
              <w:bidi w:val="0"/>
              <w:jc w:val="center"/>
              <w:rPr>
                <w:color w:val="auto"/>
                <w:vertAlign w:val="baseline"/>
              </w:rPr>
            </w:pPr>
            <w:r>
              <w:rPr>
                <w:rFonts w:hint="default" w:ascii="Times New Roman" w:hAnsi="Times New Roman" w:eastAsia="宋体" w:cs="Times New Roman"/>
                <w:b/>
                <w:bCs/>
                <w:color w:val="auto"/>
                <w:sz w:val="21"/>
                <w:szCs w:val="21"/>
                <w:lang w:val="zh-CN"/>
              </w:rPr>
              <w:t>达标状况</w:t>
            </w:r>
          </w:p>
        </w:tc>
        <w:tc>
          <w:tcPr>
            <w:tcW w:w="1122" w:type="dxa"/>
            <w:tcBorders>
              <w:tl2br w:val="nil"/>
              <w:tr2bl w:val="nil"/>
            </w:tcBorders>
            <w:vAlign w:val="center"/>
          </w:tcPr>
          <w:p w14:paraId="7EFD62B0">
            <w:pPr>
              <w:widowControl w:val="0"/>
              <w:bidi w:val="0"/>
              <w:jc w:val="center"/>
              <w:rPr>
                <w:color w:val="auto"/>
                <w:vertAlign w:val="baseline"/>
              </w:rPr>
            </w:pPr>
            <w:r>
              <w:rPr>
                <w:rFonts w:hint="default" w:ascii="Times New Roman" w:hAnsi="Times New Roman" w:eastAsia="宋体" w:cs="Times New Roman"/>
                <w:b/>
                <w:bCs/>
                <w:color w:val="auto"/>
                <w:sz w:val="21"/>
                <w:szCs w:val="21"/>
                <w:lang w:val="en-US" w:eastAsia="zh-CN"/>
              </w:rPr>
              <w:t>2024.8.6-8.7</w:t>
            </w:r>
          </w:p>
        </w:tc>
        <w:tc>
          <w:tcPr>
            <w:tcW w:w="1092" w:type="dxa"/>
            <w:tcBorders>
              <w:tl2br w:val="nil"/>
              <w:tr2bl w:val="nil"/>
            </w:tcBorders>
            <w:vAlign w:val="center"/>
          </w:tcPr>
          <w:p w14:paraId="72C700BB">
            <w:pPr>
              <w:widowControl w:val="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2024.8.7</w:t>
            </w:r>
          </w:p>
          <w:p w14:paraId="0168E61F">
            <w:pPr>
              <w:widowControl w:val="0"/>
              <w:bidi w:val="0"/>
              <w:jc w:val="center"/>
              <w:rPr>
                <w:color w:val="auto"/>
                <w:vertAlign w:val="baseline"/>
              </w:rPr>
            </w:pPr>
            <w:r>
              <w:rPr>
                <w:rFonts w:hint="default" w:ascii="Times New Roman" w:hAnsi="Times New Roman" w:eastAsia="宋体" w:cs="Times New Roman"/>
                <w:b/>
                <w:bCs/>
                <w:color w:val="auto"/>
                <w:sz w:val="21"/>
                <w:szCs w:val="21"/>
                <w:lang w:val="en-US" w:eastAsia="zh-CN"/>
              </w:rPr>
              <w:t>-8.8</w:t>
            </w:r>
          </w:p>
        </w:tc>
        <w:tc>
          <w:tcPr>
            <w:tcW w:w="607" w:type="dxa"/>
            <w:tcBorders>
              <w:tl2br w:val="nil"/>
              <w:tr2bl w:val="nil"/>
            </w:tcBorders>
            <w:vAlign w:val="center"/>
          </w:tcPr>
          <w:p w14:paraId="2B2C1765">
            <w:pPr>
              <w:widowControl w:val="0"/>
              <w:bidi w:val="0"/>
              <w:jc w:val="center"/>
              <w:rPr>
                <w:color w:val="auto"/>
                <w:vertAlign w:val="baseline"/>
              </w:rPr>
            </w:pPr>
            <w:r>
              <w:rPr>
                <w:rFonts w:hint="default" w:ascii="Times New Roman" w:hAnsi="Times New Roman" w:eastAsia="宋体" w:cs="Times New Roman"/>
                <w:b/>
                <w:bCs/>
                <w:color w:val="auto"/>
                <w:sz w:val="21"/>
                <w:szCs w:val="21"/>
                <w:lang w:val="zh-CN"/>
              </w:rPr>
              <w:t>标准</w:t>
            </w:r>
          </w:p>
        </w:tc>
        <w:tc>
          <w:tcPr>
            <w:tcW w:w="572" w:type="dxa"/>
            <w:tcBorders>
              <w:tl2br w:val="nil"/>
              <w:tr2bl w:val="nil"/>
            </w:tcBorders>
            <w:vAlign w:val="center"/>
          </w:tcPr>
          <w:p w14:paraId="09960EA9">
            <w:pPr>
              <w:widowControl w:val="0"/>
              <w:bidi w:val="0"/>
              <w:jc w:val="center"/>
              <w:rPr>
                <w:color w:val="auto"/>
                <w:vertAlign w:val="baseline"/>
              </w:rPr>
            </w:pPr>
            <w:r>
              <w:rPr>
                <w:rFonts w:hint="default" w:ascii="Times New Roman" w:hAnsi="Times New Roman" w:eastAsia="宋体" w:cs="Times New Roman"/>
                <w:b/>
                <w:bCs/>
                <w:color w:val="auto"/>
                <w:sz w:val="21"/>
                <w:szCs w:val="21"/>
                <w:lang w:val="zh-CN"/>
              </w:rPr>
              <w:t>达标状况</w:t>
            </w:r>
          </w:p>
        </w:tc>
      </w:tr>
      <w:tr w14:paraId="317A0E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634" w:type="dxa"/>
            <w:vMerge w:val="restart"/>
            <w:tcBorders>
              <w:tl2br w:val="nil"/>
              <w:tr2bl w:val="nil"/>
            </w:tcBorders>
            <w:vAlign w:val="center"/>
          </w:tcPr>
          <w:p w14:paraId="2B7C9917">
            <w:pPr>
              <w:widowControl w:val="0"/>
              <w:bidi w:val="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lang w:val="en-US" w:eastAsia="zh-CN"/>
              </w:rPr>
              <w:t>1类</w:t>
            </w:r>
          </w:p>
        </w:tc>
        <w:tc>
          <w:tcPr>
            <w:tcW w:w="1060" w:type="dxa"/>
            <w:tcBorders>
              <w:tl2br w:val="nil"/>
              <w:tr2bl w:val="nil"/>
            </w:tcBorders>
            <w:vAlign w:val="center"/>
          </w:tcPr>
          <w:p w14:paraId="24290B6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N1美之国花园</w:t>
            </w:r>
          </w:p>
        </w:tc>
        <w:tc>
          <w:tcPr>
            <w:tcW w:w="1019" w:type="dxa"/>
            <w:tcBorders>
              <w:tl2br w:val="nil"/>
              <w:tr2bl w:val="nil"/>
            </w:tcBorders>
            <w:vAlign w:val="center"/>
          </w:tcPr>
          <w:p w14:paraId="634A6A19">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52.1</w:t>
            </w:r>
          </w:p>
        </w:tc>
        <w:tc>
          <w:tcPr>
            <w:tcW w:w="1128" w:type="dxa"/>
            <w:tcBorders>
              <w:tl2br w:val="nil"/>
              <w:tr2bl w:val="nil"/>
            </w:tcBorders>
            <w:vAlign w:val="center"/>
          </w:tcPr>
          <w:p w14:paraId="26F9282A">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51.7</w:t>
            </w:r>
          </w:p>
        </w:tc>
        <w:tc>
          <w:tcPr>
            <w:tcW w:w="594" w:type="dxa"/>
            <w:tcBorders>
              <w:tl2br w:val="nil"/>
              <w:tr2bl w:val="nil"/>
            </w:tcBorders>
            <w:vAlign w:val="center"/>
          </w:tcPr>
          <w:p w14:paraId="6E1AF726">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55</w:t>
            </w:r>
          </w:p>
        </w:tc>
        <w:tc>
          <w:tcPr>
            <w:tcW w:w="651" w:type="dxa"/>
            <w:tcBorders>
              <w:tl2br w:val="nil"/>
              <w:tr2bl w:val="nil"/>
            </w:tcBorders>
            <w:vAlign w:val="center"/>
          </w:tcPr>
          <w:p w14:paraId="4E88413C">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59A224A7">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40.3</w:t>
            </w:r>
          </w:p>
        </w:tc>
        <w:tc>
          <w:tcPr>
            <w:tcW w:w="1092" w:type="dxa"/>
            <w:tcBorders>
              <w:tl2br w:val="nil"/>
              <w:tr2bl w:val="nil"/>
            </w:tcBorders>
            <w:vAlign w:val="center"/>
          </w:tcPr>
          <w:p w14:paraId="0EB95DDA">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40.1</w:t>
            </w:r>
          </w:p>
        </w:tc>
        <w:tc>
          <w:tcPr>
            <w:tcW w:w="607" w:type="dxa"/>
            <w:tcBorders>
              <w:tl2br w:val="nil"/>
              <w:tr2bl w:val="nil"/>
            </w:tcBorders>
            <w:vAlign w:val="center"/>
          </w:tcPr>
          <w:p w14:paraId="3FC57D9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45</w:t>
            </w:r>
          </w:p>
        </w:tc>
        <w:tc>
          <w:tcPr>
            <w:tcW w:w="572" w:type="dxa"/>
            <w:tcBorders>
              <w:tl2br w:val="nil"/>
              <w:tr2bl w:val="nil"/>
            </w:tcBorders>
            <w:vAlign w:val="center"/>
          </w:tcPr>
          <w:p w14:paraId="5224DA96">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2A04B6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634" w:type="dxa"/>
            <w:vMerge w:val="continue"/>
            <w:tcBorders>
              <w:tl2br w:val="nil"/>
              <w:tr2bl w:val="nil"/>
            </w:tcBorders>
            <w:shd w:val="clear" w:color="auto" w:fill="auto"/>
            <w:vAlign w:val="center"/>
          </w:tcPr>
          <w:p w14:paraId="11604001">
            <w:pPr>
              <w:widowControl w:val="0"/>
              <w:bidi w:val="0"/>
              <w:jc w:val="center"/>
              <w:rPr>
                <w:rFonts w:hint="eastAsia" w:ascii="Times New Roman" w:hAnsi="Times New Roman" w:eastAsia="宋体" w:cs="Times New Roman"/>
                <w:snapToGrid w:val="0"/>
                <w:color w:val="auto"/>
                <w:kern w:val="0"/>
                <w:sz w:val="21"/>
                <w:szCs w:val="21"/>
                <w:lang w:val="en-US" w:eastAsia="zh-CN" w:bidi="ar-SA"/>
              </w:rPr>
            </w:pPr>
            <w:bookmarkStart w:id="1568" w:name="OLE_LINK543"/>
          </w:p>
        </w:tc>
        <w:tc>
          <w:tcPr>
            <w:tcW w:w="1060" w:type="dxa"/>
            <w:tcBorders>
              <w:tl2br w:val="nil"/>
              <w:tr2bl w:val="nil"/>
            </w:tcBorders>
            <w:shd w:val="clear" w:color="auto" w:fill="auto"/>
            <w:vAlign w:val="center"/>
          </w:tcPr>
          <w:p w14:paraId="0D60B0DA">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N10群志光电</w:t>
            </w:r>
          </w:p>
        </w:tc>
        <w:tc>
          <w:tcPr>
            <w:tcW w:w="1019" w:type="dxa"/>
            <w:tcBorders>
              <w:tl2br w:val="nil"/>
              <w:tr2bl w:val="nil"/>
            </w:tcBorders>
            <w:shd w:val="clear" w:color="auto" w:fill="auto"/>
            <w:vAlign w:val="center"/>
          </w:tcPr>
          <w:p w14:paraId="1B6295DD">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53.1</w:t>
            </w:r>
          </w:p>
        </w:tc>
        <w:tc>
          <w:tcPr>
            <w:tcW w:w="1128" w:type="dxa"/>
            <w:tcBorders>
              <w:tl2br w:val="nil"/>
              <w:tr2bl w:val="nil"/>
            </w:tcBorders>
            <w:shd w:val="clear" w:color="auto" w:fill="auto"/>
            <w:vAlign w:val="center"/>
          </w:tcPr>
          <w:p w14:paraId="254A23C1">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53.7</w:t>
            </w:r>
          </w:p>
        </w:tc>
        <w:tc>
          <w:tcPr>
            <w:tcW w:w="594" w:type="dxa"/>
            <w:tcBorders>
              <w:tl2br w:val="nil"/>
              <w:tr2bl w:val="nil"/>
            </w:tcBorders>
            <w:shd w:val="clear" w:color="auto" w:fill="auto"/>
            <w:vAlign w:val="center"/>
          </w:tcPr>
          <w:p w14:paraId="6EE1DF54">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55</w:t>
            </w:r>
          </w:p>
        </w:tc>
        <w:tc>
          <w:tcPr>
            <w:tcW w:w="651" w:type="dxa"/>
            <w:tcBorders>
              <w:tl2br w:val="nil"/>
              <w:tr2bl w:val="nil"/>
            </w:tcBorders>
            <w:shd w:val="clear" w:color="auto" w:fill="auto"/>
            <w:vAlign w:val="center"/>
          </w:tcPr>
          <w:p w14:paraId="7EBCA3D6">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shd w:val="clear" w:color="auto" w:fill="auto"/>
            <w:vAlign w:val="center"/>
          </w:tcPr>
          <w:p w14:paraId="17A9EA07">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42.4</w:t>
            </w:r>
          </w:p>
        </w:tc>
        <w:tc>
          <w:tcPr>
            <w:tcW w:w="1092" w:type="dxa"/>
            <w:tcBorders>
              <w:tl2br w:val="nil"/>
              <w:tr2bl w:val="nil"/>
            </w:tcBorders>
            <w:shd w:val="clear" w:color="auto" w:fill="auto"/>
            <w:vAlign w:val="center"/>
          </w:tcPr>
          <w:p w14:paraId="4E9F5C4B">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42.8</w:t>
            </w:r>
          </w:p>
        </w:tc>
        <w:tc>
          <w:tcPr>
            <w:tcW w:w="607" w:type="dxa"/>
            <w:tcBorders>
              <w:tl2br w:val="nil"/>
              <w:tr2bl w:val="nil"/>
            </w:tcBorders>
            <w:shd w:val="clear" w:color="auto" w:fill="auto"/>
            <w:vAlign w:val="center"/>
          </w:tcPr>
          <w:p w14:paraId="16816C2F">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45</w:t>
            </w:r>
          </w:p>
        </w:tc>
        <w:tc>
          <w:tcPr>
            <w:tcW w:w="572" w:type="dxa"/>
            <w:tcBorders>
              <w:tl2br w:val="nil"/>
              <w:tr2bl w:val="nil"/>
            </w:tcBorders>
            <w:shd w:val="clear" w:color="auto" w:fill="auto"/>
            <w:vAlign w:val="center"/>
          </w:tcPr>
          <w:p w14:paraId="41782D85">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达标</w:t>
            </w:r>
          </w:p>
        </w:tc>
      </w:tr>
      <w:tr w14:paraId="61777B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634" w:type="dxa"/>
            <w:vMerge w:val="continue"/>
            <w:tcBorders>
              <w:tl2br w:val="nil"/>
              <w:tr2bl w:val="nil"/>
            </w:tcBorders>
            <w:shd w:val="clear" w:color="auto" w:fill="auto"/>
            <w:vAlign w:val="center"/>
          </w:tcPr>
          <w:p w14:paraId="051A5F2B">
            <w:pPr>
              <w:widowControl w:val="0"/>
              <w:bidi w:val="0"/>
              <w:jc w:val="center"/>
              <w:rPr>
                <w:rFonts w:hint="eastAsia" w:ascii="Times New Roman" w:hAnsi="Times New Roman" w:eastAsia="宋体" w:cs="Times New Roman"/>
                <w:snapToGrid w:val="0"/>
                <w:color w:val="auto"/>
                <w:kern w:val="0"/>
                <w:sz w:val="21"/>
                <w:szCs w:val="21"/>
                <w:lang w:val="en-US" w:eastAsia="zh-CN" w:bidi="ar-SA"/>
              </w:rPr>
            </w:pPr>
          </w:p>
        </w:tc>
        <w:tc>
          <w:tcPr>
            <w:tcW w:w="1060" w:type="dxa"/>
            <w:tcBorders>
              <w:tl2br w:val="nil"/>
              <w:tr2bl w:val="nil"/>
            </w:tcBorders>
            <w:shd w:val="clear" w:color="auto" w:fill="auto"/>
            <w:vAlign w:val="center"/>
          </w:tcPr>
          <w:p w14:paraId="55479E78">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N11河海大学</w:t>
            </w:r>
          </w:p>
        </w:tc>
        <w:tc>
          <w:tcPr>
            <w:tcW w:w="1019" w:type="dxa"/>
            <w:tcBorders>
              <w:tl2br w:val="nil"/>
              <w:tr2bl w:val="nil"/>
            </w:tcBorders>
            <w:shd w:val="clear" w:color="auto" w:fill="auto"/>
            <w:vAlign w:val="center"/>
          </w:tcPr>
          <w:p w14:paraId="3AEBC313">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highlight w:val="none"/>
                <w:lang w:val="en-US" w:eastAsia="zh-CN"/>
              </w:rPr>
              <w:t>52.2</w:t>
            </w:r>
          </w:p>
        </w:tc>
        <w:tc>
          <w:tcPr>
            <w:tcW w:w="1128" w:type="dxa"/>
            <w:tcBorders>
              <w:tl2br w:val="nil"/>
              <w:tr2bl w:val="nil"/>
            </w:tcBorders>
            <w:shd w:val="clear" w:color="auto" w:fill="auto"/>
            <w:vAlign w:val="center"/>
          </w:tcPr>
          <w:p w14:paraId="76F476BB">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51.7</w:t>
            </w:r>
          </w:p>
        </w:tc>
        <w:tc>
          <w:tcPr>
            <w:tcW w:w="594" w:type="dxa"/>
            <w:tcBorders>
              <w:tl2br w:val="nil"/>
              <w:tr2bl w:val="nil"/>
            </w:tcBorders>
            <w:shd w:val="clear" w:color="auto" w:fill="auto"/>
            <w:vAlign w:val="center"/>
          </w:tcPr>
          <w:p w14:paraId="78F11A36">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55</w:t>
            </w:r>
          </w:p>
        </w:tc>
        <w:tc>
          <w:tcPr>
            <w:tcW w:w="651" w:type="dxa"/>
            <w:tcBorders>
              <w:tl2br w:val="nil"/>
              <w:tr2bl w:val="nil"/>
            </w:tcBorders>
            <w:shd w:val="clear" w:color="auto" w:fill="auto"/>
            <w:vAlign w:val="center"/>
          </w:tcPr>
          <w:p w14:paraId="39D62C37">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shd w:val="clear" w:color="auto" w:fill="auto"/>
            <w:vAlign w:val="center"/>
          </w:tcPr>
          <w:p w14:paraId="7A025799">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41.0</w:t>
            </w:r>
          </w:p>
        </w:tc>
        <w:tc>
          <w:tcPr>
            <w:tcW w:w="1092" w:type="dxa"/>
            <w:tcBorders>
              <w:tl2br w:val="nil"/>
              <w:tr2bl w:val="nil"/>
            </w:tcBorders>
            <w:shd w:val="clear" w:color="auto" w:fill="auto"/>
            <w:vAlign w:val="center"/>
          </w:tcPr>
          <w:p w14:paraId="6139529C">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40.3</w:t>
            </w:r>
          </w:p>
        </w:tc>
        <w:tc>
          <w:tcPr>
            <w:tcW w:w="607" w:type="dxa"/>
            <w:tcBorders>
              <w:tl2br w:val="nil"/>
              <w:tr2bl w:val="nil"/>
            </w:tcBorders>
            <w:shd w:val="clear" w:color="auto" w:fill="auto"/>
            <w:vAlign w:val="center"/>
          </w:tcPr>
          <w:p w14:paraId="3560F91A">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45</w:t>
            </w:r>
          </w:p>
        </w:tc>
        <w:tc>
          <w:tcPr>
            <w:tcW w:w="572" w:type="dxa"/>
            <w:tcBorders>
              <w:tl2br w:val="nil"/>
              <w:tr2bl w:val="nil"/>
            </w:tcBorders>
            <w:shd w:val="clear" w:color="auto" w:fill="auto"/>
            <w:vAlign w:val="center"/>
          </w:tcPr>
          <w:p w14:paraId="3788C828">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highlight w:val="none"/>
                <w:lang w:val="en-US" w:eastAsia="zh-CN"/>
              </w:rPr>
              <w:t>达标</w:t>
            </w:r>
          </w:p>
        </w:tc>
      </w:tr>
      <w:tr w14:paraId="2B3D6B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634" w:type="dxa"/>
            <w:vMerge w:val="continue"/>
            <w:tcBorders>
              <w:tl2br w:val="nil"/>
              <w:tr2bl w:val="nil"/>
            </w:tcBorders>
            <w:shd w:val="clear" w:color="auto" w:fill="auto"/>
            <w:vAlign w:val="center"/>
          </w:tcPr>
          <w:p w14:paraId="22F7C029">
            <w:pPr>
              <w:widowControl w:val="0"/>
              <w:bidi w:val="0"/>
              <w:jc w:val="center"/>
              <w:rPr>
                <w:rFonts w:hint="eastAsia" w:ascii="Times New Roman" w:hAnsi="Times New Roman" w:eastAsia="宋体" w:cs="Times New Roman"/>
                <w:snapToGrid w:val="0"/>
                <w:color w:val="auto"/>
                <w:kern w:val="0"/>
                <w:sz w:val="21"/>
                <w:szCs w:val="21"/>
                <w:highlight w:val="none"/>
                <w:lang w:val="en-US" w:eastAsia="zh-CN" w:bidi="ar-SA"/>
              </w:rPr>
            </w:pPr>
          </w:p>
        </w:tc>
        <w:tc>
          <w:tcPr>
            <w:tcW w:w="1060" w:type="dxa"/>
            <w:tcBorders>
              <w:tl2br w:val="nil"/>
              <w:tr2bl w:val="nil"/>
            </w:tcBorders>
            <w:shd w:val="clear" w:color="auto" w:fill="auto"/>
            <w:vAlign w:val="center"/>
          </w:tcPr>
          <w:p w14:paraId="0F9CF8A0">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highlight w:val="none"/>
                <w:lang w:val="en-US" w:eastAsia="zh-CN"/>
              </w:rPr>
              <w:t>N22吉山软件园</w:t>
            </w:r>
          </w:p>
        </w:tc>
        <w:tc>
          <w:tcPr>
            <w:tcW w:w="1019" w:type="dxa"/>
            <w:tcBorders>
              <w:tl2br w:val="nil"/>
              <w:tr2bl w:val="nil"/>
            </w:tcBorders>
            <w:shd w:val="clear" w:color="auto" w:fill="auto"/>
            <w:vAlign w:val="center"/>
          </w:tcPr>
          <w:p w14:paraId="2C3BC4BE">
            <w:pPr>
              <w:widowControl w:val="0"/>
              <w:bidi w:val="0"/>
              <w:jc w:val="center"/>
              <w:rPr>
                <w:rFonts w:hint="default" w:ascii="Arial" w:hAnsi="Arial" w:eastAsia="Arial" w:cs="Arial"/>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.6</w:t>
            </w:r>
          </w:p>
        </w:tc>
        <w:tc>
          <w:tcPr>
            <w:tcW w:w="1128" w:type="dxa"/>
            <w:tcBorders>
              <w:tl2br w:val="nil"/>
              <w:tr2bl w:val="nil"/>
            </w:tcBorders>
            <w:shd w:val="clear" w:color="auto" w:fill="auto"/>
            <w:vAlign w:val="center"/>
          </w:tcPr>
          <w:p w14:paraId="41BD35F1">
            <w:pPr>
              <w:widowControl w:val="0"/>
              <w:bidi w:val="0"/>
              <w:jc w:val="center"/>
              <w:rPr>
                <w:rFonts w:hint="default" w:ascii="Arial" w:hAnsi="Arial" w:eastAsia="Arial" w:cs="Arial"/>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.8</w:t>
            </w:r>
          </w:p>
        </w:tc>
        <w:tc>
          <w:tcPr>
            <w:tcW w:w="594" w:type="dxa"/>
            <w:tcBorders>
              <w:tl2br w:val="nil"/>
              <w:tr2bl w:val="nil"/>
            </w:tcBorders>
            <w:shd w:val="clear" w:color="auto" w:fill="auto"/>
            <w:vAlign w:val="center"/>
          </w:tcPr>
          <w:p w14:paraId="40BF38A9">
            <w:pPr>
              <w:widowControl w:val="0"/>
              <w:bidi w:val="0"/>
              <w:jc w:val="center"/>
              <w:rPr>
                <w:rFonts w:hint="default" w:ascii="Arial" w:hAnsi="Arial" w:eastAsia="Arial" w:cs="Arial"/>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55</w:t>
            </w:r>
          </w:p>
        </w:tc>
        <w:tc>
          <w:tcPr>
            <w:tcW w:w="651" w:type="dxa"/>
            <w:tcBorders>
              <w:tl2br w:val="nil"/>
              <w:tr2bl w:val="nil"/>
            </w:tcBorders>
            <w:shd w:val="clear" w:color="auto" w:fill="auto"/>
            <w:vAlign w:val="center"/>
          </w:tcPr>
          <w:p w14:paraId="3616A243">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shd w:val="clear" w:color="auto" w:fill="auto"/>
            <w:vAlign w:val="center"/>
          </w:tcPr>
          <w:p w14:paraId="51D2770C">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44.7</w:t>
            </w:r>
          </w:p>
        </w:tc>
        <w:tc>
          <w:tcPr>
            <w:tcW w:w="1092" w:type="dxa"/>
            <w:tcBorders>
              <w:tl2br w:val="nil"/>
              <w:tr2bl w:val="nil"/>
            </w:tcBorders>
            <w:shd w:val="clear" w:color="auto" w:fill="auto"/>
            <w:vAlign w:val="center"/>
          </w:tcPr>
          <w:p w14:paraId="62B28D5B">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44.9</w:t>
            </w:r>
          </w:p>
        </w:tc>
        <w:tc>
          <w:tcPr>
            <w:tcW w:w="607" w:type="dxa"/>
            <w:tcBorders>
              <w:tl2br w:val="nil"/>
              <w:tr2bl w:val="nil"/>
            </w:tcBorders>
            <w:shd w:val="clear" w:color="auto" w:fill="auto"/>
            <w:vAlign w:val="center"/>
          </w:tcPr>
          <w:p w14:paraId="6AF40575">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45</w:t>
            </w:r>
          </w:p>
        </w:tc>
        <w:tc>
          <w:tcPr>
            <w:tcW w:w="572" w:type="dxa"/>
            <w:tcBorders>
              <w:tl2br w:val="nil"/>
              <w:tr2bl w:val="nil"/>
            </w:tcBorders>
            <w:shd w:val="clear" w:color="auto" w:fill="auto"/>
            <w:vAlign w:val="center"/>
          </w:tcPr>
          <w:p w14:paraId="1DCCDC57">
            <w:pPr>
              <w:widowControl w:val="0"/>
              <w:bidi w:val="0"/>
              <w:jc w:val="center"/>
              <w:rPr>
                <w:rFonts w:hint="default" w:ascii="Arial" w:hAnsi="Arial" w:eastAsia="Arial" w:cs="Arial"/>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达标</w:t>
            </w:r>
          </w:p>
        </w:tc>
      </w:tr>
      <w:tr w14:paraId="677F1E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634" w:type="dxa"/>
            <w:vMerge w:val="restart"/>
            <w:tcBorders>
              <w:tl2br w:val="nil"/>
              <w:tr2bl w:val="nil"/>
            </w:tcBorders>
            <w:vAlign w:val="center"/>
          </w:tcPr>
          <w:p w14:paraId="411AC6CA">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2类</w:t>
            </w:r>
            <w:bookmarkEnd w:id="1568"/>
          </w:p>
        </w:tc>
        <w:tc>
          <w:tcPr>
            <w:tcW w:w="1060" w:type="dxa"/>
            <w:tcBorders>
              <w:tl2br w:val="nil"/>
              <w:tr2bl w:val="nil"/>
            </w:tcBorders>
            <w:vAlign w:val="center"/>
          </w:tcPr>
          <w:p w14:paraId="76B1B42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N2上汽大众</w:t>
            </w:r>
          </w:p>
        </w:tc>
        <w:tc>
          <w:tcPr>
            <w:tcW w:w="1019" w:type="dxa"/>
            <w:tcBorders>
              <w:tl2br w:val="nil"/>
              <w:tr2bl w:val="nil"/>
            </w:tcBorders>
            <w:vAlign w:val="center"/>
          </w:tcPr>
          <w:p w14:paraId="0A9F7C63">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58.7</w:t>
            </w:r>
          </w:p>
        </w:tc>
        <w:tc>
          <w:tcPr>
            <w:tcW w:w="1128" w:type="dxa"/>
            <w:tcBorders>
              <w:tl2br w:val="nil"/>
              <w:tr2bl w:val="nil"/>
            </w:tcBorders>
            <w:vAlign w:val="center"/>
          </w:tcPr>
          <w:p w14:paraId="1DB6BD73">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59.1</w:t>
            </w:r>
          </w:p>
        </w:tc>
        <w:tc>
          <w:tcPr>
            <w:tcW w:w="594" w:type="dxa"/>
            <w:tcBorders>
              <w:tl2br w:val="nil"/>
              <w:tr2bl w:val="nil"/>
            </w:tcBorders>
            <w:vAlign w:val="center"/>
          </w:tcPr>
          <w:p w14:paraId="19E2C8EA">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765D5339">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6917D50B">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47.9</w:t>
            </w:r>
          </w:p>
        </w:tc>
        <w:tc>
          <w:tcPr>
            <w:tcW w:w="1092" w:type="dxa"/>
            <w:tcBorders>
              <w:tl2br w:val="nil"/>
              <w:tr2bl w:val="nil"/>
            </w:tcBorders>
            <w:vAlign w:val="center"/>
          </w:tcPr>
          <w:p w14:paraId="530C727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48.2</w:t>
            </w:r>
          </w:p>
        </w:tc>
        <w:tc>
          <w:tcPr>
            <w:tcW w:w="607" w:type="dxa"/>
            <w:tcBorders>
              <w:tl2br w:val="nil"/>
              <w:tr2bl w:val="nil"/>
            </w:tcBorders>
            <w:vAlign w:val="center"/>
          </w:tcPr>
          <w:p w14:paraId="04C807F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0AEC3A06">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13C0CA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634" w:type="dxa"/>
            <w:vMerge w:val="continue"/>
            <w:tcBorders>
              <w:tl2br w:val="nil"/>
              <w:tr2bl w:val="nil"/>
            </w:tcBorders>
            <w:vAlign w:val="center"/>
          </w:tcPr>
          <w:p w14:paraId="559493E1">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13C87659">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N4南京航空航天大学</w:t>
            </w:r>
          </w:p>
        </w:tc>
        <w:tc>
          <w:tcPr>
            <w:tcW w:w="1019" w:type="dxa"/>
            <w:tcBorders>
              <w:tl2br w:val="nil"/>
              <w:tr2bl w:val="nil"/>
            </w:tcBorders>
            <w:vAlign w:val="center"/>
          </w:tcPr>
          <w:p w14:paraId="4410F468">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58.2</w:t>
            </w:r>
          </w:p>
        </w:tc>
        <w:tc>
          <w:tcPr>
            <w:tcW w:w="1128" w:type="dxa"/>
            <w:tcBorders>
              <w:tl2br w:val="nil"/>
              <w:tr2bl w:val="nil"/>
            </w:tcBorders>
            <w:vAlign w:val="center"/>
          </w:tcPr>
          <w:p w14:paraId="039AD6D6">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58.4</w:t>
            </w:r>
          </w:p>
        </w:tc>
        <w:tc>
          <w:tcPr>
            <w:tcW w:w="594" w:type="dxa"/>
            <w:tcBorders>
              <w:tl2br w:val="nil"/>
              <w:tr2bl w:val="nil"/>
            </w:tcBorders>
            <w:vAlign w:val="center"/>
          </w:tcPr>
          <w:p w14:paraId="7839CDED">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238C2FEB">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2B1EC35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47.1</w:t>
            </w:r>
          </w:p>
        </w:tc>
        <w:tc>
          <w:tcPr>
            <w:tcW w:w="1092" w:type="dxa"/>
            <w:tcBorders>
              <w:tl2br w:val="nil"/>
              <w:tr2bl w:val="nil"/>
            </w:tcBorders>
            <w:vAlign w:val="center"/>
          </w:tcPr>
          <w:p w14:paraId="315E5FD8">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47.6</w:t>
            </w:r>
          </w:p>
        </w:tc>
        <w:tc>
          <w:tcPr>
            <w:tcW w:w="607" w:type="dxa"/>
            <w:tcBorders>
              <w:tl2br w:val="nil"/>
              <w:tr2bl w:val="nil"/>
            </w:tcBorders>
            <w:vAlign w:val="center"/>
          </w:tcPr>
          <w:p w14:paraId="2C26903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42C8E628">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14A1A4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634" w:type="dxa"/>
            <w:vMerge w:val="continue"/>
            <w:tcBorders>
              <w:tl2br w:val="nil"/>
              <w:tr2bl w:val="nil"/>
            </w:tcBorders>
            <w:vAlign w:val="center"/>
          </w:tcPr>
          <w:p w14:paraId="7C63C1C2">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0A586F8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N5南京高尔夫国际花园</w:t>
            </w:r>
          </w:p>
        </w:tc>
        <w:tc>
          <w:tcPr>
            <w:tcW w:w="1019" w:type="dxa"/>
            <w:tcBorders>
              <w:tl2br w:val="nil"/>
              <w:tr2bl w:val="nil"/>
            </w:tcBorders>
            <w:vAlign w:val="center"/>
          </w:tcPr>
          <w:p w14:paraId="0B9B0AAB">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57.6</w:t>
            </w:r>
          </w:p>
        </w:tc>
        <w:tc>
          <w:tcPr>
            <w:tcW w:w="1128" w:type="dxa"/>
            <w:tcBorders>
              <w:tl2br w:val="nil"/>
              <w:tr2bl w:val="nil"/>
            </w:tcBorders>
            <w:vAlign w:val="center"/>
          </w:tcPr>
          <w:p w14:paraId="05A2F3B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57.9</w:t>
            </w:r>
          </w:p>
        </w:tc>
        <w:tc>
          <w:tcPr>
            <w:tcW w:w="594" w:type="dxa"/>
            <w:tcBorders>
              <w:tl2br w:val="nil"/>
              <w:tr2bl w:val="nil"/>
            </w:tcBorders>
            <w:vAlign w:val="center"/>
          </w:tcPr>
          <w:p w14:paraId="2339852C">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4492B5EC">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16FD1C6A">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46.9</w:t>
            </w:r>
          </w:p>
        </w:tc>
        <w:tc>
          <w:tcPr>
            <w:tcW w:w="1092" w:type="dxa"/>
            <w:tcBorders>
              <w:tl2br w:val="nil"/>
              <w:tr2bl w:val="nil"/>
            </w:tcBorders>
            <w:vAlign w:val="center"/>
          </w:tcPr>
          <w:p w14:paraId="748163C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46.8</w:t>
            </w:r>
          </w:p>
        </w:tc>
        <w:tc>
          <w:tcPr>
            <w:tcW w:w="607" w:type="dxa"/>
            <w:tcBorders>
              <w:tl2br w:val="nil"/>
              <w:tr2bl w:val="nil"/>
            </w:tcBorders>
            <w:vAlign w:val="center"/>
          </w:tcPr>
          <w:p w14:paraId="05BE3D4B">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7E1BCFE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029E59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0" w:hRule="atLeast"/>
        </w:trPr>
        <w:tc>
          <w:tcPr>
            <w:tcW w:w="634" w:type="dxa"/>
            <w:vMerge w:val="continue"/>
            <w:tcBorders>
              <w:tl2br w:val="nil"/>
              <w:tr2bl w:val="nil"/>
            </w:tcBorders>
            <w:vAlign w:val="center"/>
          </w:tcPr>
          <w:p w14:paraId="5D40DDEB">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2037D2EA">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N6通用磨坊食品公司</w:t>
            </w:r>
          </w:p>
        </w:tc>
        <w:tc>
          <w:tcPr>
            <w:tcW w:w="1019" w:type="dxa"/>
            <w:tcBorders>
              <w:tl2br w:val="nil"/>
              <w:tr2bl w:val="nil"/>
            </w:tcBorders>
            <w:vAlign w:val="center"/>
          </w:tcPr>
          <w:p w14:paraId="254E76F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58.8</w:t>
            </w:r>
          </w:p>
        </w:tc>
        <w:tc>
          <w:tcPr>
            <w:tcW w:w="1128" w:type="dxa"/>
            <w:tcBorders>
              <w:tl2br w:val="nil"/>
              <w:tr2bl w:val="nil"/>
            </w:tcBorders>
            <w:vAlign w:val="center"/>
          </w:tcPr>
          <w:p w14:paraId="65AA748A">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58.9</w:t>
            </w:r>
          </w:p>
        </w:tc>
        <w:tc>
          <w:tcPr>
            <w:tcW w:w="594" w:type="dxa"/>
            <w:tcBorders>
              <w:tl2br w:val="nil"/>
              <w:tr2bl w:val="nil"/>
            </w:tcBorders>
            <w:vAlign w:val="center"/>
          </w:tcPr>
          <w:p w14:paraId="29003D8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73997FF4">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17F16B54">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48.3</w:t>
            </w:r>
          </w:p>
        </w:tc>
        <w:tc>
          <w:tcPr>
            <w:tcW w:w="1092" w:type="dxa"/>
            <w:tcBorders>
              <w:tl2br w:val="nil"/>
              <w:tr2bl w:val="nil"/>
            </w:tcBorders>
            <w:vAlign w:val="center"/>
          </w:tcPr>
          <w:p w14:paraId="748FC3F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48.1</w:t>
            </w:r>
          </w:p>
        </w:tc>
        <w:tc>
          <w:tcPr>
            <w:tcW w:w="607" w:type="dxa"/>
            <w:tcBorders>
              <w:tl2br w:val="nil"/>
              <w:tr2bl w:val="nil"/>
            </w:tcBorders>
            <w:vAlign w:val="center"/>
          </w:tcPr>
          <w:p w14:paraId="16B13003">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41112B26">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624AE3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634" w:type="dxa"/>
            <w:vMerge w:val="continue"/>
            <w:tcBorders>
              <w:tl2br w:val="nil"/>
              <w:tr2bl w:val="nil"/>
            </w:tcBorders>
            <w:vAlign w:val="center"/>
          </w:tcPr>
          <w:p w14:paraId="73B6D0E6">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3FFB9217">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N8蓝宝湾花园</w:t>
            </w:r>
          </w:p>
        </w:tc>
        <w:tc>
          <w:tcPr>
            <w:tcW w:w="1019" w:type="dxa"/>
            <w:tcBorders>
              <w:tl2br w:val="nil"/>
              <w:tr2bl w:val="nil"/>
            </w:tcBorders>
            <w:vAlign w:val="center"/>
          </w:tcPr>
          <w:p w14:paraId="07B7048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55.3</w:t>
            </w:r>
          </w:p>
        </w:tc>
        <w:tc>
          <w:tcPr>
            <w:tcW w:w="1128" w:type="dxa"/>
            <w:tcBorders>
              <w:tl2br w:val="nil"/>
              <w:tr2bl w:val="nil"/>
            </w:tcBorders>
            <w:vAlign w:val="center"/>
          </w:tcPr>
          <w:p w14:paraId="4B268298">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55.6</w:t>
            </w:r>
          </w:p>
        </w:tc>
        <w:tc>
          <w:tcPr>
            <w:tcW w:w="594" w:type="dxa"/>
            <w:tcBorders>
              <w:tl2br w:val="nil"/>
              <w:tr2bl w:val="nil"/>
            </w:tcBorders>
            <w:vAlign w:val="center"/>
          </w:tcPr>
          <w:p w14:paraId="32873B2B">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0613368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5ECF3699">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44.2</w:t>
            </w:r>
          </w:p>
        </w:tc>
        <w:tc>
          <w:tcPr>
            <w:tcW w:w="1092" w:type="dxa"/>
            <w:tcBorders>
              <w:tl2br w:val="nil"/>
              <w:tr2bl w:val="nil"/>
            </w:tcBorders>
            <w:vAlign w:val="center"/>
          </w:tcPr>
          <w:p w14:paraId="7FD7432B">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44.7</w:t>
            </w:r>
          </w:p>
        </w:tc>
        <w:tc>
          <w:tcPr>
            <w:tcW w:w="607" w:type="dxa"/>
            <w:tcBorders>
              <w:tl2br w:val="nil"/>
              <w:tr2bl w:val="nil"/>
            </w:tcBorders>
            <w:vAlign w:val="center"/>
          </w:tcPr>
          <w:p w14:paraId="1EFA714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7A4A8B9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6C3290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634" w:type="dxa"/>
            <w:vMerge w:val="continue"/>
            <w:tcBorders>
              <w:tl2br w:val="nil"/>
              <w:tr2bl w:val="nil"/>
            </w:tcBorders>
            <w:vAlign w:val="center"/>
          </w:tcPr>
          <w:p w14:paraId="28F1F7C6">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42C5975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N9朗诗玲珑屿花园</w:t>
            </w:r>
          </w:p>
        </w:tc>
        <w:tc>
          <w:tcPr>
            <w:tcW w:w="1019" w:type="dxa"/>
            <w:tcBorders>
              <w:tl2br w:val="nil"/>
              <w:tr2bl w:val="nil"/>
            </w:tcBorders>
            <w:vAlign w:val="center"/>
          </w:tcPr>
          <w:p w14:paraId="5C3D503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54.9</w:t>
            </w:r>
          </w:p>
        </w:tc>
        <w:tc>
          <w:tcPr>
            <w:tcW w:w="1128" w:type="dxa"/>
            <w:tcBorders>
              <w:tl2br w:val="nil"/>
              <w:tr2bl w:val="nil"/>
            </w:tcBorders>
            <w:vAlign w:val="center"/>
          </w:tcPr>
          <w:p w14:paraId="777237B6">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54.7</w:t>
            </w:r>
          </w:p>
        </w:tc>
        <w:tc>
          <w:tcPr>
            <w:tcW w:w="594" w:type="dxa"/>
            <w:tcBorders>
              <w:tl2br w:val="nil"/>
              <w:tr2bl w:val="nil"/>
            </w:tcBorders>
            <w:vAlign w:val="center"/>
          </w:tcPr>
          <w:p w14:paraId="049CD01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445D2F7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494461B4">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43.7</w:t>
            </w:r>
          </w:p>
        </w:tc>
        <w:tc>
          <w:tcPr>
            <w:tcW w:w="1092" w:type="dxa"/>
            <w:tcBorders>
              <w:tl2br w:val="nil"/>
              <w:tr2bl w:val="nil"/>
            </w:tcBorders>
            <w:vAlign w:val="center"/>
          </w:tcPr>
          <w:p w14:paraId="18C942D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43.6</w:t>
            </w:r>
          </w:p>
        </w:tc>
        <w:tc>
          <w:tcPr>
            <w:tcW w:w="607" w:type="dxa"/>
            <w:tcBorders>
              <w:tl2br w:val="nil"/>
              <w:tr2bl w:val="nil"/>
            </w:tcBorders>
            <w:vAlign w:val="center"/>
          </w:tcPr>
          <w:p w14:paraId="05BD310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61A2387B">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72C43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634" w:type="dxa"/>
            <w:vMerge w:val="continue"/>
            <w:tcBorders>
              <w:tl2br w:val="nil"/>
              <w:tr2bl w:val="nil"/>
            </w:tcBorders>
            <w:vAlign w:val="center"/>
          </w:tcPr>
          <w:p w14:paraId="1B8A111A">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6FB2A73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N12九龙湖别墅</w:t>
            </w:r>
          </w:p>
        </w:tc>
        <w:tc>
          <w:tcPr>
            <w:tcW w:w="1019" w:type="dxa"/>
            <w:tcBorders>
              <w:tl2br w:val="nil"/>
              <w:tr2bl w:val="nil"/>
            </w:tcBorders>
            <w:vAlign w:val="center"/>
          </w:tcPr>
          <w:p w14:paraId="163B0DAA">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55.7</w:t>
            </w:r>
          </w:p>
        </w:tc>
        <w:tc>
          <w:tcPr>
            <w:tcW w:w="1128" w:type="dxa"/>
            <w:tcBorders>
              <w:tl2br w:val="nil"/>
              <w:tr2bl w:val="nil"/>
            </w:tcBorders>
            <w:vAlign w:val="center"/>
          </w:tcPr>
          <w:p w14:paraId="6373980B">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55.5</w:t>
            </w:r>
          </w:p>
        </w:tc>
        <w:tc>
          <w:tcPr>
            <w:tcW w:w="594" w:type="dxa"/>
            <w:tcBorders>
              <w:tl2br w:val="nil"/>
              <w:tr2bl w:val="nil"/>
            </w:tcBorders>
            <w:vAlign w:val="center"/>
          </w:tcPr>
          <w:p w14:paraId="0B5ACF9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3AEEB2A6">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0D71C09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44.6</w:t>
            </w:r>
          </w:p>
        </w:tc>
        <w:tc>
          <w:tcPr>
            <w:tcW w:w="1092" w:type="dxa"/>
            <w:tcBorders>
              <w:tl2br w:val="nil"/>
              <w:tr2bl w:val="nil"/>
            </w:tcBorders>
            <w:vAlign w:val="center"/>
          </w:tcPr>
          <w:p w14:paraId="7A29DFF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44.3</w:t>
            </w:r>
          </w:p>
        </w:tc>
        <w:tc>
          <w:tcPr>
            <w:tcW w:w="607" w:type="dxa"/>
            <w:tcBorders>
              <w:tl2br w:val="nil"/>
              <w:tr2bl w:val="nil"/>
            </w:tcBorders>
            <w:vAlign w:val="center"/>
          </w:tcPr>
          <w:p w14:paraId="7829432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0A0E46BB">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467F62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634" w:type="dxa"/>
            <w:vMerge w:val="continue"/>
            <w:tcBorders>
              <w:tl2br w:val="nil"/>
              <w:tr2bl w:val="nil"/>
            </w:tcBorders>
            <w:vAlign w:val="center"/>
          </w:tcPr>
          <w:p w14:paraId="1275707C">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44D85BB4">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N13殷巷新寓</w:t>
            </w:r>
          </w:p>
        </w:tc>
        <w:tc>
          <w:tcPr>
            <w:tcW w:w="1019" w:type="dxa"/>
            <w:tcBorders>
              <w:tl2br w:val="nil"/>
              <w:tr2bl w:val="nil"/>
            </w:tcBorders>
            <w:vAlign w:val="center"/>
          </w:tcPr>
          <w:p w14:paraId="0231D2C9">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55.1</w:t>
            </w:r>
          </w:p>
        </w:tc>
        <w:tc>
          <w:tcPr>
            <w:tcW w:w="1128" w:type="dxa"/>
            <w:tcBorders>
              <w:tl2br w:val="nil"/>
              <w:tr2bl w:val="nil"/>
            </w:tcBorders>
            <w:vAlign w:val="center"/>
          </w:tcPr>
          <w:p w14:paraId="6B07542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55.2</w:t>
            </w:r>
          </w:p>
        </w:tc>
        <w:tc>
          <w:tcPr>
            <w:tcW w:w="594" w:type="dxa"/>
            <w:tcBorders>
              <w:tl2br w:val="nil"/>
              <w:tr2bl w:val="nil"/>
            </w:tcBorders>
            <w:vAlign w:val="center"/>
          </w:tcPr>
          <w:p w14:paraId="3E63284A">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58E9D509">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0774FE0B">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44.3</w:t>
            </w:r>
          </w:p>
        </w:tc>
        <w:tc>
          <w:tcPr>
            <w:tcW w:w="1092" w:type="dxa"/>
            <w:tcBorders>
              <w:tl2br w:val="nil"/>
              <w:tr2bl w:val="nil"/>
            </w:tcBorders>
            <w:vAlign w:val="center"/>
          </w:tcPr>
          <w:p w14:paraId="1F92BAE6">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44.1</w:t>
            </w:r>
          </w:p>
        </w:tc>
        <w:tc>
          <w:tcPr>
            <w:tcW w:w="607" w:type="dxa"/>
            <w:tcBorders>
              <w:tl2br w:val="nil"/>
              <w:tr2bl w:val="nil"/>
            </w:tcBorders>
            <w:vAlign w:val="center"/>
          </w:tcPr>
          <w:p w14:paraId="2E7E7C0A">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3F9446B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0B19F1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634" w:type="dxa"/>
            <w:vMerge w:val="continue"/>
            <w:tcBorders>
              <w:tl2br w:val="nil"/>
              <w:tr2bl w:val="nil"/>
            </w:tcBorders>
            <w:vAlign w:val="center"/>
          </w:tcPr>
          <w:p w14:paraId="7B784E62">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0A69A66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N14七二四研究所</w:t>
            </w:r>
          </w:p>
        </w:tc>
        <w:tc>
          <w:tcPr>
            <w:tcW w:w="1019" w:type="dxa"/>
            <w:tcBorders>
              <w:tl2br w:val="nil"/>
              <w:tr2bl w:val="nil"/>
            </w:tcBorders>
            <w:vAlign w:val="center"/>
          </w:tcPr>
          <w:p w14:paraId="513635F4">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56.9</w:t>
            </w:r>
          </w:p>
        </w:tc>
        <w:tc>
          <w:tcPr>
            <w:tcW w:w="1128" w:type="dxa"/>
            <w:tcBorders>
              <w:tl2br w:val="nil"/>
              <w:tr2bl w:val="nil"/>
            </w:tcBorders>
            <w:vAlign w:val="center"/>
          </w:tcPr>
          <w:p w14:paraId="1047BB9C">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56.7</w:t>
            </w:r>
          </w:p>
        </w:tc>
        <w:tc>
          <w:tcPr>
            <w:tcW w:w="594" w:type="dxa"/>
            <w:tcBorders>
              <w:tl2br w:val="nil"/>
              <w:tr2bl w:val="nil"/>
            </w:tcBorders>
            <w:vAlign w:val="center"/>
          </w:tcPr>
          <w:p w14:paraId="701900D4">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50F69796">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5AB17B18">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45.8</w:t>
            </w:r>
          </w:p>
        </w:tc>
        <w:tc>
          <w:tcPr>
            <w:tcW w:w="1092" w:type="dxa"/>
            <w:tcBorders>
              <w:tl2br w:val="nil"/>
              <w:tr2bl w:val="nil"/>
            </w:tcBorders>
            <w:vAlign w:val="center"/>
          </w:tcPr>
          <w:p w14:paraId="35AD6028">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45.7</w:t>
            </w:r>
          </w:p>
        </w:tc>
        <w:tc>
          <w:tcPr>
            <w:tcW w:w="607" w:type="dxa"/>
            <w:tcBorders>
              <w:tl2br w:val="nil"/>
              <w:tr2bl w:val="nil"/>
            </w:tcBorders>
            <w:vAlign w:val="center"/>
          </w:tcPr>
          <w:p w14:paraId="1BECF69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0BDEAFE9">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7C5F6F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634" w:type="dxa"/>
            <w:vMerge w:val="continue"/>
            <w:tcBorders>
              <w:tl2br w:val="nil"/>
              <w:tr2bl w:val="nil"/>
            </w:tcBorders>
            <w:vAlign w:val="center"/>
          </w:tcPr>
          <w:p w14:paraId="3FD17199">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24460BD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w:t>
            </w:r>
            <w:sdt>
              <w:sdtPr>
                <w:rPr>
                  <w:color w:val="auto"/>
                </w:rPr>
                <w:alias w:val="敏感词检查"/>
                <w:tag w:val="auto"/>
                <w:id w:val="3111520"/>
              </w:sdtPr>
              <w:sdtEndPr>
                <w:rPr>
                  <w:color w:val="auto"/>
                </w:rPr>
              </w:sdtEndPr>
              <w:sdtContent>
                <w:bookmarkStart w:id="1569" w:name="bkPolitics3111520"/>
                <w:r>
                  <w:rPr>
                    <w:rFonts w:hint="default" w:ascii="Times New Roman" w:hAnsi="Times New Roman" w:eastAsia="宋体" w:cs="Times New Roman"/>
                    <w:color w:val="auto"/>
                    <w:sz w:val="21"/>
                    <w:szCs w:val="21"/>
                    <w:lang w:val="en-US" w:eastAsia="zh-CN"/>
                  </w:rPr>
                  <w:t>16大</w:t>
                </w:r>
                <w:bookmarkEnd w:id="1569"/>
              </w:sdtContent>
            </w:sdt>
            <w:r>
              <w:rPr>
                <w:rFonts w:hint="default" w:ascii="Times New Roman" w:hAnsi="Times New Roman" w:eastAsia="宋体" w:cs="Times New Roman"/>
                <w:color w:val="auto"/>
                <w:sz w:val="21"/>
                <w:szCs w:val="21"/>
                <w:lang w:val="en-US" w:eastAsia="zh-CN"/>
              </w:rPr>
              <w:t>协西川东阳汽车部件</w:t>
            </w:r>
          </w:p>
        </w:tc>
        <w:tc>
          <w:tcPr>
            <w:tcW w:w="1019" w:type="dxa"/>
            <w:tcBorders>
              <w:tl2br w:val="nil"/>
              <w:tr2bl w:val="nil"/>
            </w:tcBorders>
            <w:vAlign w:val="center"/>
          </w:tcPr>
          <w:p w14:paraId="510CF6C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57.8</w:t>
            </w:r>
          </w:p>
        </w:tc>
        <w:tc>
          <w:tcPr>
            <w:tcW w:w="1128" w:type="dxa"/>
            <w:tcBorders>
              <w:tl2br w:val="nil"/>
              <w:tr2bl w:val="nil"/>
            </w:tcBorders>
            <w:vAlign w:val="center"/>
          </w:tcPr>
          <w:p w14:paraId="25903A9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58.3</w:t>
            </w:r>
          </w:p>
        </w:tc>
        <w:tc>
          <w:tcPr>
            <w:tcW w:w="594" w:type="dxa"/>
            <w:tcBorders>
              <w:tl2br w:val="nil"/>
              <w:tr2bl w:val="nil"/>
            </w:tcBorders>
            <w:vAlign w:val="center"/>
          </w:tcPr>
          <w:p w14:paraId="66EAFA2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75F2ABE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3B27F05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46.9</w:t>
            </w:r>
          </w:p>
        </w:tc>
        <w:tc>
          <w:tcPr>
            <w:tcW w:w="1092" w:type="dxa"/>
            <w:tcBorders>
              <w:tl2br w:val="nil"/>
              <w:tr2bl w:val="nil"/>
            </w:tcBorders>
            <w:vAlign w:val="center"/>
          </w:tcPr>
          <w:p w14:paraId="37EFCDCA">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47.4</w:t>
            </w:r>
          </w:p>
        </w:tc>
        <w:tc>
          <w:tcPr>
            <w:tcW w:w="607" w:type="dxa"/>
            <w:tcBorders>
              <w:tl2br w:val="nil"/>
              <w:tr2bl w:val="nil"/>
            </w:tcBorders>
            <w:vAlign w:val="center"/>
          </w:tcPr>
          <w:p w14:paraId="1FB370E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7496220C">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6C8E1C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634" w:type="dxa"/>
            <w:vMerge w:val="continue"/>
            <w:tcBorders>
              <w:tl2br w:val="nil"/>
              <w:tr2bl w:val="nil"/>
            </w:tcBorders>
            <w:vAlign w:val="center"/>
          </w:tcPr>
          <w:p w14:paraId="6D857EE2">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62AE36F7">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N17海尔曼斯集团</w:t>
            </w:r>
          </w:p>
        </w:tc>
        <w:tc>
          <w:tcPr>
            <w:tcW w:w="1019" w:type="dxa"/>
            <w:tcBorders>
              <w:tl2br w:val="nil"/>
              <w:tr2bl w:val="nil"/>
            </w:tcBorders>
            <w:vAlign w:val="center"/>
          </w:tcPr>
          <w:p w14:paraId="53B0EB08">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57.2</w:t>
            </w:r>
          </w:p>
        </w:tc>
        <w:tc>
          <w:tcPr>
            <w:tcW w:w="1128" w:type="dxa"/>
            <w:tcBorders>
              <w:tl2br w:val="nil"/>
              <w:tr2bl w:val="nil"/>
            </w:tcBorders>
            <w:vAlign w:val="center"/>
          </w:tcPr>
          <w:p w14:paraId="6D3220F9">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57.6</w:t>
            </w:r>
          </w:p>
        </w:tc>
        <w:tc>
          <w:tcPr>
            <w:tcW w:w="594" w:type="dxa"/>
            <w:tcBorders>
              <w:tl2br w:val="nil"/>
              <w:tr2bl w:val="nil"/>
            </w:tcBorders>
            <w:vAlign w:val="center"/>
          </w:tcPr>
          <w:p w14:paraId="2CB1AEF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579EFF4D">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3DD93044">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46.6</w:t>
            </w:r>
          </w:p>
        </w:tc>
        <w:tc>
          <w:tcPr>
            <w:tcW w:w="1092" w:type="dxa"/>
            <w:tcBorders>
              <w:tl2br w:val="nil"/>
              <w:tr2bl w:val="nil"/>
            </w:tcBorders>
            <w:vAlign w:val="center"/>
          </w:tcPr>
          <w:p w14:paraId="00AC422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46.9</w:t>
            </w:r>
          </w:p>
        </w:tc>
        <w:tc>
          <w:tcPr>
            <w:tcW w:w="607" w:type="dxa"/>
            <w:tcBorders>
              <w:tl2br w:val="nil"/>
              <w:tr2bl w:val="nil"/>
            </w:tcBorders>
            <w:vAlign w:val="center"/>
          </w:tcPr>
          <w:p w14:paraId="060D4DF3">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1B5E794C">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7EED22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634" w:type="dxa"/>
            <w:vMerge w:val="continue"/>
            <w:tcBorders>
              <w:tl2br w:val="nil"/>
              <w:tr2bl w:val="nil"/>
            </w:tcBorders>
            <w:vAlign w:val="center"/>
          </w:tcPr>
          <w:p w14:paraId="6EF1864A">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4840BAD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N18东虹花园西苑</w:t>
            </w:r>
          </w:p>
        </w:tc>
        <w:tc>
          <w:tcPr>
            <w:tcW w:w="1019" w:type="dxa"/>
            <w:tcBorders>
              <w:tl2br w:val="nil"/>
              <w:tr2bl w:val="nil"/>
            </w:tcBorders>
            <w:vAlign w:val="center"/>
          </w:tcPr>
          <w:p w14:paraId="30E97770">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53.1</w:t>
            </w:r>
          </w:p>
        </w:tc>
        <w:tc>
          <w:tcPr>
            <w:tcW w:w="1128" w:type="dxa"/>
            <w:tcBorders>
              <w:tl2br w:val="nil"/>
              <w:tr2bl w:val="nil"/>
            </w:tcBorders>
            <w:vAlign w:val="center"/>
          </w:tcPr>
          <w:p w14:paraId="23E88A10">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53.4</w:t>
            </w:r>
          </w:p>
        </w:tc>
        <w:tc>
          <w:tcPr>
            <w:tcW w:w="594" w:type="dxa"/>
            <w:tcBorders>
              <w:tl2br w:val="nil"/>
              <w:tr2bl w:val="nil"/>
            </w:tcBorders>
            <w:vAlign w:val="center"/>
          </w:tcPr>
          <w:p w14:paraId="0A20AB3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30E8DC1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79B1362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41.9</w:t>
            </w:r>
          </w:p>
        </w:tc>
        <w:tc>
          <w:tcPr>
            <w:tcW w:w="1092" w:type="dxa"/>
            <w:tcBorders>
              <w:tl2br w:val="nil"/>
              <w:tr2bl w:val="nil"/>
            </w:tcBorders>
            <w:vAlign w:val="center"/>
          </w:tcPr>
          <w:p w14:paraId="75236F1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42.2</w:t>
            </w:r>
          </w:p>
        </w:tc>
        <w:tc>
          <w:tcPr>
            <w:tcW w:w="607" w:type="dxa"/>
            <w:tcBorders>
              <w:tl2br w:val="nil"/>
              <w:tr2bl w:val="nil"/>
            </w:tcBorders>
            <w:vAlign w:val="center"/>
          </w:tcPr>
          <w:p w14:paraId="16B29388">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17838268">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424883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634" w:type="dxa"/>
            <w:vMerge w:val="continue"/>
            <w:tcBorders>
              <w:tl2br w:val="nil"/>
              <w:tr2bl w:val="nil"/>
            </w:tcBorders>
            <w:vAlign w:val="center"/>
          </w:tcPr>
          <w:p w14:paraId="4B33912A">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6F30561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N19爱德印刷</w:t>
            </w:r>
          </w:p>
        </w:tc>
        <w:tc>
          <w:tcPr>
            <w:tcW w:w="1019" w:type="dxa"/>
            <w:tcBorders>
              <w:tl2br w:val="nil"/>
              <w:tr2bl w:val="nil"/>
            </w:tcBorders>
            <w:vAlign w:val="center"/>
          </w:tcPr>
          <w:p w14:paraId="635FB05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57.8</w:t>
            </w:r>
          </w:p>
        </w:tc>
        <w:tc>
          <w:tcPr>
            <w:tcW w:w="1128" w:type="dxa"/>
            <w:tcBorders>
              <w:tl2br w:val="nil"/>
              <w:tr2bl w:val="nil"/>
            </w:tcBorders>
            <w:vAlign w:val="center"/>
          </w:tcPr>
          <w:p w14:paraId="2AF3894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57.5</w:t>
            </w:r>
          </w:p>
        </w:tc>
        <w:tc>
          <w:tcPr>
            <w:tcW w:w="594" w:type="dxa"/>
            <w:tcBorders>
              <w:tl2br w:val="nil"/>
              <w:tr2bl w:val="nil"/>
            </w:tcBorders>
            <w:vAlign w:val="center"/>
          </w:tcPr>
          <w:p w14:paraId="1CFB0046">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3FACC814">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7C42C47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46.7</w:t>
            </w:r>
          </w:p>
        </w:tc>
        <w:tc>
          <w:tcPr>
            <w:tcW w:w="1092" w:type="dxa"/>
            <w:tcBorders>
              <w:tl2br w:val="nil"/>
              <w:tr2bl w:val="nil"/>
            </w:tcBorders>
            <w:vAlign w:val="center"/>
          </w:tcPr>
          <w:p w14:paraId="6377CCB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46.8</w:t>
            </w:r>
          </w:p>
        </w:tc>
        <w:tc>
          <w:tcPr>
            <w:tcW w:w="607" w:type="dxa"/>
            <w:tcBorders>
              <w:tl2br w:val="nil"/>
              <w:tr2bl w:val="nil"/>
            </w:tcBorders>
            <w:vAlign w:val="center"/>
          </w:tcPr>
          <w:p w14:paraId="7999B4BA">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34F0F78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46AA0B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634" w:type="dxa"/>
            <w:vMerge w:val="continue"/>
            <w:tcBorders>
              <w:tl2br w:val="nil"/>
              <w:tr2bl w:val="nil"/>
            </w:tcBorders>
            <w:vAlign w:val="center"/>
          </w:tcPr>
          <w:p w14:paraId="75E34328">
            <w:pPr>
              <w:widowControl w:val="0"/>
              <w:bidi w:val="0"/>
              <w:jc w:val="center"/>
              <w:rPr>
                <w:rFonts w:hint="default" w:ascii="Times New Roman" w:hAnsi="Times New Roman" w:eastAsia="宋体" w:cs="Times New Roman"/>
                <w:color w:val="auto"/>
                <w:sz w:val="21"/>
                <w:szCs w:val="21"/>
                <w:lang w:val="en-US" w:eastAsia="zh-CN"/>
              </w:rPr>
            </w:pPr>
            <w:bookmarkStart w:id="1570" w:name="OLE_LINK158" w:colFirst="0" w:colLast="1"/>
          </w:p>
        </w:tc>
        <w:tc>
          <w:tcPr>
            <w:tcW w:w="1060" w:type="dxa"/>
            <w:tcBorders>
              <w:tl2br w:val="nil"/>
              <w:tr2bl w:val="nil"/>
            </w:tcBorders>
            <w:vAlign w:val="center"/>
          </w:tcPr>
          <w:p w14:paraId="6BBC2CBC">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N21协鑫生活污泥发电</w:t>
            </w:r>
          </w:p>
        </w:tc>
        <w:tc>
          <w:tcPr>
            <w:tcW w:w="1019" w:type="dxa"/>
            <w:tcBorders>
              <w:tl2br w:val="nil"/>
              <w:tr2bl w:val="nil"/>
            </w:tcBorders>
            <w:vAlign w:val="center"/>
          </w:tcPr>
          <w:p w14:paraId="25CD1D93">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58.0</w:t>
            </w:r>
          </w:p>
        </w:tc>
        <w:tc>
          <w:tcPr>
            <w:tcW w:w="1128" w:type="dxa"/>
            <w:tcBorders>
              <w:tl2br w:val="nil"/>
              <w:tr2bl w:val="nil"/>
            </w:tcBorders>
            <w:vAlign w:val="center"/>
          </w:tcPr>
          <w:p w14:paraId="78FFC35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58.4</w:t>
            </w:r>
          </w:p>
        </w:tc>
        <w:tc>
          <w:tcPr>
            <w:tcW w:w="594" w:type="dxa"/>
            <w:tcBorders>
              <w:tl2br w:val="nil"/>
              <w:tr2bl w:val="nil"/>
            </w:tcBorders>
            <w:vAlign w:val="center"/>
          </w:tcPr>
          <w:p w14:paraId="35BD977D">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081271F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66E2A0D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47.2</w:t>
            </w:r>
          </w:p>
        </w:tc>
        <w:tc>
          <w:tcPr>
            <w:tcW w:w="1092" w:type="dxa"/>
            <w:tcBorders>
              <w:tl2br w:val="nil"/>
              <w:tr2bl w:val="nil"/>
            </w:tcBorders>
            <w:vAlign w:val="center"/>
          </w:tcPr>
          <w:p w14:paraId="397D6809">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47.6</w:t>
            </w:r>
          </w:p>
        </w:tc>
        <w:tc>
          <w:tcPr>
            <w:tcW w:w="607" w:type="dxa"/>
            <w:tcBorders>
              <w:tl2br w:val="nil"/>
              <w:tr2bl w:val="nil"/>
            </w:tcBorders>
            <w:vAlign w:val="center"/>
          </w:tcPr>
          <w:p w14:paraId="04688883">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248A517C">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bookmarkEnd w:id="1570"/>
      <w:tr w14:paraId="09FD7A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634" w:type="dxa"/>
            <w:vMerge w:val="continue"/>
            <w:tcBorders>
              <w:tl2br w:val="nil"/>
              <w:tr2bl w:val="nil"/>
            </w:tcBorders>
            <w:vAlign w:val="center"/>
          </w:tcPr>
          <w:p w14:paraId="1E04286F">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75927019">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N23空地</w:t>
            </w:r>
          </w:p>
        </w:tc>
        <w:tc>
          <w:tcPr>
            <w:tcW w:w="1019" w:type="dxa"/>
            <w:tcBorders>
              <w:tl2br w:val="nil"/>
              <w:tr2bl w:val="nil"/>
            </w:tcBorders>
            <w:vAlign w:val="center"/>
          </w:tcPr>
          <w:p w14:paraId="74E9EE7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54.6</w:t>
            </w:r>
          </w:p>
        </w:tc>
        <w:tc>
          <w:tcPr>
            <w:tcW w:w="1128" w:type="dxa"/>
            <w:tcBorders>
              <w:tl2br w:val="nil"/>
              <w:tr2bl w:val="nil"/>
            </w:tcBorders>
            <w:vAlign w:val="center"/>
          </w:tcPr>
          <w:p w14:paraId="3C9DD3F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54.4</w:t>
            </w:r>
          </w:p>
        </w:tc>
        <w:tc>
          <w:tcPr>
            <w:tcW w:w="594" w:type="dxa"/>
            <w:tcBorders>
              <w:tl2br w:val="nil"/>
              <w:tr2bl w:val="nil"/>
            </w:tcBorders>
            <w:vAlign w:val="center"/>
          </w:tcPr>
          <w:p w14:paraId="17A39F4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414EC2D3">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70E4D94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43.3</w:t>
            </w:r>
          </w:p>
        </w:tc>
        <w:tc>
          <w:tcPr>
            <w:tcW w:w="1092" w:type="dxa"/>
            <w:tcBorders>
              <w:tl2br w:val="nil"/>
              <w:tr2bl w:val="nil"/>
            </w:tcBorders>
            <w:vAlign w:val="center"/>
          </w:tcPr>
          <w:p w14:paraId="05080F6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43.2</w:t>
            </w:r>
          </w:p>
        </w:tc>
        <w:tc>
          <w:tcPr>
            <w:tcW w:w="607" w:type="dxa"/>
            <w:tcBorders>
              <w:tl2br w:val="nil"/>
              <w:tr2bl w:val="nil"/>
            </w:tcBorders>
            <w:vAlign w:val="center"/>
          </w:tcPr>
          <w:p w14:paraId="0845CF1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6AADD3AC">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155AD9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634" w:type="dxa"/>
            <w:vMerge w:val="continue"/>
            <w:tcBorders>
              <w:tl2br w:val="nil"/>
              <w:tr2bl w:val="nil"/>
            </w:tcBorders>
            <w:vAlign w:val="center"/>
          </w:tcPr>
          <w:p w14:paraId="4F06B230">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17890EAC">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N24太白店</w:t>
            </w:r>
          </w:p>
        </w:tc>
        <w:tc>
          <w:tcPr>
            <w:tcW w:w="1019" w:type="dxa"/>
            <w:tcBorders>
              <w:tl2br w:val="nil"/>
              <w:tr2bl w:val="nil"/>
            </w:tcBorders>
            <w:vAlign w:val="center"/>
          </w:tcPr>
          <w:p w14:paraId="5A8A454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54.9</w:t>
            </w:r>
          </w:p>
        </w:tc>
        <w:tc>
          <w:tcPr>
            <w:tcW w:w="1128" w:type="dxa"/>
            <w:tcBorders>
              <w:tl2br w:val="nil"/>
              <w:tr2bl w:val="nil"/>
            </w:tcBorders>
            <w:vAlign w:val="center"/>
          </w:tcPr>
          <w:p w14:paraId="52FB55B6">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55.2</w:t>
            </w:r>
          </w:p>
        </w:tc>
        <w:tc>
          <w:tcPr>
            <w:tcW w:w="594" w:type="dxa"/>
            <w:tcBorders>
              <w:tl2br w:val="nil"/>
              <w:tr2bl w:val="nil"/>
            </w:tcBorders>
            <w:vAlign w:val="center"/>
          </w:tcPr>
          <w:p w14:paraId="09D19F46">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6155B25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35A11A52">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44.1</w:t>
            </w:r>
          </w:p>
        </w:tc>
        <w:tc>
          <w:tcPr>
            <w:tcW w:w="1092" w:type="dxa"/>
            <w:tcBorders>
              <w:tl2br w:val="nil"/>
              <w:tr2bl w:val="nil"/>
            </w:tcBorders>
            <w:vAlign w:val="center"/>
          </w:tcPr>
          <w:p w14:paraId="736C6103">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44.4</w:t>
            </w:r>
          </w:p>
        </w:tc>
        <w:tc>
          <w:tcPr>
            <w:tcW w:w="607" w:type="dxa"/>
            <w:tcBorders>
              <w:tl2br w:val="nil"/>
              <w:tr2bl w:val="nil"/>
            </w:tcBorders>
            <w:vAlign w:val="center"/>
          </w:tcPr>
          <w:p w14:paraId="0E003633">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46A0D40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2912DE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634" w:type="dxa"/>
            <w:vMerge w:val="continue"/>
            <w:tcBorders>
              <w:tl2br w:val="nil"/>
              <w:tr2bl w:val="nil"/>
            </w:tcBorders>
            <w:vAlign w:val="center"/>
          </w:tcPr>
          <w:p w14:paraId="0521C1A0">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66EBFD6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N25银城蓝溪郡</w:t>
            </w:r>
          </w:p>
        </w:tc>
        <w:tc>
          <w:tcPr>
            <w:tcW w:w="1019" w:type="dxa"/>
            <w:tcBorders>
              <w:tl2br w:val="nil"/>
              <w:tr2bl w:val="nil"/>
            </w:tcBorders>
            <w:vAlign w:val="center"/>
          </w:tcPr>
          <w:p w14:paraId="6E2B3AC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53.8</w:t>
            </w:r>
          </w:p>
        </w:tc>
        <w:tc>
          <w:tcPr>
            <w:tcW w:w="1128" w:type="dxa"/>
            <w:tcBorders>
              <w:tl2br w:val="nil"/>
              <w:tr2bl w:val="nil"/>
            </w:tcBorders>
            <w:vAlign w:val="center"/>
          </w:tcPr>
          <w:p w14:paraId="7B35C4E8">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53.7</w:t>
            </w:r>
          </w:p>
        </w:tc>
        <w:tc>
          <w:tcPr>
            <w:tcW w:w="594" w:type="dxa"/>
            <w:tcBorders>
              <w:tl2br w:val="nil"/>
              <w:tr2bl w:val="nil"/>
            </w:tcBorders>
            <w:vAlign w:val="center"/>
          </w:tcPr>
          <w:p w14:paraId="69372AF9">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7347D49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791EDB9A">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42.7</w:t>
            </w:r>
          </w:p>
        </w:tc>
        <w:tc>
          <w:tcPr>
            <w:tcW w:w="1092" w:type="dxa"/>
            <w:tcBorders>
              <w:tl2br w:val="nil"/>
              <w:tr2bl w:val="nil"/>
            </w:tcBorders>
            <w:vAlign w:val="center"/>
          </w:tcPr>
          <w:p w14:paraId="2D478C8C">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42.5</w:t>
            </w:r>
          </w:p>
        </w:tc>
        <w:tc>
          <w:tcPr>
            <w:tcW w:w="607" w:type="dxa"/>
            <w:tcBorders>
              <w:tl2br w:val="nil"/>
              <w:tr2bl w:val="nil"/>
            </w:tcBorders>
            <w:vAlign w:val="center"/>
          </w:tcPr>
          <w:p w14:paraId="06A45277">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3F1BF97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4E29B9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634" w:type="dxa"/>
            <w:vMerge w:val="continue"/>
            <w:tcBorders>
              <w:tl2br w:val="nil"/>
              <w:tr2bl w:val="nil"/>
            </w:tcBorders>
            <w:vAlign w:val="center"/>
          </w:tcPr>
          <w:p w14:paraId="6567AD9F">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2C63CFE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N26凤凰山新寓</w:t>
            </w:r>
          </w:p>
        </w:tc>
        <w:tc>
          <w:tcPr>
            <w:tcW w:w="1019" w:type="dxa"/>
            <w:tcBorders>
              <w:tl2br w:val="nil"/>
              <w:tr2bl w:val="nil"/>
            </w:tcBorders>
            <w:vAlign w:val="center"/>
          </w:tcPr>
          <w:p w14:paraId="650FCCFB">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54.2</w:t>
            </w:r>
          </w:p>
        </w:tc>
        <w:tc>
          <w:tcPr>
            <w:tcW w:w="1128" w:type="dxa"/>
            <w:tcBorders>
              <w:tl2br w:val="nil"/>
              <w:tr2bl w:val="nil"/>
            </w:tcBorders>
            <w:vAlign w:val="center"/>
          </w:tcPr>
          <w:p w14:paraId="4CC2DC53">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54.1</w:t>
            </w:r>
          </w:p>
        </w:tc>
        <w:tc>
          <w:tcPr>
            <w:tcW w:w="594" w:type="dxa"/>
            <w:tcBorders>
              <w:tl2br w:val="nil"/>
              <w:tr2bl w:val="nil"/>
            </w:tcBorders>
            <w:vAlign w:val="center"/>
          </w:tcPr>
          <w:p w14:paraId="4C2F6300">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0AAE63B7">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2884876E">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43.0</w:t>
            </w:r>
          </w:p>
        </w:tc>
        <w:tc>
          <w:tcPr>
            <w:tcW w:w="1092" w:type="dxa"/>
            <w:tcBorders>
              <w:tl2br w:val="nil"/>
              <w:tr2bl w:val="nil"/>
            </w:tcBorders>
            <w:vAlign w:val="center"/>
          </w:tcPr>
          <w:p w14:paraId="6CC69F68">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42.9</w:t>
            </w:r>
          </w:p>
        </w:tc>
        <w:tc>
          <w:tcPr>
            <w:tcW w:w="607" w:type="dxa"/>
            <w:tcBorders>
              <w:tl2br w:val="nil"/>
              <w:tr2bl w:val="nil"/>
            </w:tcBorders>
            <w:vAlign w:val="center"/>
          </w:tcPr>
          <w:p w14:paraId="15215463">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345D2B77">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043D5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0" w:hRule="atLeast"/>
        </w:trPr>
        <w:tc>
          <w:tcPr>
            <w:tcW w:w="634" w:type="dxa"/>
            <w:vMerge w:val="continue"/>
            <w:tcBorders>
              <w:tl2br w:val="nil"/>
              <w:tr2bl w:val="nil"/>
            </w:tcBorders>
            <w:vAlign w:val="center"/>
          </w:tcPr>
          <w:p w14:paraId="763235CA">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0C09780A">
            <w:pPr>
              <w:widowControl w:val="0"/>
              <w:bidi w:val="0"/>
              <w:jc w:val="center"/>
              <w:rPr>
                <w:color w:val="auto"/>
                <w:vertAlign w:val="baseline"/>
              </w:rPr>
            </w:pPr>
            <w:r>
              <w:rPr>
                <w:rFonts w:hint="default" w:ascii="Times New Roman" w:hAnsi="Times New Roman" w:eastAsia="宋体" w:cs="Times New Roman"/>
                <w:color w:val="auto"/>
                <w:sz w:val="21"/>
                <w:szCs w:val="21"/>
                <w:highlight w:val="none"/>
                <w:lang w:val="en-US" w:eastAsia="zh-CN"/>
              </w:rPr>
              <w:t>N27金伯利护理用品</w:t>
            </w:r>
          </w:p>
        </w:tc>
        <w:tc>
          <w:tcPr>
            <w:tcW w:w="1019" w:type="dxa"/>
            <w:tcBorders>
              <w:tl2br w:val="nil"/>
              <w:tr2bl w:val="nil"/>
            </w:tcBorders>
            <w:vAlign w:val="center"/>
          </w:tcPr>
          <w:p w14:paraId="37A266A3">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57.2</w:t>
            </w:r>
          </w:p>
        </w:tc>
        <w:tc>
          <w:tcPr>
            <w:tcW w:w="1128" w:type="dxa"/>
            <w:tcBorders>
              <w:tl2br w:val="nil"/>
              <w:tr2bl w:val="nil"/>
            </w:tcBorders>
            <w:vAlign w:val="center"/>
          </w:tcPr>
          <w:p w14:paraId="27AEAB40">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57.0</w:t>
            </w:r>
          </w:p>
        </w:tc>
        <w:tc>
          <w:tcPr>
            <w:tcW w:w="594" w:type="dxa"/>
            <w:tcBorders>
              <w:tl2br w:val="nil"/>
              <w:tr2bl w:val="nil"/>
            </w:tcBorders>
            <w:vAlign w:val="center"/>
          </w:tcPr>
          <w:p w14:paraId="09FBE77C">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5DFB0C44">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c>
          <w:tcPr>
            <w:tcW w:w="1122" w:type="dxa"/>
            <w:tcBorders>
              <w:tl2br w:val="nil"/>
              <w:tr2bl w:val="nil"/>
            </w:tcBorders>
            <w:vAlign w:val="center"/>
          </w:tcPr>
          <w:p w14:paraId="67B9BF67">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46.3</w:t>
            </w:r>
          </w:p>
        </w:tc>
        <w:tc>
          <w:tcPr>
            <w:tcW w:w="1092" w:type="dxa"/>
            <w:tcBorders>
              <w:tl2br w:val="nil"/>
              <w:tr2bl w:val="nil"/>
            </w:tcBorders>
            <w:vAlign w:val="center"/>
          </w:tcPr>
          <w:p w14:paraId="598D827D">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46.4</w:t>
            </w:r>
          </w:p>
        </w:tc>
        <w:tc>
          <w:tcPr>
            <w:tcW w:w="607" w:type="dxa"/>
            <w:tcBorders>
              <w:tl2br w:val="nil"/>
              <w:tr2bl w:val="nil"/>
            </w:tcBorders>
            <w:vAlign w:val="center"/>
          </w:tcPr>
          <w:p w14:paraId="462DD3E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6B204F0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r w14:paraId="3B894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634" w:type="dxa"/>
            <w:vMerge w:val="continue"/>
            <w:tcBorders>
              <w:tl2br w:val="nil"/>
              <w:tr2bl w:val="nil"/>
            </w:tcBorders>
            <w:vAlign w:val="center"/>
          </w:tcPr>
          <w:p w14:paraId="035656D0">
            <w:pPr>
              <w:widowControl w:val="0"/>
              <w:bidi w:val="0"/>
              <w:jc w:val="center"/>
              <w:rPr>
                <w:rFonts w:hint="default" w:ascii="Times New Roman" w:hAnsi="Times New Roman" w:eastAsia="宋体" w:cs="Times New Roman"/>
                <w:color w:val="auto"/>
                <w:sz w:val="21"/>
                <w:szCs w:val="21"/>
                <w:lang w:val="en-US" w:eastAsia="zh-CN"/>
              </w:rPr>
            </w:pPr>
          </w:p>
        </w:tc>
        <w:tc>
          <w:tcPr>
            <w:tcW w:w="1060" w:type="dxa"/>
            <w:tcBorders>
              <w:tl2br w:val="nil"/>
              <w:tr2bl w:val="nil"/>
            </w:tcBorders>
            <w:vAlign w:val="center"/>
          </w:tcPr>
          <w:p w14:paraId="309025D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N28南京飞腾电子科技</w:t>
            </w:r>
          </w:p>
        </w:tc>
        <w:tc>
          <w:tcPr>
            <w:tcW w:w="1019" w:type="dxa"/>
            <w:tcBorders>
              <w:tl2br w:val="nil"/>
              <w:tr2bl w:val="nil"/>
            </w:tcBorders>
            <w:vAlign w:val="center"/>
          </w:tcPr>
          <w:p w14:paraId="3DFEC144">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57.8</w:t>
            </w:r>
          </w:p>
        </w:tc>
        <w:tc>
          <w:tcPr>
            <w:tcW w:w="1128" w:type="dxa"/>
            <w:tcBorders>
              <w:tl2br w:val="nil"/>
              <w:tr2bl w:val="nil"/>
            </w:tcBorders>
            <w:vAlign w:val="center"/>
          </w:tcPr>
          <w:p w14:paraId="48516D7D">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58.1</w:t>
            </w:r>
          </w:p>
        </w:tc>
        <w:tc>
          <w:tcPr>
            <w:tcW w:w="594" w:type="dxa"/>
            <w:tcBorders>
              <w:tl2br w:val="nil"/>
              <w:tr2bl w:val="nil"/>
            </w:tcBorders>
            <w:vAlign w:val="center"/>
          </w:tcPr>
          <w:p w14:paraId="5DEC2356">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60</w:t>
            </w:r>
          </w:p>
        </w:tc>
        <w:tc>
          <w:tcPr>
            <w:tcW w:w="651" w:type="dxa"/>
            <w:tcBorders>
              <w:tl2br w:val="nil"/>
              <w:tr2bl w:val="nil"/>
            </w:tcBorders>
            <w:vAlign w:val="center"/>
          </w:tcPr>
          <w:p w14:paraId="24E9548D">
            <w:pPr>
              <w:widowControl w:val="0"/>
              <w:bidi w:val="0"/>
              <w:jc w:val="center"/>
              <w:rPr>
                <w:color w:val="auto"/>
                <w:vertAlign w:val="baseline"/>
              </w:rPr>
            </w:pPr>
            <w:r>
              <w:rPr>
                <w:rFonts w:hint="default" w:ascii="Times New Roman" w:hAnsi="Times New Roman" w:eastAsia="宋体" w:cs="Times New Roman"/>
                <w:color w:val="auto"/>
                <w:sz w:val="21"/>
                <w:szCs w:val="21"/>
                <w:highlight w:val="none"/>
                <w:lang w:val="en-US" w:eastAsia="zh-CN"/>
              </w:rPr>
              <w:t>达标</w:t>
            </w:r>
          </w:p>
        </w:tc>
        <w:tc>
          <w:tcPr>
            <w:tcW w:w="1122" w:type="dxa"/>
            <w:tcBorders>
              <w:tl2br w:val="nil"/>
              <w:tr2bl w:val="nil"/>
            </w:tcBorders>
            <w:vAlign w:val="center"/>
          </w:tcPr>
          <w:p w14:paraId="1C3BA584">
            <w:pPr>
              <w:widowControl w:val="0"/>
              <w:bidi w:val="0"/>
              <w:jc w:val="center"/>
              <w:rPr>
                <w:color w:val="auto"/>
                <w:vertAlign w:val="baseline"/>
              </w:rPr>
            </w:pPr>
            <w:r>
              <w:rPr>
                <w:rFonts w:hint="default" w:ascii="Times New Roman" w:hAnsi="Times New Roman" w:eastAsia="宋体" w:cs="Times New Roman"/>
                <w:color w:val="auto"/>
                <w:sz w:val="21"/>
                <w:szCs w:val="21"/>
                <w:highlight w:val="none"/>
                <w:lang w:val="en-US" w:eastAsia="zh-CN"/>
              </w:rPr>
              <w:t>46.9</w:t>
            </w:r>
          </w:p>
        </w:tc>
        <w:tc>
          <w:tcPr>
            <w:tcW w:w="1092" w:type="dxa"/>
            <w:tcBorders>
              <w:tl2br w:val="nil"/>
              <w:tr2bl w:val="nil"/>
            </w:tcBorders>
            <w:vAlign w:val="center"/>
          </w:tcPr>
          <w:p w14:paraId="60E727C5">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47.2</w:t>
            </w:r>
          </w:p>
        </w:tc>
        <w:tc>
          <w:tcPr>
            <w:tcW w:w="607" w:type="dxa"/>
            <w:tcBorders>
              <w:tl2br w:val="nil"/>
              <w:tr2bl w:val="nil"/>
            </w:tcBorders>
            <w:vAlign w:val="center"/>
          </w:tcPr>
          <w:p w14:paraId="4A21B5AF">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50</w:t>
            </w:r>
          </w:p>
        </w:tc>
        <w:tc>
          <w:tcPr>
            <w:tcW w:w="572" w:type="dxa"/>
            <w:tcBorders>
              <w:tl2br w:val="nil"/>
              <w:tr2bl w:val="nil"/>
            </w:tcBorders>
            <w:vAlign w:val="center"/>
          </w:tcPr>
          <w:p w14:paraId="78D95501">
            <w:pPr>
              <w:widowControl w:val="0"/>
              <w:bidi w:val="0"/>
              <w:jc w:val="center"/>
              <w:rPr>
                <w:color w:val="auto"/>
                <w:vertAlign w:val="baseline"/>
              </w:rPr>
            </w:pPr>
            <w:r>
              <w:rPr>
                <w:rFonts w:hint="default" w:ascii="Times New Roman" w:hAnsi="Times New Roman" w:eastAsia="宋体" w:cs="Times New Roman"/>
                <w:color w:val="auto"/>
                <w:sz w:val="21"/>
                <w:szCs w:val="21"/>
                <w:lang w:val="en-US" w:eastAsia="zh-CN"/>
              </w:rPr>
              <w:t>达标</w:t>
            </w:r>
          </w:p>
        </w:tc>
      </w:tr>
    </w:tbl>
    <w:p w14:paraId="134089C3">
      <w:pPr>
        <w:spacing w:before="183" w:line="218" w:lineRule="auto"/>
        <w:ind w:left="90"/>
        <w:rPr>
          <w:rFonts w:ascii="宋体" w:hAnsi="宋体" w:eastAsia="宋体" w:cs="宋体"/>
          <w:color w:val="auto"/>
          <w:sz w:val="24"/>
          <w:szCs w:val="24"/>
        </w:rPr>
      </w:pPr>
      <w:r>
        <w:rPr>
          <w:color w:val="auto"/>
        </w:rPr>
        <w:fldChar w:fldCharType="begin"/>
      </w:r>
      <w:r>
        <w:rPr>
          <w:color w:val="auto"/>
        </w:rPr>
        <w:instrText xml:space="preserve"> HYPERLINK "6.3.3.2" </w:instrText>
      </w:r>
      <w:r>
        <w:rPr>
          <w:color w:val="auto"/>
        </w:rPr>
        <w:fldChar w:fldCharType="separate"/>
      </w:r>
      <w:r>
        <w:rPr>
          <w:rFonts w:ascii="Times New Roman" w:hAnsi="Times New Roman" w:eastAsia="Times New Roman" w:cs="Times New Roman"/>
          <w:b/>
          <w:bCs/>
          <w:color w:val="auto"/>
          <w:spacing w:val="-2"/>
          <w:sz w:val="24"/>
          <w:szCs w:val="24"/>
        </w:rPr>
        <w:t>6.3.3.2</w:t>
      </w:r>
      <w:r>
        <w:rPr>
          <w:rFonts w:ascii="Times New Roman" w:hAnsi="Times New Roman" w:eastAsia="Times New Roman" w:cs="Times New Roman"/>
          <w:b/>
          <w:bCs/>
          <w:color w:val="auto"/>
          <w:spacing w:val="-2"/>
          <w:sz w:val="24"/>
          <w:szCs w:val="24"/>
        </w:rPr>
        <w:fldChar w:fldCharType="end"/>
      </w:r>
      <w:r>
        <w:rPr>
          <w:rFonts w:ascii="Times New Roman" w:hAnsi="Times New Roman" w:eastAsia="宋体" w:cs="Times New Roman"/>
          <w:b/>
          <w:color w:val="auto"/>
          <w:sz w:val="24"/>
          <w:szCs w:val="24"/>
        </w:rPr>
        <w:t>声环境质量现状评价</w:t>
      </w:r>
      <w:bookmarkStart w:id="1571" w:name="pindex9362"/>
      <w:bookmarkEnd w:id="1571"/>
    </w:p>
    <w:p w14:paraId="644833DC">
      <w:pPr>
        <w:spacing w:line="500" w:lineRule="exact"/>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（1）评价方法与评价标准</w:t>
      </w:r>
      <w:bookmarkStart w:id="1572" w:name="pindex9363"/>
      <w:bookmarkEnd w:id="1572"/>
    </w:p>
    <w:p w14:paraId="5830CD91">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rPr>
        <w:t>用L</w:t>
      </w:r>
      <w:r>
        <w:rPr>
          <w:rFonts w:ascii="Times New Roman" w:hAnsi="Times New Roman" w:eastAsia="宋体" w:cs="Times New Roman"/>
          <w:color w:val="auto"/>
          <w:sz w:val="24"/>
          <w:szCs w:val="24"/>
          <w:vertAlign w:val="subscript"/>
        </w:rPr>
        <w:t>eq</w:t>
      </w:r>
      <w:r>
        <w:rPr>
          <w:rFonts w:ascii="Times New Roman" w:hAnsi="Times New Roman" w:eastAsia="宋体" w:cs="Times New Roman"/>
          <w:color w:val="auto"/>
          <w:sz w:val="24"/>
          <w:szCs w:val="24"/>
        </w:rPr>
        <w:t>与评价标准对</w:t>
      </w:r>
      <w:r>
        <w:rPr>
          <w:rFonts w:ascii="Times New Roman" w:hAnsi="Times New Roman" w:eastAsia="宋体" w:cs="Times New Roman"/>
          <w:color w:val="auto"/>
          <w:sz w:val="24"/>
          <w:szCs w:val="24"/>
          <w:highlight w:val="none"/>
        </w:rPr>
        <w:t>比，对评价区声环境质量功能区划进行评价。工业区噪声监测点位执行《声环境质量标准》（GB3096-2008）</w:t>
      </w:r>
      <w:bookmarkStart w:id="1573" w:name="OLE_LINK545"/>
      <w:r>
        <w:rPr>
          <w:rFonts w:hint="eastAsia" w:ascii="Times New Roman" w:hAnsi="Times New Roman" w:eastAsia="宋体" w:cs="Times New Roman"/>
          <w:color w:val="auto"/>
          <w:sz w:val="24"/>
          <w:szCs w:val="24"/>
          <w:highlight w:val="none"/>
          <w:lang w:val="en-US" w:eastAsia="zh-CN"/>
        </w:rPr>
        <w:t>1类、</w:t>
      </w:r>
      <w:r>
        <w:rPr>
          <w:rFonts w:ascii="Times New Roman" w:hAnsi="Times New Roman" w:eastAsia="宋体" w:cs="Times New Roman"/>
          <w:color w:val="auto"/>
          <w:sz w:val="24"/>
          <w:szCs w:val="24"/>
          <w:highlight w:val="none"/>
        </w:rPr>
        <w:t>2类</w:t>
      </w:r>
      <w:bookmarkEnd w:id="1573"/>
      <w:r>
        <w:rPr>
          <w:rFonts w:ascii="Times New Roman" w:hAnsi="Times New Roman" w:eastAsia="宋体" w:cs="Times New Roman"/>
          <w:color w:val="auto"/>
          <w:sz w:val="24"/>
          <w:szCs w:val="24"/>
          <w:highlight w:val="none"/>
        </w:rPr>
        <w:t>标准，交通噪声监测点位执行《声环境质量标准》（GB3096-2008）4a类标准。</w:t>
      </w:r>
    </w:p>
    <w:p w14:paraId="612C60CE">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（2）评价结果</w:t>
      </w:r>
      <w:bookmarkStart w:id="1574" w:name="pindex9365"/>
      <w:bookmarkEnd w:id="1574"/>
    </w:p>
    <w:p w14:paraId="5531B3D9">
      <w:pPr>
        <w:spacing w:line="500" w:lineRule="exact"/>
        <w:ind w:firstLine="480" w:firstLineChars="200"/>
        <w:rPr>
          <w:rFonts w:ascii="Times New Roman" w:hAnsi="Times New Roman" w:eastAsia="宋体" w:cs="Times New Roman"/>
          <w:color w:val="auto"/>
          <w:sz w:val="24"/>
          <w:szCs w:val="24"/>
          <w:highlight w:val="none"/>
        </w:rPr>
      </w:pPr>
      <w:bookmarkStart w:id="1575" w:name="sys93660100"/>
      <w:r>
        <w:rPr>
          <w:rFonts w:ascii="Times New Roman" w:hAnsi="Times New Roman" w:eastAsia="宋体" w:cs="Times New Roman"/>
          <w:color w:val="auto"/>
          <w:sz w:val="24"/>
          <w:szCs w:val="24"/>
          <w:highlight w:val="none"/>
        </w:rPr>
        <w:t>由</w:t>
      </w:r>
      <w:r>
        <w:rPr>
          <w:rFonts w:hint="eastAsia" w:ascii="Times New Roman" w:hAnsi="Times New Roman" w:eastAsia="宋体" w:cs="Times New Roman"/>
          <w:color w:val="auto"/>
          <w:sz w:val="24"/>
          <w:szCs w:val="24"/>
          <w:highlight w:val="none"/>
          <w:lang w:val="en-US" w:eastAsia="zh-CN"/>
        </w:rPr>
        <w:t>上表</w:t>
      </w:r>
      <w:r>
        <w:rPr>
          <w:rFonts w:ascii="Times New Roman" w:hAnsi="Times New Roman" w:eastAsia="宋体" w:cs="Times New Roman"/>
          <w:color w:val="auto"/>
          <w:sz w:val="24"/>
          <w:szCs w:val="24"/>
          <w:highlight w:val="none"/>
        </w:rPr>
        <w:t>可见，</w:t>
      </w:r>
      <w:bookmarkStart w:id="1576" w:name="OLE_LINK546"/>
      <w:r>
        <w:rPr>
          <w:rFonts w:ascii="Times New Roman" w:hAnsi="Times New Roman" w:eastAsia="宋体" w:cs="Times New Roman"/>
          <w:color w:val="auto"/>
          <w:sz w:val="24"/>
          <w:szCs w:val="24"/>
          <w:highlight w:val="none"/>
        </w:rPr>
        <w:t>评估区域</w:t>
      </w:r>
      <w:r>
        <w:rPr>
          <w:rFonts w:hint="eastAsia" w:ascii="Times New Roman" w:hAnsi="Times New Roman" w:eastAsia="宋体" w:cs="Times New Roman"/>
          <w:color w:val="auto"/>
          <w:sz w:val="24"/>
          <w:szCs w:val="24"/>
          <w:highlight w:val="none"/>
          <w:lang w:val="en-US" w:eastAsia="zh-CN"/>
        </w:rPr>
        <w:t>交通干线两侧昼间交通</w:t>
      </w:r>
      <w:r>
        <w:rPr>
          <w:rFonts w:ascii="Times New Roman" w:hAnsi="Times New Roman" w:eastAsia="宋体" w:cs="Times New Roman"/>
          <w:color w:val="auto"/>
          <w:sz w:val="24"/>
          <w:szCs w:val="24"/>
          <w:highlight w:val="none"/>
        </w:rPr>
        <w:t>噪声值在</w:t>
      </w:r>
      <w:r>
        <w:rPr>
          <w:rFonts w:hint="eastAsia" w:ascii="Times New Roman" w:hAnsi="Times New Roman" w:eastAsia="宋体" w:cs="Times New Roman"/>
          <w:color w:val="auto"/>
          <w:sz w:val="24"/>
          <w:szCs w:val="24"/>
          <w:highlight w:val="none"/>
          <w:lang w:val="en-US" w:eastAsia="zh-CN"/>
        </w:rPr>
        <w:t>66.3-69.4</w:t>
      </w:r>
      <w:r>
        <w:rPr>
          <w:rFonts w:ascii="Times New Roman" w:hAnsi="Times New Roman" w:eastAsia="宋体" w:cs="Times New Roman"/>
          <w:color w:val="auto"/>
          <w:sz w:val="24"/>
          <w:szCs w:val="24"/>
          <w:highlight w:val="none"/>
        </w:rPr>
        <w:t>dB</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A</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之间，夜间交通噪声值在</w:t>
      </w:r>
      <w:r>
        <w:rPr>
          <w:rFonts w:hint="eastAsia" w:ascii="Times New Roman" w:hAnsi="Times New Roman" w:eastAsia="宋体" w:cs="Times New Roman"/>
          <w:color w:val="auto"/>
          <w:sz w:val="24"/>
          <w:szCs w:val="24"/>
          <w:highlight w:val="none"/>
          <w:lang w:val="en-US" w:eastAsia="zh-CN"/>
        </w:rPr>
        <w:t>51.9-54.2</w:t>
      </w:r>
      <w:r>
        <w:rPr>
          <w:rFonts w:ascii="Times New Roman" w:hAnsi="Times New Roman" w:eastAsia="宋体" w:cs="Times New Roman"/>
          <w:color w:val="auto"/>
          <w:sz w:val="24"/>
          <w:szCs w:val="24"/>
          <w:highlight w:val="none"/>
        </w:rPr>
        <w:t>dB</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A</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之间，满足《声环境质量标准》（GB3096-2008）4a类标准限值要求；</w:t>
      </w:r>
      <w:bookmarkEnd w:id="1575"/>
      <w:bookmarkEnd w:id="1576"/>
      <w:bookmarkStart w:id="1577" w:name="sys936610088"/>
      <w:r>
        <w:rPr>
          <w:rFonts w:ascii="Times New Roman" w:hAnsi="Times New Roman" w:eastAsia="宋体" w:cs="Times New Roman"/>
          <w:color w:val="auto"/>
          <w:sz w:val="24"/>
          <w:szCs w:val="24"/>
          <w:highlight w:val="none"/>
        </w:rPr>
        <w:t>评估</w:t>
      </w:r>
      <w:bookmarkStart w:id="1578" w:name="OLE_LINK548"/>
      <w:r>
        <w:rPr>
          <w:rFonts w:hint="eastAsia" w:ascii="Times New Roman" w:hAnsi="Times New Roman" w:eastAsia="宋体" w:cs="Times New Roman"/>
          <w:color w:val="auto"/>
          <w:sz w:val="24"/>
          <w:szCs w:val="24"/>
          <w:highlight w:val="none"/>
          <w:lang w:val="en-US" w:eastAsia="zh-CN"/>
        </w:rPr>
        <w:t>范围内</w:t>
      </w:r>
      <w:bookmarkEnd w:id="1578"/>
      <w:r>
        <w:rPr>
          <w:rFonts w:hint="eastAsia" w:ascii="Times New Roman" w:hAnsi="Times New Roman" w:eastAsia="宋体" w:cs="Times New Roman"/>
          <w:color w:val="auto"/>
          <w:sz w:val="24"/>
          <w:szCs w:val="24"/>
          <w:highlight w:val="none"/>
          <w:lang w:val="en-US" w:eastAsia="zh-CN"/>
        </w:rPr>
        <w:t>其他区域昼间</w:t>
      </w:r>
      <w:r>
        <w:rPr>
          <w:rFonts w:ascii="Times New Roman" w:hAnsi="Times New Roman" w:eastAsia="宋体" w:cs="Times New Roman"/>
          <w:color w:val="auto"/>
          <w:sz w:val="24"/>
          <w:szCs w:val="24"/>
          <w:highlight w:val="none"/>
        </w:rPr>
        <w:t>噪声值在5</w:t>
      </w:r>
      <w:r>
        <w:rPr>
          <w:rFonts w:hint="eastAsia" w:ascii="Times New Roman" w:hAnsi="Times New Roman" w:eastAsia="宋体" w:cs="Times New Roman"/>
          <w:color w:val="auto"/>
          <w:sz w:val="24"/>
          <w:szCs w:val="24"/>
          <w:highlight w:val="none"/>
          <w:lang w:val="en-US" w:eastAsia="zh-CN"/>
        </w:rPr>
        <w:t>3.1</w:t>
      </w:r>
      <w:r>
        <w:rPr>
          <w:rFonts w:ascii="Times New Roman" w:hAnsi="Times New Roman" w:eastAsia="宋体" w:cs="Times New Roman"/>
          <w:color w:val="auto"/>
          <w:sz w:val="24"/>
          <w:szCs w:val="24"/>
          <w:highlight w:val="none"/>
        </w:rPr>
        <w:t>-5</w:t>
      </w:r>
      <w:r>
        <w:rPr>
          <w:rFonts w:hint="eastAsia" w:ascii="Times New Roman" w:hAnsi="Times New Roman" w:eastAsia="宋体" w:cs="Times New Roman"/>
          <w:color w:val="auto"/>
          <w:sz w:val="24"/>
          <w:szCs w:val="24"/>
          <w:highlight w:val="none"/>
          <w:lang w:val="en-US" w:eastAsia="zh-CN"/>
        </w:rPr>
        <w:t>9.1</w:t>
      </w:r>
      <w:r>
        <w:rPr>
          <w:rFonts w:ascii="Times New Roman" w:hAnsi="Times New Roman" w:eastAsia="宋体" w:cs="Times New Roman"/>
          <w:color w:val="auto"/>
          <w:sz w:val="24"/>
          <w:szCs w:val="24"/>
          <w:highlight w:val="none"/>
        </w:rPr>
        <w:t>dB</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A</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之间，夜间噪声值在4</w:t>
      </w:r>
      <w:r>
        <w:rPr>
          <w:rFonts w:hint="eastAsia" w:ascii="Times New Roman" w:hAnsi="Times New Roman" w:eastAsia="宋体" w:cs="Times New Roman"/>
          <w:color w:val="auto"/>
          <w:sz w:val="24"/>
          <w:szCs w:val="24"/>
          <w:highlight w:val="none"/>
          <w:lang w:val="en-US" w:eastAsia="zh-CN"/>
        </w:rPr>
        <w:t>1.9</w:t>
      </w:r>
      <w:r>
        <w:rPr>
          <w:rFonts w:ascii="Times New Roman" w:hAnsi="Times New Roman" w:eastAsia="宋体" w:cs="Times New Roman"/>
          <w:color w:val="auto"/>
          <w:sz w:val="24"/>
          <w:szCs w:val="24"/>
          <w:highlight w:val="none"/>
        </w:rPr>
        <w:t>-4</w:t>
      </w:r>
      <w:r>
        <w:rPr>
          <w:rFonts w:hint="eastAsia" w:ascii="Times New Roman" w:hAnsi="Times New Roman" w:eastAsia="宋体" w:cs="Times New Roman"/>
          <w:color w:val="auto"/>
          <w:sz w:val="24"/>
          <w:szCs w:val="24"/>
          <w:highlight w:val="none"/>
          <w:lang w:val="en-US" w:eastAsia="zh-CN"/>
        </w:rPr>
        <w:t>8</w:t>
      </w:r>
      <w:r>
        <w:rPr>
          <w:rFonts w:ascii="Times New Roman" w:hAnsi="Times New Roman" w:eastAsia="宋体" w:cs="Times New Roman"/>
          <w:color w:val="auto"/>
          <w:sz w:val="24"/>
          <w:szCs w:val="24"/>
          <w:highlight w:val="none"/>
        </w:rPr>
        <w:t>.3dB</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A</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之间，满足《声环境质量标准》（GB3096-2008）2类标准限值要求</w:t>
      </w:r>
      <w:r>
        <w:rPr>
          <w:rFonts w:hint="eastAsia" w:ascii="Times New Roman" w:hAnsi="Times New Roman" w:eastAsia="宋体" w:cs="Times New Roman"/>
          <w:color w:val="auto"/>
          <w:sz w:val="24"/>
          <w:szCs w:val="24"/>
          <w:highlight w:val="none"/>
          <w:lang w:eastAsia="zh-CN"/>
        </w:rPr>
        <w:t>；</w:t>
      </w:r>
      <w:bookmarkEnd w:id="1577"/>
      <w:bookmarkStart w:id="1579" w:name="OLE_LINK549"/>
      <w:r>
        <w:rPr>
          <w:rFonts w:ascii="Times New Roman" w:hAnsi="Times New Roman" w:eastAsia="宋体" w:cs="Times New Roman"/>
          <w:color w:val="auto"/>
          <w:sz w:val="24"/>
          <w:szCs w:val="24"/>
          <w:highlight w:val="none"/>
        </w:rPr>
        <w:t>评估</w:t>
      </w:r>
      <w:r>
        <w:rPr>
          <w:rFonts w:hint="eastAsia" w:ascii="Times New Roman" w:hAnsi="Times New Roman" w:eastAsia="宋体" w:cs="Times New Roman"/>
          <w:color w:val="auto"/>
          <w:sz w:val="24"/>
          <w:szCs w:val="24"/>
          <w:highlight w:val="none"/>
          <w:lang w:val="en-US" w:eastAsia="zh-CN"/>
        </w:rPr>
        <w:t>范围内</w:t>
      </w:r>
      <w:bookmarkStart w:id="1580" w:name="OLE_LINK547"/>
      <w:r>
        <w:rPr>
          <w:rFonts w:hint="eastAsia" w:ascii="Times New Roman" w:hAnsi="Times New Roman" w:eastAsia="宋体" w:cs="Times New Roman"/>
          <w:color w:val="auto"/>
          <w:sz w:val="24"/>
          <w:szCs w:val="24"/>
          <w:highlight w:val="none"/>
          <w:lang w:val="en-US" w:eastAsia="zh-CN"/>
        </w:rPr>
        <w:t>1类</w:t>
      </w:r>
      <w:r>
        <w:rPr>
          <w:rFonts w:ascii="Times New Roman" w:hAnsi="Times New Roman" w:eastAsia="宋体" w:cs="Times New Roman"/>
          <w:color w:val="auto"/>
          <w:sz w:val="24"/>
          <w:szCs w:val="24"/>
          <w:highlight w:val="none"/>
        </w:rPr>
        <w:t>区</w:t>
      </w:r>
      <w:bookmarkEnd w:id="1579"/>
      <w:bookmarkEnd w:id="1580"/>
      <w:r>
        <w:rPr>
          <w:rFonts w:hint="eastAsia" w:ascii="Times New Roman" w:hAnsi="Times New Roman" w:eastAsia="宋体" w:cs="Times New Roman"/>
          <w:color w:val="auto"/>
          <w:sz w:val="24"/>
          <w:szCs w:val="24"/>
          <w:highlight w:val="none"/>
          <w:lang w:val="en-US" w:eastAsia="zh-CN"/>
        </w:rPr>
        <w:t>昼间</w:t>
      </w:r>
      <w:r>
        <w:rPr>
          <w:rFonts w:ascii="Times New Roman" w:hAnsi="Times New Roman" w:eastAsia="宋体" w:cs="Times New Roman"/>
          <w:color w:val="auto"/>
          <w:sz w:val="24"/>
          <w:szCs w:val="24"/>
          <w:highlight w:val="none"/>
        </w:rPr>
        <w:t>噪声值在</w:t>
      </w:r>
      <w:r>
        <w:rPr>
          <w:rFonts w:hint="eastAsia" w:ascii="Times New Roman" w:hAnsi="Times New Roman" w:eastAsia="宋体" w:cs="Times New Roman"/>
          <w:color w:val="auto"/>
          <w:sz w:val="24"/>
          <w:szCs w:val="24"/>
          <w:highlight w:val="none"/>
          <w:lang w:val="en-US" w:eastAsia="zh-CN"/>
        </w:rPr>
        <w:t>51.7-54.8</w:t>
      </w:r>
      <w:r>
        <w:rPr>
          <w:rFonts w:ascii="Times New Roman" w:hAnsi="Times New Roman" w:eastAsia="宋体" w:cs="Times New Roman"/>
          <w:color w:val="auto"/>
          <w:sz w:val="24"/>
          <w:szCs w:val="24"/>
          <w:highlight w:val="none"/>
        </w:rPr>
        <w:t>dB</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A</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之间，夜间噪声值在</w:t>
      </w:r>
      <w:r>
        <w:rPr>
          <w:rFonts w:hint="eastAsia" w:ascii="Times New Roman" w:hAnsi="Times New Roman" w:eastAsia="宋体" w:cs="Times New Roman"/>
          <w:color w:val="auto"/>
          <w:sz w:val="24"/>
          <w:szCs w:val="24"/>
          <w:highlight w:val="none"/>
          <w:lang w:val="en-US" w:eastAsia="zh-CN"/>
        </w:rPr>
        <w:t>40.1-44.9</w:t>
      </w:r>
      <w:r>
        <w:rPr>
          <w:rFonts w:ascii="Times New Roman" w:hAnsi="Times New Roman" w:eastAsia="宋体" w:cs="Times New Roman"/>
          <w:color w:val="auto"/>
          <w:sz w:val="24"/>
          <w:szCs w:val="24"/>
          <w:highlight w:val="none"/>
        </w:rPr>
        <w:t>dB</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A</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之间，满足《声环境质量标准》（GB3096-2008）</w:t>
      </w:r>
      <w:r>
        <w:rPr>
          <w:rFonts w:hint="eastAsia" w:ascii="Times New Roman" w:hAnsi="Times New Roman" w:eastAsia="宋体" w:cs="Times New Roman"/>
          <w:color w:val="auto"/>
          <w:sz w:val="24"/>
          <w:szCs w:val="24"/>
          <w:highlight w:val="none"/>
          <w:lang w:val="en-US" w:eastAsia="zh-CN"/>
        </w:rPr>
        <w:t>1</w:t>
      </w:r>
      <w:r>
        <w:rPr>
          <w:rFonts w:ascii="Times New Roman" w:hAnsi="Times New Roman" w:eastAsia="宋体" w:cs="Times New Roman"/>
          <w:color w:val="auto"/>
          <w:sz w:val="24"/>
          <w:szCs w:val="24"/>
          <w:highlight w:val="none"/>
        </w:rPr>
        <w:t>类标准限值要求。</w:t>
      </w:r>
    </w:p>
    <w:p w14:paraId="79FFC1FA">
      <w:pPr>
        <w:keepNext w:val="0"/>
        <w:keepLines w:val="0"/>
        <w:pageBreakBefore w:val="0"/>
        <w:widowControl/>
        <w:kinsoku w:val="0"/>
        <w:wordWrap/>
        <w:overflowPunct/>
        <w:topLinePunct w:val="0"/>
        <w:autoSpaceDE w:val="0"/>
        <w:autoSpaceDN w:val="0"/>
        <w:bidi w:val="0"/>
        <w:adjustRightInd w:val="0"/>
        <w:snapToGrid w:val="0"/>
        <w:spacing w:before="40" w:line="360" w:lineRule="auto"/>
        <w:textAlignment w:val="baseline"/>
        <w:outlineLvl w:val="2"/>
        <w:rPr>
          <w:rFonts w:hint="eastAsia" w:ascii="Times New Roman" w:hAnsi="Times New Roman" w:eastAsia="宋体" w:cs="Times New Roman"/>
          <w:b/>
          <w:bCs/>
          <w:color w:val="auto"/>
          <w:spacing w:val="-4"/>
          <w:sz w:val="24"/>
          <w:szCs w:val="24"/>
          <w:highlight w:val="none"/>
          <w:lang w:val="en-US" w:eastAsia="zh-CN"/>
        </w:rPr>
      </w:pPr>
      <w:bookmarkStart w:id="1581" w:name="_Toc13932"/>
      <w:r>
        <w:rPr>
          <w:rFonts w:hint="eastAsia" w:ascii="Times New Roman" w:hAnsi="Times New Roman" w:eastAsia="宋体" w:cs="Times New Roman"/>
          <w:b/>
          <w:bCs/>
          <w:color w:val="auto"/>
          <w:spacing w:val="-4"/>
          <w:sz w:val="24"/>
          <w:szCs w:val="24"/>
          <w:highlight w:val="none"/>
          <w:lang w:val="en-US" w:eastAsia="zh-CN"/>
        </w:rPr>
        <w:t>6.3.4地下水环境质量现状监测与评价</w:t>
      </w:r>
      <w:bookmarkEnd w:id="1581"/>
      <w:bookmarkStart w:id="1582" w:name="pindex9367"/>
      <w:bookmarkEnd w:id="1582"/>
    </w:p>
    <w:p w14:paraId="4F4E802C">
      <w:pPr>
        <w:spacing w:before="36" w:line="345" w:lineRule="auto"/>
        <w:ind w:right="4464"/>
        <w:rPr>
          <w:rFonts w:hint="eastAsia" w:ascii="Times New Roman" w:hAnsi="Times New Roman" w:eastAsia="宋体" w:cs="Times New Roman"/>
          <w:b/>
          <w:bCs/>
          <w:color w:val="auto"/>
          <w:spacing w:val="-2"/>
          <w:sz w:val="24"/>
          <w:szCs w:val="24"/>
          <w:highlight w:val="none"/>
          <w:lang w:val="en-US" w:eastAsia="zh-CN"/>
        </w:rPr>
      </w:pPr>
      <w:r>
        <w:rPr>
          <w:color w:val="auto"/>
          <w:highlight w:val="none"/>
        </w:rPr>
        <w:fldChar w:fldCharType="begin"/>
      </w:r>
      <w:r>
        <w:rPr>
          <w:color w:val="auto"/>
          <w:highlight w:val="none"/>
        </w:rPr>
        <w:instrText xml:space="preserve"> HYPERLINK "6.3.4.1" </w:instrText>
      </w:r>
      <w:r>
        <w:rPr>
          <w:color w:val="auto"/>
          <w:highlight w:val="none"/>
        </w:rPr>
        <w:fldChar w:fldCharType="separate"/>
      </w:r>
      <w:r>
        <w:rPr>
          <w:rFonts w:ascii="Times New Roman" w:hAnsi="Times New Roman" w:eastAsia="Times New Roman" w:cs="Times New Roman"/>
          <w:b/>
          <w:bCs/>
          <w:color w:val="auto"/>
          <w:spacing w:val="-2"/>
          <w:sz w:val="24"/>
          <w:szCs w:val="24"/>
          <w:highlight w:val="none"/>
        </w:rPr>
        <w:t>6.3.4.1</w:t>
      </w:r>
      <w:r>
        <w:rPr>
          <w:rFonts w:ascii="Times New Roman" w:hAnsi="Times New Roman" w:eastAsia="Times New Roman" w:cs="Times New Roman"/>
          <w:b/>
          <w:bCs/>
          <w:color w:val="auto"/>
          <w:spacing w:val="-2"/>
          <w:sz w:val="24"/>
          <w:szCs w:val="24"/>
          <w:highlight w:val="none"/>
        </w:rPr>
        <w:fldChar w:fldCharType="end"/>
      </w:r>
      <w:r>
        <w:rPr>
          <w:rFonts w:hint="eastAsia" w:ascii="Times New Roman" w:hAnsi="Times New Roman" w:eastAsia="宋体" w:cs="Times New Roman"/>
          <w:b/>
          <w:bCs/>
          <w:color w:val="auto"/>
          <w:spacing w:val="-2"/>
          <w:sz w:val="24"/>
          <w:szCs w:val="24"/>
          <w:highlight w:val="none"/>
          <w:lang w:val="en-US" w:eastAsia="zh-CN"/>
        </w:rPr>
        <w:t>地下水环境质量现状监测</w:t>
      </w:r>
      <w:bookmarkStart w:id="1583" w:name="pindex9368"/>
      <w:bookmarkEnd w:id="1583"/>
    </w:p>
    <w:p w14:paraId="51014DF9">
      <w:pPr>
        <w:keepNext w:val="0"/>
        <w:keepLines w:val="0"/>
        <w:pageBreakBefore w:val="0"/>
        <w:widowControl/>
        <w:numPr>
          <w:ilvl w:val="0"/>
          <w:numId w:val="8"/>
        </w:numPr>
        <w:kinsoku w:val="0"/>
        <w:wordWrap/>
        <w:overflowPunct/>
        <w:topLinePunct w:val="0"/>
        <w:autoSpaceDE w:val="0"/>
        <w:autoSpaceDN w:val="0"/>
        <w:bidi w:val="0"/>
        <w:adjustRightInd w:val="0"/>
        <w:snapToGrid w:val="0"/>
        <w:spacing w:before="36" w:line="360" w:lineRule="auto"/>
        <w:ind w:right="4462" w:firstLine="480" w:firstLineChars="200"/>
        <w:textAlignment w:val="baseline"/>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监测布点</w:t>
      </w:r>
      <w:bookmarkStart w:id="1584" w:name="pindex9369"/>
      <w:bookmarkEnd w:id="1584"/>
    </w:p>
    <w:p w14:paraId="71F767E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本次监测共布设</w:t>
      </w:r>
      <w:r>
        <w:rPr>
          <w:rFonts w:hint="eastAsia" w:ascii="Times New Roman" w:hAnsi="Times New Roman" w:eastAsia="宋体" w:cs="Times New Roman"/>
          <w:b w:val="0"/>
          <w:bCs w:val="0"/>
          <w:color w:val="auto"/>
          <w:sz w:val="24"/>
          <w:szCs w:val="24"/>
          <w:highlight w:val="none"/>
          <w:lang w:val="en-US" w:eastAsia="zh-CN"/>
        </w:rPr>
        <w:t>10</w:t>
      </w:r>
      <w:r>
        <w:rPr>
          <w:rFonts w:hint="default" w:ascii="Times New Roman" w:hAnsi="Times New Roman" w:eastAsia="宋体" w:cs="Times New Roman"/>
          <w:b w:val="0"/>
          <w:bCs w:val="0"/>
          <w:color w:val="auto"/>
          <w:sz w:val="24"/>
          <w:szCs w:val="24"/>
          <w:highlight w:val="none"/>
        </w:rPr>
        <w:t>个监测点。具体见表</w:t>
      </w:r>
      <w:r>
        <w:rPr>
          <w:rFonts w:hint="eastAsia" w:ascii="Times New Roman" w:hAnsi="Times New Roman" w:eastAsia="宋体" w:cs="Times New Roman"/>
          <w:b w:val="0"/>
          <w:bCs w:val="0"/>
          <w:color w:val="auto"/>
          <w:sz w:val="24"/>
          <w:szCs w:val="24"/>
          <w:highlight w:val="none"/>
          <w:lang w:val="en-US" w:eastAsia="zh-CN"/>
        </w:rPr>
        <w:t>6.3-19</w:t>
      </w:r>
      <w:r>
        <w:rPr>
          <w:rFonts w:hint="default" w:ascii="Times New Roman" w:hAnsi="Times New Roman" w:eastAsia="宋体" w:cs="Times New Roman"/>
          <w:b w:val="0"/>
          <w:bCs w:val="0"/>
          <w:color w:val="auto"/>
          <w:sz w:val="24"/>
          <w:szCs w:val="24"/>
          <w:highlight w:val="none"/>
        </w:rPr>
        <w:t>和</w:t>
      </w:r>
      <w:r>
        <w:rPr>
          <w:rFonts w:hint="eastAsia" w:ascii="Times New Roman" w:hAnsi="Times New Roman" w:eastAsia="宋体" w:cs="Times New Roman"/>
          <w:b w:val="0"/>
          <w:bCs w:val="0"/>
          <w:color w:val="auto"/>
          <w:sz w:val="24"/>
          <w:szCs w:val="24"/>
          <w:highlight w:val="none"/>
          <w:lang w:val="en-US" w:eastAsia="zh-CN"/>
        </w:rPr>
        <w:t>附图5</w:t>
      </w:r>
      <w:r>
        <w:rPr>
          <w:rFonts w:hint="default" w:ascii="Times New Roman" w:hAnsi="Times New Roman" w:eastAsia="宋体" w:cs="Times New Roman"/>
          <w:b w:val="0"/>
          <w:bCs w:val="0"/>
          <w:color w:val="auto"/>
          <w:sz w:val="24"/>
          <w:szCs w:val="24"/>
          <w:highlight w:val="none"/>
        </w:rPr>
        <w:t>。</w:t>
      </w:r>
    </w:p>
    <w:p w14:paraId="08380B4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240" w:lineRule="auto"/>
        <w:jc w:val="center"/>
        <w:textAlignment w:val="baseline"/>
        <w:rPr>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6.3-1</w:t>
      </w:r>
      <w:r>
        <w:rPr>
          <w:rFonts w:hint="eastAsia" w:ascii="Times New Roman" w:hAnsi="Times New Roman" w:eastAsia="宋体" w:cs="Times New Roman"/>
          <w:b/>
          <w:bCs/>
          <w:color w:val="auto"/>
          <w:sz w:val="24"/>
          <w:szCs w:val="24"/>
          <w:highlight w:val="none"/>
          <w:lang w:val="en-US" w:eastAsia="zh-CN"/>
        </w:rPr>
        <w:t>9</w:t>
      </w:r>
      <w:r>
        <w:rPr>
          <w:rFonts w:hint="default" w:ascii="Times New Roman" w:hAnsi="Times New Roman" w:eastAsia="宋体" w:cs="Times New Roman"/>
          <w:b/>
          <w:bCs/>
          <w:color w:val="auto"/>
          <w:sz w:val="24"/>
          <w:szCs w:val="24"/>
          <w:highlight w:val="none"/>
        </w:rPr>
        <w:t xml:space="preserve">  地下水环境质量现状监测布点</w:t>
      </w:r>
      <w:bookmarkStart w:id="1585" w:name="pindex9371"/>
      <w:bookmarkEnd w:id="1585"/>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5"/>
        <w:gridCol w:w="1759"/>
        <w:gridCol w:w="1541"/>
        <w:gridCol w:w="3393"/>
        <w:gridCol w:w="894"/>
      </w:tblGrid>
      <w:tr w14:paraId="702D81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blHeader/>
        </w:trPr>
        <w:tc>
          <w:tcPr>
            <w:tcW w:w="574" w:type="pct"/>
            <w:noWrap w:val="0"/>
            <w:vAlign w:val="center"/>
          </w:tcPr>
          <w:p w14:paraId="59FC9B3F">
            <w:pPr>
              <w:pStyle w:val="30"/>
              <w:keepNext w:val="0"/>
              <w:keepLines w:val="0"/>
              <w:suppressLineNumbers w:val="0"/>
              <w:spacing w:before="0" w:beforeAutospacing="0" w:after="0" w:afterAutospacing="0"/>
              <w:ind w:left="0" w:right="0"/>
              <w:rPr>
                <w:rFonts w:hint="default" w:ascii="Times New Roman" w:hAnsi="Times New Roman" w:eastAsia="宋体" w:cs="Times New Roman"/>
                <w:b/>
                <w:bCs/>
                <w:color w:val="auto"/>
                <w:highlight w:val="none"/>
                <w:lang w:val="en-US" w:eastAsia="zh-CN"/>
              </w:rPr>
            </w:pPr>
            <w:bookmarkStart w:id="1586" w:name="OLE_LINK1124" w:colFirst="2" w:colLast="2"/>
            <w:r>
              <w:rPr>
                <w:rFonts w:hint="default" w:ascii="Times New Roman" w:hAnsi="Times New Roman" w:cs="Times New Roman"/>
                <w:b/>
                <w:bCs/>
                <w:color w:val="auto"/>
                <w:highlight w:val="none"/>
                <w:lang w:val="en-US" w:eastAsia="zh-CN"/>
              </w:rPr>
              <w:t>编号</w:t>
            </w:r>
          </w:p>
        </w:tc>
        <w:tc>
          <w:tcPr>
            <w:tcW w:w="1026" w:type="pct"/>
            <w:noWrap w:val="0"/>
            <w:vAlign w:val="center"/>
          </w:tcPr>
          <w:p w14:paraId="48CA5BDF">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点位位置</w:t>
            </w:r>
          </w:p>
        </w:tc>
        <w:tc>
          <w:tcPr>
            <w:tcW w:w="898" w:type="pct"/>
            <w:noWrap w:val="0"/>
            <w:vAlign w:val="center"/>
          </w:tcPr>
          <w:p w14:paraId="6BE8657E">
            <w:pPr>
              <w:pStyle w:val="30"/>
              <w:keepNext w:val="0"/>
              <w:keepLines w:val="0"/>
              <w:suppressLineNumbers w:val="0"/>
              <w:spacing w:before="0" w:beforeAutospacing="0" w:after="0" w:afterAutospacing="0"/>
              <w:ind w:left="0" w:right="0"/>
              <w:rPr>
                <w:rFonts w:hint="eastAsia" w:ascii="Times New Roman" w:hAnsi="Times New Roman" w:eastAsia="宋体" w:cs="Times New Roman"/>
                <w:b/>
                <w:bCs/>
                <w:color w:val="auto"/>
                <w:highlight w:val="none"/>
                <w:lang w:val="en-US" w:eastAsia="zh-CN"/>
              </w:rPr>
            </w:pPr>
            <w:bookmarkStart w:id="1587" w:name="OLE_LINK393"/>
            <w:r>
              <w:rPr>
                <w:rFonts w:hint="eastAsia" w:cs="Times New Roman"/>
                <w:b/>
                <w:bCs/>
                <w:color w:val="auto"/>
                <w:highlight w:val="none"/>
                <w:lang w:val="en-US" w:eastAsia="zh-CN"/>
              </w:rPr>
              <w:t>经纬度</w:t>
            </w:r>
            <w:bookmarkEnd w:id="1587"/>
          </w:p>
        </w:tc>
        <w:tc>
          <w:tcPr>
            <w:tcW w:w="1979" w:type="pct"/>
            <w:noWrap w:val="0"/>
            <w:vAlign w:val="center"/>
          </w:tcPr>
          <w:p w14:paraId="2F97CB67">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监测因子</w:t>
            </w:r>
          </w:p>
        </w:tc>
        <w:tc>
          <w:tcPr>
            <w:tcW w:w="521" w:type="pct"/>
            <w:noWrap w:val="0"/>
            <w:vAlign w:val="center"/>
          </w:tcPr>
          <w:p w14:paraId="339D37E9">
            <w:pPr>
              <w:pStyle w:val="30"/>
              <w:keepNext w:val="0"/>
              <w:keepLines w:val="0"/>
              <w:suppressLineNumbers w:val="0"/>
              <w:spacing w:before="0" w:beforeAutospacing="0" w:after="0" w:afterAutospacing="0"/>
              <w:ind w:left="0" w:right="0"/>
              <w:rPr>
                <w:rFonts w:hint="eastAsia" w:ascii="Times New Roman" w:hAnsi="Times New Roman" w:eastAsia="宋体" w:cs="Times New Roman"/>
                <w:b/>
                <w:bCs/>
                <w:color w:val="auto"/>
                <w:highlight w:val="none"/>
                <w:lang w:val="en-US" w:eastAsia="zh-CN"/>
              </w:rPr>
            </w:pPr>
            <w:bookmarkStart w:id="1588" w:name="OLE_LINK550"/>
            <w:r>
              <w:rPr>
                <w:rFonts w:hint="eastAsia" w:cs="Times New Roman"/>
                <w:b/>
                <w:bCs/>
                <w:color w:val="auto"/>
                <w:highlight w:val="none"/>
                <w:lang w:val="en-US" w:eastAsia="zh-CN"/>
              </w:rPr>
              <w:t>备注</w:t>
            </w:r>
            <w:bookmarkEnd w:id="1588"/>
          </w:p>
        </w:tc>
      </w:tr>
      <w:tr w14:paraId="0EF6D8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74" w:type="pct"/>
            <w:noWrap w:val="0"/>
            <w:vAlign w:val="center"/>
          </w:tcPr>
          <w:p w14:paraId="7B1107B3">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val="en-US" w:eastAsia="zh-CN"/>
              </w:rPr>
            </w:pPr>
            <w:bookmarkStart w:id="1589" w:name="OLE_LINK551" w:colFirst="3" w:colLast="3"/>
            <w:r>
              <w:rPr>
                <w:rFonts w:hint="default" w:ascii="Times New Roman" w:hAnsi="Times New Roman" w:cs="Times New Roman"/>
                <w:color w:val="auto"/>
                <w:highlight w:val="none"/>
                <w:lang w:val="en-US" w:eastAsia="zh-CN"/>
              </w:rPr>
              <w:t>DW01</w:t>
            </w:r>
          </w:p>
        </w:tc>
        <w:tc>
          <w:tcPr>
            <w:tcW w:w="1026" w:type="pct"/>
            <w:noWrap w:val="0"/>
            <w:vAlign w:val="center"/>
          </w:tcPr>
          <w:p w14:paraId="37C92442">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大众汽车西北侧空地</w:t>
            </w:r>
          </w:p>
        </w:tc>
        <w:tc>
          <w:tcPr>
            <w:tcW w:w="898" w:type="pct"/>
            <w:noWrap w:val="0"/>
            <w:vAlign w:val="center"/>
          </w:tcPr>
          <w:p w14:paraId="73900E6B">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bookmarkStart w:id="1590" w:name="OLE_LINK906"/>
            <w:r>
              <w:rPr>
                <w:rFonts w:hint="eastAsia" w:ascii="Times New Roman" w:hAnsi="Times New Roman" w:eastAsia="宋体" w:cs="Times New Roman"/>
                <w:b w:val="0"/>
                <w:bCs w:val="0"/>
                <w:color w:val="auto"/>
                <w:highlight w:val="none"/>
                <w:lang w:val="en-US" w:eastAsia="zh-CN"/>
              </w:rPr>
              <w:t>118.7846931</w:t>
            </w:r>
            <w:bookmarkEnd w:id="1590"/>
            <w:r>
              <w:rPr>
                <w:rFonts w:hint="eastAsia" w:cs="Times New Roman"/>
                <w:b w:val="0"/>
                <w:bCs w:val="0"/>
                <w:color w:val="auto"/>
                <w:highlight w:val="none"/>
                <w:lang w:val="en-US" w:eastAsia="zh-CN"/>
              </w:rPr>
              <w:t>,3</w:t>
            </w:r>
            <w:r>
              <w:rPr>
                <w:rFonts w:hint="eastAsia" w:ascii="Times New Roman" w:hAnsi="Times New Roman" w:eastAsia="宋体" w:cs="Times New Roman"/>
                <w:b w:val="0"/>
                <w:bCs w:val="0"/>
                <w:color w:val="auto"/>
                <w:highlight w:val="none"/>
                <w:lang w:val="en-US" w:eastAsia="zh-CN"/>
              </w:rPr>
              <w:t>1.953</w:t>
            </w:r>
            <w:bookmarkStart w:id="1591" w:name="OLE_LINK908"/>
            <w:r>
              <w:rPr>
                <w:rFonts w:hint="eastAsia" w:ascii="Times New Roman" w:hAnsi="Times New Roman" w:eastAsia="宋体" w:cs="Times New Roman"/>
                <w:b w:val="0"/>
                <w:bCs w:val="0"/>
                <w:color w:val="auto"/>
                <w:highlight w:val="none"/>
                <w:lang w:val="en-US" w:eastAsia="zh-CN"/>
              </w:rPr>
              <w:t>9</w:t>
            </w:r>
            <w:bookmarkEnd w:id="1591"/>
            <w:r>
              <w:rPr>
                <w:rFonts w:hint="eastAsia" w:ascii="Times New Roman" w:hAnsi="Times New Roman" w:eastAsia="宋体" w:cs="Times New Roman"/>
                <w:b w:val="0"/>
                <w:bCs w:val="0"/>
                <w:color w:val="auto"/>
                <w:highlight w:val="none"/>
                <w:lang w:val="en-US" w:eastAsia="zh-CN"/>
              </w:rPr>
              <w:t>970</w:t>
            </w:r>
          </w:p>
        </w:tc>
        <w:tc>
          <w:tcPr>
            <w:tcW w:w="1979" w:type="pct"/>
            <w:vMerge w:val="restart"/>
            <w:noWrap w:val="0"/>
            <w:vAlign w:val="center"/>
          </w:tcPr>
          <w:p w14:paraId="1C6FB637">
            <w:pPr>
              <w:pStyle w:val="30"/>
              <w:keepNext w:val="0"/>
              <w:keepLines w:val="0"/>
              <w:suppressLineNumbers w:val="0"/>
              <w:spacing w:before="0" w:beforeAutospacing="0" w:after="0" w:afterAutospacing="0"/>
              <w:ind w:left="0" w:right="0"/>
              <w:jc w:val="left"/>
              <w:rPr>
                <w:rFonts w:hint="default" w:ascii="Times New Roman" w:hAnsi="Times New Roman" w:cs="Times New Roman"/>
                <w:color w:val="auto"/>
                <w:highlight w:val="none"/>
                <w:lang w:eastAsia="zh-CN"/>
              </w:rPr>
            </w:pPr>
            <w:bookmarkStart w:id="1592" w:name="sys9380044"/>
            <w:r>
              <w:rPr>
                <w:rFonts w:hint="default" w:ascii="Times New Roman" w:hAnsi="Times New Roman" w:cs="Times New Roman"/>
                <w:b/>
                <w:bCs/>
                <w:color w:val="auto"/>
                <w:highlight w:val="none"/>
                <w:lang w:val="en-US" w:eastAsia="zh-CN"/>
              </w:rPr>
              <w:t>八大</w:t>
            </w:r>
            <w:sdt>
              <w:sdtPr>
                <w:rPr>
                  <w:color w:val="auto"/>
                  <w:highlight w:val="none"/>
                </w:rPr>
                <w:alias w:val="易错词检查"/>
                <w:tag w:val="auto"/>
                <w:id w:val="1150310"/>
              </w:sdtPr>
              <w:sdtEndPr>
                <w:rPr>
                  <w:color w:val="auto"/>
                  <w:highlight w:val="none"/>
                </w:rPr>
              </w:sdtEndPr>
              <w:sdtContent>
                <w:bookmarkStart w:id="1593" w:name="bkReivew1150310"/>
                <w:r>
                  <w:rPr>
                    <w:rFonts w:hint="default" w:ascii="Times New Roman" w:hAnsi="Times New Roman" w:cs="Times New Roman"/>
                    <w:b/>
                    <w:bCs/>
                    <w:color w:val="auto"/>
                    <w:highlight w:val="none"/>
                    <w:lang w:val="en-US" w:eastAsia="zh-CN"/>
                  </w:rPr>
                  <w:t>离子</w:t>
                </w:r>
                <w:bookmarkEnd w:id="1593"/>
              </w:sdtContent>
            </w:sdt>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K</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、Na</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、Ca</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、Mg</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、HCO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、Cl</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4</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lang w:eastAsia="zh-CN"/>
              </w:rPr>
              <w:t>；</w:t>
            </w:r>
            <w:bookmarkEnd w:id="1592"/>
          </w:p>
          <w:p w14:paraId="0C2023E4">
            <w:pPr>
              <w:pStyle w:val="30"/>
              <w:keepNext w:val="0"/>
              <w:keepLines w:val="0"/>
              <w:suppressLineNumbers w:val="0"/>
              <w:spacing w:before="0" w:beforeAutospacing="0" w:after="0" w:afterAutospacing="0"/>
              <w:ind w:left="0" w:right="0"/>
              <w:jc w:val="left"/>
              <w:rPr>
                <w:rFonts w:hint="default" w:ascii="Times New Roman" w:hAnsi="Times New Roman" w:cs="Times New Roman"/>
                <w:color w:val="auto"/>
                <w:highlight w:val="none"/>
                <w:lang w:eastAsia="zh-CN"/>
              </w:rPr>
            </w:pPr>
            <w:bookmarkStart w:id="1594" w:name="sys9381085"/>
            <w:r>
              <w:rPr>
                <w:rFonts w:hint="default" w:ascii="Times New Roman" w:hAnsi="Times New Roman" w:cs="Times New Roman"/>
                <w:b/>
                <w:bCs/>
                <w:color w:val="auto"/>
                <w:highlight w:val="none"/>
                <w:lang w:val="en-US" w:eastAsia="zh-CN"/>
              </w:rPr>
              <w:t>基本因子：</w:t>
            </w:r>
            <w:r>
              <w:rPr>
                <w:rFonts w:hint="default" w:ascii="Times New Roman" w:hAnsi="Times New Roman" w:cs="Times New Roman"/>
                <w:color w:val="auto"/>
                <w:highlight w:val="none"/>
              </w:rPr>
              <w:t>pH、氨氮、硝酸盐、亚硝酸盐、挥发酚、氰化物、砷、汞、六价铬、总硬度、铅、氟化物、镉、铁、锰、溶解性总固体、高锰酸盐指数、硫酸盐、氯化物、总大肠菌群、细菌总数</w:t>
            </w:r>
            <w:r>
              <w:rPr>
                <w:rFonts w:hint="default" w:ascii="Times New Roman" w:hAnsi="Times New Roman" w:cs="Times New Roman"/>
                <w:color w:val="auto"/>
                <w:highlight w:val="none"/>
                <w:lang w:eastAsia="zh-CN"/>
              </w:rPr>
              <w:t>；</w:t>
            </w:r>
            <w:bookmarkEnd w:id="1594"/>
          </w:p>
          <w:p w14:paraId="17172342">
            <w:pPr>
              <w:pStyle w:val="30"/>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b/>
                <w:bCs/>
                <w:color w:val="auto"/>
                <w:highlight w:val="none"/>
                <w:lang w:val="en-US" w:eastAsia="zh-CN"/>
              </w:rPr>
              <w:t>其他：</w:t>
            </w:r>
            <w:r>
              <w:rPr>
                <w:rFonts w:hint="default" w:ascii="Times New Roman" w:hAnsi="Times New Roman" w:eastAsia="宋体" w:cs="Times New Roman"/>
                <w:color w:val="auto"/>
                <w:highlight w:val="none"/>
                <w:lang w:val="en-US" w:eastAsia="zh-CN"/>
              </w:rPr>
              <w:t>地下下水</w:t>
            </w:r>
            <w:r>
              <w:rPr>
                <w:rFonts w:hint="default" w:ascii="Times New Roman" w:hAnsi="Times New Roman" w:cs="Times New Roman"/>
                <w:color w:val="auto"/>
                <w:highlight w:val="none"/>
              </w:rPr>
              <w:t>水位（包括井口地面高程、井水埋深）</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水温</w:t>
            </w:r>
          </w:p>
        </w:tc>
        <w:tc>
          <w:tcPr>
            <w:tcW w:w="521" w:type="pct"/>
            <w:vMerge w:val="restart"/>
            <w:noWrap w:val="0"/>
            <w:vAlign w:val="center"/>
          </w:tcPr>
          <w:p w14:paraId="35A867D8">
            <w:pPr>
              <w:pStyle w:val="30"/>
              <w:keepNext w:val="0"/>
              <w:keepLines w:val="0"/>
              <w:suppressLineNumbers w:val="0"/>
              <w:spacing w:before="0" w:beforeAutospacing="0" w:after="0" w:afterAutospacing="0"/>
              <w:ind w:left="0" w:right="0"/>
              <w:jc w:val="left"/>
              <w:rPr>
                <w:rFonts w:hint="default" w:ascii="Times New Roman" w:hAnsi="Times New Roman" w:cs="Times New Roman"/>
                <w:b w:val="0"/>
                <w:bCs w:val="0"/>
                <w:color w:val="auto"/>
                <w:highlight w:val="none"/>
                <w:lang w:val="en-US" w:eastAsia="zh-CN"/>
              </w:rPr>
            </w:pPr>
            <w:r>
              <w:rPr>
                <w:rFonts w:hint="eastAsia" w:cs="Times New Roman"/>
                <w:b w:val="0"/>
                <w:bCs w:val="0"/>
                <w:color w:val="auto"/>
                <w:highlight w:val="none"/>
                <w:lang w:val="en-US" w:eastAsia="zh-CN"/>
              </w:rPr>
              <w:t>实测</w:t>
            </w:r>
          </w:p>
        </w:tc>
      </w:tr>
      <w:tr w14:paraId="3B361E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74" w:type="pct"/>
            <w:noWrap w:val="0"/>
            <w:vAlign w:val="center"/>
          </w:tcPr>
          <w:p w14:paraId="7016DE3B">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DW02</w:t>
            </w:r>
          </w:p>
        </w:tc>
        <w:tc>
          <w:tcPr>
            <w:tcW w:w="1026" w:type="pct"/>
            <w:noWrap w:val="0"/>
            <w:vAlign w:val="center"/>
          </w:tcPr>
          <w:p w14:paraId="53264952">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科建路与兴民南路交界处，往兴民南路以南70m</w:t>
            </w:r>
          </w:p>
        </w:tc>
        <w:tc>
          <w:tcPr>
            <w:tcW w:w="898" w:type="pct"/>
            <w:noWrap w:val="0"/>
            <w:vAlign w:val="center"/>
          </w:tcPr>
          <w:p w14:paraId="44E2C218">
            <w:pPr>
              <w:pStyle w:val="30"/>
              <w:keepNext w:val="0"/>
              <w:keepLines w:val="0"/>
              <w:suppressLineNumbers w:val="0"/>
              <w:spacing w:before="0" w:beforeAutospacing="0" w:after="0" w:afterAutospacing="0"/>
              <w:ind w:left="0" w:right="0"/>
              <w:jc w:val="left"/>
              <w:rPr>
                <w:rFonts w:hint="default" w:ascii="Times New Roman" w:hAnsi="Times New Roman" w:cs="Times New Roman"/>
                <w:b w:val="0"/>
                <w:bCs w:val="0"/>
                <w:color w:val="auto"/>
                <w:highlight w:val="none"/>
                <w:lang w:val="en-US" w:eastAsia="zh-CN"/>
              </w:rPr>
            </w:pPr>
            <w:r>
              <w:rPr>
                <w:rFonts w:hint="eastAsia" w:cs="Times New Roman"/>
                <w:b w:val="0"/>
                <w:bCs w:val="0"/>
                <w:color w:val="auto"/>
                <w:highlight w:val="none"/>
                <w:lang w:val="en-US" w:eastAsia="zh-CN"/>
              </w:rPr>
              <w:t>118.8602673,31.962</w:t>
            </w:r>
            <w:bookmarkStart w:id="1595" w:name="OLE_LINK907"/>
            <w:r>
              <w:rPr>
                <w:rFonts w:hint="eastAsia" w:cs="Times New Roman"/>
                <w:b w:val="0"/>
                <w:bCs w:val="0"/>
                <w:color w:val="auto"/>
                <w:highlight w:val="none"/>
                <w:lang w:val="en-US" w:eastAsia="zh-CN"/>
              </w:rPr>
              <w:t>0</w:t>
            </w:r>
            <w:bookmarkEnd w:id="1595"/>
            <w:r>
              <w:rPr>
                <w:rFonts w:hint="eastAsia" w:cs="Times New Roman"/>
                <w:b w:val="0"/>
                <w:bCs w:val="0"/>
                <w:color w:val="auto"/>
                <w:highlight w:val="none"/>
                <w:lang w:val="en-US" w:eastAsia="zh-CN"/>
              </w:rPr>
              <w:t>733</w:t>
            </w:r>
          </w:p>
        </w:tc>
        <w:tc>
          <w:tcPr>
            <w:tcW w:w="1979" w:type="pct"/>
            <w:vMerge w:val="continue"/>
            <w:noWrap w:val="0"/>
            <w:vAlign w:val="center"/>
          </w:tcPr>
          <w:p w14:paraId="273EAA61">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c>
          <w:tcPr>
            <w:tcW w:w="521" w:type="pct"/>
            <w:vMerge w:val="continue"/>
            <w:noWrap w:val="0"/>
            <w:vAlign w:val="center"/>
          </w:tcPr>
          <w:p w14:paraId="34CDB60D">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r>
      <w:tr w14:paraId="398E3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74" w:type="pct"/>
            <w:noWrap w:val="0"/>
            <w:vAlign w:val="center"/>
          </w:tcPr>
          <w:p w14:paraId="56082A61">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DW04</w:t>
            </w:r>
          </w:p>
        </w:tc>
        <w:tc>
          <w:tcPr>
            <w:tcW w:w="1026" w:type="pct"/>
            <w:noWrap w:val="0"/>
            <w:vAlign w:val="center"/>
          </w:tcPr>
          <w:p w14:paraId="6215BB92">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金德茂花园南侧空地</w:t>
            </w:r>
          </w:p>
        </w:tc>
        <w:tc>
          <w:tcPr>
            <w:tcW w:w="898" w:type="pct"/>
            <w:noWrap w:val="0"/>
            <w:vAlign w:val="center"/>
          </w:tcPr>
          <w:p w14:paraId="642C3CBC">
            <w:pPr>
              <w:pStyle w:val="30"/>
              <w:keepNext w:val="0"/>
              <w:keepLines w:val="0"/>
              <w:suppressLineNumbers w:val="0"/>
              <w:spacing w:before="0" w:beforeAutospacing="0" w:after="0" w:afterAutospacing="0"/>
              <w:ind w:left="0" w:right="0"/>
              <w:jc w:val="left"/>
              <w:rPr>
                <w:rFonts w:hint="default" w:ascii="Times New Roman" w:hAnsi="Times New Roman" w:cs="Times New Roman"/>
                <w:b w:val="0"/>
                <w:bCs w:val="0"/>
                <w:color w:val="auto"/>
                <w:highlight w:val="none"/>
                <w:lang w:val="en-US" w:eastAsia="zh-CN"/>
              </w:rPr>
            </w:pPr>
            <w:r>
              <w:rPr>
                <w:rFonts w:hint="eastAsia" w:cs="Times New Roman"/>
                <w:b w:val="0"/>
                <w:bCs w:val="0"/>
                <w:color w:val="auto"/>
                <w:highlight w:val="none"/>
                <w:lang w:val="en-US" w:eastAsia="zh-CN"/>
              </w:rPr>
              <w:t>118.7878641,31.9129274</w:t>
            </w:r>
          </w:p>
        </w:tc>
        <w:tc>
          <w:tcPr>
            <w:tcW w:w="1979" w:type="pct"/>
            <w:vMerge w:val="continue"/>
            <w:noWrap w:val="0"/>
            <w:vAlign w:val="center"/>
          </w:tcPr>
          <w:p w14:paraId="60BDCCE7">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c>
          <w:tcPr>
            <w:tcW w:w="521" w:type="pct"/>
            <w:vMerge w:val="continue"/>
            <w:noWrap w:val="0"/>
            <w:vAlign w:val="center"/>
          </w:tcPr>
          <w:p w14:paraId="67A03B0A">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r>
      <w:tr w14:paraId="047FB3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74" w:type="pct"/>
            <w:noWrap w:val="0"/>
            <w:vAlign w:val="center"/>
          </w:tcPr>
          <w:p w14:paraId="1674E89E">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DW05</w:t>
            </w:r>
          </w:p>
        </w:tc>
        <w:tc>
          <w:tcPr>
            <w:tcW w:w="1026" w:type="pct"/>
            <w:noWrap w:val="0"/>
            <w:vAlign w:val="center"/>
          </w:tcPr>
          <w:p w14:paraId="14123837">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池田路与双龙</w:t>
            </w:r>
            <w:r>
              <w:rPr>
                <w:rFonts w:hint="eastAsia" w:cs="Times New Roman"/>
                <w:color w:val="auto"/>
                <w:highlight w:val="none"/>
                <w:lang w:val="en-US" w:eastAsia="zh-CN"/>
              </w:rPr>
              <w:t>大道交会</w:t>
            </w:r>
            <w:r>
              <w:rPr>
                <w:rFonts w:hint="default" w:ascii="Times New Roman" w:hAnsi="Times New Roman" w:cs="Times New Roman"/>
                <w:color w:val="auto"/>
                <w:highlight w:val="none"/>
                <w:lang w:val="en-US" w:eastAsia="zh-CN"/>
              </w:rPr>
              <w:t>东侧空地</w:t>
            </w:r>
          </w:p>
        </w:tc>
        <w:tc>
          <w:tcPr>
            <w:tcW w:w="898" w:type="pct"/>
            <w:noWrap w:val="0"/>
            <w:vAlign w:val="center"/>
          </w:tcPr>
          <w:p w14:paraId="25A71051">
            <w:pPr>
              <w:pStyle w:val="30"/>
              <w:keepNext w:val="0"/>
              <w:keepLines w:val="0"/>
              <w:suppressLineNumbers w:val="0"/>
              <w:spacing w:before="0" w:beforeAutospacing="0" w:after="0" w:afterAutospacing="0"/>
              <w:ind w:left="0" w:right="0"/>
              <w:jc w:val="left"/>
              <w:rPr>
                <w:rFonts w:hint="default" w:ascii="Times New Roman" w:hAnsi="Times New Roman" w:cs="Times New Roman"/>
                <w:b w:val="0"/>
                <w:bCs w:val="0"/>
                <w:color w:val="auto"/>
                <w:highlight w:val="none"/>
                <w:lang w:val="en-US" w:eastAsia="zh-CN"/>
              </w:rPr>
            </w:pPr>
            <w:r>
              <w:rPr>
                <w:rFonts w:hint="eastAsia" w:cs="Times New Roman"/>
                <w:b w:val="0"/>
                <w:bCs w:val="0"/>
                <w:color w:val="auto"/>
                <w:highlight w:val="none"/>
                <w:lang w:val="en-US" w:eastAsia="zh-CN"/>
              </w:rPr>
              <w:t>118.8168909,31.9412034</w:t>
            </w:r>
          </w:p>
        </w:tc>
        <w:tc>
          <w:tcPr>
            <w:tcW w:w="1979" w:type="pct"/>
            <w:vMerge w:val="continue"/>
            <w:noWrap w:val="0"/>
            <w:vAlign w:val="center"/>
          </w:tcPr>
          <w:p w14:paraId="62937295">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c>
          <w:tcPr>
            <w:tcW w:w="521" w:type="pct"/>
            <w:vMerge w:val="continue"/>
            <w:noWrap w:val="0"/>
            <w:vAlign w:val="center"/>
          </w:tcPr>
          <w:p w14:paraId="0A23FAC0">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r>
      <w:tr w14:paraId="017503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74" w:type="pct"/>
            <w:noWrap w:val="0"/>
            <w:vAlign w:val="center"/>
          </w:tcPr>
          <w:p w14:paraId="58C1AEFD">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DW06</w:t>
            </w:r>
          </w:p>
        </w:tc>
        <w:tc>
          <w:tcPr>
            <w:tcW w:w="1026" w:type="pct"/>
            <w:noWrap w:val="0"/>
            <w:vAlign w:val="center"/>
          </w:tcPr>
          <w:p w14:paraId="1F226CFE">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普朗医疗设备有限公司空地</w:t>
            </w:r>
          </w:p>
        </w:tc>
        <w:tc>
          <w:tcPr>
            <w:tcW w:w="898" w:type="pct"/>
            <w:noWrap w:val="0"/>
            <w:vAlign w:val="center"/>
          </w:tcPr>
          <w:p w14:paraId="3B3BC614">
            <w:pPr>
              <w:pStyle w:val="30"/>
              <w:keepNext w:val="0"/>
              <w:keepLines w:val="0"/>
              <w:suppressLineNumbers w:val="0"/>
              <w:spacing w:before="0" w:beforeAutospacing="0" w:after="0" w:afterAutospacing="0"/>
              <w:ind w:left="0" w:right="0"/>
              <w:jc w:val="left"/>
              <w:rPr>
                <w:rFonts w:hint="default" w:ascii="Times New Roman" w:hAnsi="Times New Roman" w:cs="Times New Roman"/>
                <w:b w:val="0"/>
                <w:bCs w:val="0"/>
                <w:color w:val="auto"/>
                <w:highlight w:val="none"/>
                <w:lang w:val="en-US" w:eastAsia="zh-CN"/>
              </w:rPr>
            </w:pPr>
            <w:r>
              <w:rPr>
                <w:rFonts w:hint="eastAsia" w:cs="Times New Roman"/>
                <w:b w:val="0"/>
                <w:bCs w:val="0"/>
                <w:color w:val="auto"/>
                <w:highlight w:val="none"/>
                <w:lang w:val="en-US" w:eastAsia="zh-CN"/>
              </w:rPr>
              <w:t>118.8430922,31.9099336</w:t>
            </w:r>
          </w:p>
        </w:tc>
        <w:tc>
          <w:tcPr>
            <w:tcW w:w="1979" w:type="pct"/>
            <w:vMerge w:val="continue"/>
            <w:noWrap w:val="0"/>
            <w:vAlign w:val="center"/>
          </w:tcPr>
          <w:p w14:paraId="13B41BB0">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c>
          <w:tcPr>
            <w:tcW w:w="521" w:type="pct"/>
            <w:vMerge w:val="continue"/>
            <w:noWrap w:val="0"/>
            <w:vAlign w:val="center"/>
          </w:tcPr>
          <w:p w14:paraId="0273E0DB">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r>
      <w:bookmarkEnd w:id="1589"/>
      <w:tr w14:paraId="216D7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74" w:type="pct"/>
            <w:noWrap w:val="0"/>
            <w:vAlign w:val="center"/>
          </w:tcPr>
          <w:p w14:paraId="34D25C9E">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DW07</w:t>
            </w:r>
          </w:p>
        </w:tc>
        <w:tc>
          <w:tcPr>
            <w:tcW w:w="1026" w:type="pct"/>
            <w:noWrap w:val="0"/>
            <w:vAlign w:val="center"/>
          </w:tcPr>
          <w:p w14:paraId="2D8F1029">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协鑫燃机东侧空地</w:t>
            </w:r>
          </w:p>
        </w:tc>
        <w:tc>
          <w:tcPr>
            <w:tcW w:w="898" w:type="pct"/>
            <w:noWrap w:val="0"/>
            <w:vAlign w:val="center"/>
          </w:tcPr>
          <w:p w14:paraId="6A2EC1C8">
            <w:pPr>
              <w:pStyle w:val="30"/>
              <w:keepNext w:val="0"/>
              <w:keepLines w:val="0"/>
              <w:suppressLineNumbers w:val="0"/>
              <w:spacing w:before="0" w:beforeAutospacing="0" w:after="0" w:afterAutospacing="0"/>
              <w:ind w:left="0" w:right="0"/>
              <w:jc w:val="left"/>
              <w:rPr>
                <w:rFonts w:hint="default" w:ascii="Times New Roman" w:hAnsi="Times New Roman" w:cs="Times New Roman"/>
                <w:b w:val="0"/>
                <w:bCs w:val="0"/>
                <w:color w:val="auto"/>
                <w:highlight w:val="none"/>
                <w:lang w:val="en-US" w:eastAsia="zh-CN"/>
              </w:rPr>
            </w:pPr>
            <w:r>
              <w:rPr>
                <w:rFonts w:hint="eastAsia" w:cs="Times New Roman"/>
                <w:b w:val="0"/>
                <w:bCs w:val="0"/>
                <w:color w:val="auto"/>
                <w:highlight w:val="none"/>
                <w:lang w:val="en-US" w:eastAsia="zh-CN"/>
              </w:rPr>
              <w:t>118.8391077,31.8818859</w:t>
            </w:r>
          </w:p>
        </w:tc>
        <w:tc>
          <w:tcPr>
            <w:tcW w:w="1979" w:type="pct"/>
            <w:vMerge w:val="continue"/>
            <w:noWrap w:val="0"/>
            <w:vAlign w:val="center"/>
          </w:tcPr>
          <w:p w14:paraId="512545AE">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c>
          <w:tcPr>
            <w:tcW w:w="521" w:type="pct"/>
            <w:vMerge w:val="continue"/>
            <w:noWrap w:val="0"/>
            <w:vAlign w:val="center"/>
          </w:tcPr>
          <w:p w14:paraId="7F497268">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r>
      <w:tr w14:paraId="475CD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74" w:type="pct"/>
            <w:noWrap w:val="0"/>
            <w:vAlign w:val="center"/>
          </w:tcPr>
          <w:p w14:paraId="13EB8AEA">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DW09</w:t>
            </w:r>
          </w:p>
        </w:tc>
        <w:tc>
          <w:tcPr>
            <w:tcW w:w="1026" w:type="pct"/>
            <w:noWrap w:val="0"/>
            <w:vAlign w:val="center"/>
          </w:tcPr>
          <w:p w14:paraId="237C60E4">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原戴家北侧空地</w:t>
            </w:r>
          </w:p>
        </w:tc>
        <w:tc>
          <w:tcPr>
            <w:tcW w:w="898" w:type="pct"/>
            <w:noWrap w:val="0"/>
            <w:vAlign w:val="center"/>
          </w:tcPr>
          <w:p w14:paraId="0AE52794">
            <w:pPr>
              <w:pStyle w:val="30"/>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118.7413767</w:t>
            </w:r>
            <w:r>
              <w:rPr>
                <w:rFonts w:hint="eastAsia" w:cs="Times New Roman"/>
                <w:b w:val="0"/>
                <w:bCs w:val="0"/>
                <w:color w:val="auto"/>
                <w:highlight w:val="none"/>
                <w:lang w:val="en-US" w:eastAsia="zh-CN"/>
              </w:rPr>
              <w:t>,</w:t>
            </w:r>
            <w:r>
              <w:rPr>
                <w:rFonts w:hint="eastAsia" w:ascii="Times New Roman" w:hAnsi="Times New Roman" w:eastAsia="宋体" w:cs="Times New Roman"/>
                <w:b w:val="0"/>
                <w:bCs w:val="0"/>
                <w:color w:val="auto"/>
                <w:highlight w:val="none"/>
                <w:lang w:val="en-US" w:eastAsia="zh-CN"/>
              </w:rPr>
              <w:t>31.8400626</w:t>
            </w:r>
          </w:p>
        </w:tc>
        <w:tc>
          <w:tcPr>
            <w:tcW w:w="1979" w:type="pct"/>
            <w:vMerge w:val="continue"/>
            <w:noWrap w:val="0"/>
            <w:vAlign w:val="center"/>
          </w:tcPr>
          <w:p w14:paraId="67611C38">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c>
          <w:tcPr>
            <w:tcW w:w="521" w:type="pct"/>
            <w:vMerge w:val="continue"/>
            <w:noWrap w:val="0"/>
            <w:vAlign w:val="center"/>
          </w:tcPr>
          <w:p w14:paraId="1903D858">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r>
      <w:tr w14:paraId="313C95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74" w:type="pct"/>
            <w:noWrap w:val="0"/>
            <w:vAlign w:val="center"/>
          </w:tcPr>
          <w:p w14:paraId="55DAC8CC">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DW10</w:t>
            </w:r>
          </w:p>
        </w:tc>
        <w:tc>
          <w:tcPr>
            <w:tcW w:w="1026" w:type="pct"/>
            <w:noWrap w:val="0"/>
            <w:vAlign w:val="center"/>
          </w:tcPr>
          <w:p w14:paraId="53D582DF">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荣盛隽峰南侧空地</w:t>
            </w:r>
          </w:p>
        </w:tc>
        <w:tc>
          <w:tcPr>
            <w:tcW w:w="898" w:type="pct"/>
            <w:noWrap w:val="0"/>
            <w:vAlign w:val="center"/>
          </w:tcPr>
          <w:p w14:paraId="3AABE68B">
            <w:pPr>
              <w:pStyle w:val="30"/>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118.77855</w:t>
            </w:r>
            <w:r>
              <w:rPr>
                <w:rFonts w:hint="eastAsia" w:ascii="Times New Roman" w:hAnsi="Times New Roman" w:eastAsia="宋体" w:cs="Times New Roman"/>
                <w:b w:val="0"/>
                <w:bCs w:val="0"/>
                <w:color w:val="auto"/>
                <w:highlight w:val="none"/>
                <w:lang w:val="en-US" w:eastAsia="zh-CN"/>
              </w:rPr>
              <w:t>49</w:t>
            </w:r>
            <w:r>
              <w:rPr>
                <w:rFonts w:hint="eastAsia" w:cs="Times New Roman"/>
                <w:b w:val="0"/>
                <w:bCs w:val="0"/>
                <w:color w:val="auto"/>
                <w:highlight w:val="none"/>
                <w:lang w:val="en-US" w:eastAsia="zh-CN"/>
              </w:rPr>
              <w:t>,</w:t>
            </w:r>
            <w:r>
              <w:rPr>
                <w:rFonts w:hint="default" w:ascii="Times New Roman" w:hAnsi="Times New Roman" w:eastAsia="宋体" w:cs="Times New Roman"/>
                <w:b w:val="0"/>
                <w:bCs w:val="0"/>
                <w:color w:val="auto"/>
                <w:highlight w:val="none"/>
                <w:lang w:val="en-US" w:eastAsia="zh-CN"/>
              </w:rPr>
              <w:t>31.828689</w:t>
            </w:r>
            <w:r>
              <w:rPr>
                <w:rFonts w:hint="eastAsia" w:ascii="Times New Roman" w:hAnsi="Times New Roman" w:eastAsia="宋体" w:cs="Times New Roman"/>
                <w:b w:val="0"/>
                <w:bCs w:val="0"/>
                <w:color w:val="auto"/>
                <w:highlight w:val="none"/>
                <w:lang w:val="en-US" w:eastAsia="zh-CN"/>
              </w:rPr>
              <w:t>4</w:t>
            </w:r>
          </w:p>
        </w:tc>
        <w:tc>
          <w:tcPr>
            <w:tcW w:w="1979" w:type="pct"/>
            <w:vMerge w:val="continue"/>
            <w:noWrap w:val="0"/>
            <w:vAlign w:val="center"/>
          </w:tcPr>
          <w:p w14:paraId="1B459B18">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c>
          <w:tcPr>
            <w:tcW w:w="521" w:type="pct"/>
            <w:vMerge w:val="continue"/>
            <w:noWrap w:val="0"/>
            <w:vAlign w:val="center"/>
          </w:tcPr>
          <w:p w14:paraId="4FFA3E86">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r>
      <w:tr w14:paraId="4AF032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74" w:type="pct"/>
            <w:noWrap w:val="0"/>
            <w:vAlign w:val="center"/>
          </w:tcPr>
          <w:p w14:paraId="08291F21">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DW11</w:t>
            </w:r>
          </w:p>
        </w:tc>
        <w:tc>
          <w:tcPr>
            <w:tcW w:w="1026" w:type="pct"/>
            <w:noWrap w:val="0"/>
            <w:vAlign w:val="center"/>
          </w:tcPr>
          <w:p w14:paraId="41027353">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bookmarkStart w:id="1596" w:name="OLE_LINK910"/>
            <w:r>
              <w:rPr>
                <w:rFonts w:hint="default" w:ascii="Times New Roman" w:hAnsi="Times New Roman" w:cs="Times New Roman"/>
                <w:color w:val="auto"/>
                <w:highlight w:val="none"/>
                <w:lang w:val="en-US" w:eastAsia="zh-CN"/>
              </w:rPr>
              <w:t>顶益食品</w:t>
            </w:r>
            <w:bookmarkEnd w:id="1596"/>
            <w:r>
              <w:rPr>
                <w:rFonts w:hint="default" w:ascii="Times New Roman" w:hAnsi="Times New Roman" w:cs="Times New Roman"/>
                <w:color w:val="auto"/>
                <w:highlight w:val="none"/>
                <w:lang w:val="en-US" w:eastAsia="zh-CN"/>
              </w:rPr>
              <w:t>厂南侧</w:t>
            </w:r>
          </w:p>
        </w:tc>
        <w:tc>
          <w:tcPr>
            <w:tcW w:w="898" w:type="pct"/>
            <w:noWrap w:val="0"/>
            <w:vAlign w:val="center"/>
          </w:tcPr>
          <w:p w14:paraId="68359CB8">
            <w:pPr>
              <w:pStyle w:val="30"/>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118.79870</w:t>
            </w:r>
            <w:r>
              <w:rPr>
                <w:rFonts w:hint="eastAsia" w:ascii="Times New Roman" w:hAnsi="Times New Roman" w:eastAsia="宋体" w:cs="Times New Roman"/>
                <w:b w:val="0"/>
                <w:bCs w:val="0"/>
                <w:color w:val="auto"/>
                <w:highlight w:val="none"/>
                <w:lang w:val="en-US" w:eastAsia="zh-CN"/>
              </w:rPr>
              <w:t>4</w:t>
            </w:r>
            <w:r>
              <w:rPr>
                <w:rFonts w:hint="eastAsia" w:cs="Times New Roman"/>
                <w:b w:val="0"/>
                <w:bCs w:val="0"/>
                <w:color w:val="auto"/>
                <w:highlight w:val="none"/>
                <w:lang w:val="en-US" w:eastAsia="zh-CN"/>
              </w:rPr>
              <w:t>6,</w:t>
            </w:r>
            <w:r>
              <w:rPr>
                <w:rFonts w:hint="default" w:ascii="Times New Roman" w:hAnsi="Times New Roman" w:eastAsia="宋体" w:cs="Times New Roman"/>
                <w:b w:val="0"/>
                <w:bCs w:val="0"/>
                <w:color w:val="auto"/>
                <w:highlight w:val="none"/>
                <w:lang w:val="en-US" w:eastAsia="zh-CN"/>
              </w:rPr>
              <w:t>31.792</w:t>
            </w:r>
            <w:bookmarkStart w:id="1597" w:name="OLE_LINK909"/>
            <w:r>
              <w:rPr>
                <w:rFonts w:hint="default" w:ascii="Times New Roman" w:hAnsi="Times New Roman" w:eastAsia="宋体" w:cs="Times New Roman"/>
                <w:b w:val="0"/>
                <w:bCs w:val="0"/>
                <w:color w:val="auto"/>
                <w:highlight w:val="none"/>
                <w:lang w:val="en-US" w:eastAsia="zh-CN"/>
              </w:rPr>
              <w:t>6</w:t>
            </w:r>
            <w:bookmarkEnd w:id="1597"/>
            <w:r>
              <w:rPr>
                <w:rFonts w:hint="default" w:ascii="Times New Roman" w:hAnsi="Times New Roman" w:eastAsia="宋体" w:cs="Times New Roman"/>
                <w:b w:val="0"/>
                <w:bCs w:val="0"/>
                <w:color w:val="auto"/>
                <w:highlight w:val="none"/>
                <w:lang w:val="en-US" w:eastAsia="zh-CN"/>
              </w:rPr>
              <w:t>37</w:t>
            </w:r>
            <w:r>
              <w:rPr>
                <w:rFonts w:hint="eastAsia" w:ascii="Times New Roman" w:hAnsi="Times New Roman" w:eastAsia="宋体" w:cs="Times New Roman"/>
                <w:b w:val="0"/>
                <w:bCs w:val="0"/>
                <w:color w:val="auto"/>
                <w:highlight w:val="none"/>
                <w:lang w:val="en-US" w:eastAsia="zh-CN"/>
              </w:rPr>
              <w:t>3</w:t>
            </w:r>
          </w:p>
        </w:tc>
        <w:tc>
          <w:tcPr>
            <w:tcW w:w="1979" w:type="pct"/>
            <w:vMerge w:val="continue"/>
            <w:noWrap w:val="0"/>
            <w:vAlign w:val="center"/>
          </w:tcPr>
          <w:p w14:paraId="0260339D">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c>
          <w:tcPr>
            <w:tcW w:w="521" w:type="pct"/>
            <w:vMerge w:val="continue"/>
            <w:noWrap w:val="0"/>
            <w:vAlign w:val="center"/>
          </w:tcPr>
          <w:p w14:paraId="53D7845B">
            <w:pPr>
              <w:pStyle w:val="30"/>
              <w:keepNext w:val="0"/>
              <w:keepLines w:val="0"/>
              <w:suppressLineNumbers w:val="0"/>
              <w:spacing w:before="0" w:beforeAutospacing="0" w:after="0" w:afterAutospacing="0"/>
              <w:ind w:left="0" w:right="0"/>
              <w:jc w:val="left"/>
              <w:rPr>
                <w:rFonts w:hint="default" w:ascii="Times New Roman" w:hAnsi="Times New Roman" w:cs="Times New Roman"/>
                <w:b/>
                <w:bCs/>
                <w:color w:val="auto"/>
                <w:highlight w:val="none"/>
                <w:lang w:val="en-US" w:eastAsia="zh-CN"/>
              </w:rPr>
            </w:pPr>
          </w:p>
        </w:tc>
      </w:tr>
      <w:tr w14:paraId="442D5F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74" w:type="pct"/>
            <w:noWrap w:val="0"/>
            <w:vAlign w:val="center"/>
          </w:tcPr>
          <w:p w14:paraId="6E5FC16E">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DW08</w:t>
            </w:r>
          </w:p>
        </w:tc>
        <w:tc>
          <w:tcPr>
            <w:tcW w:w="1026" w:type="pct"/>
            <w:noWrap w:val="0"/>
            <w:vAlign w:val="center"/>
          </w:tcPr>
          <w:p w14:paraId="46395366">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新丰村南侧空地</w:t>
            </w:r>
          </w:p>
        </w:tc>
        <w:tc>
          <w:tcPr>
            <w:tcW w:w="898" w:type="pct"/>
            <w:noWrap w:val="0"/>
            <w:vAlign w:val="center"/>
          </w:tcPr>
          <w:p w14:paraId="4B209EE2">
            <w:pPr>
              <w:pStyle w:val="30"/>
              <w:keepNext w:val="0"/>
              <w:keepLines w:val="0"/>
              <w:suppressLineNumbers w:val="0"/>
              <w:spacing w:before="0" w:beforeAutospacing="0" w:after="0" w:afterAutospacing="0"/>
              <w:ind w:left="0" w:right="0"/>
              <w:jc w:val="left"/>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118.8044718,31.8533295</w:t>
            </w:r>
          </w:p>
        </w:tc>
        <w:tc>
          <w:tcPr>
            <w:tcW w:w="1979" w:type="pct"/>
            <w:vMerge w:val="continue"/>
            <w:noWrap w:val="0"/>
            <w:vAlign w:val="center"/>
          </w:tcPr>
          <w:p w14:paraId="4B4E6522">
            <w:pPr>
              <w:pStyle w:val="30"/>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 w:val="21"/>
                <w:szCs w:val="21"/>
                <w:highlight w:val="none"/>
                <w:lang w:val="en-US" w:eastAsia="zh-CN"/>
              </w:rPr>
            </w:pPr>
          </w:p>
        </w:tc>
        <w:tc>
          <w:tcPr>
            <w:tcW w:w="521" w:type="pct"/>
            <w:vMerge w:val="continue"/>
            <w:noWrap w:val="0"/>
            <w:vAlign w:val="center"/>
          </w:tcPr>
          <w:p w14:paraId="4055B906">
            <w:pPr>
              <w:pStyle w:val="30"/>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 w:val="21"/>
                <w:szCs w:val="21"/>
                <w:highlight w:val="none"/>
                <w:lang w:val="en-US" w:eastAsia="zh-CN"/>
              </w:rPr>
            </w:pPr>
          </w:p>
        </w:tc>
      </w:tr>
      <w:tr w14:paraId="12821D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74" w:type="pct"/>
            <w:noWrap w:val="0"/>
            <w:vAlign w:val="center"/>
          </w:tcPr>
          <w:p w14:paraId="4F4D004A">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DW03</w:t>
            </w:r>
          </w:p>
        </w:tc>
        <w:tc>
          <w:tcPr>
            <w:tcW w:w="1026" w:type="pct"/>
            <w:noWrap w:val="0"/>
            <w:vAlign w:val="center"/>
          </w:tcPr>
          <w:p w14:paraId="6C2BD7F9">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奥联</w:t>
            </w:r>
          </w:p>
        </w:tc>
        <w:tc>
          <w:tcPr>
            <w:tcW w:w="898" w:type="pct"/>
            <w:noWrap w:val="0"/>
            <w:vAlign w:val="center"/>
          </w:tcPr>
          <w:p w14:paraId="737B7EFA">
            <w:pPr>
              <w:pStyle w:val="30"/>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118.780639</w:t>
            </w:r>
            <w:r>
              <w:rPr>
                <w:rFonts w:hint="eastAsia"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31.879835</w:t>
            </w:r>
          </w:p>
        </w:tc>
        <w:tc>
          <w:tcPr>
            <w:tcW w:w="1979" w:type="pct"/>
            <w:noWrap w:val="0"/>
            <w:vAlign w:val="center"/>
          </w:tcPr>
          <w:p w14:paraId="5898C98D">
            <w:pPr>
              <w:pStyle w:val="3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1 \* GB3</w:instrText>
            </w:r>
            <w:r>
              <w:rPr>
                <w:rFonts w:hint="default" w:ascii="Times New Roman" w:hAnsi="Times New Roman" w:eastAsia="宋体" w:cs="Times New Roman"/>
                <w:color w:val="auto"/>
                <w:sz w:val="21"/>
                <w:szCs w:val="21"/>
                <w:highlight w:val="none"/>
              </w:rPr>
              <w:fldChar w:fldCharType="separate"/>
            </w:r>
            <w:bookmarkStart w:id="1598" w:name="sys9432041"/>
            <w:r>
              <w:rPr>
                <w:rFonts w:hint="default" w:ascii="Times New Roman" w:hAnsi="Times New Roman" w:eastAsia="宋体" w:cs="Times New Roman"/>
                <w:color w:val="auto"/>
                <w:sz w:val="21"/>
                <w:szCs w:val="21"/>
                <w:highlight w:val="none"/>
              </w:rPr>
              <w:t>①</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K</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、Na</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、Ca</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、HCO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、Cl</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4</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w:t>
            </w:r>
            <w:bookmarkEnd w:id="1598"/>
          </w:p>
          <w:p w14:paraId="3E3E872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left"/>
              <w:textAlignment w:val="auto"/>
              <w:rPr>
                <w:rFonts w:hint="default" w:ascii="Times New Roman" w:hAnsi="Times New Roman" w:eastAsia="宋体" w:cs="Times New Roman"/>
                <w:color w:val="auto"/>
                <w:kern w:val="2"/>
                <w:sz w:val="21"/>
                <w:szCs w:val="21"/>
                <w:highlight w:val="none"/>
              </w:rPr>
            </w:pPr>
            <w:bookmarkStart w:id="1599" w:name="sys9433083"/>
            <w:r>
              <w:rPr>
                <w:rFonts w:hint="default" w:ascii="Times New Roman" w:hAnsi="Times New Roman" w:eastAsia="宋体" w:cs="Times New Roman"/>
                <w:color w:val="auto"/>
                <w:kern w:val="2"/>
                <w:sz w:val="21"/>
                <w:szCs w:val="21"/>
                <w:highlight w:val="none"/>
              </w:rPr>
              <w:t>②基本因子：pH、氨氮、硝酸盐、亚硝酸盐、挥发性酚类、砷、汞、铬（六价）、总硬度、铅、氟、镉、铁、锰、溶解性总固体、高锰酸盐指数、硫酸盐、氯化物、总大肠菌群、细菌总数</w:t>
            </w:r>
            <w:bookmarkEnd w:id="1599"/>
          </w:p>
          <w:p w14:paraId="6681080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left"/>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rPr>
              <w:t>③</w:t>
            </w:r>
            <w:r>
              <w:rPr>
                <w:rFonts w:hint="eastAsia" w:ascii="Times New Roman" w:hAnsi="Times New Roman" w:eastAsia="宋体" w:cs="Times New Roman"/>
                <w:color w:val="auto"/>
                <w:kern w:val="2"/>
                <w:sz w:val="21"/>
                <w:szCs w:val="21"/>
                <w:highlight w:val="none"/>
                <w:lang w:val="en-US" w:eastAsia="zh-CN"/>
              </w:rPr>
              <w:t>特征因子：</w:t>
            </w:r>
            <w:r>
              <w:rPr>
                <w:rFonts w:hint="eastAsia" w:ascii="Times New Roman" w:hAnsi="Times New Roman" w:eastAsia="宋体" w:cs="Times New Roman"/>
                <w:b/>
                <w:bCs/>
                <w:color w:val="auto"/>
                <w:kern w:val="2"/>
                <w:sz w:val="21"/>
                <w:szCs w:val="21"/>
                <w:highlight w:val="none"/>
                <w:lang w:val="en-US" w:eastAsia="zh-CN"/>
              </w:rPr>
              <w:t>石油类、LAS、镍、锡</w:t>
            </w:r>
          </w:p>
          <w:p w14:paraId="6531ABD7">
            <w:pPr>
              <w:pStyle w:val="30"/>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rPr>
              <w:t>④地下水</w:t>
            </w:r>
            <w:r>
              <w:rPr>
                <w:rFonts w:hint="default" w:ascii="Times New Roman" w:hAnsi="Times New Roman" w:eastAsia="宋体" w:cs="Times New Roman"/>
                <w:b/>
                <w:bCs/>
                <w:color w:val="auto"/>
                <w:kern w:val="2"/>
                <w:sz w:val="21"/>
                <w:szCs w:val="21"/>
                <w:highlight w:val="none"/>
              </w:rPr>
              <w:t>水位</w:t>
            </w:r>
            <w:r>
              <w:rPr>
                <w:rFonts w:hint="default" w:ascii="Times New Roman" w:hAnsi="Times New Roman" w:eastAsia="宋体" w:cs="Times New Roman"/>
                <w:color w:val="auto"/>
                <w:kern w:val="2"/>
                <w:sz w:val="21"/>
                <w:szCs w:val="21"/>
                <w:highlight w:val="none"/>
              </w:rPr>
              <w:t>、水温</w:t>
            </w:r>
            <w:r>
              <w:rPr>
                <w:rFonts w:hint="eastAsia" w:ascii="Times New Roman" w:hAnsi="Times New Roman" w:eastAsia="宋体" w:cs="Times New Roman"/>
                <w:color w:val="auto"/>
                <w:kern w:val="2"/>
                <w:sz w:val="21"/>
                <w:szCs w:val="21"/>
                <w:highlight w:val="none"/>
                <w:lang w:eastAsia="zh-CN"/>
              </w:rPr>
              <w:t>、</w:t>
            </w:r>
            <w:r>
              <w:rPr>
                <w:rFonts w:hint="eastAsia" w:ascii="Times New Roman" w:hAnsi="Times New Roman" w:eastAsia="宋体" w:cs="Times New Roman"/>
                <w:color w:val="auto"/>
                <w:kern w:val="2"/>
                <w:sz w:val="21"/>
                <w:szCs w:val="21"/>
                <w:highlight w:val="none"/>
                <w:lang w:val="en-US" w:eastAsia="zh-CN"/>
              </w:rPr>
              <w:t>井口高程、水位埋深</w:t>
            </w:r>
            <w:r>
              <w:rPr>
                <w:rFonts w:hint="default" w:ascii="Times New Roman" w:hAnsi="Times New Roman" w:eastAsia="宋体" w:cs="Times New Roman"/>
                <w:color w:val="auto"/>
                <w:kern w:val="2"/>
                <w:sz w:val="21"/>
                <w:szCs w:val="21"/>
                <w:highlight w:val="none"/>
              </w:rPr>
              <w:t>。</w:t>
            </w:r>
          </w:p>
        </w:tc>
        <w:tc>
          <w:tcPr>
            <w:tcW w:w="521" w:type="pct"/>
            <w:noWrap w:val="0"/>
            <w:vAlign w:val="center"/>
          </w:tcPr>
          <w:p w14:paraId="00AC59CD">
            <w:pPr>
              <w:pStyle w:val="30"/>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引用</w:t>
            </w:r>
            <w:r>
              <w:rPr>
                <w:rFonts w:hint="eastAsia"/>
                <w:color w:val="auto"/>
                <w:highlight w:val="none"/>
                <w:lang w:eastAsia="zh-CN"/>
              </w:rPr>
              <w:t>（</w:t>
            </w:r>
            <w:r>
              <w:rPr>
                <w:rFonts w:hint="eastAsia" w:cs="Times New Roman"/>
                <w:color w:val="auto"/>
                <w:sz w:val="21"/>
                <w:szCs w:val="21"/>
                <w:highlight w:val="none"/>
                <w:lang w:val="en-US" w:eastAsia="zh-CN"/>
              </w:rPr>
              <w:t>2023.12.25）</w:t>
            </w:r>
          </w:p>
        </w:tc>
      </w:tr>
      <w:bookmarkEnd w:id="1586"/>
    </w:tbl>
    <w:p w14:paraId="61D84F32">
      <w:pPr>
        <w:keepNext w:val="0"/>
        <w:keepLines w:val="0"/>
        <w:pageBreakBefore w:val="0"/>
        <w:widowControl/>
        <w:kinsoku w:val="0"/>
        <w:wordWrap/>
        <w:overflowPunct/>
        <w:topLinePunct w:val="0"/>
        <w:autoSpaceDE w:val="0"/>
        <w:autoSpaceDN w:val="0"/>
        <w:bidi w:val="0"/>
        <w:adjustRightInd w:val="0"/>
        <w:snapToGrid w:val="0"/>
        <w:spacing w:line="460" w:lineRule="exact"/>
        <w:ind w:left="0" w:firstLine="480" w:firstLineChars="200"/>
        <w:textAlignment w:val="baseline"/>
        <w:rPr>
          <w:rFonts w:hint="default" w:ascii="Times New Roman" w:hAnsi="Times New Roman" w:eastAsia="宋体" w:cs="Times New Roman"/>
          <w:color w:val="auto"/>
          <w:sz w:val="24"/>
          <w:szCs w:val="24"/>
          <w:highlight w:val="none"/>
        </w:rPr>
      </w:pPr>
      <w:r>
        <w:rPr>
          <w:rFonts w:ascii="Times New Roman" w:hAnsi="Times New Roman" w:eastAsia="宋体" w:cs="Times New Roman"/>
          <w:color w:val="auto"/>
          <w:sz w:val="24"/>
          <w:highlight w:val="none"/>
        </w:rPr>
        <w:t>（2）</w:t>
      </w:r>
      <w:r>
        <w:rPr>
          <w:rFonts w:hint="default" w:ascii="Times New Roman" w:hAnsi="Times New Roman" w:eastAsia="宋体" w:cs="Times New Roman"/>
          <w:color w:val="auto"/>
          <w:sz w:val="24"/>
          <w:szCs w:val="24"/>
          <w:highlight w:val="none"/>
        </w:rPr>
        <w:t>监测频次和监测因子</w:t>
      </w:r>
      <w:bookmarkStart w:id="1600" w:name="pindex9437"/>
      <w:bookmarkEnd w:id="1600"/>
    </w:p>
    <w:p w14:paraId="4334A0D0">
      <w:pPr>
        <w:keepNext w:val="0"/>
        <w:keepLines w:val="0"/>
        <w:pageBreakBefore w:val="0"/>
        <w:widowControl/>
        <w:kinsoku w:val="0"/>
        <w:wordWrap/>
        <w:overflowPunct/>
        <w:topLinePunct w:val="0"/>
        <w:autoSpaceDE w:val="0"/>
        <w:autoSpaceDN w:val="0"/>
        <w:bidi w:val="0"/>
        <w:adjustRightInd w:val="0"/>
        <w:snapToGrid w:val="0"/>
        <w:spacing w:line="460" w:lineRule="exact"/>
        <w:ind w:left="0"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监测频</w:t>
      </w:r>
      <w:r>
        <w:rPr>
          <w:rFonts w:hint="eastAsia" w:ascii="Times New Roman" w:hAnsi="Times New Roman" w:eastAsia="宋体" w:cs="Times New Roman"/>
          <w:color w:val="auto"/>
          <w:sz w:val="24"/>
          <w:szCs w:val="24"/>
          <w:highlight w:val="none"/>
          <w:lang w:val="en-US" w:eastAsia="zh-CN"/>
        </w:rPr>
        <w:t>次</w:t>
      </w:r>
      <w:r>
        <w:rPr>
          <w:rFonts w:hint="default" w:ascii="Times New Roman" w:hAnsi="Times New Roman" w:eastAsia="宋体" w:cs="Times New Roman"/>
          <w:color w:val="auto"/>
          <w:sz w:val="24"/>
          <w:szCs w:val="24"/>
          <w:highlight w:val="none"/>
        </w:rPr>
        <w:t>：监测</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天，每天1次。</w:t>
      </w:r>
    </w:p>
    <w:p w14:paraId="59BFE47A">
      <w:pPr>
        <w:keepNext w:val="0"/>
        <w:keepLines w:val="0"/>
        <w:pageBreakBefore w:val="0"/>
        <w:widowControl/>
        <w:kinsoku w:val="0"/>
        <w:wordWrap/>
        <w:overflowPunct/>
        <w:topLinePunct w:val="0"/>
        <w:autoSpaceDE w:val="0"/>
        <w:autoSpaceDN w:val="0"/>
        <w:bidi w:val="0"/>
        <w:adjustRightInd w:val="0"/>
        <w:snapToGrid w:val="0"/>
        <w:spacing w:line="460" w:lineRule="exact"/>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监测因子：本次监测的监测因子为</w:t>
      </w:r>
      <w:r>
        <w:rPr>
          <w:rFonts w:hint="default" w:ascii="Times New Roman" w:hAnsi="Times New Roman" w:eastAsia="宋体" w:cs="Times New Roman"/>
          <w:color w:val="auto"/>
          <w:sz w:val="24"/>
          <w:szCs w:val="24"/>
          <w:highlight w:val="none"/>
          <w:lang w:val="en-US" w:eastAsia="zh-CN"/>
        </w:rPr>
        <w:t>八</w:t>
      </w:r>
      <w:sdt>
        <w:sdtPr>
          <w:rPr>
            <w:color w:val="auto"/>
            <w:highlight w:val="none"/>
          </w:rPr>
          <w:alias w:val="易错词检查"/>
          <w:tag w:val="auto"/>
          <w:id w:val="3042825"/>
        </w:sdtPr>
        <w:sdtEndPr>
          <w:rPr>
            <w:color w:val="auto"/>
            <w:highlight w:val="none"/>
          </w:rPr>
        </w:sdtEndPr>
        <w:sdtContent>
          <w:bookmarkStart w:id="1601" w:name="bkReivew3042825"/>
          <w:r>
            <w:rPr>
              <w:rFonts w:hint="default" w:ascii="Times New Roman" w:hAnsi="Times New Roman" w:eastAsia="宋体" w:cs="Times New Roman"/>
              <w:color w:val="auto"/>
              <w:sz w:val="24"/>
              <w:szCs w:val="24"/>
              <w:highlight w:val="none"/>
              <w:lang w:val="en-US" w:eastAsia="zh-CN"/>
            </w:rPr>
            <w:t>大离子</w:t>
          </w:r>
          <w:bookmarkEnd w:id="1601"/>
        </w:sdtContent>
      </w:sdt>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K</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、Na</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、Ca</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、Mg</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、Cl</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lang w:eastAsia="zh-CN"/>
        </w:rPr>
        <w:t>；</w:t>
      </w:r>
      <w:bookmarkStart w:id="1602" w:name="sys94395985"/>
      <w:r>
        <w:rPr>
          <w:rFonts w:hint="default" w:ascii="Times New Roman" w:hAnsi="Times New Roman" w:eastAsia="宋体" w:cs="Times New Roman"/>
          <w:color w:val="auto"/>
          <w:sz w:val="24"/>
          <w:szCs w:val="24"/>
          <w:highlight w:val="none"/>
          <w:lang w:val="en-US" w:eastAsia="zh-CN"/>
        </w:rPr>
        <w:t>基本因子：</w:t>
      </w:r>
      <w:r>
        <w:rPr>
          <w:rFonts w:hint="default" w:ascii="Times New Roman" w:hAnsi="Times New Roman" w:eastAsia="宋体" w:cs="Times New Roman"/>
          <w:color w:val="auto"/>
          <w:sz w:val="24"/>
          <w:szCs w:val="24"/>
          <w:highlight w:val="none"/>
        </w:rPr>
        <w:t>pH、氨氮、硝酸盐、亚硝酸盐、挥发酚、氰化物、砷、汞、六价铬、总硬度、铅、氟化物、镉、铁、锰、溶解性总固体、高锰酸盐指数、硫酸盐、氯化物、总大肠菌群、细菌总数</w:t>
      </w:r>
      <w:r>
        <w:rPr>
          <w:rFonts w:hint="default" w:ascii="Times New Roman" w:hAnsi="Times New Roman" w:eastAsia="宋体" w:cs="Times New Roman"/>
          <w:color w:val="auto"/>
          <w:sz w:val="24"/>
          <w:szCs w:val="24"/>
          <w:highlight w:val="none"/>
          <w:lang w:eastAsia="zh-CN"/>
        </w:rPr>
        <w:t>；</w:t>
      </w:r>
      <w:bookmarkEnd w:id="1602"/>
      <w:r>
        <w:rPr>
          <w:rFonts w:hint="default" w:ascii="Times New Roman" w:hAnsi="Times New Roman" w:eastAsia="宋体" w:cs="Times New Roman"/>
          <w:color w:val="auto"/>
          <w:sz w:val="24"/>
          <w:szCs w:val="24"/>
          <w:highlight w:val="none"/>
          <w:lang w:val="en-US" w:eastAsia="zh-CN"/>
        </w:rPr>
        <w:t>其他：地</w:t>
      </w:r>
      <w:r>
        <w:rPr>
          <w:rFonts w:hint="eastAsia"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lang w:val="en-US" w:eastAsia="zh-CN"/>
        </w:rPr>
        <w:t>水</w:t>
      </w:r>
      <w:r>
        <w:rPr>
          <w:rFonts w:hint="default" w:ascii="Times New Roman" w:hAnsi="Times New Roman" w:eastAsia="宋体" w:cs="Times New Roman"/>
          <w:color w:val="auto"/>
          <w:sz w:val="24"/>
          <w:szCs w:val="24"/>
          <w:highlight w:val="none"/>
        </w:rPr>
        <w:t>水位（包括井口地面高程、井水埋深）</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水温等水文参数</w:t>
      </w:r>
      <w:r>
        <w:rPr>
          <w:rFonts w:hint="default" w:ascii="Times New Roman" w:hAnsi="Times New Roman" w:eastAsia="宋体" w:cs="Times New Roman"/>
          <w:color w:val="auto"/>
          <w:sz w:val="24"/>
          <w:szCs w:val="24"/>
          <w:highlight w:val="none"/>
        </w:rPr>
        <w:t>。</w:t>
      </w:r>
    </w:p>
    <w:p w14:paraId="5C2527D6">
      <w:pPr>
        <w:keepNext w:val="0"/>
        <w:keepLines w:val="0"/>
        <w:pageBreakBefore w:val="0"/>
        <w:widowControl/>
        <w:kinsoku w:val="0"/>
        <w:wordWrap/>
        <w:overflowPunct/>
        <w:topLinePunct w:val="0"/>
        <w:autoSpaceDE w:val="0"/>
        <w:autoSpaceDN w:val="0"/>
        <w:bidi w:val="0"/>
        <w:adjustRightInd w:val="0"/>
        <w:snapToGrid w:val="0"/>
        <w:spacing w:line="460" w:lineRule="exact"/>
        <w:ind w:left="0"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监测</w:t>
      </w:r>
      <w:r>
        <w:rPr>
          <w:rFonts w:hint="eastAsia" w:ascii="Times New Roman" w:hAnsi="Times New Roman" w:eastAsia="宋体" w:cs="Times New Roman"/>
          <w:color w:val="auto"/>
          <w:sz w:val="24"/>
          <w:szCs w:val="24"/>
          <w:highlight w:val="none"/>
          <w:lang w:val="en-US" w:eastAsia="zh-CN"/>
        </w:rPr>
        <w:t>时间</w:t>
      </w:r>
      <w:r>
        <w:rPr>
          <w:rFonts w:hint="default" w:ascii="Times New Roman" w:hAnsi="Times New Roman" w:eastAsia="宋体" w:cs="Times New Roman"/>
          <w:color w:val="auto"/>
          <w:sz w:val="24"/>
          <w:szCs w:val="24"/>
          <w:highlight w:val="none"/>
        </w:rPr>
        <w:t>：20</w:t>
      </w:r>
      <w:r>
        <w:rPr>
          <w:rFonts w:hint="default"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11</w:t>
      </w:r>
      <w:r>
        <w:rPr>
          <w:rFonts w:hint="default" w:ascii="Times New Roman" w:hAnsi="Times New Roman" w:eastAsia="宋体" w:cs="Times New Roman"/>
          <w:color w:val="auto"/>
          <w:sz w:val="24"/>
          <w:szCs w:val="24"/>
          <w:highlight w:val="none"/>
        </w:rPr>
        <w:t>日。</w:t>
      </w:r>
      <w:bookmarkStart w:id="1603" w:name="OLE_LINK552"/>
    </w:p>
    <w:p w14:paraId="0570A8DE">
      <w:pPr>
        <w:keepNext w:val="0"/>
        <w:keepLines w:val="0"/>
        <w:pageBreakBefore w:val="0"/>
        <w:widowControl/>
        <w:kinsoku w:val="0"/>
        <w:wordWrap/>
        <w:overflowPunct/>
        <w:topLinePunct w:val="0"/>
        <w:autoSpaceDE w:val="0"/>
        <w:autoSpaceDN w:val="0"/>
        <w:bidi w:val="0"/>
        <w:adjustRightInd w:val="0"/>
        <w:snapToGrid w:val="0"/>
        <w:spacing w:line="460" w:lineRule="exact"/>
        <w:ind w:left="0"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引用报告来源于《南京奥联光能科技有限公司环评检测报告》（报告编号：NVTT-2023-1002）中D3-1点位地下水数据，检测时间为2023年12月25日。</w:t>
      </w:r>
      <w:bookmarkStart w:id="1604" w:name="sys94417832"/>
      <w:r>
        <w:rPr>
          <w:rFonts w:hint="eastAsia" w:ascii="Times New Roman" w:hAnsi="Times New Roman" w:eastAsia="宋体" w:cs="Times New Roman"/>
          <w:color w:val="auto"/>
          <w:sz w:val="24"/>
          <w:szCs w:val="24"/>
          <w:highlight w:val="none"/>
          <w:lang w:val="en-US" w:eastAsia="zh-CN"/>
        </w:rPr>
        <w:t>监测点</w:t>
      </w:r>
      <w:sdt>
        <w:sdtPr>
          <w:rPr>
            <w:color w:val="auto"/>
            <w:highlight w:val="none"/>
          </w:rPr>
          <w:alias w:val="易错词检查"/>
          <w:tag w:val="FF0000"/>
          <w:id w:val="30113"/>
        </w:sdtPr>
        <w:sdtEndPr>
          <w:rPr>
            <w:color w:val="auto"/>
            <w:highlight w:val="none"/>
          </w:rPr>
        </w:sdtEndPr>
        <w:sdtContent>
          <w:bookmarkStart w:id="1605" w:name="bkReivew30113"/>
          <w:r>
            <w:rPr>
              <w:rFonts w:hint="eastAsia" w:ascii="Times New Roman" w:hAnsi="Times New Roman" w:eastAsia="宋体" w:cs="Times New Roman"/>
              <w:color w:val="auto"/>
              <w:sz w:val="24"/>
              <w:szCs w:val="24"/>
              <w:highlight w:val="none"/>
              <w:lang w:val="en-US" w:eastAsia="zh-CN"/>
            </w:rPr>
            <w:t>位位</w:t>
          </w:r>
          <w:bookmarkEnd w:id="1605"/>
        </w:sdtContent>
      </w:sdt>
      <w:r>
        <w:rPr>
          <w:rFonts w:hint="eastAsia" w:ascii="Times New Roman" w:hAnsi="Times New Roman" w:eastAsia="宋体" w:cs="Times New Roman"/>
          <w:color w:val="auto"/>
          <w:sz w:val="24"/>
          <w:szCs w:val="24"/>
          <w:highlight w:val="none"/>
          <w:lang w:val="en-US" w:eastAsia="zh-CN"/>
        </w:rPr>
        <w:t>于评估范围内，且时间未超过三年，因此监测数据可以引用。</w:t>
      </w:r>
      <w:bookmarkEnd w:id="1604"/>
    </w:p>
    <w:bookmarkEnd w:id="1603"/>
    <w:p w14:paraId="7A4B2E03">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3</w:t>
      </w:r>
      <w:r>
        <w:rPr>
          <w:rFonts w:ascii="Times New Roman" w:hAnsi="Times New Roman" w:eastAsia="宋体" w:cs="Times New Roman"/>
          <w:color w:val="auto"/>
          <w:sz w:val="24"/>
          <w:szCs w:val="24"/>
          <w:highlight w:val="none"/>
        </w:rPr>
        <w:t>）</w:t>
      </w:r>
      <w:sdt>
        <w:sdtPr>
          <w:rPr>
            <w:color w:val="auto"/>
            <w:highlight w:val="none"/>
          </w:rPr>
          <w:alias w:val="易错词检查"/>
          <w:tag w:val="auto"/>
          <w:id w:val="2020055"/>
        </w:sdtPr>
        <w:sdtEndPr>
          <w:rPr>
            <w:color w:val="auto"/>
            <w:highlight w:val="none"/>
          </w:rPr>
        </w:sdtEndPr>
        <w:sdtContent>
          <w:bookmarkStart w:id="1606" w:name="bkReivew2020055"/>
          <w:r>
            <w:rPr>
              <w:rFonts w:ascii="Times New Roman" w:hAnsi="Times New Roman" w:eastAsia="宋体" w:cs="Times New Roman"/>
              <w:color w:val="auto"/>
              <w:sz w:val="24"/>
              <w:szCs w:val="24"/>
              <w:highlight w:val="none"/>
            </w:rPr>
            <w:t>监测方法</w:t>
          </w:r>
          <w:bookmarkEnd w:id="1606"/>
        </w:sdtContent>
      </w:sdt>
      <w:bookmarkStart w:id="1607" w:name="pindex9442"/>
      <w:bookmarkEnd w:id="1607"/>
    </w:p>
    <w:p w14:paraId="40FAD09B">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地下水监测分析方法见表</w:t>
      </w:r>
      <w:r>
        <w:rPr>
          <w:rFonts w:hint="eastAsia" w:ascii="Times New Roman" w:hAnsi="Times New Roman" w:eastAsia="宋体" w:cs="Times New Roman"/>
          <w:color w:val="auto"/>
          <w:sz w:val="24"/>
          <w:szCs w:val="24"/>
          <w:highlight w:val="none"/>
          <w:lang w:val="en-US" w:eastAsia="zh-CN"/>
        </w:rPr>
        <w:t>6.3-20</w:t>
      </w:r>
      <w:r>
        <w:rPr>
          <w:rFonts w:ascii="Times New Roman" w:hAnsi="Times New Roman" w:eastAsia="宋体" w:cs="Times New Roman"/>
          <w:color w:val="auto"/>
          <w:sz w:val="24"/>
          <w:szCs w:val="24"/>
          <w:highlight w:val="none"/>
        </w:rPr>
        <w:t>。</w:t>
      </w:r>
    </w:p>
    <w:p w14:paraId="541BC8ED">
      <w:pPr>
        <w:pStyle w:val="31"/>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b/>
          <w:bCs/>
          <w:color w:val="auto"/>
          <w:highlight w:val="none"/>
        </w:rPr>
      </w:pPr>
      <w:r>
        <w:rPr>
          <w:b/>
          <w:bCs/>
          <w:color w:val="auto"/>
          <w:highlight w:val="none"/>
        </w:rPr>
        <w:t>表</w:t>
      </w:r>
      <w:r>
        <w:rPr>
          <w:rFonts w:hint="eastAsia"/>
          <w:b/>
          <w:bCs/>
          <w:color w:val="auto"/>
          <w:highlight w:val="none"/>
          <w:lang w:val="en-US" w:eastAsia="zh-CN"/>
        </w:rPr>
        <w:t>6.3-20</w:t>
      </w:r>
      <w:r>
        <w:rPr>
          <w:b/>
          <w:bCs/>
          <w:color w:val="auto"/>
          <w:highlight w:val="none"/>
        </w:rPr>
        <w:t xml:space="preserve">  地下水监测分析方法一览表</w:t>
      </w:r>
      <w:bookmarkStart w:id="1608" w:name="pindex9444"/>
      <w:bookmarkEnd w:id="1608"/>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2"/>
        <w:gridCol w:w="1791"/>
        <w:gridCol w:w="5982"/>
      </w:tblGrid>
      <w:tr w14:paraId="268B8F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1512" w:type="pct"/>
            <w:gridSpan w:val="2"/>
            <w:vAlign w:val="center"/>
          </w:tcPr>
          <w:p w14:paraId="2AD906C4">
            <w:pPr>
              <w:pStyle w:val="30"/>
              <w:rPr>
                <w:b/>
                <w:bCs/>
                <w:color w:val="auto"/>
                <w:highlight w:val="none"/>
              </w:rPr>
            </w:pPr>
            <w:r>
              <w:rPr>
                <w:b/>
                <w:bCs/>
                <w:color w:val="auto"/>
                <w:highlight w:val="none"/>
              </w:rPr>
              <w:t>项目名称</w:t>
            </w:r>
          </w:p>
        </w:tc>
        <w:tc>
          <w:tcPr>
            <w:tcW w:w="3487" w:type="pct"/>
            <w:vAlign w:val="center"/>
          </w:tcPr>
          <w:p w14:paraId="5D3F1ED0">
            <w:pPr>
              <w:pStyle w:val="30"/>
              <w:rPr>
                <w:b/>
                <w:bCs/>
                <w:color w:val="auto"/>
                <w:highlight w:val="none"/>
              </w:rPr>
            </w:pPr>
            <w:r>
              <w:rPr>
                <w:b/>
                <w:bCs/>
                <w:color w:val="auto"/>
                <w:highlight w:val="none"/>
              </w:rPr>
              <w:t>分析方法</w:t>
            </w:r>
          </w:p>
        </w:tc>
      </w:tr>
      <w:tr w14:paraId="66FEBF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restart"/>
            <w:vAlign w:val="center"/>
          </w:tcPr>
          <w:p w14:paraId="70EE673E">
            <w:pPr>
              <w:pStyle w:val="30"/>
              <w:rPr>
                <w:color w:val="auto"/>
                <w:highlight w:val="none"/>
              </w:rPr>
            </w:pPr>
            <w:r>
              <w:rPr>
                <w:color w:val="auto"/>
                <w:highlight w:val="none"/>
              </w:rPr>
              <w:t>地下水</w:t>
            </w:r>
          </w:p>
        </w:tc>
        <w:tc>
          <w:tcPr>
            <w:tcW w:w="1044" w:type="pct"/>
            <w:vAlign w:val="center"/>
          </w:tcPr>
          <w:p w14:paraId="1BDC88AF">
            <w:pPr>
              <w:pStyle w:val="30"/>
              <w:rPr>
                <w:color w:val="auto"/>
                <w:highlight w:val="none"/>
              </w:rPr>
            </w:pPr>
            <w:r>
              <w:rPr>
                <w:color w:val="auto"/>
                <w:highlight w:val="none"/>
              </w:rPr>
              <w:t>pH</w:t>
            </w:r>
          </w:p>
        </w:tc>
        <w:tc>
          <w:tcPr>
            <w:tcW w:w="3487" w:type="pct"/>
            <w:vAlign w:val="center"/>
          </w:tcPr>
          <w:p w14:paraId="2C6C06C5">
            <w:pPr>
              <w:pStyle w:val="30"/>
              <w:rPr>
                <w:color w:val="auto"/>
                <w:highlight w:val="none"/>
              </w:rPr>
            </w:pPr>
            <w:r>
              <w:rPr>
                <w:color w:val="auto"/>
                <w:highlight w:val="none"/>
              </w:rPr>
              <w:t>便携式pH计法 《水和废水监测分析方法》（第四版）（国家环境保护总局）（2002）3.1.6.2</w:t>
            </w:r>
          </w:p>
        </w:tc>
      </w:tr>
      <w:tr w14:paraId="28BF9C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4222B6C7">
            <w:pPr>
              <w:pStyle w:val="30"/>
              <w:rPr>
                <w:color w:val="auto"/>
                <w:highlight w:val="none"/>
              </w:rPr>
            </w:pPr>
          </w:p>
        </w:tc>
        <w:tc>
          <w:tcPr>
            <w:tcW w:w="1044" w:type="pct"/>
            <w:vAlign w:val="center"/>
          </w:tcPr>
          <w:p w14:paraId="08A3CD35">
            <w:pPr>
              <w:pStyle w:val="30"/>
              <w:rPr>
                <w:color w:val="auto"/>
                <w:highlight w:val="none"/>
              </w:rPr>
            </w:pPr>
            <w:r>
              <w:rPr>
                <w:color w:val="auto"/>
                <w:highlight w:val="none"/>
              </w:rPr>
              <w:t>氨氮</w:t>
            </w:r>
          </w:p>
        </w:tc>
        <w:tc>
          <w:tcPr>
            <w:tcW w:w="3487" w:type="pct"/>
            <w:vAlign w:val="center"/>
          </w:tcPr>
          <w:p w14:paraId="2243D889">
            <w:pPr>
              <w:pStyle w:val="30"/>
              <w:rPr>
                <w:color w:val="auto"/>
                <w:highlight w:val="none"/>
              </w:rPr>
            </w:pPr>
            <w:bookmarkStart w:id="1609" w:name="sys9452030"/>
            <w:r>
              <w:rPr>
                <w:color w:val="auto"/>
                <w:highlight w:val="none"/>
              </w:rPr>
              <w:t>水质 氨氮的测定 纳氏试剂分光光度法 HJ 535-2009</w:t>
            </w:r>
            <w:bookmarkEnd w:id="1609"/>
          </w:p>
        </w:tc>
      </w:tr>
      <w:tr w14:paraId="09A4C6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4AB8DD80">
            <w:pPr>
              <w:pStyle w:val="30"/>
              <w:rPr>
                <w:color w:val="auto"/>
                <w:highlight w:val="none"/>
              </w:rPr>
            </w:pPr>
          </w:p>
        </w:tc>
        <w:tc>
          <w:tcPr>
            <w:tcW w:w="1044" w:type="pct"/>
            <w:vAlign w:val="center"/>
          </w:tcPr>
          <w:p w14:paraId="35B77416">
            <w:pPr>
              <w:pStyle w:val="30"/>
              <w:rPr>
                <w:color w:val="auto"/>
                <w:highlight w:val="none"/>
              </w:rPr>
            </w:pPr>
            <w:r>
              <w:rPr>
                <w:color w:val="auto"/>
                <w:highlight w:val="none"/>
              </w:rPr>
              <w:t>氟化物</w:t>
            </w:r>
          </w:p>
        </w:tc>
        <w:tc>
          <w:tcPr>
            <w:tcW w:w="3487" w:type="pct"/>
            <w:vAlign w:val="center"/>
          </w:tcPr>
          <w:p w14:paraId="0F07FC61">
            <w:pPr>
              <w:keepNext w:val="0"/>
              <w:keepLines w:val="0"/>
              <w:pageBreakBefore w:val="0"/>
              <w:kinsoku/>
              <w:wordWrap/>
              <w:overflowPunct/>
              <w:topLinePunct w:val="0"/>
              <w:autoSpaceDE/>
              <w:autoSpaceDN/>
              <w:bidi w:val="0"/>
              <w:adjustRightInd/>
              <w:spacing w:line="300" w:lineRule="exact"/>
              <w:jc w:val="center"/>
              <w:textAlignment w:val="auto"/>
              <w:rPr>
                <w:color w:val="auto"/>
                <w:highlight w:val="none"/>
              </w:rPr>
            </w:pPr>
            <w:bookmarkStart w:id="1610" w:name="sys9455031"/>
            <w:r>
              <w:rPr>
                <w:rFonts w:hint="default" w:ascii="Times New Roman" w:hAnsi="Times New Roman" w:cs="Times New Roman"/>
                <w:color w:val="auto"/>
                <w:sz w:val="21"/>
                <w:szCs w:val="21"/>
                <w:highlight w:val="none"/>
              </w:rPr>
              <w:t>水质 氟化物的测定</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离子选择电极法GB/T 7484-1987</w:t>
            </w:r>
            <w:bookmarkEnd w:id="1610"/>
          </w:p>
        </w:tc>
      </w:tr>
      <w:tr w14:paraId="353A09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23FDA56B">
            <w:pPr>
              <w:pStyle w:val="30"/>
              <w:rPr>
                <w:color w:val="auto"/>
                <w:highlight w:val="none"/>
              </w:rPr>
            </w:pPr>
          </w:p>
        </w:tc>
        <w:tc>
          <w:tcPr>
            <w:tcW w:w="1044" w:type="pct"/>
            <w:vAlign w:val="center"/>
          </w:tcPr>
          <w:p w14:paraId="1EC7E2F1">
            <w:pPr>
              <w:pStyle w:val="30"/>
              <w:rPr>
                <w:color w:val="auto"/>
                <w:highlight w:val="none"/>
              </w:rPr>
            </w:pPr>
            <w:r>
              <w:rPr>
                <w:color w:val="auto"/>
                <w:highlight w:val="none"/>
              </w:rPr>
              <w:t>高锰酸盐指数</w:t>
            </w:r>
          </w:p>
        </w:tc>
        <w:tc>
          <w:tcPr>
            <w:tcW w:w="3487" w:type="pct"/>
            <w:vAlign w:val="center"/>
          </w:tcPr>
          <w:p w14:paraId="6D7F2AC1">
            <w:pPr>
              <w:pStyle w:val="30"/>
              <w:rPr>
                <w:color w:val="auto"/>
                <w:highlight w:val="none"/>
              </w:rPr>
            </w:pPr>
            <w:r>
              <w:rPr>
                <w:rFonts w:hint="eastAsia" w:ascii="Times New Roman" w:hAnsi="Times New Roman" w:eastAsia="宋体" w:cs="Times New Roman"/>
                <w:color w:val="auto"/>
                <w:kern w:val="2"/>
                <w:sz w:val="21"/>
                <w:szCs w:val="21"/>
                <w:highlight w:val="none"/>
                <w:lang w:val="en-US" w:eastAsia="zh-CN" w:bidi="ar-SA"/>
              </w:rPr>
              <w:t>地下水质分析方法 第68部分：耗氧量的测定 酸性高锰酸钾滴定法DZ/T 0064.68-2021</w:t>
            </w:r>
          </w:p>
        </w:tc>
      </w:tr>
      <w:tr w14:paraId="44A409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65B3BE2F">
            <w:pPr>
              <w:pStyle w:val="30"/>
              <w:rPr>
                <w:color w:val="auto"/>
                <w:highlight w:val="none"/>
              </w:rPr>
            </w:pPr>
          </w:p>
        </w:tc>
        <w:tc>
          <w:tcPr>
            <w:tcW w:w="1044" w:type="pct"/>
            <w:vAlign w:val="center"/>
          </w:tcPr>
          <w:p w14:paraId="5D6E5646">
            <w:pPr>
              <w:pStyle w:val="30"/>
              <w:rPr>
                <w:color w:val="auto"/>
                <w:highlight w:val="none"/>
              </w:rPr>
            </w:pPr>
            <w:r>
              <w:rPr>
                <w:color w:val="auto"/>
                <w:highlight w:val="none"/>
              </w:rPr>
              <w:t>挥发酚</w:t>
            </w:r>
          </w:p>
        </w:tc>
        <w:tc>
          <w:tcPr>
            <w:tcW w:w="3487" w:type="pct"/>
            <w:vAlign w:val="center"/>
          </w:tcPr>
          <w:p w14:paraId="25546901">
            <w:pPr>
              <w:pStyle w:val="30"/>
              <w:rPr>
                <w:color w:val="auto"/>
                <w:highlight w:val="none"/>
              </w:rPr>
            </w:pPr>
            <w:bookmarkStart w:id="1611" w:name="sys9461034"/>
            <w:r>
              <w:rPr>
                <w:color w:val="auto"/>
                <w:highlight w:val="none"/>
              </w:rPr>
              <w:t>水质 挥发酚的测定 4-氨基安替比林分光光度法 HJ503-2009</w:t>
            </w:r>
            <w:bookmarkEnd w:id="1611"/>
          </w:p>
        </w:tc>
      </w:tr>
      <w:tr w14:paraId="06DAC0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7FE5220E">
            <w:pPr>
              <w:pStyle w:val="30"/>
              <w:rPr>
                <w:color w:val="auto"/>
                <w:highlight w:val="none"/>
              </w:rPr>
            </w:pPr>
          </w:p>
        </w:tc>
        <w:tc>
          <w:tcPr>
            <w:tcW w:w="1044" w:type="pct"/>
            <w:vAlign w:val="center"/>
          </w:tcPr>
          <w:p w14:paraId="649F1C07">
            <w:pPr>
              <w:pStyle w:val="30"/>
              <w:rPr>
                <w:color w:val="auto"/>
                <w:highlight w:val="none"/>
              </w:rPr>
            </w:pPr>
            <w:r>
              <w:rPr>
                <w:color w:val="auto"/>
                <w:highlight w:val="none"/>
              </w:rPr>
              <w:t>硫酸盐</w:t>
            </w:r>
          </w:p>
        </w:tc>
        <w:tc>
          <w:tcPr>
            <w:tcW w:w="3487" w:type="pct"/>
            <w:vAlign w:val="center"/>
          </w:tcPr>
          <w:p w14:paraId="31EE649F">
            <w:pPr>
              <w:pStyle w:val="30"/>
              <w:rPr>
                <w:color w:val="auto"/>
                <w:highlight w:val="none"/>
              </w:rPr>
            </w:pPr>
            <w:r>
              <w:rPr>
                <w:rFonts w:hint="default" w:ascii="Times New Roman" w:hAnsi="Times New Roman" w:cs="Times New Roman"/>
                <w:color w:val="auto"/>
                <w:sz w:val="21"/>
                <w:szCs w:val="21"/>
                <w:highlight w:val="none"/>
                <w:lang w:val="en-US" w:eastAsia="zh-CN"/>
              </w:rPr>
              <w:t>水质 硫酸盐的测定 铬酸钡分光光度法</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试行</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 xml:space="preserve"> HJ/T 342-2007</w:t>
            </w:r>
          </w:p>
        </w:tc>
      </w:tr>
      <w:tr w14:paraId="76BA49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236448B5">
            <w:pPr>
              <w:pStyle w:val="30"/>
              <w:rPr>
                <w:color w:val="auto"/>
                <w:highlight w:val="none"/>
              </w:rPr>
            </w:pPr>
          </w:p>
        </w:tc>
        <w:tc>
          <w:tcPr>
            <w:tcW w:w="1044" w:type="pct"/>
            <w:vAlign w:val="center"/>
          </w:tcPr>
          <w:p w14:paraId="4C3A570B">
            <w:pPr>
              <w:pStyle w:val="30"/>
              <w:rPr>
                <w:color w:val="auto"/>
                <w:highlight w:val="none"/>
              </w:rPr>
            </w:pPr>
            <w:r>
              <w:rPr>
                <w:color w:val="auto"/>
                <w:highlight w:val="none"/>
              </w:rPr>
              <w:t>氯化物</w:t>
            </w:r>
          </w:p>
        </w:tc>
        <w:tc>
          <w:tcPr>
            <w:tcW w:w="3487" w:type="pct"/>
            <w:vAlign w:val="center"/>
          </w:tcPr>
          <w:p w14:paraId="760C7E2C">
            <w:pPr>
              <w:keepNext w:val="0"/>
              <w:keepLines w:val="0"/>
              <w:pageBreakBefore w:val="0"/>
              <w:widowControl/>
              <w:kinsoku/>
              <w:wordWrap/>
              <w:overflowPunct/>
              <w:topLinePunct w:val="0"/>
              <w:autoSpaceDE/>
              <w:autoSpaceDN/>
              <w:bidi w:val="0"/>
              <w:adjustRightInd w:val="0"/>
              <w:snapToGrid w:val="0"/>
              <w:spacing w:line="300" w:lineRule="exact"/>
              <w:ind w:left="0" w:leftChars="0" w:right="0" w:rightChars="0" w:firstLine="0" w:firstLineChars="0"/>
              <w:jc w:val="center"/>
              <w:textAlignment w:val="auto"/>
              <w:outlineLvl w:val="9"/>
              <w:rPr>
                <w:color w:val="auto"/>
                <w:highlight w:val="none"/>
              </w:rPr>
            </w:pPr>
            <w:r>
              <w:rPr>
                <w:rFonts w:hint="default" w:ascii="Times New Roman" w:hAnsi="Times New Roman" w:cs="Times New Roman"/>
                <w:color w:val="auto"/>
                <w:sz w:val="21"/>
                <w:szCs w:val="21"/>
                <w:highlight w:val="none"/>
                <w:lang w:val="en-US" w:eastAsia="zh-CN"/>
              </w:rPr>
              <w:t>水质 氯化物的测定 硝酸银滴定法 GB/T 11896-1989</w:t>
            </w:r>
          </w:p>
        </w:tc>
      </w:tr>
      <w:tr w14:paraId="2428AF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trPr>
        <w:tc>
          <w:tcPr>
            <w:tcW w:w="468" w:type="pct"/>
            <w:vMerge w:val="continue"/>
            <w:vAlign w:val="center"/>
          </w:tcPr>
          <w:p w14:paraId="0B0BFBE1">
            <w:pPr>
              <w:pStyle w:val="30"/>
              <w:rPr>
                <w:color w:val="auto"/>
                <w:highlight w:val="none"/>
              </w:rPr>
            </w:pPr>
          </w:p>
        </w:tc>
        <w:tc>
          <w:tcPr>
            <w:tcW w:w="1044" w:type="pct"/>
            <w:vAlign w:val="center"/>
          </w:tcPr>
          <w:p w14:paraId="1E3242F5">
            <w:pPr>
              <w:pStyle w:val="30"/>
              <w:rPr>
                <w:color w:val="auto"/>
                <w:highlight w:val="none"/>
              </w:rPr>
            </w:pPr>
            <w:r>
              <w:rPr>
                <w:color w:val="auto"/>
                <w:highlight w:val="none"/>
              </w:rPr>
              <w:t>氰化物</w:t>
            </w:r>
          </w:p>
        </w:tc>
        <w:tc>
          <w:tcPr>
            <w:tcW w:w="3487" w:type="pct"/>
            <w:vAlign w:val="center"/>
          </w:tcPr>
          <w:p w14:paraId="6270E4DB">
            <w:pPr>
              <w:pStyle w:val="30"/>
              <w:rPr>
                <w:rFonts w:hint="default"/>
                <w:color w:val="auto"/>
                <w:highlight w:val="none"/>
                <w:lang w:val="en-US"/>
              </w:rPr>
            </w:pPr>
            <w:r>
              <w:rPr>
                <w:rFonts w:hint="eastAsia" w:ascii="宋体" w:hAnsi="宋体" w:eastAsia="宋体" w:cs="宋体"/>
                <w:i w:val="0"/>
                <w:iCs w:val="0"/>
                <w:color w:val="auto"/>
                <w:kern w:val="0"/>
                <w:sz w:val="21"/>
                <w:szCs w:val="21"/>
                <w:highlight w:val="none"/>
                <w:u w:val="none"/>
                <w:lang w:val="en-US" w:eastAsia="zh-CN" w:bidi="ar"/>
              </w:rPr>
              <w:t>地下水质分析方法第</w:t>
            </w:r>
            <w:r>
              <w:rPr>
                <w:rFonts w:hint="default" w:ascii="Times New Roman" w:hAnsi="Times New Roman" w:eastAsia="宋体" w:cs="Times New Roman"/>
                <w:i w:val="0"/>
                <w:iCs w:val="0"/>
                <w:color w:val="auto"/>
                <w:kern w:val="0"/>
                <w:sz w:val="21"/>
                <w:szCs w:val="21"/>
                <w:highlight w:val="none"/>
                <w:u w:val="none"/>
                <w:lang w:val="en-US" w:eastAsia="zh-CN" w:bidi="ar"/>
              </w:rPr>
              <w:t>52</w:t>
            </w:r>
            <w:r>
              <w:rPr>
                <w:rFonts w:hint="eastAsia" w:ascii="宋体" w:hAnsi="宋体" w:eastAsia="宋体" w:cs="宋体"/>
                <w:i w:val="0"/>
                <w:iCs w:val="0"/>
                <w:color w:val="auto"/>
                <w:kern w:val="0"/>
                <w:sz w:val="21"/>
                <w:szCs w:val="21"/>
                <w:highlight w:val="none"/>
                <w:u w:val="none"/>
                <w:lang w:val="en-US" w:eastAsia="zh-CN" w:bidi="ar"/>
              </w:rPr>
              <w:t>部分：氰化物的测定</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t>吡啶</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吡唑啉酮分光光度法</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DZ/T 0064. 52-2021</w:t>
            </w:r>
          </w:p>
        </w:tc>
      </w:tr>
      <w:tr w14:paraId="14E05E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52F5E9B0">
            <w:pPr>
              <w:pStyle w:val="30"/>
              <w:rPr>
                <w:color w:val="auto"/>
                <w:highlight w:val="none"/>
              </w:rPr>
            </w:pPr>
          </w:p>
        </w:tc>
        <w:tc>
          <w:tcPr>
            <w:tcW w:w="1044" w:type="pct"/>
            <w:vAlign w:val="center"/>
          </w:tcPr>
          <w:p w14:paraId="003C7684">
            <w:pPr>
              <w:jc w:val="center"/>
              <w:rPr>
                <w:color w:val="auto"/>
                <w:highlight w:val="none"/>
              </w:rPr>
            </w:pPr>
            <w:r>
              <w:rPr>
                <w:rFonts w:hint="eastAsia" w:eastAsia="宋体" w:cs="Times New Roman"/>
                <w:color w:val="auto"/>
                <w:kern w:val="2"/>
                <w:sz w:val="21"/>
                <w:szCs w:val="21"/>
                <w:highlight w:val="none"/>
                <w:lang w:val="en-US" w:eastAsia="zh-CN" w:bidi="ar-SA"/>
              </w:rPr>
              <w:t>硝酸根离子</w:t>
            </w:r>
          </w:p>
        </w:tc>
        <w:tc>
          <w:tcPr>
            <w:tcW w:w="3487" w:type="pct"/>
            <w:vMerge w:val="restart"/>
            <w:vAlign w:val="center"/>
          </w:tcPr>
          <w:p w14:paraId="1A656F17">
            <w:pPr>
              <w:keepNext w:val="0"/>
              <w:keepLines w:val="0"/>
              <w:pageBreakBefore w:val="0"/>
              <w:widowControl/>
              <w:kinsoku/>
              <w:wordWrap/>
              <w:overflowPunct/>
              <w:topLinePunct w:val="0"/>
              <w:autoSpaceDE/>
              <w:autoSpaceDN/>
              <w:bidi w:val="0"/>
              <w:adjustRightInd/>
              <w:snapToGrid/>
              <w:spacing w:line="240" w:lineRule="auto"/>
              <w:jc w:val="center"/>
              <w:textAlignment w:val="baseline"/>
              <w:rPr>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水质 无机阴离子（F</w:t>
            </w:r>
            <w:r>
              <w:rPr>
                <w:rFonts w:hint="eastAsia" w:ascii="Times New Roman" w:hAnsi="Times New Roman" w:eastAsia="宋体" w:cs="Times New Roman"/>
                <w:color w:val="auto"/>
                <w:kern w:val="2"/>
                <w:sz w:val="21"/>
                <w:szCs w:val="21"/>
                <w:highlight w:val="none"/>
                <w:vertAlign w:val="superscript"/>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、Cl</w:t>
            </w:r>
            <w:r>
              <w:rPr>
                <w:rFonts w:hint="eastAsia" w:ascii="Times New Roman" w:hAnsi="Times New Roman" w:eastAsia="宋体" w:cs="Times New Roman"/>
                <w:color w:val="auto"/>
                <w:kern w:val="2"/>
                <w:sz w:val="21"/>
                <w:szCs w:val="21"/>
                <w:highlight w:val="none"/>
                <w:vertAlign w:val="superscript"/>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、NO</w:t>
            </w:r>
            <w:r>
              <w:rPr>
                <w:rFonts w:hint="eastAsia" w:ascii="Times New Roman" w:hAnsi="Times New Roman" w:eastAsia="宋体" w:cs="Times New Roman"/>
                <w:color w:val="auto"/>
                <w:kern w:val="2"/>
                <w:sz w:val="21"/>
                <w:szCs w:val="21"/>
                <w:highlight w:val="none"/>
                <w:vertAlign w:val="superscript"/>
                <w:lang w:val="en-US" w:eastAsia="zh-CN" w:bidi="ar-SA"/>
              </w:rPr>
              <w:t>2-</w:t>
            </w:r>
            <w:r>
              <w:rPr>
                <w:rFonts w:hint="eastAsia" w:ascii="Times New Roman" w:hAnsi="Times New Roman" w:eastAsia="宋体" w:cs="Times New Roman"/>
                <w:color w:val="auto"/>
                <w:kern w:val="2"/>
                <w:sz w:val="21"/>
                <w:szCs w:val="21"/>
                <w:highlight w:val="none"/>
                <w:lang w:val="en-US" w:eastAsia="zh-CN" w:bidi="ar-SA"/>
              </w:rPr>
              <w:t>、Br</w:t>
            </w:r>
            <w:r>
              <w:rPr>
                <w:rFonts w:hint="eastAsia" w:ascii="Times New Roman" w:hAnsi="Times New Roman" w:eastAsia="宋体" w:cs="Times New Roman"/>
                <w:color w:val="auto"/>
                <w:kern w:val="2"/>
                <w:sz w:val="21"/>
                <w:szCs w:val="21"/>
                <w:highlight w:val="none"/>
                <w:vertAlign w:val="superscript"/>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、NO</w:t>
            </w:r>
            <w:r>
              <w:rPr>
                <w:rFonts w:hint="eastAsia" w:ascii="Times New Roman" w:hAnsi="Times New Roman" w:eastAsia="宋体" w:cs="Times New Roman"/>
                <w:color w:val="auto"/>
                <w:kern w:val="2"/>
                <w:sz w:val="21"/>
                <w:szCs w:val="21"/>
                <w:highlight w:val="none"/>
                <w:vertAlign w:val="superscript"/>
                <w:lang w:val="en-US" w:eastAsia="zh-CN" w:bidi="ar-SA"/>
              </w:rPr>
              <w:t>3-</w:t>
            </w:r>
            <w:r>
              <w:rPr>
                <w:rFonts w:hint="eastAsia" w:ascii="Times New Roman" w:hAnsi="Times New Roman" w:eastAsia="宋体" w:cs="Times New Roman"/>
                <w:color w:val="auto"/>
                <w:kern w:val="2"/>
                <w:sz w:val="21"/>
                <w:szCs w:val="21"/>
                <w:highlight w:val="none"/>
                <w:lang w:val="en-US" w:eastAsia="zh-CN" w:bidi="ar-SA"/>
              </w:rPr>
              <w:t>、PO</w:t>
            </w:r>
            <w:r>
              <w:rPr>
                <w:rFonts w:hint="eastAsia" w:ascii="Times New Roman" w:hAnsi="Times New Roman" w:eastAsia="宋体" w:cs="Times New Roman"/>
                <w:color w:val="auto"/>
                <w:kern w:val="2"/>
                <w:sz w:val="21"/>
                <w:szCs w:val="21"/>
                <w:highlight w:val="none"/>
                <w:vertAlign w:val="subscript"/>
                <w:lang w:val="en-US" w:eastAsia="zh-CN" w:bidi="ar-SA"/>
              </w:rPr>
              <w:t>4</w:t>
            </w:r>
            <w:r>
              <w:rPr>
                <w:rFonts w:hint="eastAsia" w:ascii="Times New Roman" w:hAnsi="Times New Roman" w:eastAsia="宋体" w:cs="Times New Roman"/>
                <w:color w:val="auto"/>
                <w:kern w:val="2"/>
                <w:sz w:val="21"/>
                <w:szCs w:val="21"/>
                <w:highlight w:val="none"/>
                <w:vertAlign w:val="superscript"/>
                <w:lang w:val="en-US" w:eastAsia="zh-CN" w:bidi="ar-SA"/>
              </w:rPr>
              <w:t>3-</w:t>
            </w:r>
            <w:r>
              <w:rPr>
                <w:rFonts w:hint="eastAsia" w:ascii="Times New Roman" w:hAnsi="Times New Roman" w:eastAsia="宋体" w:cs="Times New Roman"/>
                <w:color w:val="auto"/>
                <w:kern w:val="2"/>
                <w:sz w:val="21"/>
                <w:szCs w:val="21"/>
                <w:highlight w:val="none"/>
                <w:lang w:val="en-US" w:eastAsia="zh-CN" w:bidi="ar-SA"/>
              </w:rPr>
              <w:t>、SO</w:t>
            </w:r>
            <w:r>
              <w:rPr>
                <w:rFonts w:hint="eastAsia" w:ascii="Times New Roman" w:hAnsi="Times New Roman" w:eastAsia="宋体" w:cs="Times New Roman"/>
                <w:color w:val="auto"/>
                <w:kern w:val="2"/>
                <w:sz w:val="21"/>
                <w:szCs w:val="21"/>
                <w:highlight w:val="none"/>
                <w:vertAlign w:val="subscript"/>
                <w:lang w:val="en-US" w:eastAsia="zh-CN" w:bidi="ar-SA"/>
              </w:rPr>
              <w:t>3</w:t>
            </w:r>
            <w:r>
              <w:rPr>
                <w:rFonts w:hint="eastAsia" w:ascii="Times New Roman" w:hAnsi="Times New Roman" w:eastAsia="宋体" w:cs="Times New Roman"/>
                <w:color w:val="auto"/>
                <w:kern w:val="2"/>
                <w:sz w:val="21"/>
                <w:szCs w:val="21"/>
                <w:highlight w:val="none"/>
                <w:vertAlign w:val="superscript"/>
                <w:lang w:val="en-US" w:eastAsia="zh-CN" w:bidi="ar-SA"/>
              </w:rPr>
              <w:t>2-</w:t>
            </w:r>
            <w:r>
              <w:rPr>
                <w:rFonts w:hint="eastAsia" w:ascii="Times New Roman" w:hAnsi="Times New Roman" w:eastAsia="宋体" w:cs="Times New Roman"/>
                <w:color w:val="auto"/>
                <w:kern w:val="2"/>
                <w:sz w:val="21"/>
                <w:szCs w:val="21"/>
                <w:highlight w:val="none"/>
                <w:lang w:val="en-US" w:eastAsia="zh-CN" w:bidi="ar-SA"/>
              </w:rPr>
              <w:t>、SO</w:t>
            </w:r>
            <w:r>
              <w:rPr>
                <w:rFonts w:hint="eastAsia" w:ascii="Times New Roman" w:hAnsi="Times New Roman" w:eastAsia="宋体" w:cs="Times New Roman"/>
                <w:color w:val="auto"/>
                <w:kern w:val="2"/>
                <w:sz w:val="21"/>
                <w:szCs w:val="21"/>
                <w:highlight w:val="none"/>
                <w:vertAlign w:val="subscript"/>
                <w:lang w:val="en-US" w:eastAsia="zh-CN" w:bidi="ar-SA"/>
              </w:rPr>
              <w:t>4</w:t>
            </w:r>
            <w:r>
              <w:rPr>
                <w:rFonts w:hint="eastAsia" w:ascii="Times New Roman" w:hAnsi="Times New Roman" w:eastAsia="宋体" w:cs="Times New Roman"/>
                <w:color w:val="auto"/>
                <w:kern w:val="2"/>
                <w:sz w:val="21"/>
                <w:szCs w:val="21"/>
                <w:highlight w:val="none"/>
                <w:vertAlign w:val="superscript"/>
                <w:lang w:val="en-US" w:eastAsia="zh-CN" w:bidi="ar-SA"/>
              </w:rPr>
              <w:t>2-</w:t>
            </w:r>
            <w:r>
              <w:rPr>
                <w:rFonts w:hint="eastAsia" w:ascii="Times New Roman" w:hAnsi="Times New Roman" w:eastAsia="宋体" w:cs="Times New Roman"/>
                <w:color w:val="auto"/>
                <w:kern w:val="2"/>
                <w:sz w:val="21"/>
                <w:szCs w:val="21"/>
                <w:highlight w:val="none"/>
                <w:lang w:val="en-US" w:eastAsia="zh-CN" w:bidi="ar-SA"/>
              </w:rPr>
              <w:t>）的测定 离子色谱法 HJ 84-2016</w:t>
            </w:r>
          </w:p>
        </w:tc>
      </w:tr>
      <w:tr w14:paraId="6D79D0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201F7E3E">
            <w:pPr>
              <w:pStyle w:val="30"/>
              <w:rPr>
                <w:color w:val="auto"/>
                <w:highlight w:val="none"/>
              </w:rPr>
            </w:pPr>
          </w:p>
        </w:tc>
        <w:tc>
          <w:tcPr>
            <w:tcW w:w="1044" w:type="pct"/>
            <w:vAlign w:val="center"/>
          </w:tcPr>
          <w:p w14:paraId="5A99E98D">
            <w:pPr>
              <w:jc w:val="center"/>
              <w:rPr>
                <w:color w:val="auto"/>
                <w:highlight w:val="none"/>
              </w:rPr>
            </w:pPr>
            <w:r>
              <w:rPr>
                <w:rFonts w:hint="eastAsia" w:eastAsia="宋体" w:cs="Times New Roman"/>
                <w:color w:val="auto"/>
                <w:kern w:val="2"/>
                <w:sz w:val="21"/>
                <w:szCs w:val="21"/>
                <w:highlight w:val="none"/>
                <w:lang w:val="en-US" w:eastAsia="zh-CN" w:bidi="ar-SA"/>
              </w:rPr>
              <w:t>亚硝酸根离子</w:t>
            </w:r>
          </w:p>
        </w:tc>
        <w:tc>
          <w:tcPr>
            <w:tcW w:w="3487" w:type="pct"/>
            <w:vMerge w:val="continue"/>
            <w:vAlign w:val="center"/>
          </w:tcPr>
          <w:p w14:paraId="66AA2745">
            <w:pPr>
              <w:pStyle w:val="30"/>
              <w:rPr>
                <w:color w:val="auto"/>
                <w:highlight w:val="none"/>
              </w:rPr>
            </w:pPr>
          </w:p>
        </w:tc>
      </w:tr>
      <w:tr w14:paraId="12CADE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68" w:type="pct"/>
            <w:vMerge w:val="continue"/>
            <w:vAlign w:val="center"/>
          </w:tcPr>
          <w:p w14:paraId="4C39CA78">
            <w:pPr>
              <w:pStyle w:val="30"/>
              <w:rPr>
                <w:color w:val="auto"/>
                <w:highlight w:val="none"/>
              </w:rPr>
            </w:pPr>
          </w:p>
        </w:tc>
        <w:tc>
          <w:tcPr>
            <w:tcW w:w="1044" w:type="pct"/>
            <w:vAlign w:val="center"/>
          </w:tcPr>
          <w:p w14:paraId="0A350A74">
            <w:pPr>
              <w:pStyle w:val="30"/>
              <w:rPr>
                <w:color w:val="auto"/>
                <w:highlight w:val="none"/>
              </w:rPr>
            </w:pPr>
            <w:r>
              <w:rPr>
                <w:color w:val="auto"/>
                <w:highlight w:val="none"/>
              </w:rPr>
              <w:t>总碱度</w:t>
            </w:r>
          </w:p>
        </w:tc>
        <w:tc>
          <w:tcPr>
            <w:tcW w:w="3487" w:type="pct"/>
            <w:vAlign w:val="center"/>
          </w:tcPr>
          <w:p w14:paraId="51F5CB82">
            <w:pPr>
              <w:pStyle w:val="30"/>
              <w:rPr>
                <w:color w:val="auto"/>
                <w:highlight w:val="none"/>
              </w:rPr>
            </w:pPr>
            <w:bookmarkStart w:id="1612" w:name="sys9479049"/>
            <w:r>
              <w:rPr>
                <w:color w:val="auto"/>
                <w:highlight w:val="none"/>
              </w:rPr>
              <w:t>酸碱指示剂滴定法《水和废水监测分析方法》（第四版）（国家环境保护总局）（2002）3.1.12.1</w:t>
            </w:r>
            <w:bookmarkEnd w:id="1612"/>
          </w:p>
        </w:tc>
      </w:tr>
      <w:tr w14:paraId="1EC0D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7EEA6830">
            <w:pPr>
              <w:pStyle w:val="30"/>
              <w:rPr>
                <w:color w:val="auto"/>
                <w:highlight w:val="none"/>
              </w:rPr>
            </w:pPr>
          </w:p>
        </w:tc>
        <w:tc>
          <w:tcPr>
            <w:tcW w:w="1044" w:type="pct"/>
            <w:vAlign w:val="center"/>
          </w:tcPr>
          <w:p w14:paraId="6AA355D4">
            <w:pPr>
              <w:pStyle w:val="30"/>
              <w:rPr>
                <w:color w:val="auto"/>
                <w:highlight w:val="none"/>
              </w:rPr>
            </w:pPr>
            <w:r>
              <w:rPr>
                <w:color w:val="auto"/>
                <w:highlight w:val="none"/>
              </w:rPr>
              <w:t>总硬度</w:t>
            </w:r>
          </w:p>
        </w:tc>
        <w:tc>
          <w:tcPr>
            <w:tcW w:w="3487" w:type="pct"/>
            <w:vAlign w:val="center"/>
          </w:tcPr>
          <w:p w14:paraId="07C75254">
            <w:pPr>
              <w:pStyle w:val="30"/>
              <w:rPr>
                <w:color w:val="auto"/>
                <w:highlight w:val="none"/>
              </w:rPr>
            </w:pPr>
            <w:r>
              <w:rPr>
                <w:color w:val="auto"/>
                <w:highlight w:val="none"/>
              </w:rPr>
              <w:t xml:space="preserve">水质 钙和镁总量的测定 EDTA滴定法 </w:t>
            </w:r>
            <w:r>
              <w:rPr>
                <w:rFonts w:hint="eastAsia"/>
                <w:color w:val="auto"/>
                <w:highlight w:val="none"/>
                <w:lang w:eastAsia="zh-CN"/>
              </w:rPr>
              <w:t>GB/T 7477-1987</w:t>
            </w:r>
          </w:p>
        </w:tc>
      </w:tr>
      <w:tr w14:paraId="06CD10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7C839DA1">
            <w:pPr>
              <w:pStyle w:val="30"/>
              <w:rPr>
                <w:color w:val="auto"/>
                <w:highlight w:val="none"/>
              </w:rPr>
            </w:pPr>
          </w:p>
        </w:tc>
        <w:tc>
          <w:tcPr>
            <w:tcW w:w="1044" w:type="pct"/>
            <w:vAlign w:val="center"/>
          </w:tcPr>
          <w:p w14:paraId="293D97A2">
            <w:pPr>
              <w:pStyle w:val="30"/>
              <w:rPr>
                <w:color w:val="auto"/>
                <w:highlight w:val="none"/>
              </w:rPr>
            </w:pPr>
            <w:r>
              <w:rPr>
                <w:color w:val="auto"/>
                <w:highlight w:val="none"/>
              </w:rPr>
              <w:t>钙</w:t>
            </w:r>
          </w:p>
        </w:tc>
        <w:tc>
          <w:tcPr>
            <w:tcW w:w="3487" w:type="pct"/>
            <w:vAlign w:val="center"/>
          </w:tcPr>
          <w:p w14:paraId="087D99F6">
            <w:pPr>
              <w:pStyle w:val="30"/>
              <w:rPr>
                <w:color w:val="auto"/>
                <w:highlight w:val="none"/>
              </w:rPr>
            </w:pPr>
            <w:bookmarkStart w:id="1613" w:name="sys9485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613"/>
          </w:p>
        </w:tc>
      </w:tr>
      <w:tr w14:paraId="068AFE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2B22508B">
            <w:pPr>
              <w:pStyle w:val="30"/>
              <w:rPr>
                <w:color w:val="auto"/>
                <w:highlight w:val="none"/>
              </w:rPr>
            </w:pPr>
          </w:p>
        </w:tc>
        <w:tc>
          <w:tcPr>
            <w:tcW w:w="1044" w:type="pct"/>
            <w:vAlign w:val="center"/>
          </w:tcPr>
          <w:p w14:paraId="14A50066">
            <w:pPr>
              <w:pStyle w:val="30"/>
              <w:rPr>
                <w:color w:val="auto"/>
                <w:highlight w:val="none"/>
              </w:rPr>
            </w:pPr>
            <w:r>
              <w:rPr>
                <w:color w:val="auto"/>
                <w:highlight w:val="none"/>
              </w:rPr>
              <w:t>镉</w:t>
            </w:r>
          </w:p>
        </w:tc>
        <w:tc>
          <w:tcPr>
            <w:tcW w:w="3487" w:type="pct"/>
            <w:vAlign w:val="center"/>
          </w:tcPr>
          <w:p w14:paraId="385CE22B">
            <w:pPr>
              <w:pStyle w:val="30"/>
              <w:rPr>
                <w:color w:val="auto"/>
                <w:highlight w:val="none"/>
              </w:rPr>
            </w:pPr>
            <w:bookmarkStart w:id="1614" w:name="sys9488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614"/>
          </w:p>
        </w:tc>
      </w:tr>
      <w:tr w14:paraId="4DB186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133CC203">
            <w:pPr>
              <w:pStyle w:val="30"/>
              <w:rPr>
                <w:color w:val="auto"/>
                <w:highlight w:val="none"/>
              </w:rPr>
            </w:pPr>
          </w:p>
        </w:tc>
        <w:tc>
          <w:tcPr>
            <w:tcW w:w="1044" w:type="pct"/>
            <w:vAlign w:val="center"/>
          </w:tcPr>
          <w:p w14:paraId="67467930">
            <w:pPr>
              <w:pStyle w:val="30"/>
              <w:rPr>
                <w:color w:val="auto"/>
                <w:highlight w:val="none"/>
              </w:rPr>
            </w:pPr>
            <w:r>
              <w:rPr>
                <w:color w:val="auto"/>
                <w:highlight w:val="none"/>
              </w:rPr>
              <w:t>汞</w:t>
            </w:r>
          </w:p>
        </w:tc>
        <w:tc>
          <w:tcPr>
            <w:tcW w:w="3487" w:type="pct"/>
            <w:vAlign w:val="center"/>
          </w:tcPr>
          <w:p w14:paraId="4B7B3B81">
            <w:pPr>
              <w:pStyle w:val="30"/>
              <w:rPr>
                <w:color w:val="auto"/>
                <w:highlight w:val="none"/>
              </w:rPr>
            </w:pPr>
            <w:bookmarkStart w:id="1615" w:name="sys9491033"/>
            <w:r>
              <w:rPr>
                <w:color w:val="auto"/>
                <w:highlight w:val="none"/>
              </w:rPr>
              <w:t>水质 汞、砷、硒、铋和锑的测定 原子荧光法 HJ 694-2014</w:t>
            </w:r>
            <w:bookmarkEnd w:id="1615"/>
          </w:p>
        </w:tc>
      </w:tr>
      <w:tr w14:paraId="23CCC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27C46A43">
            <w:pPr>
              <w:pStyle w:val="30"/>
              <w:rPr>
                <w:color w:val="auto"/>
                <w:highlight w:val="none"/>
              </w:rPr>
            </w:pPr>
          </w:p>
        </w:tc>
        <w:tc>
          <w:tcPr>
            <w:tcW w:w="1044" w:type="pct"/>
            <w:vAlign w:val="center"/>
          </w:tcPr>
          <w:p w14:paraId="7E293EB5">
            <w:pPr>
              <w:pStyle w:val="30"/>
              <w:rPr>
                <w:color w:val="auto"/>
                <w:highlight w:val="none"/>
              </w:rPr>
            </w:pPr>
            <w:r>
              <w:rPr>
                <w:color w:val="auto"/>
                <w:highlight w:val="none"/>
              </w:rPr>
              <w:t>钾</w:t>
            </w:r>
          </w:p>
        </w:tc>
        <w:tc>
          <w:tcPr>
            <w:tcW w:w="3487" w:type="pct"/>
            <w:vAlign w:val="center"/>
          </w:tcPr>
          <w:p w14:paraId="1B7F029F">
            <w:pPr>
              <w:pStyle w:val="30"/>
              <w:rPr>
                <w:color w:val="auto"/>
                <w:sz w:val="22"/>
                <w:highlight w:val="none"/>
              </w:rPr>
            </w:pPr>
            <w:bookmarkStart w:id="1616" w:name="sys9494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616"/>
          </w:p>
        </w:tc>
      </w:tr>
      <w:tr w14:paraId="15B5BF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619139DD">
            <w:pPr>
              <w:pStyle w:val="30"/>
              <w:rPr>
                <w:color w:val="auto"/>
                <w:highlight w:val="none"/>
              </w:rPr>
            </w:pPr>
          </w:p>
        </w:tc>
        <w:tc>
          <w:tcPr>
            <w:tcW w:w="1044" w:type="pct"/>
            <w:vAlign w:val="center"/>
          </w:tcPr>
          <w:p w14:paraId="35492EAA">
            <w:pPr>
              <w:pStyle w:val="30"/>
              <w:rPr>
                <w:color w:val="auto"/>
                <w:highlight w:val="none"/>
              </w:rPr>
            </w:pPr>
            <w:r>
              <w:rPr>
                <w:color w:val="auto"/>
                <w:highlight w:val="none"/>
              </w:rPr>
              <w:t>镁</w:t>
            </w:r>
          </w:p>
        </w:tc>
        <w:tc>
          <w:tcPr>
            <w:tcW w:w="3487" w:type="pct"/>
            <w:vAlign w:val="center"/>
          </w:tcPr>
          <w:p w14:paraId="72D9B480">
            <w:pPr>
              <w:pStyle w:val="30"/>
              <w:rPr>
                <w:color w:val="auto"/>
                <w:sz w:val="22"/>
                <w:highlight w:val="none"/>
              </w:rPr>
            </w:pPr>
            <w:bookmarkStart w:id="1617" w:name="sys9497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617"/>
          </w:p>
        </w:tc>
      </w:tr>
      <w:tr w14:paraId="4DDC1D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1FC05C36">
            <w:pPr>
              <w:pStyle w:val="30"/>
              <w:rPr>
                <w:color w:val="auto"/>
                <w:highlight w:val="none"/>
              </w:rPr>
            </w:pPr>
          </w:p>
        </w:tc>
        <w:tc>
          <w:tcPr>
            <w:tcW w:w="1044" w:type="pct"/>
            <w:vAlign w:val="center"/>
          </w:tcPr>
          <w:p w14:paraId="54D9E63F">
            <w:pPr>
              <w:pStyle w:val="30"/>
              <w:rPr>
                <w:color w:val="auto"/>
                <w:highlight w:val="none"/>
              </w:rPr>
            </w:pPr>
            <w:r>
              <w:rPr>
                <w:color w:val="auto"/>
                <w:highlight w:val="none"/>
              </w:rPr>
              <w:t>锰</w:t>
            </w:r>
          </w:p>
        </w:tc>
        <w:tc>
          <w:tcPr>
            <w:tcW w:w="3487" w:type="pct"/>
            <w:vAlign w:val="center"/>
          </w:tcPr>
          <w:p w14:paraId="0BD2AA01">
            <w:pPr>
              <w:pStyle w:val="30"/>
              <w:rPr>
                <w:color w:val="auto"/>
                <w:sz w:val="22"/>
                <w:highlight w:val="none"/>
              </w:rPr>
            </w:pPr>
            <w:bookmarkStart w:id="1618" w:name="sys9500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618"/>
          </w:p>
        </w:tc>
      </w:tr>
      <w:tr w14:paraId="7822D8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6381C2BB">
            <w:pPr>
              <w:pStyle w:val="30"/>
              <w:rPr>
                <w:color w:val="auto"/>
                <w:highlight w:val="none"/>
              </w:rPr>
            </w:pPr>
          </w:p>
        </w:tc>
        <w:tc>
          <w:tcPr>
            <w:tcW w:w="1044" w:type="pct"/>
            <w:vAlign w:val="center"/>
          </w:tcPr>
          <w:p w14:paraId="6FE1774C">
            <w:pPr>
              <w:pStyle w:val="30"/>
              <w:rPr>
                <w:color w:val="auto"/>
                <w:highlight w:val="none"/>
              </w:rPr>
            </w:pPr>
            <w:r>
              <w:rPr>
                <w:color w:val="auto"/>
                <w:highlight w:val="none"/>
              </w:rPr>
              <w:t>钠</w:t>
            </w:r>
          </w:p>
        </w:tc>
        <w:tc>
          <w:tcPr>
            <w:tcW w:w="3487" w:type="pct"/>
            <w:vAlign w:val="center"/>
          </w:tcPr>
          <w:p w14:paraId="6539892F">
            <w:pPr>
              <w:pStyle w:val="30"/>
              <w:rPr>
                <w:color w:val="auto"/>
                <w:sz w:val="22"/>
                <w:highlight w:val="none"/>
              </w:rPr>
            </w:pPr>
            <w:bookmarkStart w:id="1619" w:name="sys9503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619"/>
          </w:p>
        </w:tc>
      </w:tr>
      <w:tr w14:paraId="1876CB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1C4C835B">
            <w:pPr>
              <w:pStyle w:val="30"/>
              <w:rPr>
                <w:color w:val="auto"/>
                <w:highlight w:val="none"/>
              </w:rPr>
            </w:pPr>
          </w:p>
        </w:tc>
        <w:tc>
          <w:tcPr>
            <w:tcW w:w="1044" w:type="pct"/>
            <w:vAlign w:val="center"/>
          </w:tcPr>
          <w:p w14:paraId="0918C636">
            <w:pPr>
              <w:pStyle w:val="30"/>
              <w:rPr>
                <w:color w:val="auto"/>
                <w:highlight w:val="none"/>
              </w:rPr>
            </w:pPr>
            <w:r>
              <w:rPr>
                <w:color w:val="auto"/>
                <w:highlight w:val="none"/>
              </w:rPr>
              <w:t>铅</w:t>
            </w:r>
          </w:p>
        </w:tc>
        <w:tc>
          <w:tcPr>
            <w:tcW w:w="3487" w:type="pct"/>
            <w:vAlign w:val="center"/>
          </w:tcPr>
          <w:p w14:paraId="34168656">
            <w:pPr>
              <w:keepNext w:val="0"/>
              <w:keepLines w:val="0"/>
              <w:pageBreakBefore w:val="0"/>
              <w:widowControl/>
              <w:kinsoku/>
              <w:wordWrap/>
              <w:overflowPunct/>
              <w:topLinePunct w:val="0"/>
              <w:autoSpaceDE/>
              <w:autoSpaceDN/>
              <w:bidi w:val="0"/>
              <w:adjustRightInd/>
              <w:snapToGrid/>
              <w:spacing w:line="240" w:lineRule="auto"/>
              <w:jc w:val="center"/>
              <w:textAlignment w:val="baseline"/>
              <w:rPr>
                <w:color w:val="auto"/>
                <w:sz w:val="22"/>
                <w:highlight w:val="none"/>
              </w:rPr>
            </w:pPr>
            <w:bookmarkStart w:id="1620" w:name="sys9506037"/>
            <w:r>
              <w:rPr>
                <w:rFonts w:hint="eastAsia" w:ascii="Times New Roman" w:hAnsi="Times New Roman" w:cs="Times New Roman"/>
                <w:color w:val="auto"/>
                <w:szCs w:val="21"/>
                <w:highlight w:val="none"/>
                <w:lang w:val="en-US" w:eastAsia="zh-CN"/>
              </w:rPr>
              <w:t>水质 32种元素的测定 电感耦合等离子体发射光谱法 HJ 776-2015</w:t>
            </w:r>
            <w:bookmarkEnd w:id="1620"/>
          </w:p>
        </w:tc>
      </w:tr>
      <w:tr w14:paraId="5AB0BF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0BA00FAC">
            <w:pPr>
              <w:pStyle w:val="30"/>
              <w:rPr>
                <w:color w:val="auto"/>
                <w:highlight w:val="none"/>
              </w:rPr>
            </w:pPr>
          </w:p>
        </w:tc>
        <w:tc>
          <w:tcPr>
            <w:tcW w:w="1044" w:type="pct"/>
            <w:vAlign w:val="center"/>
          </w:tcPr>
          <w:p w14:paraId="3D9B57C8">
            <w:pPr>
              <w:pStyle w:val="30"/>
              <w:rPr>
                <w:color w:val="auto"/>
                <w:highlight w:val="none"/>
              </w:rPr>
            </w:pPr>
            <w:r>
              <w:rPr>
                <w:color w:val="auto"/>
                <w:highlight w:val="none"/>
              </w:rPr>
              <w:t>砷</w:t>
            </w:r>
          </w:p>
        </w:tc>
        <w:tc>
          <w:tcPr>
            <w:tcW w:w="3487" w:type="pct"/>
            <w:vAlign w:val="center"/>
          </w:tcPr>
          <w:p w14:paraId="262834A3">
            <w:pPr>
              <w:pStyle w:val="30"/>
              <w:rPr>
                <w:color w:val="auto"/>
                <w:sz w:val="22"/>
                <w:highlight w:val="none"/>
              </w:rPr>
            </w:pPr>
            <w:bookmarkStart w:id="1621" w:name="sys9509032"/>
            <w:r>
              <w:rPr>
                <w:rFonts w:hint="default" w:ascii="Times New Roman" w:hAnsi="Times New Roman" w:eastAsia="宋体" w:cs="Times New Roman"/>
                <w:color w:val="auto"/>
                <w:kern w:val="2"/>
                <w:sz w:val="21"/>
                <w:szCs w:val="21"/>
                <w:highlight w:val="none"/>
                <w:lang w:val="en-US" w:eastAsia="zh-CN" w:bidi="ar-SA"/>
              </w:rPr>
              <w:t>水质 汞、砷、硒、铋和锑的测定 原子荧光法HJ</w:t>
            </w:r>
            <w:r>
              <w:rPr>
                <w:rFonts w:hint="eastAsia"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694-2014</w:t>
            </w:r>
            <w:bookmarkEnd w:id="1621"/>
          </w:p>
        </w:tc>
      </w:tr>
      <w:tr w14:paraId="0AB5E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0B6AA4BC">
            <w:pPr>
              <w:pStyle w:val="30"/>
              <w:rPr>
                <w:color w:val="auto"/>
                <w:highlight w:val="none"/>
              </w:rPr>
            </w:pPr>
          </w:p>
        </w:tc>
        <w:tc>
          <w:tcPr>
            <w:tcW w:w="1044" w:type="pct"/>
            <w:vAlign w:val="center"/>
          </w:tcPr>
          <w:p w14:paraId="2FCCE5D6">
            <w:pPr>
              <w:pStyle w:val="30"/>
              <w:rPr>
                <w:color w:val="auto"/>
                <w:highlight w:val="none"/>
              </w:rPr>
            </w:pPr>
            <w:r>
              <w:rPr>
                <w:color w:val="auto"/>
                <w:highlight w:val="none"/>
              </w:rPr>
              <w:t>铁</w:t>
            </w:r>
          </w:p>
        </w:tc>
        <w:tc>
          <w:tcPr>
            <w:tcW w:w="3487" w:type="pct"/>
            <w:vAlign w:val="center"/>
          </w:tcPr>
          <w:p w14:paraId="630B4126">
            <w:pPr>
              <w:pStyle w:val="30"/>
              <w:rPr>
                <w:color w:val="auto"/>
                <w:sz w:val="22"/>
                <w:highlight w:val="none"/>
              </w:rPr>
            </w:pPr>
            <w:bookmarkStart w:id="1622" w:name="sys9512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622"/>
          </w:p>
        </w:tc>
      </w:tr>
      <w:tr w14:paraId="50618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63C1F720">
            <w:pPr>
              <w:pStyle w:val="30"/>
              <w:rPr>
                <w:color w:val="auto"/>
                <w:highlight w:val="none"/>
              </w:rPr>
            </w:pPr>
          </w:p>
        </w:tc>
        <w:tc>
          <w:tcPr>
            <w:tcW w:w="1044" w:type="pct"/>
            <w:vAlign w:val="center"/>
          </w:tcPr>
          <w:p w14:paraId="6F7C5342">
            <w:pPr>
              <w:pStyle w:val="30"/>
              <w:rPr>
                <w:color w:val="auto"/>
                <w:highlight w:val="none"/>
              </w:rPr>
            </w:pPr>
            <w:r>
              <w:rPr>
                <w:color w:val="auto"/>
                <w:highlight w:val="none"/>
              </w:rPr>
              <w:t>铜</w:t>
            </w:r>
          </w:p>
        </w:tc>
        <w:tc>
          <w:tcPr>
            <w:tcW w:w="3487" w:type="pct"/>
            <w:vAlign w:val="center"/>
          </w:tcPr>
          <w:p w14:paraId="0DB1C83F">
            <w:pPr>
              <w:pStyle w:val="30"/>
              <w:rPr>
                <w:color w:val="auto"/>
                <w:sz w:val="22"/>
                <w:highlight w:val="none"/>
              </w:rPr>
            </w:pPr>
            <w:bookmarkStart w:id="1623" w:name="sys9515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623"/>
          </w:p>
        </w:tc>
      </w:tr>
      <w:tr w14:paraId="3FB46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22AFC408">
            <w:pPr>
              <w:pStyle w:val="30"/>
              <w:rPr>
                <w:color w:val="auto"/>
                <w:highlight w:val="none"/>
              </w:rPr>
            </w:pPr>
          </w:p>
        </w:tc>
        <w:tc>
          <w:tcPr>
            <w:tcW w:w="1044" w:type="pct"/>
            <w:vAlign w:val="center"/>
          </w:tcPr>
          <w:p w14:paraId="5C545CDE">
            <w:pPr>
              <w:pStyle w:val="30"/>
              <w:rPr>
                <w:color w:val="auto"/>
                <w:highlight w:val="none"/>
              </w:rPr>
            </w:pPr>
            <w:r>
              <w:rPr>
                <w:color w:val="auto"/>
                <w:highlight w:val="none"/>
              </w:rPr>
              <w:t>锌</w:t>
            </w:r>
          </w:p>
        </w:tc>
        <w:tc>
          <w:tcPr>
            <w:tcW w:w="3487" w:type="pct"/>
            <w:vAlign w:val="center"/>
          </w:tcPr>
          <w:p w14:paraId="51AD78DD">
            <w:pPr>
              <w:pStyle w:val="30"/>
              <w:rPr>
                <w:color w:val="auto"/>
                <w:highlight w:val="none"/>
              </w:rPr>
            </w:pPr>
            <w:bookmarkStart w:id="1624" w:name="sys9518037"/>
            <w:r>
              <w:rPr>
                <w:color w:val="auto"/>
                <w:highlight w:val="none"/>
              </w:rPr>
              <w:t>水质 32种元素的测定 电感耦合等离子体发射光谱法</w:t>
            </w:r>
            <w:r>
              <w:rPr>
                <w:rFonts w:hint="eastAsia"/>
                <w:color w:val="auto"/>
                <w:highlight w:val="none"/>
                <w:lang w:val="en-US" w:eastAsia="zh-CN"/>
              </w:rPr>
              <w:t xml:space="preserve"> </w:t>
            </w:r>
            <w:r>
              <w:rPr>
                <w:color w:val="auto"/>
                <w:highlight w:val="none"/>
              </w:rPr>
              <w:t>HJ 776-2015</w:t>
            </w:r>
            <w:bookmarkEnd w:id="1624"/>
          </w:p>
        </w:tc>
      </w:tr>
      <w:tr w14:paraId="448B19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633DC628">
            <w:pPr>
              <w:pStyle w:val="30"/>
              <w:rPr>
                <w:color w:val="auto"/>
                <w:highlight w:val="none"/>
              </w:rPr>
            </w:pPr>
          </w:p>
        </w:tc>
        <w:tc>
          <w:tcPr>
            <w:tcW w:w="1044" w:type="pct"/>
            <w:vAlign w:val="center"/>
          </w:tcPr>
          <w:p w14:paraId="1F9D9610">
            <w:pPr>
              <w:pStyle w:val="30"/>
              <w:rPr>
                <w:color w:val="auto"/>
                <w:highlight w:val="none"/>
              </w:rPr>
            </w:pPr>
            <w:r>
              <w:rPr>
                <w:color w:val="auto"/>
                <w:highlight w:val="none"/>
              </w:rPr>
              <w:t>六价铬</w:t>
            </w:r>
          </w:p>
        </w:tc>
        <w:tc>
          <w:tcPr>
            <w:tcW w:w="3487" w:type="pct"/>
            <w:vAlign w:val="center"/>
          </w:tcPr>
          <w:p w14:paraId="6B81C08F">
            <w:pPr>
              <w:pStyle w:val="30"/>
              <w:rPr>
                <w:rFonts w:hint="default" w:eastAsia="宋体"/>
                <w:color w:val="auto"/>
                <w:highlight w:val="none"/>
                <w:lang w:val="en-US" w:eastAsia="zh-CN"/>
              </w:rPr>
            </w:pPr>
            <w:bookmarkStart w:id="1625" w:name="sys9521035"/>
            <w:r>
              <w:rPr>
                <w:rFonts w:hint="eastAsia" w:ascii="Times New Roman" w:hAnsi="Times New Roman" w:cs="Times New Roman"/>
                <w:color w:val="auto"/>
                <w:szCs w:val="21"/>
                <w:highlight w:val="none"/>
                <w:lang w:val="en-US" w:eastAsia="zh-CN"/>
              </w:rPr>
              <w:t>水质 六价铬的测定 二苯碳酰二肼分光光度法GB/T 7467-1987</w:t>
            </w:r>
            <w:bookmarkEnd w:id="1625"/>
          </w:p>
        </w:tc>
      </w:tr>
      <w:tr w14:paraId="2E0CAD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0D1E1DEB">
            <w:pPr>
              <w:pStyle w:val="30"/>
              <w:rPr>
                <w:color w:val="auto"/>
                <w:highlight w:val="none"/>
              </w:rPr>
            </w:pPr>
          </w:p>
        </w:tc>
        <w:tc>
          <w:tcPr>
            <w:tcW w:w="1044" w:type="pct"/>
            <w:vAlign w:val="center"/>
          </w:tcPr>
          <w:p w14:paraId="1D04014F">
            <w:pPr>
              <w:pStyle w:val="30"/>
              <w:rPr>
                <w:color w:val="auto"/>
                <w:highlight w:val="none"/>
              </w:rPr>
            </w:pPr>
            <w:r>
              <w:rPr>
                <w:rFonts w:hint="eastAsia"/>
                <w:color w:val="auto"/>
                <w:highlight w:val="none"/>
                <w:lang w:val="en-US" w:eastAsia="zh-CN"/>
              </w:rPr>
              <w:t>细菌</w:t>
            </w:r>
            <w:r>
              <w:rPr>
                <w:color w:val="auto"/>
                <w:highlight w:val="none"/>
              </w:rPr>
              <w:t>总数</w:t>
            </w:r>
          </w:p>
        </w:tc>
        <w:tc>
          <w:tcPr>
            <w:tcW w:w="3487" w:type="pct"/>
            <w:vAlign w:val="center"/>
          </w:tcPr>
          <w:p w14:paraId="257453E6">
            <w:pPr>
              <w:pStyle w:val="30"/>
              <w:rPr>
                <w:color w:val="auto"/>
                <w:highlight w:val="none"/>
              </w:rPr>
            </w:pPr>
            <w:r>
              <w:rPr>
                <w:rFonts w:hint="eastAsia" w:ascii="Times New Roman" w:hAnsi="Times New Roman" w:cs="Times New Roman"/>
                <w:b w:val="0"/>
                <w:bCs/>
                <w:color w:val="auto"/>
                <w:kern w:val="2"/>
                <w:sz w:val="21"/>
                <w:szCs w:val="21"/>
                <w:highlight w:val="none"/>
                <w:lang w:val="en-US" w:eastAsia="zh-CN" w:bidi="ar-SA"/>
              </w:rPr>
              <w:t>水质 细菌总数的测定 平皿计数法HJ 1000-2018</w:t>
            </w:r>
          </w:p>
        </w:tc>
      </w:tr>
      <w:tr w14:paraId="59D565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468" w:type="pct"/>
            <w:vMerge w:val="continue"/>
            <w:vAlign w:val="center"/>
          </w:tcPr>
          <w:p w14:paraId="6D824378">
            <w:pPr>
              <w:pStyle w:val="30"/>
              <w:rPr>
                <w:color w:val="auto"/>
                <w:highlight w:val="none"/>
              </w:rPr>
            </w:pPr>
          </w:p>
        </w:tc>
        <w:tc>
          <w:tcPr>
            <w:tcW w:w="1044" w:type="pct"/>
            <w:vAlign w:val="center"/>
          </w:tcPr>
          <w:p w14:paraId="3B7CBB6B">
            <w:pPr>
              <w:pStyle w:val="30"/>
              <w:rPr>
                <w:color w:val="auto"/>
                <w:highlight w:val="none"/>
              </w:rPr>
            </w:pPr>
            <w:r>
              <w:rPr>
                <w:color w:val="auto"/>
                <w:highlight w:val="none"/>
              </w:rPr>
              <w:t>总大肠菌群</w:t>
            </w:r>
          </w:p>
        </w:tc>
        <w:tc>
          <w:tcPr>
            <w:tcW w:w="3487" w:type="pct"/>
            <w:vAlign w:val="center"/>
          </w:tcPr>
          <w:p w14:paraId="5A3A8C00">
            <w:pPr>
              <w:pStyle w:val="30"/>
              <w:rPr>
                <w:color w:val="auto"/>
                <w:highlight w:val="none"/>
              </w:rPr>
            </w:pPr>
            <w:r>
              <w:rPr>
                <w:rFonts w:hint="default" w:ascii="Times New Roman" w:hAnsi="Times New Roman" w:eastAsia="宋体" w:cs="Times New Roman"/>
                <w:b w:val="0"/>
                <w:bCs/>
                <w:color w:val="auto"/>
                <w:kern w:val="2"/>
                <w:sz w:val="21"/>
                <w:szCs w:val="21"/>
                <w:highlight w:val="none"/>
                <w:lang w:val="en-US" w:eastAsia="zh-CN" w:bidi="ar-SA"/>
              </w:rPr>
              <w:t>《水和废水监测分析方法》（</w:t>
            </w:r>
            <w:r>
              <w:rPr>
                <w:rFonts w:hint="eastAsia" w:ascii="Times New Roman" w:hAnsi="Times New Roman" w:cs="Times New Roman"/>
                <w:b w:val="0"/>
                <w:bCs/>
                <w:color w:val="auto"/>
                <w:kern w:val="2"/>
                <w:sz w:val="21"/>
                <w:szCs w:val="21"/>
                <w:highlight w:val="none"/>
                <w:lang w:val="en-US" w:eastAsia="zh-CN" w:bidi="ar-SA"/>
              </w:rPr>
              <w:t>第四版增补版</w:t>
            </w:r>
            <w:r>
              <w:rPr>
                <w:rFonts w:hint="default" w:ascii="Times New Roman" w:hAnsi="Times New Roman" w:eastAsia="宋体" w:cs="Times New Roman"/>
                <w:b w:val="0"/>
                <w:bCs/>
                <w:color w:val="auto"/>
                <w:kern w:val="2"/>
                <w:sz w:val="21"/>
                <w:szCs w:val="21"/>
                <w:highlight w:val="none"/>
                <w:lang w:val="en-US" w:eastAsia="zh-CN" w:bidi="ar-SA"/>
              </w:rPr>
              <w:t>）国家环境保护总局（2002）5.2.5.1 多管发酵法</w:t>
            </w:r>
          </w:p>
        </w:tc>
      </w:tr>
      <w:tr w14:paraId="56B3AC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468" w:type="pct"/>
            <w:vMerge w:val="continue"/>
            <w:vAlign w:val="center"/>
          </w:tcPr>
          <w:p w14:paraId="762BC2FA">
            <w:pPr>
              <w:pStyle w:val="30"/>
              <w:rPr>
                <w:color w:val="auto"/>
                <w:highlight w:val="none"/>
              </w:rPr>
            </w:pPr>
          </w:p>
        </w:tc>
        <w:tc>
          <w:tcPr>
            <w:tcW w:w="1044" w:type="pct"/>
            <w:vAlign w:val="center"/>
          </w:tcPr>
          <w:p w14:paraId="5FF8B4D7">
            <w:pPr>
              <w:pStyle w:val="30"/>
              <w:rPr>
                <w:color w:val="auto"/>
                <w:highlight w:val="none"/>
              </w:rPr>
            </w:pPr>
            <w:r>
              <w:rPr>
                <w:color w:val="auto"/>
                <w:highlight w:val="none"/>
              </w:rPr>
              <w:t>硫酸根离子</w:t>
            </w:r>
          </w:p>
        </w:tc>
        <w:tc>
          <w:tcPr>
            <w:tcW w:w="3487" w:type="pct"/>
            <w:vAlign w:val="center"/>
          </w:tcPr>
          <w:p w14:paraId="35085E80">
            <w:pPr>
              <w:pStyle w:val="30"/>
              <w:rPr>
                <w:rFonts w:hint="eastAsia" w:eastAsia="宋体"/>
                <w:color w:val="auto"/>
                <w:highlight w:val="none"/>
                <w:lang w:eastAsia="zh-CN"/>
              </w:rPr>
            </w:pPr>
            <w:r>
              <w:rPr>
                <w:rFonts w:hint="eastAsia"/>
                <w:color w:val="auto"/>
                <w:highlight w:val="none"/>
                <w:lang w:eastAsia="zh-CN"/>
              </w:rPr>
              <w:t>《</w:t>
            </w:r>
            <w:r>
              <w:rPr>
                <w:color w:val="auto"/>
                <w:highlight w:val="none"/>
              </w:rPr>
              <w:t>水质</w:t>
            </w:r>
            <w:r>
              <w:rPr>
                <w:rFonts w:hint="eastAsia"/>
                <w:color w:val="auto"/>
                <w:highlight w:val="none"/>
                <w:lang w:val="en-US" w:eastAsia="zh-CN"/>
              </w:rPr>
              <w:t xml:space="preserve"> </w:t>
            </w:r>
            <w:r>
              <w:rPr>
                <w:color w:val="auto"/>
                <w:highlight w:val="none"/>
              </w:rPr>
              <w:t>无机阴离子（F</w:t>
            </w:r>
            <w:r>
              <w:rPr>
                <w:color w:val="auto"/>
                <w:highlight w:val="none"/>
                <w:vertAlign w:val="superscript"/>
              </w:rPr>
              <w:t>-</w:t>
            </w:r>
            <w:r>
              <w:rPr>
                <w:color w:val="auto"/>
                <w:highlight w:val="none"/>
              </w:rPr>
              <w:t>、Cl</w:t>
            </w:r>
            <w:r>
              <w:rPr>
                <w:color w:val="auto"/>
                <w:highlight w:val="none"/>
                <w:vertAlign w:val="superscript"/>
              </w:rPr>
              <w:noBreakHyphen/>
            </w:r>
            <w:r>
              <w:rPr>
                <w:color w:val="auto"/>
                <w:highlight w:val="none"/>
              </w:rPr>
              <w:t>、NO</w:t>
            </w:r>
            <w:r>
              <w:rPr>
                <w:color w:val="auto"/>
                <w:highlight w:val="none"/>
                <w:vertAlign w:val="superscript"/>
              </w:rPr>
              <w:t>2-</w:t>
            </w:r>
            <w:r>
              <w:rPr>
                <w:color w:val="auto"/>
                <w:highlight w:val="none"/>
              </w:rPr>
              <w:t>、Br</w:t>
            </w:r>
            <w:r>
              <w:rPr>
                <w:color w:val="auto"/>
                <w:highlight w:val="none"/>
                <w:vertAlign w:val="superscript"/>
              </w:rPr>
              <w:t>-</w:t>
            </w:r>
            <w:r>
              <w:rPr>
                <w:color w:val="auto"/>
                <w:highlight w:val="none"/>
              </w:rPr>
              <w:t>、NO</w:t>
            </w:r>
            <w:r>
              <w:rPr>
                <w:color w:val="auto"/>
                <w:highlight w:val="none"/>
                <w:vertAlign w:val="superscript"/>
              </w:rPr>
              <w:t>3-</w:t>
            </w:r>
            <w:r>
              <w:rPr>
                <w:color w:val="auto"/>
                <w:highlight w:val="none"/>
              </w:rPr>
              <w:t>、PO</w:t>
            </w:r>
            <w:r>
              <w:rPr>
                <w:color w:val="auto"/>
                <w:highlight w:val="none"/>
                <w:vertAlign w:val="subscript"/>
              </w:rPr>
              <w:t>4</w:t>
            </w:r>
            <w:r>
              <w:rPr>
                <w:color w:val="auto"/>
                <w:highlight w:val="none"/>
                <w:vertAlign w:val="superscript"/>
              </w:rPr>
              <w:t>3-</w:t>
            </w:r>
            <w:r>
              <w:rPr>
                <w:color w:val="auto"/>
                <w:highlight w:val="none"/>
              </w:rPr>
              <w:t>、SO</w:t>
            </w:r>
            <w:r>
              <w:rPr>
                <w:color w:val="auto"/>
                <w:highlight w:val="none"/>
                <w:vertAlign w:val="subscript"/>
              </w:rPr>
              <w:t>3</w:t>
            </w:r>
            <w:r>
              <w:rPr>
                <w:color w:val="auto"/>
                <w:highlight w:val="none"/>
                <w:vertAlign w:val="superscript"/>
              </w:rPr>
              <w:t>2-</w:t>
            </w:r>
            <w:r>
              <w:rPr>
                <w:color w:val="auto"/>
                <w:highlight w:val="none"/>
              </w:rPr>
              <w:t>、SO</w:t>
            </w:r>
            <w:r>
              <w:rPr>
                <w:color w:val="auto"/>
                <w:highlight w:val="none"/>
                <w:vertAlign w:val="subscript"/>
              </w:rPr>
              <w:t>4</w:t>
            </w:r>
            <w:r>
              <w:rPr>
                <w:color w:val="auto"/>
                <w:highlight w:val="none"/>
                <w:vertAlign w:val="superscript"/>
              </w:rPr>
              <w:t>2-</w:t>
            </w:r>
            <w:r>
              <w:rPr>
                <w:color w:val="auto"/>
                <w:highlight w:val="none"/>
              </w:rPr>
              <w:t>）的测定 离子色谱法</w:t>
            </w:r>
            <w:r>
              <w:rPr>
                <w:rFonts w:hint="eastAsia"/>
                <w:color w:val="auto"/>
                <w:highlight w:val="none"/>
                <w:lang w:eastAsia="zh-CN"/>
              </w:rPr>
              <w:t>》</w:t>
            </w:r>
          </w:p>
        </w:tc>
      </w:tr>
      <w:tr w14:paraId="22663A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1F697F79">
            <w:pPr>
              <w:pStyle w:val="30"/>
              <w:rPr>
                <w:color w:val="auto"/>
                <w:highlight w:val="none"/>
              </w:rPr>
            </w:pPr>
          </w:p>
        </w:tc>
        <w:tc>
          <w:tcPr>
            <w:tcW w:w="1044" w:type="pct"/>
            <w:vAlign w:val="center"/>
          </w:tcPr>
          <w:p w14:paraId="528D104B">
            <w:pPr>
              <w:pStyle w:val="30"/>
              <w:rPr>
                <w:color w:val="auto"/>
                <w:highlight w:val="none"/>
              </w:rPr>
            </w:pPr>
            <w:r>
              <w:rPr>
                <w:color w:val="auto"/>
                <w:highlight w:val="none"/>
              </w:rPr>
              <w:t>氯离子</w:t>
            </w:r>
          </w:p>
        </w:tc>
        <w:tc>
          <w:tcPr>
            <w:tcW w:w="3487" w:type="pct"/>
            <w:vAlign w:val="center"/>
          </w:tcPr>
          <w:p w14:paraId="78B9F001">
            <w:pPr>
              <w:pStyle w:val="30"/>
              <w:rPr>
                <w:color w:val="auto"/>
                <w:highlight w:val="none"/>
              </w:rPr>
            </w:pPr>
            <w:r>
              <w:rPr>
                <w:rFonts w:hint="eastAsia"/>
                <w:color w:val="auto"/>
                <w:highlight w:val="none"/>
                <w:lang w:eastAsia="zh-CN"/>
              </w:rPr>
              <w:t>《</w:t>
            </w:r>
            <w:r>
              <w:rPr>
                <w:color w:val="auto"/>
                <w:highlight w:val="none"/>
              </w:rPr>
              <w:t>水质</w:t>
            </w:r>
            <w:r>
              <w:rPr>
                <w:rFonts w:hint="eastAsia"/>
                <w:color w:val="auto"/>
                <w:highlight w:val="none"/>
                <w:lang w:val="en-US" w:eastAsia="zh-CN"/>
              </w:rPr>
              <w:t xml:space="preserve"> </w:t>
            </w:r>
            <w:r>
              <w:rPr>
                <w:color w:val="auto"/>
                <w:highlight w:val="none"/>
              </w:rPr>
              <w:t>无机阴离子（F</w:t>
            </w:r>
            <w:r>
              <w:rPr>
                <w:color w:val="auto"/>
                <w:highlight w:val="none"/>
                <w:vertAlign w:val="superscript"/>
              </w:rPr>
              <w:t>-</w:t>
            </w:r>
            <w:r>
              <w:rPr>
                <w:color w:val="auto"/>
                <w:highlight w:val="none"/>
              </w:rPr>
              <w:t>、Cl</w:t>
            </w:r>
            <w:r>
              <w:rPr>
                <w:color w:val="auto"/>
                <w:highlight w:val="none"/>
                <w:vertAlign w:val="superscript"/>
              </w:rPr>
              <w:noBreakHyphen/>
            </w:r>
            <w:r>
              <w:rPr>
                <w:color w:val="auto"/>
                <w:highlight w:val="none"/>
              </w:rPr>
              <w:t>、NO</w:t>
            </w:r>
            <w:r>
              <w:rPr>
                <w:color w:val="auto"/>
                <w:highlight w:val="none"/>
                <w:vertAlign w:val="superscript"/>
              </w:rPr>
              <w:t>2-</w:t>
            </w:r>
            <w:r>
              <w:rPr>
                <w:color w:val="auto"/>
                <w:highlight w:val="none"/>
              </w:rPr>
              <w:t>、Br</w:t>
            </w:r>
            <w:r>
              <w:rPr>
                <w:color w:val="auto"/>
                <w:highlight w:val="none"/>
                <w:vertAlign w:val="superscript"/>
              </w:rPr>
              <w:t>-</w:t>
            </w:r>
            <w:r>
              <w:rPr>
                <w:color w:val="auto"/>
                <w:highlight w:val="none"/>
              </w:rPr>
              <w:t>、NO</w:t>
            </w:r>
            <w:r>
              <w:rPr>
                <w:color w:val="auto"/>
                <w:highlight w:val="none"/>
                <w:vertAlign w:val="superscript"/>
              </w:rPr>
              <w:t>3-</w:t>
            </w:r>
            <w:r>
              <w:rPr>
                <w:color w:val="auto"/>
                <w:highlight w:val="none"/>
              </w:rPr>
              <w:t>、PO</w:t>
            </w:r>
            <w:r>
              <w:rPr>
                <w:color w:val="auto"/>
                <w:highlight w:val="none"/>
                <w:vertAlign w:val="subscript"/>
              </w:rPr>
              <w:t>4</w:t>
            </w:r>
            <w:r>
              <w:rPr>
                <w:color w:val="auto"/>
                <w:highlight w:val="none"/>
                <w:vertAlign w:val="superscript"/>
              </w:rPr>
              <w:t>3-</w:t>
            </w:r>
            <w:r>
              <w:rPr>
                <w:color w:val="auto"/>
                <w:highlight w:val="none"/>
              </w:rPr>
              <w:t>、SO</w:t>
            </w:r>
            <w:r>
              <w:rPr>
                <w:color w:val="auto"/>
                <w:highlight w:val="none"/>
                <w:vertAlign w:val="subscript"/>
              </w:rPr>
              <w:t>3</w:t>
            </w:r>
            <w:r>
              <w:rPr>
                <w:color w:val="auto"/>
                <w:highlight w:val="none"/>
                <w:vertAlign w:val="superscript"/>
              </w:rPr>
              <w:t>2-</w:t>
            </w:r>
            <w:r>
              <w:rPr>
                <w:color w:val="auto"/>
                <w:highlight w:val="none"/>
              </w:rPr>
              <w:t>、SO</w:t>
            </w:r>
            <w:r>
              <w:rPr>
                <w:color w:val="auto"/>
                <w:highlight w:val="none"/>
                <w:vertAlign w:val="subscript"/>
              </w:rPr>
              <w:t>4</w:t>
            </w:r>
            <w:r>
              <w:rPr>
                <w:color w:val="auto"/>
                <w:highlight w:val="none"/>
                <w:vertAlign w:val="superscript"/>
              </w:rPr>
              <w:t>2-</w:t>
            </w:r>
            <w:r>
              <w:rPr>
                <w:color w:val="auto"/>
                <w:highlight w:val="none"/>
              </w:rPr>
              <w:t>）的测定 离子色谱法</w:t>
            </w:r>
            <w:r>
              <w:rPr>
                <w:rFonts w:hint="eastAsia"/>
                <w:color w:val="auto"/>
                <w:highlight w:val="none"/>
                <w:lang w:eastAsia="zh-CN"/>
              </w:rPr>
              <w:t>》</w:t>
            </w:r>
          </w:p>
        </w:tc>
      </w:tr>
      <w:tr w14:paraId="76F257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0D7FEDFB">
            <w:pPr>
              <w:pStyle w:val="30"/>
              <w:rPr>
                <w:color w:val="auto"/>
                <w:highlight w:val="none"/>
              </w:rPr>
            </w:pPr>
          </w:p>
        </w:tc>
        <w:tc>
          <w:tcPr>
            <w:tcW w:w="1044" w:type="pct"/>
            <w:shd w:val="clear" w:color="auto" w:fill="auto"/>
            <w:vAlign w:val="center"/>
          </w:tcPr>
          <w:p w14:paraId="01C462CB">
            <w:pPr>
              <w:pStyle w:val="30"/>
              <w:rPr>
                <w:rFonts w:hint="eastAsia" w:ascii="Times New Roman" w:hAnsi="Times New Roman" w:eastAsia="宋体" w:cs="Times New Roman"/>
                <w:snapToGrid w:val="0"/>
                <w:color w:val="auto"/>
                <w:kern w:val="0"/>
                <w:sz w:val="21"/>
                <w:szCs w:val="21"/>
                <w:highlight w:val="none"/>
                <w:lang w:val="en-US" w:eastAsia="zh-CN" w:bidi="ar-SA"/>
              </w:rPr>
            </w:pPr>
            <w:r>
              <w:rPr>
                <w:color w:val="auto"/>
                <w:highlight w:val="none"/>
              </w:rPr>
              <w:t>溶解性固体</w:t>
            </w:r>
            <w:r>
              <w:rPr>
                <w:rFonts w:hint="eastAsia"/>
                <w:color w:val="auto"/>
                <w:highlight w:val="none"/>
                <w:lang w:val="en-US" w:eastAsia="zh-CN"/>
              </w:rPr>
              <w:t>总量</w:t>
            </w:r>
          </w:p>
        </w:tc>
        <w:tc>
          <w:tcPr>
            <w:tcW w:w="3487" w:type="pct"/>
            <w:shd w:val="clear" w:color="auto" w:fill="auto"/>
            <w:vAlign w:val="center"/>
          </w:tcPr>
          <w:p w14:paraId="46D4C638">
            <w:pPr>
              <w:pStyle w:val="30"/>
              <w:rPr>
                <w:rFonts w:hint="default" w:ascii="Times New Roman" w:hAnsi="Times New Roman" w:eastAsia="宋体" w:cs="Times New Roman"/>
                <w:snapToGrid w:val="0"/>
                <w:color w:val="auto"/>
                <w:kern w:val="0"/>
                <w:sz w:val="22"/>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地下水质分析方法</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t>第</w:t>
            </w:r>
            <w:r>
              <w:rPr>
                <w:rFonts w:hint="default" w:ascii="Times New Roman" w:hAnsi="Times New Roman" w:eastAsia="宋体" w:cs="Times New Roman"/>
                <w:i w:val="0"/>
                <w:iCs w:val="0"/>
                <w:color w:val="auto"/>
                <w:kern w:val="0"/>
                <w:sz w:val="21"/>
                <w:szCs w:val="21"/>
                <w:highlight w:val="none"/>
                <w:u w:val="none"/>
                <w:lang w:val="en-US" w:eastAsia="zh-CN" w:bidi="ar"/>
              </w:rPr>
              <w:t>9</w:t>
            </w:r>
            <w:r>
              <w:rPr>
                <w:rFonts w:hint="eastAsia" w:ascii="宋体" w:hAnsi="宋体" w:eastAsia="宋体" w:cs="宋体"/>
                <w:i w:val="0"/>
                <w:iCs w:val="0"/>
                <w:color w:val="auto"/>
                <w:kern w:val="0"/>
                <w:sz w:val="21"/>
                <w:szCs w:val="21"/>
                <w:highlight w:val="none"/>
                <w:u w:val="none"/>
                <w:lang w:val="en-US" w:eastAsia="zh-CN" w:bidi="ar"/>
              </w:rPr>
              <w:t>部分：溶解性固体总量的测定</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t>重量法</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DZ/T0064. 9-2021</w:t>
            </w:r>
          </w:p>
        </w:tc>
      </w:tr>
      <w:tr w14:paraId="70C8F6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344B7FFD">
            <w:pPr>
              <w:pStyle w:val="30"/>
              <w:rPr>
                <w:color w:val="auto"/>
                <w:highlight w:val="none"/>
              </w:rPr>
            </w:pPr>
          </w:p>
        </w:tc>
        <w:tc>
          <w:tcPr>
            <w:tcW w:w="1044" w:type="pct"/>
            <w:vAlign w:val="center"/>
          </w:tcPr>
          <w:p w14:paraId="0EECDD8B">
            <w:pPr>
              <w:keepNext w:val="0"/>
              <w:keepLines w:val="0"/>
              <w:pageBreakBefore w:val="0"/>
              <w:kinsoku/>
              <w:wordWrap/>
              <w:overflowPunct/>
              <w:topLinePunct w:val="0"/>
              <w:autoSpaceDE/>
              <w:autoSpaceDN/>
              <w:bidi w:val="0"/>
              <w:spacing w:line="300" w:lineRule="exact"/>
              <w:jc w:val="center"/>
              <w:rPr>
                <w:color w:val="auto"/>
                <w:highlight w:val="none"/>
              </w:rPr>
            </w:pPr>
            <w:r>
              <w:rPr>
                <w:rFonts w:hint="eastAsia" w:ascii="Times New Roman" w:hAnsi="Times New Roman" w:cs="Times New Roman"/>
                <w:b w:val="0"/>
                <w:bCs w:val="0"/>
                <w:color w:val="auto"/>
                <w:sz w:val="21"/>
                <w:szCs w:val="21"/>
                <w:highlight w:val="none"/>
                <w:lang w:val="en-US" w:eastAsia="zh-CN" w:bidi="ar-SA"/>
              </w:rPr>
              <w:t>碳酸盐碱度（以CaCO</w:t>
            </w:r>
            <w:r>
              <w:rPr>
                <w:rFonts w:hint="eastAsia" w:ascii="Times New Roman" w:hAnsi="Times New Roman" w:cs="Times New Roman"/>
                <w:b w:val="0"/>
                <w:bCs w:val="0"/>
                <w:color w:val="auto"/>
                <w:sz w:val="21"/>
                <w:szCs w:val="21"/>
                <w:highlight w:val="none"/>
                <w:vertAlign w:val="subscript"/>
                <w:lang w:val="en-US" w:eastAsia="zh-CN" w:bidi="ar-SA"/>
              </w:rPr>
              <w:t>3</w:t>
            </w:r>
            <w:r>
              <w:rPr>
                <w:rFonts w:hint="eastAsia" w:ascii="Times New Roman" w:hAnsi="Times New Roman" w:cs="Times New Roman"/>
                <w:b w:val="0"/>
                <w:bCs w:val="0"/>
                <w:color w:val="auto"/>
                <w:sz w:val="21"/>
                <w:szCs w:val="21"/>
                <w:highlight w:val="none"/>
                <w:vertAlign w:val="baseline"/>
                <w:lang w:val="en-US" w:eastAsia="zh-CN" w:bidi="ar-SA"/>
              </w:rPr>
              <w:t>计</w:t>
            </w:r>
            <w:r>
              <w:rPr>
                <w:rFonts w:hint="eastAsia" w:ascii="Times New Roman" w:hAnsi="Times New Roman" w:cs="Times New Roman"/>
                <w:b w:val="0"/>
                <w:bCs w:val="0"/>
                <w:color w:val="auto"/>
                <w:sz w:val="21"/>
                <w:szCs w:val="21"/>
                <w:highlight w:val="none"/>
                <w:lang w:val="en-US" w:eastAsia="zh-CN" w:bidi="ar-SA"/>
              </w:rPr>
              <w:t>）</w:t>
            </w:r>
          </w:p>
        </w:tc>
        <w:tc>
          <w:tcPr>
            <w:tcW w:w="3487" w:type="pct"/>
            <w:vMerge w:val="restart"/>
            <w:vAlign w:val="center"/>
          </w:tcPr>
          <w:p w14:paraId="3A78277B">
            <w:pPr>
              <w:keepNext w:val="0"/>
              <w:keepLines w:val="0"/>
              <w:pageBreakBefore w:val="0"/>
              <w:kinsoku/>
              <w:wordWrap/>
              <w:overflowPunct/>
              <w:topLinePunct w:val="0"/>
              <w:autoSpaceDE/>
              <w:autoSpaceDN/>
              <w:bidi w:val="0"/>
              <w:spacing w:line="300" w:lineRule="exact"/>
              <w:jc w:val="left"/>
              <w:rPr>
                <w:color w:val="auto"/>
                <w:highlight w:val="none"/>
              </w:rPr>
            </w:pPr>
            <w:bookmarkStart w:id="1626" w:name="sys9539048"/>
            <w:r>
              <w:rPr>
                <w:rFonts w:hint="default" w:ascii="Times New Roman" w:hAnsi="Times New Roman" w:cs="Times New Roman"/>
                <w:b w:val="0"/>
                <w:bCs w:val="0"/>
                <w:color w:val="auto"/>
                <w:sz w:val="21"/>
                <w:szCs w:val="21"/>
                <w:highlight w:val="none"/>
              </w:rPr>
              <w:t xml:space="preserve">《水和废水监测分析方法》 第四版（国家环保总局）（2002年）3.1.12.1酸碱指示剂滴定法 </w:t>
            </w:r>
            <w:bookmarkEnd w:id="1626"/>
          </w:p>
        </w:tc>
      </w:tr>
      <w:tr w14:paraId="5D3BB0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8" w:type="pct"/>
            <w:vMerge w:val="continue"/>
            <w:vAlign w:val="center"/>
          </w:tcPr>
          <w:p w14:paraId="4FBFA54E">
            <w:pPr>
              <w:pStyle w:val="30"/>
              <w:rPr>
                <w:color w:val="auto"/>
                <w:highlight w:val="none"/>
              </w:rPr>
            </w:pPr>
          </w:p>
        </w:tc>
        <w:tc>
          <w:tcPr>
            <w:tcW w:w="1044" w:type="pct"/>
            <w:vAlign w:val="center"/>
          </w:tcPr>
          <w:p w14:paraId="41D7DAC1">
            <w:pPr>
              <w:pStyle w:val="30"/>
              <w:rPr>
                <w:color w:val="auto"/>
                <w:highlight w:val="none"/>
              </w:rPr>
            </w:pPr>
            <w:r>
              <w:rPr>
                <w:rFonts w:hint="eastAsia" w:ascii="Times New Roman" w:hAnsi="Times New Roman" w:cs="Times New Roman"/>
                <w:b w:val="0"/>
                <w:bCs w:val="0"/>
                <w:color w:val="auto"/>
                <w:sz w:val="21"/>
                <w:szCs w:val="21"/>
                <w:highlight w:val="none"/>
                <w:lang w:val="en-US" w:eastAsia="zh-CN" w:bidi="ar-SA"/>
              </w:rPr>
              <w:t>重碳酸盐碱度（以CaCO</w:t>
            </w:r>
            <w:r>
              <w:rPr>
                <w:rFonts w:hint="eastAsia" w:ascii="Times New Roman" w:hAnsi="Times New Roman" w:cs="Times New Roman"/>
                <w:b w:val="0"/>
                <w:bCs w:val="0"/>
                <w:color w:val="auto"/>
                <w:sz w:val="21"/>
                <w:szCs w:val="21"/>
                <w:highlight w:val="none"/>
                <w:vertAlign w:val="subscript"/>
                <w:lang w:val="en-US" w:eastAsia="zh-CN" w:bidi="ar-SA"/>
              </w:rPr>
              <w:t>3</w:t>
            </w:r>
            <w:r>
              <w:rPr>
                <w:rFonts w:hint="eastAsia" w:ascii="Times New Roman" w:hAnsi="Times New Roman" w:cs="Times New Roman"/>
                <w:b w:val="0"/>
                <w:bCs w:val="0"/>
                <w:color w:val="auto"/>
                <w:sz w:val="21"/>
                <w:szCs w:val="21"/>
                <w:highlight w:val="none"/>
                <w:vertAlign w:val="baseline"/>
                <w:lang w:val="en-US" w:eastAsia="zh-CN" w:bidi="ar-SA"/>
              </w:rPr>
              <w:t>计</w:t>
            </w:r>
            <w:r>
              <w:rPr>
                <w:rFonts w:hint="eastAsia" w:ascii="Times New Roman" w:hAnsi="Times New Roman" w:cs="Times New Roman"/>
                <w:b w:val="0"/>
                <w:bCs w:val="0"/>
                <w:color w:val="auto"/>
                <w:sz w:val="21"/>
                <w:szCs w:val="21"/>
                <w:highlight w:val="none"/>
                <w:lang w:val="en-US" w:eastAsia="zh-CN" w:bidi="ar-SA"/>
              </w:rPr>
              <w:t>）</w:t>
            </w:r>
          </w:p>
        </w:tc>
        <w:tc>
          <w:tcPr>
            <w:tcW w:w="3487" w:type="pct"/>
            <w:vMerge w:val="continue"/>
            <w:vAlign w:val="center"/>
          </w:tcPr>
          <w:p w14:paraId="238CCA6D">
            <w:pPr>
              <w:pStyle w:val="30"/>
              <w:rPr>
                <w:rFonts w:hint="default" w:eastAsia="宋体"/>
                <w:color w:val="auto"/>
                <w:sz w:val="22"/>
                <w:highlight w:val="none"/>
                <w:lang w:val="en-US" w:eastAsia="zh-CN"/>
              </w:rPr>
            </w:pPr>
          </w:p>
        </w:tc>
      </w:tr>
    </w:tbl>
    <w:p w14:paraId="45B96C69">
      <w:pPr>
        <w:spacing w:before="35" w:line="220" w:lineRule="auto"/>
        <w:rPr>
          <w:rFonts w:hint="eastAsia" w:ascii="Times New Roman" w:hAnsi="Times New Roman" w:eastAsia="宋体" w:cs="Times New Roman"/>
          <w:b/>
          <w:bCs/>
          <w:color w:val="auto"/>
          <w:spacing w:val="-2"/>
          <w:sz w:val="24"/>
          <w:szCs w:val="24"/>
          <w:highlight w:val="none"/>
          <w:lang w:val="en-US" w:eastAsia="zh-CN"/>
        </w:rPr>
      </w:pPr>
      <w:r>
        <w:rPr>
          <w:color w:val="auto"/>
          <w:highlight w:val="none"/>
        </w:rPr>
        <w:fldChar w:fldCharType="begin"/>
      </w:r>
      <w:r>
        <w:rPr>
          <w:color w:val="auto"/>
          <w:highlight w:val="none"/>
        </w:rPr>
        <w:instrText xml:space="preserve"> HYPERLINK "6.3.4.1" </w:instrText>
      </w:r>
      <w:r>
        <w:rPr>
          <w:color w:val="auto"/>
          <w:highlight w:val="none"/>
        </w:rPr>
        <w:fldChar w:fldCharType="separate"/>
      </w:r>
      <w:r>
        <w:rPr>
          <w:rFonts w:ascii="Times New Roman" w:hAnsi="Times New Roman" w:eastAsia="Times New Roman" w:cs="Times New Roman"/>
          <w:b/>
          <w:bCs/>
          <w:color w:val="auto"/>
          <w:spacing w:val="-2"/>
          <w:sz w:val="24"/>
          <w:szCs w:val="24"/>
          <w:highlight w:val="none"/>
        </w:rPr>
        <w:t>6.3.4.</w:t>
      </w:r>
      <w:r>
        <w:rPr>
          <w:rFonts w:hint="eastAsia" w:ascii="Times New Roman" w:hAnsi="Times New Roman" w:eastAsia="宋体" w:cs="Times New Roman"/>
          <w:b/>
          <w:bCs/>
          <w:color w:val="auto"/>
          <w:spacing w:val="-2"/>
          <w:sz w:val="24"/>
          <w:szCs w:val="24"/>
          <w:highlight w:val="none"/>
          <w:lang w:val="en-US" w:eastAsia="zh-CN"/>
        </w:rPr>
        <w:t>2</w:t>
      </w:r>
      <w:r>
        <w:rPr>
          <w:rFonts w:ascii="Times New Roman" w:hAnsi="Times New Roman" w:eastAsia="Times New Roman" w:cs="Times New Roman"/>
          <w:b/>
          <w:bCs/>
          <w:color w:val="auto"/>
          <w:spacing w:val="-2"/>
          <w:sz w:val="24"/>
          <w:szCs w:val="24"/>
          <w:highlight w:val="none"/>
        </w:rPr>
        <w:fldChar w:fldCharType="end"/>
      </w:r>
      <w:r>
        <w:rPr>
          <w:rFonts w:hint="eastAsia" w:ascii="Times New Roman" w:hAnsi="Times New Roman" w:eastAsia="宋体" w:cs="Times New Roman"/>
          <w:b/>
          <w:bCs/>
          <w:color w:val="auto"/>
          <w:spacing w:val="-2"/>
          <w:sz w:val="24"/>
          <w:szCs w:val="24"/>
          <w:highlight w:val="none"/>
          <w:lang w:val="en-US" w:eastAsia="zh-CN"/>
        </w:rPr>
        <w:t>地下水环境质量现状评价</w:t>
      </w:r>
      <w:bookmarkStart w:id="1627" w:name="pindex9543"/>
      <w:bookmarkEnd w:id="1627"/>
    </w:p>
    <w:p w14:paraId="01A309EC">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（1）评价因子</w:t>
      </w:r>
      <w:bookmarkStart w:id="1628" w:name="pindex9544"/>
      <w:bookmarkEnd w:id="1628"/>
    </w:p>
    <w:p w14:paraId="67DC8A9F">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地下水水位</w:t>
      </w:r>
      <w:r>
        <w:rPr>
          <w:rFonts w:hint="default" w:ascii="Times New Roman" w:hAnsi="Times New Roman" w:eastAsia="宋体" w:cs="Times New Roman"/>
          <w:color w:val="auto"/>
          <w:sz w:val="24"/>
          <w:szCs w:val="24"/>
          <w:highlight w:val="none"/>
        </w:rPr>
        <w:t>（包括井口地面高程、井水埋深）</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水温</w:t>
      </w:r>
      <w:r>
        <w:rPr>
          <w:rFonts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rPr>
        <w:t>pH、氨氮、硝酸盐、亚硝酸盐、挥发酚、氰化物、砷、汞、六价铬、总硬度、铅、氟化物、镉、铁、锰、溶解性总固体、高锰酸盐指数、硫酸盐、氯化物、总大肠菌群、细菌总数</w:t>
      </w:r>
      <w:r>
        <w:rPr>
          <w:rFonts w:ascii="Times New Roman" w:hAnsi="Times New Roman" w:eastAsia="宋体" w:cs="Times New Roman"/>
          <w:color w:val="auto"/>
          <w:sz w:val="24"/>
          <w:szCs w:val="24"/>
          <w:highlight w:val="none"/>
        </w:rPr>
        <w:t>、K</w:t>
      </w:r>
      <w:r>
        <w:rPr>
          <w:rFonts w:ascii="Times New Roman" w:hAnsi="Times New Roman" w:eastAsia="宋体" w:cs="Times New Roman"/>
          <w:color w:val="auto"/>
          <w:sz w:val="24"/>
          <w:szCs w:val="24"/>
          <w:highlight w:val="none"/>
          <w:vertAlign w:val="superscript"/>
        </w:rPr>
        <w:t>+</w:t>
      </w:r>
      <w:r>
        <w:rPr>
          <w:rFonts w:ascii="Times New Roman" w:hAnsi="Times New Roman" w:eastAsia="宋体" w:cs="Times New Roman"/>
          <w:color w:val="auto"/>
          <w:sz w:val="24"/>
          <w:szCs w:val="24"/>
          <w:highlight w:val="none"/>
        </w:rPr>
        <w:t>、Na</w:t>
      </w:r>
      <w:r>
        <w:rPr>
          <w:rFonts w:ascii="Times New Roman" w:hAnsi="Times New Roman" w:eastAsia="宋体" w:cs="Times New Roman"/>
          <w:color w:val="auto"/>
          <w:sz w:val="24"/>
          <w:szCs w:val="24"/>
          <w:highlight w:val="none"/>
          <w:vertAlign w:val="superscript"/>
        </w:rPr>
        <w:t>+</w:t>
      </w:r>
      <w:r>
        <w:rPr>
          <w:rFonts w:ascii="Times New Roman" w:hAnsi="Times New Roman" w:eastAsia="宋体" w:cs="Times New Roman"/>
          <w:color w:val="auto"/>
          <w:sz w:val="24"/>
          <w:szCs w:val="24"/>
          <w:highlight w:val="none"/>
        </w:rPr>
        <w:t>、Ca</w:t>
      </w:r>
      <w:r>
        <w:rPr>
          <w:rFonts w:ascii="Times New Roman" w:hAnsi="Times New Roman" w:eastAsia="宋体" w:cs="Times New Roman"/>
          <w:color w:val="auto"/>
          <w:sz w:val="24"/>
          <w:szCs w:val="24"/>
          <w:highlight w:val="none"/>
          <w:vertAlign w:val="superscript"/>
        </w:rPr>
        <w:t>2+</w:t>
      </w:r>
      <w:r>
        <w:rPr>
          <w:rFonts w:ascii="Times New Roman" w:hAnsi="Times New Roman" w:eastAsia="宋体" w:cs="Times New Roman"/>
          <w:color w:val="auto"/>
          <w:sz w:val="24"/>
          <w:szCs w:val="24"/>
          <w:highlight w:val="none"/>
        </w:rPr>
        <w:t>、Mg</w:t>
      </w:r>
      <w:r>
        <w:rPr>
          <w:rFonts w:ascii="Times New Roman" w:hAnsi="Times New Roman" w:eastAsia="宋体" w:cs="Times New Roman"/>
          <w:color w:val="auto"/>
          <w:sz w:val="24"/>
          <w:szCs w:val="24"/>
          <w:highlight w:val="none"/>
          <w:vertAlign w:val="superscript"/>
        </w:rPr>
        <w:t>2+</w:t>
      </w:r>
      <w:r>
        <w:rPr>
          <w:rFonts w:ascii="Times New Roman" w:hAnsi="Times New Roman" w:eastAsia="宋体" w:cs="Times New Roman"/>
          <w:color w:val="auto"/>
          <w:sz w:val="24"/>
          <w:szCs w:val="24"/>
          <w:highlight w:val="none"/>
        </w:rPr>
        <w:t>、CO</w:t>
      </w:r>
      <w:r>
        <w:rPr>
          <w:rFonts w:ascii="Times New Roman" w:hAnsi="Times New Roman" w:eastAsia="宋体" w:cs="Times New Roman"/>
          <w:color w:val="auto"/>
          <w:sz w:val="24"/>
          <w:szCs w:val="24"/>
          <w:highlight w:val="none"/>
          <w:vertAlign w:val="subscript"/>
        </w:rPr>
        <w:t>3</w:t>
      </w:r>
      <w:r>
        <w:rPr>
          <w:rFonts w:ascii="Times New Roman" w:hAnsi="Times New Roman" w:eastAsia="宋体" w:cs="Times New Roman"/>
          <w:color w:val="auto"/>
          <w:sz w:val="24"/>
          <w:szCs w:val="24"/>
          <w:highlight w:val="none"/>
          <w:vertAlign w:val="superscript"/>
        </w:rPr>
        <w:t>2-</w:t>
      </w:r>
      <w:r>
        <w:rPr>
          <w:rFonts w:ascii="Times New Roman" w:hAnsi="Times New Roman" w:eastAsia="宋体" w:cs="Times New Roman"/>
          <w:color w:val="auto"/>
          <w:sz w:val="24"/>
          <w:szCs w:val="24"/>
          <w:highlight w:val="none"/>
        </w:rPr>
        <w:t>、HCO</w:t>
      </w:r>
      <w:r>
        <w:rPr>
          <w:rFonts w:ascii="Times New Roman" w:hAnsi="Times New Roman" w:eastAsia="宋体" w:cs="Times New Roman"/>
          <w:color w:val="auto"/>
          <w:sz w:val="24"/>
          <w:szCs w:val="24"/>
          <w:highlight w:val="none"/>
          <w:vertAlign w:val="subscript"/>
        </w:rPr>
        <w:t>3</w:t>
      </w:r>
      <w:r>
        <w:rPr>
          <w:rFonts w:ascii="Times New Roman" w:hAnsi="Times New Roman" w:eastAsia="宋体" w:cs="Times New Roman"/>
          <w:color w:val="auto"/>
          <w:sz w:val="24"/>
          <w:szCs w:val="24"/>
          <w:highlight w:val="none"/>
          <w:vertAlign w:val="superscript"/>
        </w:rPr>
        <w:t>-</w:t>
      </w:r>
      <w:r>
        <w:rPr>
          <w:rFonts w:ascii="Times New Roman" w:hAnsi="Times New Roman" w:eastAsia="宋体" w:cs="Times New Roman"/>
          <w:color w:val="auto"/>
          <w:sz w:val="24"/>
          <w:szCs w:val="24"/>
          <w:highlight w:val="none"/>
        </w:rPr>
        <w:t>、Cl</w:t>
      </w:r>
      <w:r>
        <w:rPr>
          <w:rFonts w:ascii="Times New Roman" w:hAnsi="Times New Roman" w:eastAsia="宋体" w:cs="Times New Roman"/>
          <w:color w:val="auto"/>
          <w:sz w:val="24"/>
          <w:szCs w:val="24"/>
          <w:highlight w:val="none"/>
          <w:vertAlign w:val="superscript"/>
        </w:rPr>
        <w:t>-</w:t>
      </w:r>
      <w:r>
        <w:rPr>
          <w:rFonts w:ascii="Times New Roman" w:hAnsi="Times New Roman" w:eastAsia="宋体" w:cs="Times New Roman"/>
          <w:color w:val="auto"/>
          <w:sz w:val="24"/>
          <w:szCs w:val="24"/>
          <w:highlight w:val="none"/>
        </w:rPr>
        <w:t>、SO</w:t>
      </w:r>
      <w:r>
        <w:rPr>
          <w:rFonts w:ascii="Times New Roman" w:hAnsi="Times New Roman" w:eastAsia="宋体" w:cs="Times New Roman"/>
          <w:color w:val="auto"/>
          <w:sz w:val="24"/>
          <w:szCs w:val="24"/>
          <w:highlight w:val="none"/>
          <w:vertAlign w:val="subscript"/>
        </w:rPr>
        <w:t>4</w:t>
      </w:r>
      <w:r>
        <w:rPr>
          <w:rFonts w:ascii="Times New Roman" w:hAnsi="Times New Roman" w:eastAsia="宋体" w:cs="Times New Roman"/>
          <w:color w:val="auto"/>
          <w:sz w:val="24"/>
          <w:szCs w:val="24"/>
          <w:highlight w:val="none"/>
          <w:vertAlign w:val="superscript"/>
        </w:rPr>
        <w:t>2-</w:t>
      </w:r>
      <w:r>
        <w:rPr>
          <w:rFonts w:ascii="Times New Roman" w:hAnsi="Times New Roman" w:eastAsia="宋体" w:cs="Times New Roman"/>
          <w:color w:val="auto"/>
          <w:sz w:val="24"/>
          <w:szCs w:val="24"/>
          <w:highlight w:val="none"/>
        </w:rPr>
        <w:t>。</w:t>
      </w:r>
    </w:p>
    <w:p w14:paraId="7CD31A08">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（2）评价标准</w:t>
      </w:r>
      <w:bookmarkStart w:id="1629" w:name="pindex9546"/>
      <w:bookmarkEnd w:id="1629"/>
    </w:p>
    <w:p w14:paraId="1FFB6485">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地下水环境现状评价标准详见《地下水质量标准》（GB/T 14848-2017）。</w:t>
      </w:r>
    </w:p>
    <w:p w14:paraId="1A1288D1">
      <w:pPr>
        <w:spacing w:line="500" w:lineRule="exact"/>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（3）评价结果</w:t>
      </w:r>
      <w:bookmarkStart w:id="1630" w:name="pindex9548"/>
      <w:bookmarkEnd w:id="1630"/>
    </w:p>
    <w:p w14:paraId="207A5C3F">
      <w:pPr>
        <w:keepNext w:val="0"/>
        <w:keepLines w:val="0"/>
        <w:pageBreakBefore w:val="0"/>
        <w:widowControl/>
        <w:kinsoku/>
        <w:wordWrap/>
        <w:overflowPunct/>
        <w:topLinePunct w:val="0"/>
        <w:autoSpaceDE w:val="0"/>
        <w:autoSpaceDN w:val="0"/>
        <w:bidi w:val="0"/>
        <w:adjustRightInd w:val="0"/>
        <w:snapToGrid w:val="0"/>
        <w:spacing w:line="500" w:lineRule="exact"/>
        <w:ind w:firstLine="480" w:firstLineChars="200"/>
        <w:textAlignment w:val="baseline"/>
        <w:rPr>
          <w:rFonts w:ascii="Times New Roman" w:hAnsi="Times New Roman" w:eastAsia="宋体" w:cs="Times New Roman"/>
          <w:color w:val="auto"/>
          <w:sz w:val="24"/>
          <w:szCs w:val="24"/>
          <w:highlight w:val="none"/>
        </w:rPr>
      </w:pPr>
    </w:p>
    <w:p w14:paraId="7A3DC798">
      <w:pPr>
        <w:spacing w:line="220" w:lineRule="auto"/>
        <w:rPr>
          <w:rFonts w:ascii="宋体" w:hAnsi="宋体" w:eastAsia="宋体" w:cs="宋体"/>
          <w:color w:val="auto"/>
          <w:sz w:val="24"/>
          <w:szCs w:val="24"/>
          <w:highlight w:val="none"/>
        </w:rPr>
        <w:sectPr>
          <w:headerReference r:id="rId24" w:type="default"/>
          <w:footerReference r:id="rId25" w:type="default"/>
          <w:pgSz w:w="11907" w:h="16839"/>
          <w:pgMar w:top="1175" w:right="1774" w:bottom="1622" w:left="1774" w:header="862" w:footer="1445" w:gutter="0"/>
          <w:pgBorders>
            <w:top w:val="none" w:sz="0" w:space="0"/>
            <w:left w:val="none" w:sz="0" w:space="0"/>
            <w:bottom w:val="none" w:sz="0" w:space="0"/>
            <w:right w:val="none" w:sz="0" w:space="0"/>
          </w:pgBorders>
          <w:pgNumType w:fmt="decimal"/>
          <w:cols w:space="720" w:num="1"/>
        </w:sectPr>
      </w:pPr>
    </w:p>
    <w:p w14:paraId="7BE2407A">
      <w:pPr>
        <w:keepNext w:val="0"/>
        <w:keepLines w:val="0"/>
        <w:pageBreakBefore w:val="0"/>
        <w:widowControl/>
        <w:kinsoku w:val="0"/>
        <w:wordWrap/>
        <w:overflowPunct/>
        <w:topLinePunct w:val="0"/>
        <w:autoSpaceDE w:val="0"/>
        <w:autoSpaceDN w:val="0"/>
        <w:bidi w:val="0"/>
        <w:adjustRightInd w:val="0"/>
        <w:snapToGrid w:val="0"/>
        <w:spacing w:before="78" w:line="240" w:lineRule="auto"/>
        <w:ind w:left="3685"/>
        <w:textAlignment w:val="baseline"/>
        <w:rPr>
          <w:color w:val="auto"/>
          <w:highlight w:val="yellow"/>
        </w:rPr>
      </w:pPr>
      <w:r>
        <w:rPr>
          <w:rFonts w:ascii="宋体" w:hAnsi="宋体" w:eastAsia="宋体" w:cs="宋体"/>
          <w:b/>
          <w:bCs/>
          <w:color w:val="auto"/>
          <w:spacing w:val="-2"/>
          <w:sz w:val="24"/>
          <w:szCs w:val="24"/>
        </w:rPr>
        <w:t>表</w:t>
      </w:r>
      <w:r>
        <w:rPr>
          <w:rFonts w:ascii="Times New Roman" w:hAnsi="Times New Roman" w:eastAsia="Times New Roman" w:cs="Times New Roman"/>
          <w:b/>
          <w:bCs/>
          <w:color w:val="auto"/>
          <w:spacing w:val="-2"/>
          <w:sz w:val="24"/>
          <w:szCs w:val="24"/>
        </w:rPr>
        <w:t>6.</w:t>
      </w:r>
      <w:r>
        <w:rPr>
          <w:rFonts w:hint="eastAsia" w:ascii="Times New Roman" w:hAnsi="Times New Roman" w:eastAsia="宋体" w:cs="Times New Roman"/>
          <w:b/>
          <w:bCs/>
          <w:color w:val="auto"/>
          <w:spacing w:val="-2"/>
          <w:sz w:val="24"/>
          <w:szCs w:val="24"/>
          <w:lang w:val="en-US" w:eastAsia="zh-CN"/>
        </w:rPr>
        <w:t>3</w:t>
      </w:r>
      <w:r>
        <w:rPr>
          <w:rFonts w:ascii="Times New Roman" w:hAnsi="Times New Roman" w:eastAsia="Times New Roman"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 xml:space="preserve">21  </w:t>
      </w:r>
      <w:r>
        <w:rPr>
          <w:rFonts w:ascii="宋体" w:hAnsi="宋体" w:eastAsia="宋体" w:cs="宋体"/>
          <w:b/>
          <w:bCs/>
          <w:color w:val="auto"/>
          <w:spacing w:val="-2"/>
          <w:sz w:val="24"/>
          <w:szCs w:val="24"/>
        </w:rPr>
        <w:t>地下水水质监测结果表单位：</w:t>
      </w:r>
      <w:r>
        <w:rPr>
          <w:rFonts w:ascii="Times New Roman" w:hAnsi="Times New Roman" w:eastAsia="Times New Roman" w:cs="Times New Roman"/>
          <w:b/>
          <w:bCs/>
          <w:color w:val="auto"/>
          <w:spacing w:val="-2"/>
          <w:sz w:val="24"/>
          <w:szCs w:val="24"/>
        </w:rPr>
        <w:t>mg/L</w:t>
      </w:r>
      <w:r>
        <w:rPr>
          <w:rFonts w:ascii="宋体" w:hAnsi="宋体" w:eastAsia="宋体" w:cs="宋体"/>
          <w:b/>
          <w:bCs/>
          <w:color w:val="auto"/>
          <w:spacing w:val="-2"/>
          <w:sz w:val="24"/>
          <w:szCs w:val="24"/>
        </w:rPr>
        <w:t>（</w:t>
      </w:r>
      <w:r>
        <w:rPr>
          <w:rFonts w:ascii="Times New Roman" w:hAnsi="Times New Roman" w:eastAsia="Times New Roman" w:cs="Times New Roman"/>
          <w:b/>
          <w:bCs/>
          <w:color w:val="auto"/>
          <w:spacing w:val="-2"/>
          <w:sz w:val="24"/>
          <w:szCs w:val="24"/>
        </w:rPr>
        <w:t>pH</w:t>
      </w:r>
      <w:r>
        <w:rPr>
          <w:rFonts w:ascii="宋体" w:hAnsi="宋体" w:eastAsia="宋体" w:cs="宋体"/>
          <w:b/>
          <w:bCs/>
          <w:color w:val="auto"/>
          <w:spacing w:val="-2"/>
          <w:sz w:val="24"/>
          <w:szCs w:val="24"/>
        </w:rPr>
        <w:t>除外）</w:t>
      </w:r>
      <w:bookmarkStart w:id="1631" w:name="pindex9551"/>
      <w:bookmarkEnd w:id="1631"/>
    </w:p>
    <w:tbl>
      <w:tblPr>
        <w:tblStyle w:val="26"/>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184"/>
        <w:gridCol w:w="868"/>
        <w:gridCol w:w="869"/>
        <w:gridCol w:w="869"/>
        <w:gridCol w:w="869"/>
        <w:gridCol w:w="872"/>
        <w:gridCol w:w="872"/>
        <w:gridCol w:w="872"/>
        <w:gridCol w:w="869"/>
        <w:gridCol w:w="872"/>
        <w:gridCol w:w="897"/>
        <w:gridCol w:w="1377"/>
        <w:gridCol w:w="673"/>
        <w:gridCol w:w="673"/>
        <w:gridCol w:w="695"/>
        <w:gridCol w:w="681"/>
      </w:tblGrid>
      <w:tr w14:paraId="7C26F4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8" w:hRule="atLeast"/>
        </w:trPr>
        <w:tc>
          <w:tcPr>
            <w:tcW w:w="422" w:type="pct"/>
            <w:vMerge w:val="restart"/>
            <w:tcBorders>
              <w:tl2br w:val="nil"/>
              <w:tr2bl w:val="nil"/>
            </w:tcBorders>
            <w:vAlign w:val="center"/>
          </w:tcPr>
          <w:p w14:paraId="1C88599E">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检测项目</w:t>
            </w:r>
          </w:p>
        </w:tc>
        <w:tc>
          <w:tcPr>
            <w:tcW w:w="3114" w:type="pct"/>
            <w:gridSpan w:val="10"/>
            <w:tcBorders>
              <w:tl2br w:val="nil"/>
              <w:tr2bl w:val="nil"/>
            </w:tcBorders>
            <w:vAlign w:val="center"/>
          </w:tcPr>
          <w:p w14:paraId="1B2DD165">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结果（2024.8.11）</w:t>
            </w:r>
          </w:p>
        </w:tc>
        <w:tc>
          <w:tcPr>
            <w:tcW w:w="491" w:type="pct"/>
            <w:tcBorders>
              <w:tl2br w:val="nil"/>
              <w:tr2bl w:val="nil"/>
            </w:tcBorders>
            <w:vAlign w:val="center"/>
          </w:tcPr>
          <w:p w14:paraId="71BAD885">
            <w:pPr>
              <w:bidi w:val="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结果</w:t>
            </w:r>
          </w:p>
          <w:p w14:paraId="3F953027">
            <w:pPr>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（2023.12.25）</w:t>
            </w:r>
          </w:p>
        </w:tc>
        <w:tc>
          <w:tcPr>
            <w:tcW w:w="971" w:type="pct"/>
            <w:gridSpan w:val="4"/>
            <w:tcBorders>
              <w:tl2br w:val="nil"/>
              <w:tr2bl w:val="nil"/>
            </w:tcBorders>
            <w:vAlign w:val="center"/>
          </w:tcPr>
          <w:p w14:paraId="52A39A6A">
            <w:pPr>
              <w:bidi w:val="0"/>
              <w:jc w:val="center"/>
              <w:rPr>
                <w:rFonts w:hint="default" w:ascii="Times New Roman" w:hAnsi="Times New Roman" w:eastAsia="宋体" w:cs="Times New Roman"/>
                <w:b/>
                <w:bCs/>
                <w:color w:val="auto"/>
                <w:sz w:val="21"/>
                <w:szCs w:val="21"/>
                <w:highlight w:val="yellow"/>
                <w:lang w:val="en-US" w:eastAsia="zh-CN"/>
              </w:rPr>
            </w:pPr>
            <w:r>
              <w:rPr>
                <w:rFonts w:hint="default" w:ascii="Times New Roman" w:hAnsi="Times New Roman" w:eastAsia="宋体" w:cs="Times New Roman"/>
                <w:b/>
                <w:bCs/>
                <w:color w:val="auto"/>
                <w:sz w:val="21"/>
                <w:szCs w:val="21"/>
                <w:highlight w:val="none"/>
                <w:lang w:val="en-US" w:eastAsia="zh-CN"/>
              </w:rPr>
              <w:t>标准限值</w:t>
            </w:r>
          </w:p>
        </w:tc>
      </w:tr>
      <w:tr w14:paraId="6C6FD3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422" w:type="pct"/>
            <w:vMerge w:val="continue"/>
            <w:tcBorders>
              <w:tl2br w:val="nil"/>
              <w:tr2bl w:val="nil"/>
            </w:tcBorders>
            <w:vAlign w:val="center"/>
          </w:tcPr>
          <w:p w14:paraId="2E02B4B2">
            <w:pPr>
              <w:bidi w:val="0"/>
              <w:jc w:val="center"/>
              <w:rPr>
                <w:rFonts w:hint="default" w:ascii="Times New Roman" w:hAnsi="Times New Roman" w:eastAsia="宋体" w:cs="Times New Roman"/>
                <w:b/>
                <w:bCs/>
                <w:color w:val="auto"/>
                <w:sz w:val="21"/>
                <w:szCs w:val="21"/>
              </w:rPr>
            </w:pPr>
            <w:bookmarkStart w:id="1632" w:name="OLE_LINK559" w:colFirst="1" w:colLast="11"/>
          </w:p>
        </w:tc>
        <w:tc>
          <w:tcPr>
            <w:tcW w:w="310" w:type="pct"/>
            <w:tcBorders>
              <w:tl2br w:val="nil"/>
              <w:tr2bl w:val="nil"/>
            </w:tcBorders>
            <w:shd w:val="clear" w:color="auto" w:fill="auto"/>
            <w:vAlign w:val="center"/>
          </w:tcPr>
          <w:p w14:paraId="7A5B50FA">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DW01</w:t>
            </w:r>
          </w:p>
        </w:tc>
        <w:tc>
          <w:tcPr>
            <w:tcW w:w="310" w:type="pct"/>
            <w:tcBorders>
              <w:tl2br w:val="nil"/>
              <w:tr2bl w:val="nil"/>
            </w:tcBorders>
            <w:shd w:val="clear" w:color="auto" w:fill="auto"/>
            <w:vAlign w:val="center"/>
          </w:tcPr>
          <w:p w14:paraId="22083656">
            <w:pPr>
              <w:bidi w:val="0"/>
              <w:jc w:val="center"/>
              <w:rPr>
                <w:rFonts w:hint="default" w:ascii="Times New Roman" w:hAnsi="Times New Roman" w:eastAsia="宋体" w:cs="Times New Roman"/>
                <w:b/>
                <w:bCs/>
                <w:color w:val="auto"/>
                <w:sz w:val="21"/>
                <w:szCs w:val="21"/>
                <w:lang w:val="en-US" w:eastAsia="zh-CN"/>
              </w:rPr>
            </w:pPr>
            <w:bookmarkStart w:id="1633" w:name="OLE_LINK555"/>
            <w:r>
              <w:rPr>
                <w:rFonts w:hint="default" w:ascii="Times New Roman" w:hAnsi="Times New Roman" w:eastAsia="宋体" w:cs="Times New Roman"/>
                <w:b/>
                <w:bCs/>
                <w:color w:val="auto"/>
                <w:sz w:val="21"/>
                <w:szCs w:val="21"/>
                <w:lang w:val="en-US" w:eastAsia="zh-CN"/>
              </w:rPr>
              <w:t>DW02</w:t>
            </w:r>
            <w:bookmarkEnd w:id="1633"/>
          </w:p>
        </w:tc>
        <w:tc>
          <w:tcPr>
            <w:tcW w:w="310" w:type="pct"/>
            <w:tcBorders>
              <w:tl2br w:val="nil"/>
              <w:tr2bl w:val="nil"/>
            </w:tcBorders>
            <w:shd w:val="clear" w:color="auto" w:fill="auto"/>
            <w:vAlign w:val="center"/>
          </w:tcPr>
          <w:p w14:paraId="6C880409">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DW04</w:t>
            </w:r>
          </w:p>
        </w:tc>
        <w:tc>
          <w:tcPr>
            <w:tcW w:w="310" w:type="pct"/>
            <w:tcBorders>
              <w:tl2br w:val="nil"/>
              <w:tr2bl w:val="nil"/>
            </w:tcBorders>
            <w:shd w:val="clear" w:color="auto" w:fill="auto"/>
            <w:vAlign w:val="center"/>
          </w:tcPr>
          <w:p w14:paraId="4064E1DA">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DW05</w:t>
            </w:r>
          </w:p>
        </w:tc>
        <w:tc>
          <w:tcPr>
            <w:tcW w:w="311" w:type="pct"/>
            <w:tcBorders>
              <w:tl2br w:val="nil"/>
              <w:tr2bl w:val="nil"/>
            </w:tcBorders>
            <w:shd w:val="clear" w:color="auto" w:fill="auto"/>
            <w:vAlign w:val="center"/>
          </w:tcPr>
          <w:p w14:paraId="3835D20D">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DW06</w:t>
            </w:r>
          </w:p>
        </w:tc>
        <w:tc>
          <w:tcPr>
            <w:tcW w:w="311" w:type="pct"/>
            <w:tcBorders>
              <w:tl2br w:val="nil"/>
              <w:tr2bl w:val="nil"/>
            </w:tcBorders>
            <w:shd w:val="clear" w:color="auto" w:fill="auto"/>
            <w:vAlign w:val="center"/>
          </w:tcPr>
          <w:p w14:paraId="777BCDAB">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DW07</w:t>
            </w:r>
          </w:p>
        </w:tc>
        <w:tc>
          <w:tcPr>
            <w:tcW w:w="311" w:type="pct"/>
            <w:tcBorders>
              <w:tl2br w:val="nil"/>
              <w:tr2bl w:val="nil"/>
            </w:tcBorders>
            <w:shd w:val="clear" w:color="auto" w:fill="auto"/>
            <w:vAlign w:val="center"/>
          </w:tcPr>
          <w:p w14:paraId="54621FBB">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DW08</w:t>
            </w:r>
          </w:p>
        </w:tc>
        <w:tc>
          <w:tcPr>
            <w:tcW w:w="310" w:type="pct"/>
            <w:tcBorders>
              <w:tl2br w:val="nil"/>
              <w:tr2bl w:val="nil"/>
            </w:tcBorders>
            <w:shd w:val="clear" w:color="auto" w:fill="auto"/>
            <w:vAlign w:val="center"/>
          </w:tcPr>
          <w:p w14:paraId="0E1EF0BB">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DW09</w:t>
            </w:r>
          </w:p>
        </w:tc>
        <w:tc>
          <w:tcPr>
            <w:tcW w:w="311" w:type="pct"/>
            <w:tcBorders>
              <w:tl2br w:val="nil"/>
              <w:tr2bl w:val="nil"/>
            </w:tcBorders>
            <w:shd w:val="clear" w:color="auto" w:fill="auto"/>
            <w:vAlign w:val="center"/>
          </w:tcPr>
          <w:p w14:paraId="0104336F">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DW10</w:t>
            </w:r>
          </w:p>
        </w:tc>
        <w:tc>
          <w:tcPr>
            <w:tcW w:w="316" w:type="pct"/>
            <w:tcBorders>
              <w:tl2br w:val="nil"/>
              <w:tr2bl w:val="nil"/>
            </w:tcBorders>
            <w:shd w:val="clear" w:color="auto" w:fill="auto"/>
            <w:vAlign w:val="center"/>
          </w:tcPr>
          <w:p w14:paraId="0661E93E">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DW11</w:t>
            </w:r>
          </w:p>
        </w:tc>
        <w:tc>
          <w:tcPr>
            <w:tcW w:w="491" w:type="pct"/>
            <w:tcBorders>
              <w:tl2br w:val="nil"/>
              <w:tr2bl w:val="nil"/>
            </w:tcBorders>
            <w:shd w:val="clear" w:color="auto" w:fill="auto"/>
            <w:vAlign w:val="center"/>
          </w:tcPr>
          <w:p w14:paraId="76D218BC">
            <w:pPr>
              <w:bidi w:val="0"/>
              <w:jc w:val="center"/>
              <w:rPr>
                <w:rFonts w:ascii="Times New Roman" w:hAnsi="Times New Roman" w:eastAsia="宋体" w:cs="Times New Roman"/>
                <w:color w:val="auto"/>
                <w:kern w:val="0"/>
                <w:sz w:val="22"/>
                <w:szCs w:val="24"/>
                <w:lang w:val="zh-CN"/>
              </w:rPr>
            </w:pPr>
            <w:r>
              <w:rPr>
                <w:rFonts w:hint="default" w:ascii="Times New Roman" w:hAnsi="Times New Roman" w:eastAsia="宋体" w:cs="Times New Roman"/>
                <w:b/>
                <w:bCs/>
                <w:color w:val="auto"/>
                <w:sz w:val="21"/>
                <w:szCs w:val="21"/>
                <w:lang w:val="en-US" w:eastAsia="zh-CN"/>
              </w:rPr>
              <w:t>DW0</w:t>
            </w:r>
            <w:r>
              <w:rPr>
                <w:rFonts w:hint="eastAsia" w:ascii="Times New Roman" w:hAnsi="Times New Roman" w:eastAsia="宋体" w:cs="Times New Roman"/>
                <w:b/>
                <w:bCs/>
                <w:color w:val="auto"/>
                <w:sz w:val="21"/>
                <w:szCs w:val="21"/>
                <w:lang w:val="en-US" w:eastAsia="zh-CN"/>
              </w:rPr>
              <w:t>3</w:t>
            </w:r>
          </w:p>
        </w:tc>
        <w:tc>
          <w:tcPr>
            <w:tcW w:w="240" w:type="pct"/>
            <w:tcBorders>
              <w:tl2br w:val="nil"/>
              <w:tr2bl w:val="nil"/>
            </w:tcBorders>
            <w:shd w:val="clear" w:color="auto" w:fill="auto"/>
            <w:vAlign w:val="center"/>
          </w:tcPr>
          <w:p w14:paraId="71A29126">
            <w:pPr>
              <w:bidi w:val="0"/>
              <w:jc w:val="center"/>
              <w:rPr>
                <w:rFonts w:hint="default" w:ascii="Times New Roman" w:hAnsi="Times New Roman" w:eastAsia="宋体" w:cs="Times New Roman"/>
                <w:b/>
                <w:bCs/>
                <w:color w:val="auto"/>
                <w:sz w:val="21"/>
                <w:szCs w:val="21"/>
                <w:lang w:val="en-US" w:eastAsia="zh-CN"/>
              </w:rPr>
            </w:pPr>
            <w:r>
              <w:rPr>
                <w:rFonts w:ascii="Times New Roman" w:hAnsi="Times New Roman" w:eastAsia="宋体" w:cs="Times New Roman"/>
                <w:color w:val="auto"/>
                <w:kern w:val="0"/>
                <w:sz w:val="22"/>
                <w:szCs w:val="24"/>
                <w:lang w:val="zh-CN"/>
              </w:rPr>
              <w:t>Ⅰ类</w:t>
            </w:r>
          </w:p>
        </w:tc>
        <w:tc>
          <w:tcPr>
            <w:tcW w:w="240" w:type="pct"/>
            <w:tcBorders>
              <w:tl2br w:val="nil"/>
              <w:tr2bl w:val="nil"/>
            </w:tcBorders>
            <w:shd w:val="clear" w:color="auto" w:fill="auto"/>
            <w:vAlign w:val="center"/>
          </w:tcPr>
          <w:p w14:paraId="45A86805">
            <w:pPr>
              <w:bidi w:val="0"/>
              <w:jc w:val="center"/>
              <w:rPr>
                <w:rFonts w:hint="default" w:ascii="Times New Roman" w:hAnsi="Times New Roman" w:eastAsia="宋体" w:cs="Times New Roman"/>
                <w:b/>
                <w:bCs/>
                <w:color w:val="auto"/>
                <w:sz w:val="21"/>
                <w:szCs w:val="21"/>
                <w:lang w:val="en-US" w:eastAsia="zh-CN"/>
              </w:rPr>
            </w:pPr>
            <w:r>
              <w:rPr>
                <w:rFonts w:ascii="Times New Roman" w:hAnsi="Times New Roman" w:eastAsia="宋体" w:cs="Times New Roman"/>
                <w:color w:val="auto"/>
                <w:kern w:val="0"/>
                <w:sz w:val="22"/>
                <w:szCs w:val="24"/>
                <w:lang w:val="zh-CN"/>
              </w:rPr>
              <w:t>Ⅱ类</w:t>
            </w:r>
          </w:p>
        </w:tc>
        <w:tc>
          <w:tcPr>
            <w:tcW w:w="247" w:type="pct"/>
            <w:tcBorders>
              <w:tl2br w:val="nil"/>
              <w:tr2bl w:val="nil"/>
            </w:tcBorders>
            <w:shd w:val="clear" w:color="auto" w:fill="auto"/>
            <w:vAlign w:val="center"/>
          </w:tcPr>
          <w:p w14:paraId="7F0CD641">
            <w:pPr>
              <w:bidi w:val="0"/>
              <w:jc w:val="center"/>
              <w:rPr>
                <w:rFonts w:hint="default" w:ascii="Times New Roman" w:hAnsi="Times New Roman" w:eastAsia="宋体" w:cs="Times New Roman"/>
                <w:b/>
                <w:bCs/>
                <w:color w:val="auto"/>
                <w:sz w:val="21"/>
                <w:szCs w:val="21"/>
                <w:lang w:val="en-US" w:eastAsia="zh-CN"/>
              </w:rPr>
            </w:pPr>
            <w:r>
              <w:rPr>
                <w:rFonts w:ascii="Times New Roman" w:hAnsi="Times New Roman" w:eastAsia="宋体" w:cs="Times New Roman"/>
                <w:color w:val="auto"/>
                <w:kern w:val="0"/>
                <w:sz w:val="22"/>
                <w:szCs w:val="24"/>
                <w:lang w:val="zh-CN"/>
              </w:rPr>
              <w:t>Ⅲ类</w:t>
            </w:r>
          </w:p>
        </w:tc>
        <w:tc>
          <w:tcPr>
            <w:tcW w:w="243" w:type="pct"/>
            <w:tcBorders>
              <w:tl2br w:val="nil"/>
              <w:tr2bl w:val="nil"/>
            </w:tcBorders>
            <w:shd w:val="clear" w:color="auto" w:fill="auto"/>
            <w:vAlign w:val="center"/>
          </w:tcPr>
          <w:p w14:paraId="6E91C82D">
            <w:pPr>
              <w:bidi w:val="0"/>
              <w:jc w:val="center"/>
              <w:rPr>
                <w:rFonts w:hint="default" w:ascii="Times New Roman" w:hAnsi="Times New Roman" w:eastAsia="宋体" w:cs="Times New Roman"/>
                <w:b/>
                <w:bCs/>
                <w:color w:val="auto"/>
                <w:sz w:val="21"/>
                <w:szCs w:val="21"/>
                <w:lang w:val="en-US" w:eastAsia="zh-CN"/>
              </w:rPr>
            </w:pPr>
            <w:r>
              <w:rPr>
                <w:rFonts w:ascii="Times New Roman" w:hAnsi="Times New Roman" w:eastAsia="宋体" w:cs="Times New Roman"/>
                <w:color w:val="auto"/>
                <w:kern w:val="0"/>
                <w:sz w:val="22"/>
                <w:szCs w:val="24"/>
                <w:lang w:val="zh-CN"/>
              </w:rPr>
              <w:t>Ⅳ类</w:t>
            </w:r>
          </w:p>
        </w:tc>
      </w:tr>
      <w:bookmarkEnd w:id="1632"/>
      <w:tr w14:paraId="4F1463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27799E0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钾</w:t>
            </w:r>
          </w:p>
        </w:tc>
        <w:tc>
          <w:tcPr>
            <w:tcW w:w="310" w:type="pct"/>
            <w:tcBorders>
              <w:tl2br w:val="nil"/>
              <w:tr2bl w:val="nil"/>
            </w:tcBorders>
            <w:vAlign w:val="center"/>
          </w:tcPr>
          <w:p w14:paraId="63E736E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39.9</w:t>
            </w:r>
          </w:p>
        </w:tc>
        <w:tc>
          <w:tcPr>
            <w:tcW w:w="310" w:type="pct"/>
            <w:tcBorders>
              <w:tl2br w:val="nil"/>
              <w:tr2bl w:val="nil"/>
            </w:tcBorders>
            <w:vAlign w:val="center"/>
          </w:tcPr>
          <w:p w14:paraId="3CF9D9B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40.7</w:t>
            </w:r>
          </w:p>
        </w:tc>
        <w:tc>
          <w:tcPr>
            <w:tcW w:w="310" w:type="pct"/>
            <w:tcBorders>
              <w:tl2br w:val="nil"/>
              <w:tr2bl w:val="nil"/>
            </w:tcBorders>
            <w:vAlign w:val="center"/>
          </w:tcPr>
          <w:p w14:paraId="68FED0A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w:t>
            </w:r>
          </w:p>
        </w:tc>
        <w:tc>
          <w:tcPr>
            <w:tcW w:w="310" w:type="pct"/>
            <w:tcBorders>
              <w:tl2br w:val="nil"/>
              <w:tr2bl w:val="nil"/>
            </w:tcBorders>
            <w:vAlign w:val="center"/>
          </w:tcPr>
          <w:p w14:paraId="12E6A8A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39.6</w:t>
            </w:r>
          </w:p>
        </w:tc>
        <w:tc>
          <w:tcPr>
            <w:tcW w:w="311" w:type="pct"/>
            <w:tcBorders>
              <w:tl2br w:val="nil"/>
              <w:tr2bl w:val="nil"/>
            </w:tcBorders>
            <w:vAlign w:val="center"/>
          </w:tcPr>
          <w:p w14:paraId="6A57C4D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40.4</w:t>
            </w:r>
          </w:p>
        </w:tc>
        <w:tc>
          <w:tcPr>
            <w:tcW w:w="311" w:type="pct"/>
            <w:tcBorders>
              <w:tl2br w:val="nil"/>
              <w:tr2bl w:val="nil"/>
            </w:tcBorders>
            <w:vAlign w:val="center"/>
          </w:tcPr>
          <w:p w14:paraId="6B60AB0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39.9</w:t>
            </w:r>
          </w:p>
        </w:tc>
        <w:tc>
          <w:tcPr>
            <w:tcW w:w="311" w:type="pct"/>
            <w:tcBorders>
              <w:tl2br w:val="nil"/>
              <w:tr2bl w:val="nil"/>
            </w:tcBorders>
            <w:vAlign w:val="center"/>
          </w:tcPr>
          <w:p w14:paraId="0001A0E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40.3</w:t>
            </w:r>
          </w:p>
        </w:tc>
        <w:tc>
          <w:tcPr>
            <w:tcW w:w="310" w:type="pct"/>
            <w:tcBorders>
              <w:tl2br w:val="nil"/>
              <w:tr2bl w:val="nil"/>
            </w:tcBorders>
            <w:vAlign w:val="center"/>
          </w:tcPr>
          <w:p w14:paraId="5D9AD7F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40.2</w:t>
            </w:r>
          </w:p>
        </w:tc>
        <w:tc>
          <w:tcPr>
            <w:tcW w:w="311" w:type="pct"/>
            <w:tcBorders>
              <w:tl2br w:val="nil"/>
              <w:tr2bl w:val="nil"/>
            </w:tcBorders>
            <w:vAlign w:val="center"/>
          </w:tcPr>
          <w:p w14:paraId="6E9755D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41.2</w:t>
            </w:r>
          </w:p>
        </w:tc>
        <w:tc>
          <w:tcPr>
            <w:tcW w:w="316" w:type="pct"/>
            <w:tcBorders>
              <w:tl2br w:val="nil"/>
              <w:tr2bl w:val="nil"/>
            </w:tcBorders>
            <w:vAlign w:val="center"/>
          </w:tcPr>
          <w:p w14:paraId="2D080E5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40.5</w:t>
            </w:r>
          </w:p>
        </w:tc>
        <w:tc>
          <w:tcPr>
            <w:tcW w:w="491" w:type="pct"/>
            <w:tcBorders>
              <w:tl2br w:val="nil"/>
              <w:tr2bl w:val="nil"/>
            </w:tcBorders>
            <w:vAlign w:val="center"/>
          </w:tcPr>
          <w:p w14:paraId="709AE99B">
            <w:pPr>
              <w:bidi w:val="0"/>
              <w:jc w:val="center"/>
              <w:rPr>
                <w:rFonts w:hint="default" w:ascii="Times New Roman" w:hAnsi="Times New Roman" w:eastAsia="宋体" w:cs="Times New Roman"/>
                <w:color w:val="auto"/>
                <w:sz w:val="21"/>
                <w:szCs w:val="21"/>
                <w:lang w:val="en-US" w:eastAsia="zh-CN"/>
              </w:rPr>
            </w:pPr>
            <w:bookmarkStart w:id="1634" w:name="OLE_LINK560"/>
            <w:r>
              <w:rPr>
                <w:rFonts w:hint="eastAsia" w:ascii="Times New Roman" w:hAnsi="Times New Roman" w:eastAsia="宋体" w:cs="Times New Roman"/>
                <w:color w:val="auto"/>
                <w:sz w:val="21"/>
                <w:szCs w:val="21"/>
                <w:lang w:val="en-US" w:eastAsia="zh-CN"/>
              </w:rPr>
              <w:t>2.22</w:t>
            </w:r>
            <w:bookmarkEnd w:id="1634"/>
          </w:p>
        </w:tc>
        <w:tc>
          <w:tcPr>
            <w:tcW w:w="240" w:type="pct"/>
            <w:tcBorders>
              <w:tl2br w:val="nil"/>
              <w:tr2bl w:val="nil"/>
            </w:tcBorders>
            <w:vAlign w:val="center"/>
          </w:tcPr>
          <w:p w14:paraId="1A18C77F">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240" w:type="pct"/>
            <w:tcBorders>
              <w:tl2br w:val="nil"/>
              <w:tr2bl w:val="nil"/>
            </w:tcBorders>
            <w:vAlign w:val="center"/>
          </w:tcPr>
          <w:p w14:paraId="0BA92026">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247" w:type="pct"/>
            <w:tcBorders>
              <w:tl2br w:val="nil"/>
              <w:tr2bl w:val="nil"/>
            </w:tcBorders>
            <w:vAlign w:val="center"/>
          </w:tcPr>
          <w:p w14:paraId="30016331">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243" w:type="pct"/>
            <w:tcBorders>
              <w:tl2br w:val="nil"/>
              <w:tr2bl w:val="nil"/>
            </w:tcBorders>
            <w:vAlign w:val="center"/>
          </w:tcPr>
          <w:p w14:paraId="5A8767DA">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58E2C8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7" w:hRule="atLeast"/>
        </w:trPr>
        <w:tc>
          <w:tcPr>
            <w:tcW w:w="422" w:type="pct"/>
            <w:tcBorders>
              <w:tl2br w:val="nil"/>
              <w:tr2bl w:val="nil"/>
            </w:tcBorders>
            <w:vAlign w:val="center"/>
          </w:tcPr>
          <w:p w14:paraId="2A29D91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钠</w:t>
            </w:r>
          </w:p>
        </w:tc>
        <w:tc>
          <w:tcPr>
            <w:tcW w:w="310" w:type="pct"/>
            <w:tcBorders>
              <w:tl2br w:val="nil"/>
              <w:tr2bl w:val="nil"/>
            </w:tcBorders>
            <w:vAlign w:val="center"/>
          </w:tcPr>
          <w:p w14:paraId="432CB5D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64.8</w:t>
            </w:r>
          </w:p>
        </w:tc>
        <w:tc>
          <w:tcPr>
            <w:tcW w:w="310" w:type="pct"/>
            <w:tcBorders>
              <w:tl2br w:val="nil"/>
              <w:tr2bl w:val="nil"/>
            </w:tcBorders>
            <w:vAlign w:val="center"/>
          </w:tcPr>
          <w:p w14:paraId="763D061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65.9</w:t>
            </w:r>
          </w:p>
        </w:tc>
        <w:tc>
          <w:tcPr>
            <w:tcW w:w="310" w:type="pct"/>
            <w:tcBorders>
              <w:tl2br w:val="nil"/>
              <w:tr2bl w:val="nil"/>
            </w:tcBorders>
            <w:vAlign w:val="center"/>
          </w:tcPr>
          <w:p w14:paraId="25A5669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65.4</w:t>
            </w:r>
          </w:p>
        </w:tc>
        <w:tc>
          <w:tcPr>
            <w:tcW w:w="310" w:type="pct"/>
            <w:tcBorders>
              <w:tl2br w:val="nil"/>
              <w:tr2bl w:val="nil"/>
            </w:tcBorders>
            <w:vAlign w:val="center"/>
          </w:tcPr>
          <w:p w14:paraId="76F2608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65.5</w:t>
            </w:r>
          </w:p>
        </w:tc>
        <w:tc>
          <w:tcPr>
            <w:tcW w:w="311" w:type="pct"/>
            <w:tcBorders>
              <w:tl2br w:val="nil"/>
              <w:tr2bl w:val="nil"/>
            </w:tcBorders>
            <w:vAlign w:val="center"/>
          </w:tcPr>
          <w:p w14:paraId="537280C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65.5</w:t>
            </w:r>
          </w:p>
        </w:tc>
        <w:tc>
          <w:tcPr>
            <w:tcW w:w="311" w:type="pct"/>
            <w:tcBorders>
              <w:tl2br w:val="nil"/>
              <w:tr2bl w:val="nil"/>
            </w:tcBorders>
            <w:vAlign w:val="center"/>
          </w:tcPr>
          <w:p w14:paraId="5D61FBC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65.7</w:t>
            </w:r>
          </w:p>
        </w:tc>
        <w:tc>
          <w:tcPr>
            <w:tcW w:w="311" w:type="pct"/>
            <w:tcBorders>
              <w:tl2br w:val="nil"/>
              <w:tr2bl w:val="nil"/>
            </w:tcBorders>
            <w:vAlign w:val="center"/>
          </w:tcPr>
          <w:p w14:paraId="43DB468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65.6</w:t>
            </w:r>
          </w:p>
        </w:tc>
        <w:tc>
          <w:tcPr>
            <w:tcW w:w="310" w:type="pct"/>
            <w:tcBorders>
              <w:tl2br w:val="nil"/>
              <w:tr2bl w:val="nil"/>
            </w:tcBorders>
            <w:vAlign w:val="center"/>
          </w:tcPr>
          <w:p w14:paraId="610138F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66.7</w:t>
            </w:r>
          </w:p>
        </w:tc>
        <w:tc>
          <w:tcPr>
            <w:tcW w:w="311" w:type="pct"/>
            <w:tcBorders>
              <w:tl2br w:val="nil"/>
              <w:tr2bl w:val="nil"/>
            </w:tcBorders>
            <w:vAlign w:val="center"/>
          </w:tcPr>
          <w:p w14:paraId="6A70DC2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67.9</w:t>
            </w:r>
          </w:p>
        </w:tc>
        <w:tc>
          <w:tcPr>
            <w:tcW w:w="316" w:type="pct"/>
            <w:tcBorders>
              <w:tl2br w:val="nil"/>
              <w:tr2bl w:val="nil"/>
            </w:tcBorders>
            <w:vAlign w:val="center"/>
          </w:tcPr>
          <w:p w14:paraId="66B0CAD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66.4</w:t>
            </w:r>
          </w:p>
        </w:tc>
        <w:tc>
          <w:tcPr>
            <w:tcW w:w="491" w:type="pct"/>
            <w:tcBorders>
              <w:tl2br w:val="nil"/>
              <w:tr2bl w:val="nil"/>
            </w:tcBorders>
            <w:shd w:val="clear" w:color="auto" w:fill="auto"/>
            <w:vAlign w:val="center"/>
          </w:tcPr>
          <w:p w14:paraId="27C087C1">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24.6</w:t>
            </w:r>
          </w:p>
        </w:tc>
        <w:tc>
          <w:tcPr>
            <w:tcW w:w="240" w:type="pct"/>
            <w:tcBorders>
              <w:tl2br w:val="nil"/>
              <w:tr2bl w:val="nil"/>
            </w:tcBorders>
            <w:shd w:val="clear" w:color="auto" w:fill="D7D7D7" w:themeFill="background1" w:themeFillShade="D8"/>
            <w:vAlign w:val="center"/>
          </w:tcPr>
          <w:p w14:paraId="1DE9B0F9">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shd w:val="clear" w:color="auto" w:fill="auto"/>
                <w:lang w:val="en-US" w:eastAsia="zh-CN"/>
              </w:rPr>
              <w:t>100</w:t>
            </w:r>
          </w:p>
        </w:tc>
        <w:tc>
          <w:tcPr>
            <w:tcW w:w="240" w:type="pct"/>
            <w:tcBorders>
              <w:tl2br w:val="nil"/>
              <w:tr2bl w:val="nil"/>
            </w:tcBorders>
            <w:vAlign w:val="center"/>
          </w:tcPr>
          <w:p w14:paraId="5D67F7BF">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w:t>
            </w:r>
          </w:p>
        </w:tc>
        <w:tc>
          <w:tcPr>
            <w:tcW w:w="247" w:type="pct"/>
            <w:tcBorders>
              <w:tl2br w:val="nil"/>
              <w:tr2bl w:val="nil"/>
            </w:tcBorders>
            <w:vAlign w:val="center"/>
          </w:tcPr>
          <w:p w14:paraId="43B5B38A">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200</w:t>
            </w:r>
          </w:p>
        </w:tc>
        <w:tc>
          <w:tcPr>
            <w:tcW w:w="243" w:type="pct"/>
            <w:tcBorders>
              <w:tl2br w:val="nil"/>
              <w:tr2bl w:val="nil"/>
            </w:tcBorders>
            <w:vAlign w:val="center"/>
          </w:tcPr>
          <w:p w14:paraId="1B39A8DF">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400</w:t>
            </w:r>
          </w:p>
        </w:tc>
      </w:tr>
      <w:tr w14:paraId="371B21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062EB771">
            <w:pPr>
              <w:bidi w:val="0"/>
              <w:jc w:val="center"/>
              <w:rPr>
                <w:rFonts w:hint="default" w:ascii="Times New Roman" w:hAnsi="Times New Roman" w:eastAsia="宋体" w:cs="Times New Roman"/>
                <w:color w:val="auto"/>
                <w:sz w:val="21"/>
                <w:szCs w:val="21"/>
              </w:rPr>
            </w:pPr>
            <w:bookmarkStart w:id="1635" w:name="OLE_LINK893" w:colFirst="2" w:colLast="3"/>
            <w:r>
              <w:rPr>
                <w:rFonts w:hint="default" w:ascii="Times New Roman" w:hAnsi="Times New Roman" w:eastAsia="宋体" w:cs="Times New Roman"/>
                <w:color w:val="auto"/>
                <w:sz w:val="21"/>
                <w:szCs w:val="21"/>
              </w:rPr>
              <w:t>钙</w:t>
            </w:r>
          </w:p>
        </w:tc>
        <w:tc>
          <w:tcPr>
            <w:tcW w:w="310" w:type="pct"/>
            <w:tcBorders>
              <w:tl2br w:val="nil"/>
              <w:tr2bl w:val="nil"/>
            </w:tcBorders>
            <w:vAlign w:val="center"/>
          </w:tcPr>
          <w:p w14:paraId="00DB305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103</w:t>
            </w:r>
          </w:p>
        </w:tc>
        <w:tc>
          <w:tcPr>
            <w:tcW w:w="310" w:type="pct"/>
            <w:tcBorders>
              <w:tl2br w:val="nil"/>
              <w:tr2bl w:val="nil"/>
            </w:tcBorders>
            <w:vAlign w:val="center"/>
          </w:tcPr>
          <w:p w14:paraId="6BF9377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105</w:t>
            </w:r>
          </w:p>
        </w:tc>
        <w:tc>
          <w:tcPr>
            <w:tcW w:w="310" w:type="pct"/>
            <w:tcBorders>
              <w:tl2br w:val="nil"/>
              <w:tr2bl w:val="nil"/>
            </w:tcBorders>
            <w:vAlign w:val="center"/>
          </w:tcPr>
          <w:p w14:paraId="112BC65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105</w:t>
            </w:r>
          </w:p>
        </w:tc>
        <w:tc>
          <w:tcPr>
            <w:tcW w:w="310" w:type="pct"/>
            <w:tcBorders>
              <w:tl2br w:val="nil"/>
              <w:tr2bl w:val="nil"/>
            </w:tcBorders>
            <w:vAlign w:val="center"/>
          </w:tcPr>
          <w:p w14:paraId="77760C8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104</w:t>
            </w:r>
          </w:p>
        </w:tc>
        <w:tc>
          <w:tcPr>
            <w:tcW w:w="311" w:type="pct"/>
            <w:tcBorders>
              <w:tl2br w:val="nil"/>
              <w:tr2bl w:val="nil"/>
            </w:tcBorders>
            <w:vAlign w:val="center"/>
          </w:tcPr>
          <w:p w14:paraId="39F27CA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105</w:t>
            </w:r>
          </w:p>
        </w:tc>
        <w:tc>
          <w:tcPr>
            <w:tcW w:w="311" w:type="pct"/>
            <w:tcBorders>
              <w:tl2br w:val="nil"/>
              <w:tr2bl w:val="nil"/>
            </w:tcBorders>
            <w:vAlign w:val="center"/>
          </w:tcPr>
          <w:p w14:paraId="7BB2E81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106</w:t>
            </w:r>
          </w:p>
        </w:tc>
        <w:tc>
          <w:tcPr>
            <w:tcW w:w="311" w:type="pct"/>
            <w:tcBorders>
              <w:tl2br w:val="nil"/>
              <w:tr2bl w:val="nil"/>
            </w:tcBorders>
            <w:vAlign w:val="center"/>
          </w:tcPr>
          <w:p w14:paraId="2707CAA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105</w:t>
            </w:r>
          </w:p>
        </w:tc>
        <w:tc>
          <w:tcPr>
            <w:tcW w:w="310" w:type="pct"/>
            <w:tcBorders>
              <w:tl2br w:val="nil"/>
              <w:tr2bl w:val="nil"/>
            </w:tcBorders>
            <w:vAlign w:val="center"/>
          </w:tcPr>
          <w:p w14:paraId="414931E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106</w:t>
            </w:r>
          </w:p>
        </w:tc>
        <w:tc>
          <w:tcPr>
            <w:tcW w:w="311" w:type="pct"/>
            <w:tcBorders>
              <w:tl2br w:val="nil"/>
              <w:tr2bl w:val="nil"/>
            </w:tcBorders>
            <w:vAlign w:val="center"/>
          </w:tcPr>
          <w:p w14:paraId="5D24E16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109</w:t>
            </w:r>
          </w:p>
        </w:tc>
        <w:tc>
          <w:tcPr>
            <w:tcW w:w="316" w:type="pct"/>
            <w:tcBorders>
              <w:tl2br w:val="nil"/>
              <w:tr2bl w:val="nil"/>
            </w:tcBorders>
            <w:vAlign w:val="center"/>
          </w:tcPr>
          <w:p w14:paraId="10036C2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106</w:t>
            </w:r>
          </w:p>
        </w:tc>
        <w:tc>
          <w:tcPr>
            <w:tcW w:w="491" w:type="pct"/>
            <w:tcBorders>
              <w:tl2br w:val="nil"/>
              <w:tr2bl w:val="nil"/>
            </w:tcBorders>
            <w:shd w:val="clear" w:color="auto" w:fill="auto"/>
            <w:vAlign w:val="center"/>
          </w:tcPr>
          <w:p w14:paraId="5DB62C9F">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110</w:t>
            </w:r>
          </w:p>
        </w:tc>
        <w:tc>
          <w:tcPr>
            <w:tcW w:w="240" w:type="pct"/>
            <w:tcBorders>
              <w:tl2br w:val="nil"/>
              <w:tr2bl w:val="nil"/>
            </w:tcBorders>
            <w:vAlign w:val="center"/>
          </w:tcPr>
          <w:p w14:paraId="0B23909A">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240" w:type="pct"/>
            <w:tcBorders>
              <w:tl2br w:val="nil"/>
              <w:tr2bl w:val="nil"/>
            </w:tcBorders>
            <w:vAlign w:val="center"/>
          </w:tcPr>
          <w:p w14:paraId="7B4569BB">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247" w:type="pct"/>
            <w:tcBorders>
              <w:tl2br w:val="nil"/>
              <w:tr2bl w:val="nil"/>
            </w:tcBorders>
            <w:vAlign w:val="center"/>
          </w:tcPr>
          <w:p w14:paraId="61E4FAC7">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243" w:type="pct"/>
            <w:tcBorders>
              <w:tl2br w:val="nil"/>
              <w:tr2bl w:val="nil"/>
            </w:tcBorders>
            <w:vAlign w:val="center"/>
          </w:tcPr>
          <w:p w14:paraId="258447C9">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r>
      <w:tr w14:paraId="4973C7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7801A01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镁</w:t>
            </w:r>
          </w:p>
        </w:tc>
        <w:tc>
          <w:tcPr>
            <w:tcW w:w="310" w:type="pct"/>
            <w:tcBorders>
              <w:tl2br w:val="nil"/>
              <w:tr2bl w:val="nil"/>
            </w:tcBorders>
            <w:vAlign w:val="center"/>
          </w:tcPr>
          <w:p w14:paraId="76C383F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45.4</w:t>
            </w:r>
          </w:p>
        </w:tc>
        <w:tc>
          <w:tcPr>
            <w:tcW w:w="310" w:type="pct"/>
            <w:tcBorders>
              <w:tl2br w:val="nil"/>
              <w:tr2bl w:val="nil"/>
            </w:tcBorders>
            <w:vAlign w:val="center"/>
          </w:tcPr>
          <w:p w14:paraId="6C2D2ED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46.7</w:t>
            </w:r>
          </w:p>
        </w:tc>
        <w:tc>
          <w:tcPr>
            <w:tcW w:w="310" w:type="pct"/>
            <w:tcBorders>
              <w:tl2br w:val="nil"/>
              <w:tr2bl w:val="nil"/>
            </w:tcBorders>
            <w:vAlign w:val="center"/>
          </w:tcPr>
          <w:p w14:paraId="62C9465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46.5</w:t>
            </w:r>
          </w:p>
        </w:tc>
        <w:tc>
          <w:tcPr>
            <w:tcW w:w="310" w:type="pct"/>
            <w:tcBorders>
              <w:tl2br w:val="nil"/>
              <w:tr2bl w:val="nil"/>
            </w:tcBorders>
            <w:vAlign w:val="center"/>
          </w:tcPr>
          <w:p w14:paraId="69CDDF1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46.5</w:t>
            </w:r>
          </w:p>
        </w:tc>
        <w:tc>
          <w:tcPr>
            <w:tcW w:w="311" w:type="pct"/>
            <w:tcBorders>
              <w:tl2br w:val="nil"/>
              <w:tr2bl w:val="nil"/>
            </w:tcBorders>
            <w:vAlign w:val="center"/>
          </w:tcPr>
          <w:p w14:paraId="5A4722D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46.7</w:t>
            </w:r>
          </w:p>
        </w:tc>
        <w:tc>
          <w:tcPr>
            <w:tcW w:w="311" w:type="pct"/>
            <w:tcBorders>
              <w:tl2br w:val="nil"/>
              <w:tr2bl w:val="nil"/>
            </w:tcBorders>
            <w:vAlign w:val="center"/>
          </w:tcPr>
          <w:p w14:paraId="4860E9E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47.0 </w:t>
            </w:r>
          </w:p>
        </w:tc>
        <w:tc>
          <w:tcPr>
            <w:tcW w:w="311" w:type="pct"/>
            <w:tcBorders>
              <w:tl2br w:val="nil"/>
              <w:tr2bl w:val="nil"/>
            </w:tcBorders>
            <w:vAlign w:val="center"/>
          </w:tcPr>
          <w:p w14:paraId="0CF9F3B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46.8</w:t>
            </w:r>
          </w:p>
        </w:tc>
        <w:tc>
          <w:tcPr>
            <w:tcW w:w="310" w:type="pct"/>
            <w:tcBorders>
              <w:tl2br w:val="nil"/>
              <w:tr2bl w:val="nil"/>
            </w:tcBorders>
            <w:vAlign w:val="center"/>
          </w:tcPr>
          <w:p w14:paraId="7CC4652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47.5</w:t>
            </w:r>
          </w:p>
        </w:tc>
        <w:tc>
          <w:tcPr>
            <w:tcW w:w="311" w:type="pct"/>
            <w:tcBorders>
              <w:tl2br w:val="nil"/>
              <w:tr2bl w:val="nil"/>
            </w:tcBorders>
            <w:vAlign w:val="center"/>
          </w:tcPr>
          <w:p w14:paraId="56D4AB6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48.7</w:t>
            </w:r>
          </w:p>
        </w:tc>
        <w:tc>
          <w:tcPr>
            <w:tcW w:w="316" w:type="pct"/>
            <w:tcBorders>
              <w:tl2br w:val="nil"/>
              <w:tr2bl w:val="nil"/>
            </w:tcBorders>
            <w:vAlign w:val="center"/>
          </w:tcPr>
          <w:p w14:paraId="283B4C8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47.2</w:t>
            </w:r>
          </w:p>
        </w:tc>
        <w:tc>
          <w:tcPr>
            <w:tcW w:w="491" w:type="pct"/>
            <w:tcBorders>
              <w:tl2br w:val="nil"/>
              <w:tr2bl w:val="nil"/>
            </w:tcBorders>
            <w:shd w:val="clear" w:color="auto" w:fill="auto"/>
            <w:vAlign w:val="center"/>
          </w:tcPr>
          <w:p w14:paraId="7547C8FC">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3.58</w:t>
            </w:r>
          </w:p>
        </w:tc>
        <w:tc>
          <w:tcPr>
            <w:tcW w:w="240" w:type="pct"/>
            <w:tcBorders>
              <w:tl2br w:val="nil"/>
              <w:tr2bl w:val="nil"/>
            </w:tcBorders>
            <w:vAlign w:val="center"/>
          </w:tcPr>
          <w:p w14:paraId="6ED10317">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240" w:type="pct"/>
            <w:tcBorders>
              <w:tl2br w:val="nil"/>
              <w:tr2bl w:val="nil"/>
            </w:tcBorders>
            <w:vAlign w:val="center"/>
          </w:tcPr>
          <w:p w14:paraId="7585E928">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247" w:type="pct"/>
            <w:tcBorders>
              <w:tl2br w:val="nil"/>
              <w:tr2bl w:val="nil"/>
            </w:tcBorders>
            <w:vAlign w:val="center"/>
          </w:tcPr>
          <w:p w14:paraId="12EB9809">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243" w:type="pct"/>
            <w:tcBorders>
              <w:tl2br w:val="nil"/>
              <w:tr2bl w:val="nil"/>
            </w:tcBorders>
            <w:vAlign w:val="center"/>
          </w:tcPr>
          <w:p w14:paraId="23112EED">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r>
      <w:tr w14:paraId="6C5188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10FD5CC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碳酸根</w:t>
            </w:r>
          </w:p>
        </w:tc>
        <w:tc>
          <w:tcPr>
            <w:tcW w:w="310" w:type="pct"/>
            <w:tcBorders>
              <w:tl2br w:val="nil"/>
              <w:tr2bl w:val="nil"/>
            </w:tcBorders>
            <w:vAlign w:val="center"/>
          </w:tcPr>
          <w:p w14:paraId="110DC70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737B26D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01B7AE2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43640C8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3D5DE30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4127C38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434BD3C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7C32249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150E0B6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6" w:type="pct"/>
            <w:tcBorders>
              <w:tl2br w:val="nil"/>
              <w:tr2bl w:val="nil"/>
            </w:tcBorders>
            <w:vAlign w:val="center"/>
          </w:tcPr>
          <w:p w14:paraId="2E32AA5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491" w:type="pct"/>
            <w:tcBorders>
              <w:tl2br w:val="nil"/>
              <w:tr2bl w:val="nil"/>
            </w:tcBorders>
            <w:shd w:val="clear" w:color="auto" w:fill="auto"/>
            <w:vAlign w:val="center"/>
          </w:tcPr>
          <w:p w14:paraId="301DCAE8">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240" w:type="pct"/>
            <w:tcBorders>
              <w:tl2br w:val="nil"/>
              <w:tr2bl w:val="nil"/>
            </w:tcBorders>
            <w:vAlign w:val="center"/>
          </w:tcPr>
          <w:p w14:paraId="0A5B5EF2">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240" w:type="pct"/>
            <w:tcBorders>
              <w:tl2br w:val="nil"/>
              <w:tr2bl w:val="nil"/>
            </w:tcBorders>
            <w:vAlign w:val="center"/>
          </w:tcPr>
          <w:p w14:paraId="25E147BE">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247" w:type="pct"/>
            <w:tcBorders>
              <w:tl2br w:val="nil"/>
              <w:tr2bl w:val="nil"/>
            </w:tcBorders>
            <w:vAlign w:val="center"/>
          </w:tcPr>
          <w:p w14:paraId="21A298D5">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243" w:type="pct"/>
            <w:tcBorders>
              <w:tl2br w:val="nil"/>
              <w:tr2bl w:val="nil"/>
            </w:tcBorders>
            <w:vAlign w:val="center"/>
          </w:tcPr>
          <w:p w14:paraId="6400BDA6">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r>
      <w:tr w14:paraId="7A5525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1D0E9D0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碳酸氢根</w:t>
            </w:r>
          </w:p>
        </w:tc>
        <w:tc>
          <w:tcPr>
            <w:tcW w:w="310" w:type="pct"/>
            <w:tcBorders>
              <w:tl2br w:val="nil"/>
              <w:tr2bl w:val="nil"/>
            </w:tcBorders>
            <w:vAlign w:val="center"/>
          </w:tcPr>
          <w:p w14:paraId="0BB9171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452</w:t>
            </w:r>
          </w:p>
        </w:tc>
        <w:tc>
          <w:tcPr>
            <w:tcW w:w="310" w:type="pct"/>
            <w:tcBorders>
              <w:tl2br w:val="nil"/>
              <w:tr2bl w:val="nil"/>
            </w:tcBorders>
            <w:vAlign w:val="center"/>
          </w:tcPr>
          <w:p w14:paraId="447892F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451</w:t>
            </w:r>
          </w:p>
        </w:tc>
        <w:tc>
          <w:tcPr>
            <w:tcW w:w="310" w:type="pct"/>
            <w:tcBorders>
              <w:tl2br w:val="nil"/>
              <w:tr2bl w:val="nil"/>
            </w:tcBorders>
            <w:vAlign w:val="center"/>
          </w:tcPr>
          <w:p w14:paraId="5FDA72F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447</w:t>
            </w:r>
          </w:p>
        </w:tc>
        <w:tc>
          <w:tcPr>
            <w:tcW w:w="310" w:type="pct"/>
            <w:tcBorders>
              <w:tl2br w:val="nil"/>
              <w:tr2bl w:val="nil"/>
            </w:tcBorders>
            <w:vAlign w:val="center"/>
          </w:tcPr>
          <w:p w14:paraId="382900C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449</w:t>
            </w:r>
          </w:p>
        </w:tc>
        <w:tc>
          <w:tcPr>
            <w:tcW w:w="311" w:type="pct"/>
            <w:tcBorders>
              <w:tl2br w:val="nil"/>
              <w:tr2bl w:val="nil"/>
            </w:tcBorders>
            <w:vAlign w:val="center"/>
          </w:tcPr>
          <w:p w14:paraId="32F147A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454</w:t>
            </w:r>
          </w:p>
        </w:tc>
        <w:tc>
          <w:tcPr>
            <w:tcW w:w="311" w:type="pct"/>
            <w:tcBorders>
              <w:tl2br w:val="nil"/>
              <w:tr2bl w:val="nil"/>
            </w:tcBorders>
            <w:vAlign w:val="center"/>
          </w:tcPr>
          <w:p w14:paraId="0744401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456</w:t>
            </w:r>
          </w:p>
        </w:tc>
        <w:tc>
          <w:tcPr>
            <w:tcW w:w="311" w:type="pct"/>
            <w:tcBorders>
              <w:tl2br w:val="nil"/>
              <w:tr2bl w:val="nil"/>
            </w:tcBorders>
            <w:vAlign w:val="center"/>
          </w:tcPr>
          <w:p w14:paraId="2522FE9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450</w:t>
            </w:r>
          </w:p>
        </w:tc>
        <w:tc>
          <w:tcPr>
            <w:tcW w:w="310" w:type="pct"/>
            <w:tcBorders>
              <w:tl2br w:val="nil"/>
              <w:tr2bl w:val="nil"/>
            </w:tcBorders>
            <w:vAlign w:val="center"/>
          </w:tcPr>
          <w:p w14:paraId="64FF2E2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446</w:t>
            </w:r>
          </w:p>
        </w:tc>
        <w:tc>
          <w:tcPr>
            <w:tcW w:w="311" w:type="pct"/>
            <w:tcBorders>
              <w:tl2br w:val="nil"/>
              <w:tr2bl w:val="nil"/>
            </w:tcBorders>
            <w:vAlign w:val="center"/>
          </w:tcPr>
          <w:p w14:paraId="2D0B541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453</w:t>
            </w:r>
          </w:p>
        </w:tc>
        <w:tc>
          <w:tcPr>
            <w:tcW w:w="316" w:type="pct"/>
            <w:tcBorders>
              <w:tl2br w:val="nil"/>
              <w:tr2bl w:val="nil"/>
            </w:tcBorders>
            <w:vAlign w:val="center"/>
          </w:tcPr>
          <w:p w14:paraId="22FDBF9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455</w:t>
            </w:r>
          </w:p>
        </w:tc>
        <w:tc>
          <w:tcPr>
            <w:tcW w:w="491" w:type="pct"/>
            <w:tcBorders>
              <w:tl2br w:val="nil"/>
              <w:tr2bl w:val="nil"/>
            </w:tcBorders>
            <w:shd w:val="clear" w:color="auto" w:fill="auto"/>
            <w:vAlign w:val="center"/>
          </w:tcPr>
          <w:p w14:paraId="15C666A1">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491</w:t>
            </w:r>
          </w:p>
        </w:tc>
        <w:tc>
          <w:tcPr>
            <w:tcW w:w="240" w:type="pct"/>
            <w:tcBorders>
              <w:tl2br w:val="nil"/>
              <w:tr2bl w:val="nil"/>
            </w:tcBorders>
            <w:vAlign w:val="center"/>
          </w:tcPr>
          <w:p w14:paraId="06298235">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240" w:type="pct"/>
            <w:tcBorders>
              <w:tl2br w:val="nil"/>
              <w:tr2bl w:val="nil"/>
            </w:tcBorders>
            <w:vAlign w:val="center"/>
          </w:tcPr>
          <w:p w14:paraId="0A19089D">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247" w:type="pct"/>
            <w:tcBorders>
              <w:tl2br w:val="nil"/>
              <w:tr2bl w:val="nil"/>
            </w:tcBorders>
            <w:vAlign w:val="center"/>
          </w:tcPr>
          <w:p w14:paraId="697F2547">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243" w:type="pct"/>
            <w:tcBorders>
              <w:tl2br w:val="nil"/>
              <w:tr2bl w:val="nil"/>
            </w:tcBorders>
            <w:vAlign w:val="center"/>
          </w:tcPr>
          <w:p w14:paraId="5F178E94">
            <w:pPr>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r>
      <w:tr w14:paraId="297CC5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4DBCC95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氯离子</w:t>
            </w:r>
          </w:p>
        </w:tc>
        <w:tc>
          <w:tcPr>
            <w:tcW w:w="310" w:type="pct"/>
            <w:tcBorders>
              <w:tl2br w:val="nil"/>
              <w:tr2bl w:val="nil"/>
            </w:tcBorders>
            <w:vAlign w:val="center"/>
          </w:tcPr>
          <w:p w14:paraId="26C8854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101</w:t>
            </w:r>
          </w:p>
        </w:tc>
        <w:tc>
          <w:tcPr>
            <w:tcW w:w="310" w:type="pct"/>
            <w:tcBorders>
              <w:tl2br w:val="nil"/>
              <w:tr2bl w:val="nil"/>
            </w:tcBorders>
            <w:vAlign w:val="center"/>
          </w:tcPr>
          <w:p w14:paraId="6C43E60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102</w:t>
            </w:r>
          </w:p>
        </w:tc>
        <w:tc>
          <w:tcPr>
            <w:tcW w:w="310" w:type="pct"/>
            <w:tcBorders>
              <w:tl2br w:val="nil"/>
              <w:tr2bl w:val="nil"/>
            </w:tcBorders>
            <w:vAlign w:val="center"/>
          </w:tcPr>
          <w:p w14:paraId="1AEC6FD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103</w:t>
            </w:r>
          </w:p>
        </w:tc>
        <w:tc>
          <w:tcPr>
            <w:tcW w:w="310" w:type="pct"/>
            <w:tcBorders>
              <w:tl2br w:val="nil"/>
              <w:tr2bl w:val="nil"/>
            </w:tcBorders>
            <w:vAlign w:val="center"/>
          </w:tcPr>
          <w:p w14:paraId="767FEBC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103</w:t>
            </w:r>
          </w:p>
        </w:tc>
        <w:tc>
          <w:tcPr>
            <w:tcW w:w="311" w:type="pct"/>
            <w:tcBorders>
              <w:tl2br w:val="nil"/>
              <w:tr2bl w:val="nil"/>
            </w:tcBorders>
            <w:vAlign w:val="center"/>
          </w:tcPr>
          <w:p w14:paraId="31BD882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102</w:t>
            </w:r>
          </w:p>
        </w:tc>
        <w:tc>
          <w:tcPr>
            <w:tcW w:w="311" w:type="pct"/>
            <w:tcBorders>
              <w:tl2br w:val="nil"/>
              <w:tr2bl w:val="nil"/>
            </w:tcBorders>
            <w:vAlign w:val="center"/>
          </w:tcPr>
          <w:p w14:paraId="1D4A8F7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103</w:t>
            </w:r>
          </w:p>
        </w:tc>
        <w:tc>
          <w:tcPr>
            <w:tcW w:w="311" w:type="pct"/>
            <w:tcBorders>
              <w:tl2br w:val="nil"/>
              <w:tr2bl w:val="nil"/>
            </w:tcBorders>
            <w:vAlign w:val="center"/>
          </w:tcPr>
          <w:p w14:paraId="7582F50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103</w:t>
            </w:r>
          </w:p>
        </w:tc>
        <w:tc>
          <w:tcPr>
            <w:tcW w:w="310" w:type="pct"/>
            <w:tcBorders>
              <w:tl2br w:val="nil"/>
              <w:tr2bl w:val="nil"/>
            </w:tcBorders>
            <w:vAlign w:val="center"/>
          </w:tcPr>
          <w:p w14:paraId="4E8BEB4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102</w:t>
            </w:r>
          </w:p>
        </w:tc>
        <w:tc>
          <w:tcPr>
            <w:tcW w:w="311" w:type="pct"/>
            <w:tcBorders>
              <w:tl2br w:val="nil"/>
              <w:tr2bl w:val="nil"/>
            </w:tcBorders>
            <w:vAlign w:val="center"/>
          </w:tcPr>
          <w:p w14:paraId="43D610D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104</w:t>
            </w:r>
          </w:p>
        </w:tc>
        <w:tc>
          <w:tcPr>
            <w:tcW w:w="316" w:type="pct"/>
            <w:tcBorders>
              <w:tl2br w:val="nil"/>
              <w:tr2bl w:val="nil"/>
            </w:tcBorders>
            <w:vAlign w:val="center"/>
          </w:tcPr>
          <w:p w14:paraId="78A1D2D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103</w:t>
            </w:r>
          </w:p>
        </w:tc>
        <w:tc>
          <w:tcPr>
            <w:tcW w:w="491" w:type="pct"/>
            <w:tcBorders>
              <w:tl2br w:val="nil"/>
              <w:tr2bl w:val="nil"/>
            </w:tcBorders>
            <w:shd w:val="clear" w:color="auto" w:fill="auto"/>
            <w:vAlign w:val="center"/>
          </w:tcPr>
          <w:p w14:paraId="265EBD3C">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7.41</w:t>
            </w:r>
          </w:p>
        </w:tc>
        <w:tc>
          <w:tcPr>
            <w:tcW w:w="240" w:type="pct"/>
            <w:tcBorders>
              <w:tl2br w:val="nil"/>
              <w:tr2bl w:val="nil"/>
            </w:tcBorders>
            <w:vAlign w:val="center"/>
          </w:tcPr>
          <w:p w14:paraId="31D16D9E">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240" w:type="pct"/>
            <w:tcBorders>
              <w:tl2br w:val="nil"/>
              <w:tr2bl w:val="nil"/>
            </w:tcBorders>
            <w:shd w:val="clear" w:color="auto" w:fill="D7D7D7" w:themeFill="background1" w:themeFillShade="D8"/>
            <w:vAlign w:val="center"/>
          </w:tcPr>
          <w:p w14:paraId="365576A4">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150</w:t>
            </w:r>
          </w:p>
        </w:tc>
        <w:tc>
          <w:tcPr>
            <w:tcW w:w="247" w:type="pct"/>
            <w:tcBorders>
              <w:tl2br w:val="nil"/>
              <w:tr2bl w:val="nil"/>
            </w:tcBorders>
            <w:vAlign w:val="center"/>
          </w:tcPr>
          <w:p w14:paraId="11EDB849">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250</w:t>
            </w:r>
          </w:p>
        </w:tc>
        <w:tc>
          <w:tcPr>
            <w:tcW w:w="243" w:type="pct"/>
            <w:tcBorders>
              <w:tl2br w:val="nil"/>
              <w:tr2bl w:val="nil"/>
            </w:tcBorders>
            <w:vAlign w:val="center"/>
          </w:tcPr>
          <w:p w14:paraId="52AAA4DA">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350</w:t>
            </w:r>
          </w:p>
        </w:tc>
      </w:tr>
      <w:tr w14:paraId="2148E2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14406C7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硫酸根离子</w:t>
            </w:r>
          </w:p>
        </w:tc>
        <w:tc>
          <w:tcPr>
            <w:tcW w:w="310" w:type="pct"/>
            <w:tcBorders>
              <w:tl2br w:val="nil"/>
              <w:tr2bl w:val="nil"/>
            </w:tcBorders>
            <w:vAlign w:val="center"/>
          </w:tcPr>
          <w:p w14:paraId="11E4441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166</w:t>
            </w:r>
          </w:p>
        </w:tc>
        <w:tc>
          <w:tcPr>
            <w:tcW w:w="310" w:type="pct"/>
            <w:tcBorders>
              <w:tl2br w:val="nil"/>
              <w:tr2bl w:val="nil"/>
            </w:tcBorders>
            <w:vAlign w:val="center"/>
          </w:tcPr>
          <w:p w14:paraId="363175F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168</w:t>
            </w:r>
          </w:p>
        </w:tc>
        <w:tc>
          <w:tcPr>
            <w:tcW w:w="310" w:type="pct"/>
            <w:tcBorders>
              <w:tl2br w:val="nil"/>
              <w:tr2bl w:val="nil"/>
            </w:tcBorders>
            <w:vAlign w:val="center"/>
          </w:tcPr>
          <w:p w14:paraId="3FDFBD0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169</w:t>
            </w:r>
          </w:p>
        </w:tc>
        <w:tc>
          <w:tcPr>
            <w:tcW w:w="310" w:type="pct"/>
            <w:tcBorders>
              <w:tl2br w:val="nil"/>
              <w:tr2bl w:val="nil"/>
            </w:tcBorders>
            <w:vAlign w:val="center"/>
          </w:tcPr>
          <w:p w14:paraId="0A7ECA2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169</w:t>
            </w:r>
          </w:p>
        </w:tc>
        <w:tc>
          <w:tcPr>
            <w:tcW w:w="311" w:type="pct"/>
            <w:tcBorders>
              <w:tl2br w:val="nil"/>
              <w:tr2bl w:val="nil"/>
            </w:tcBorders>
            <w:vAlign w:val="center"/>
          </w:tcPr>
          <w:p w14:paraId="1D6104C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169</w:t>
            </w:r>
          </w:p>
        </w:tc>
        <w:tc>
          <w:tcPr>
            <w:tcW w:w="311" w:type="pct"/>
            <w:tcBorders>
              <w:tl2br w:val="nil"/>
              <w:tr2bl w:val="nil"/>
            </w:tcBorders>
            <w:vAlign w:val="center"/>
          </w:tcPr>
          <w:p w14:paraId="79B7924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169</w:t>
            </w:r>
          </w:p>
        </w:tc>
        <w:tc>
          <w:tcPr>
            <w:tcW w:w="311" w:type="pct"/>
            <w:tcBorders>
              <w:tl2br w:val="nil"/>
              <w:tr2bl w:val="nil"/>
            </w:tcBorders>
            <w:vAlign w:val="center"/>
          </w:tcPr>
          <w:p w14:paraId="1FB2D3D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170</w:t>
            </w:r>
          </w:p>
        </w:tc>
        <w:tc>
          <w:tcPr>
            <w:tcW w:w="310" w:type="pct"/>
            <w:tcBorders>
              <w:tl2br w:val="nil"/>
              <w:tr2bl w:val="nil"/>
            </w:tcBorders>
            <w:vAlign w:val="center"/>
          </w:tcPr>
          <w:p w14:paraId="3B597D8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168</w:t>
            </w:r>
          </w:p>
        </w:tc>
        <w:tc>
          <w:tcPr>
            <w:tcW w:w="311" w:type="pct"/>
            <w:tcBorders>
              <w:tl2br w:val="nil"/>
              <w:tr2bl w:val="nil"/>
            </w:tcBorders>
            <w:vAlign w:val="center"/>
          </w:tcPr>
          <w:p w14:paraId="1F2B377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170</w:t>
            </w:r>
          </w:p>
        </w:tc>
        <w:tc>
          <w:tcPr>
            <w:tcW w:w="316" w:type="pct"/>
            <w:tcBorders>
              <w:tl2br w:val="nil"/>
              <w:tr2bl w:val="nil"/>
            </w:tcBorders>
            <w:vAlign w:val="center"/>
          </w:tcPr>
          <w:p w14:paraId="29E1E8C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169</w:t>
            </w:r>
          </w:p>
        </w:tc>
        <w:tc>
          <w:tcPr>
            <w:tcW w:w="491" w:type="pct"/>
            <w:tcBorders>
              <w:tl2br w:val="nil"/>
              <w:tr2bl w:val="nil"/>
            </w:tcBorders>
            <w:shd w:val="clear" w:color="auto" w:fill="auto"/>
            <w:vAlign w:val="center"/>
          </w:tcPr>
          <w:p w14:paraId="2047D12A">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4.58</w:t>
            </w:r>
          </w:p>
        </w:tc>
        <w:tc>
          <w:tcPr>
            <w:tcW w:w="240" w:type="pct"/>
            <w:tcBorders>
              <w:tl2br w:val="nil"/>
              <w:tr2bl w:val="nil"/>
            </w:tcBorders>
            <w:shd w:val="clear" w:color="auto" w:fill="auto"/>
            <w:vAlign w:val="center"/>
          </w:tcPr>
          <w:p w14:paraId="24AEEB3A">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50</w:t>
            </w:r>
          </w:p>
        </w:tc>
        <w:tc>
          <w:tcPr>
            <w:tcW w:w="240" w:type="pct"/>
            <w:tcBorders>
              <w:tl2br w:val="nil"/>
              <w:tr2bl w:val="nil"/>
            </w:tcBorders>
            <w:shd w:val="clear" w:color="auto" w:fill="auto"/>
            <w:vAlign w:val="center"/>
          </w:tcPr>
          <w:p w14:paraId="6D165635">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150</w:t>
            </w:r>
          </w:p>
        </w:tc>
        <w:tc>
          <w:tcPr>
            <w:tcW w:w="247" w:type="pct"/>
            <w:tcBorders>
              <w:tl2br w:val="nil"/>
              <w:tr2bl w:val="nil"/>
            </w:tcBorders>
            <w:shd w:val="clear" w:color="auto" w:fill="D7D7D7" w:themeFill="background1" w:themeFillShade="D8"/>
            <w:vAlign w:val="center"/>
          </w:tcPr>
          <w:p w14:paraId="1E936DFE">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250</w:t>
            </w:r>
          </w:p>
        </w:tc>
        <w:tc>
          <w:tcPr>
            <w:tcW w:w="243" w:type="pct"/>
            <w:tcBorders>
              <w:tl2br w:val="nil"/>
              <w:tr2bl w:val="nil"/>
            </w:tcBorders>
            <w:shd w:val="clear" w:color="auto" w:fill="auto"/>
            <w:vAlign w:val="center"/>
          </w:tcPr>
          <w:p w14:paraId="06B5F571">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350</w:t>
            </w:r>
          </w:p>
        </w:tc>
      </w:tr>
      <w:tr w14:paraId="55A396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05" w:hRule="atLeast"/>
        </w:trPr>
        <w:tc>
          <w:tcPr>
            <w:tcW w:w="422" w:type="pct"/>
            <w:tcBorders>
              <w:tl2br w:val="nil"/>
              <w:tr2bl w:val="nil"/>
            </w:tcBorders>
            <w:vAlign w:val="center"/>
          </w:tcPr>
          <w:p w14:paraId="1D514DF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pH值</w:t>
            </w:r>
          </w:p>
        </w:tc>
        <w:tc>
          <w:tcPr>
            <w:tcW w:w="310" w:type="pct"/>
            <w:tcBorders>
              <w:tl2br w:val="nil"/>
              <w:tr2bl w:val="nil"/>
            </w:tcBorders>
            <w:vAlign w:val="center"/>
          </w:tcPr>
          <w:p w14:paraId="58B7F7D1">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7.4</w:t>
            </w:r>
          </w:p>
        </w:tc>
        <w:tc>
          <w:tcPr>
            <w:tcW w:w="310" w:type="pct"/>
            <w:tcBorders>
              <w:tl2br w:val="nil"/>
              <w:tr2bl w:val="nil"/>
            </w:tcBorders>
            <w:vAlign w:val="center"/>
          </w:tcPr>
          <w:p w14:paraId="234AA39A">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7.5</w:t>
            </w:r>
          </w:p>
        </w:tc>
        <w:tc>
          <w:tcPr>
            <w:tcW w:w="310" w:type="pct"/>
            <w:tcBorders>
              <w:tl2br w:val="nil"/>
              <w:tr2bl w:val="nil"/>
            </w:tcBorders>
            <w:vAlign w:val="center"/>
          </w:tcPr>
          <w:p w14:paraId="79B3C630">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7.5</w:t>
            </w:r>
          </w:p>
        </w:tc>
        <w:tc>
          <w:tcPr>
            <w:tcW w:w="310" w:type="pct"/>
            <w:tcBorders>
              <w:tl2br w:val="nil"/>
              <w:tr2bl w:val="nil"/>
            </w:tcBorders>
            <w:vAlign w:val="center"/>
          </w:tcPr>
          <w:p w14:paraId="0E60798B">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7.5</w:t>
            </w:r>
          </w:p>
        </w:tc>
        <w:tc>
          <w:tcPr>
            <w:tcW w:w="311" w:type="pct"/>
            <w:tcBorders>
              <w:tl2br w:val="nil"/>
              <w:tr2bl w:val="nil"/>
            </w:tcBorders>
            <w:vAlign w:val="center"/>
          </w:tcPr>
          <w:p w14:paraId="1E395489">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7.5</w:t>
            </w:r>
          </w:p>
        </w:tc>
        <w:tc>
          <w:tcPr>
            <w:tcW w:w="311" w:type="pct"/>
            <w:tcBorders>
              <w:tl2br w:val="nil"/>
              <w:tr2bl w:val="nil"/>
            </w:tcBorders>
            <w:vAlign w:val="center"/>
          </w:tcPr>
          <w:p w14:paraId="21A6C66B">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7.6</w:t>
            </w:r>
          </w:p>
        </w:tc>
        <w:tc>
          <w:tcPr>
            <w:tcW w:w="311" w:type="pct"/>
            <w:tcBorders>
              <w:tl2br w:val="nil"/>
              <w:tr2bl w:val="nil"/>
            </w:tcBorders>
            <w:vAlign w:val="center"/>
          </w:tcPr>
          <w:p w14:paraId="3171BAAB">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7.5</w:t>
            </w:r>
          </w:p>
        </w:tc>
        <w:tc>
          <w:tcPr>
            <w:tcW w:w="310" w:type="pct"/>
            <w:tcBorders>
              <w:tl2br w:val="nil"/>
              <w:tr2bl w:val="nil"/>
            </w:tcBorders>
            <w:vAlign w:val="center"/>
          </w:tcPr>
          <w:p w14:paraId="5C38A148">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7.6</w:t>
            </w:r>
          </w:p>
        </w:tc>
        <w:tc>
          <w:tcPr>
            <w:tcW w:w="311" w:type="pct"/>
            <w:tcBorders>
              <w:tl2br w:val="nil"/>
              <w:tr2bl w:val="nil"/>
            </w:tcBorders>
            <w:vAlign w:val="center"/>
          </w:tcPr>
          <w:p w14:paraId="15B9BB27">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7.4</w:t>
            </w:r>
          </w:p>
        </w:tc>
        <w:tc>
          <w:tcPr>
            <w:tcW w:w="316" w:type="pct"/>
            <w:tcBorders>
              <w:tl2br w:val="nil"/>
              <w:tr2bl w:val="nil"/>
            </w:tcBorders>
            <w:vAlign w:val="center"/>
          </w:tcPr>
          <w:p w14:paraId="675635B9">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7.5</w:t>
            </w:r>
          </w:p>
        </w:tc>
        <w:tc>
          <w:tcPr>
            <w:tcW w:w="491" w:type="pct"/>
            <w:tcBorders>
              <w:tl2br w:val="nil"/>
              <w:tr2bl w:val="nil"/>
            </w:tcBorders>
            <w:shd w:val="clear" w:color="auto" w:fill="auto"/>
            <w:vAlign w:val="center"/>
          </w:tcPr>
          <w:p w14:paraId="76419FFF">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7.2</w:t>
            </w:r>
          </w:p>
        </w:tc>
        <w:tc>
          <w:tcPr>
            <w:tcW w:w="728" w:type="pct"/>
            <w:gridSpan w:val="3"/>
            <w:tcBorders>
              <w:tl2br w:val="nil"/>
              <w:tr2bl w:val="nil"/>
            </w:tcBorders>
            <w:shd w:val="clear" w:color="auto" w:fill="D7D7D7" w:themeFill="background1" w:themeFillShade="D8"/>
            <w:vAlign w:val="center"/>
          </w:tcPr>
          <w:p w14:paraId="6D12E108">
            <w:pPr>
              <w:bidi w:val="0"/>
              <w:jc w:val="center"/>
              <w:rPr>
                <w:rFonts w:hint="eastAsia" w:ascii="Times New Roman" w:hAnsi="Times New Roman" w:eastAsia="宋体" w:cs="Times New Roman"/>
                <w:color w:val="auto"/>
                <w:sz w:val="21"/>
                <w:szCs w:val="21"/>
                <w:lang w:val="en-US" w:eastAsia="zh-CN"/>
              </w:rPr>
            </w:pPr>
            <w:r>
              <w:rPr>
                <w:rFonts w:hint="default" w:ascii="Times New Roman" w:hAnsi="Times New Roman" w:cs="Times New Roman"/>
                <w:color w:val="auto"/>
                <w:lang w:val="en-US" w:eastAsia="zh-CN"/>
              </w:rPr>
              <w:t>6.5</w:t>
            </w:r>
            <w:r>
              <w:rPr>
                <w:rFonts w:hint="default" w:ascii="Times New Roman" w:hAnsi="Times New Roman" w:eastAsia="宋体" w:cs="Times New Roman"/>
                <w:color w:val="auto"/>
                <w:sz w:val="21"/>
                <w:szCs w:val="21"/>
                <w:lang w:val="en-US" w:eastAsia="zh-CN"/>
              </w:rPr>
              <w:t>≤pH≤</w:t>
            </w:r>
            <w:r>
              <w:rPr>
                <w:rFonts w:hint="default" w:ascii="Times New Roman" w:hAnsi="Times New Roman" w:cs="Times New Roman"/>
                <w:color w:val="auto"/>
                <w:lang w:val="en-US" w:eastAsia="zh-CN"/>
              </w:rPr>
              <w:t>8.5</w:t>
            </w:r>
          </w:p>
        </w:tc>
        <w:tc>
          <w:tcPr>
            <w:tcW w:w="243" w:type="pct"/>
            <w:tcBorders>
              <w:tl2br w:val="nil"/>
              <w:tr2bl w:val="nil"/>
            </w:tcBorders>
            <w:vAlign w:val="center"/>
          </w:tcPr>
          <w:p w14:paraId="519CDF81">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5.5≤pH&lt;6.5</w:t>
            </w:r>
          </w:p>
          <w:p w14:paraId="26518158">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8.5&lt;pH≤9.0</w:t>
            </w:r>
          </w:p>
        </w:tc>
      </w:tr>
      <w:bookmarkEnd w:id="1635"/>
      <w:tr w14:paraId="1734ED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8" w:hRule="atLeast"/>
        </w:trPr>
        <w:tc>
          <w:tcPr>
            <w:tcW w:w="422" w:type="pct"/>
            <w:tcBorders>
              <w:tl2br w:val="nil"/>
              <w:tr2bl w:val="nil"/>
            </w:tcBorders>
            <w:vAlign w:val="center"/>
          </w:tcPr>
          <w:p w14:paraId="4831DD6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310" w:type="pct"/>
            <w:tcBorders>
              <w:tl2br w:val="nil"/>
              <w:tr2bl w:val="nil"/>
            </w:tcBorders>
            <w:vAlign w:val="center"/>
          </w:tcPr>
          <w:p w14:paraId="67E6F61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0.076</w:t>
            </w:r>
          </w:p>
        </w:tc>
        <w:tc>
          <w:tcPr>
            <w:tcW w:w="310" w:type="pct"/>
            <w:tcBorders>
              <w:tl2br w:val="nil"/>
              <w:tr2bl w:val="nil"/>
            </w:tcBorders>
            <w:vAlign w:val="center"/>
          </w:tcPr>
          <w:p w14:paraId="4AD6245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0.060 </w:t>
            </w:r>
          </w:p>
        </w:tc>
        <w:tc>
          <w:tcPr>
            <w:tcW w:w="310" w:type="pct"/>
            <w:tcBorders>
              <w:tl2br w:val="nil"/>
              <w:tr2bl w:val="nil"/>
            </w:tcBorders>
            <w:vAlign w:val="center"/>
          </w:tcPr>
          <w:p w14:paraId="1CDF5F2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0.078</w:t>
            </w:r>
          </w:p>
        </w:tc>
        <w:tc>
          <w:tcPr>
            <w:tcW w:w="310" w:type="pct"/>
            <w:tcBorders>
              <w:tl2br w:val="nil"/>
              <w:tr2bl w:val="nil"/>
            </w:tcBorders>
            <w:vAlign w:val="center"/>
          </w:tcPr>
          <w:p w14:paraId="5487C29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0.069</w:t>
            </w:r>
          </w:p>
        </w:tc>
        <w:tc>
          <w:tcPr>
            <w:tcW w:w="311" w:type="pct"/>
            <w:tcBorders>
              <w:tl2br w:val="nil"/>
              <w:tr2bl w:val="nil"/>
            </w:tcBorders>
            <w:vAlign w:val="center"/>
          </w:tcPr>
          <w:p w14:paraId="54E0ABD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0.057</w:t>
            </w:r>
          </w:p>
        </w:tc>
        <w:tc>
          <w:tcPr>
            <w:tcW w:w="311" w:type="pct"/>
            <w:tcBorders>
              <w:tl2br w:val="nil"/>
              <w:tr2bl w:val="nil"/>
            </w:tcBorders>
            <w:vAlign w:val="center"/>
          </w:tcPr>
          <w:p w14:paraId="2FBC653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0.063</w:t>
            </w:r>
          </w:p>
        </w:tc>
        <w:tc>
          <w:tcPr>
            <w:tcW w:w="311" w:type="pct"/>
            <w:tcBorders>
              <w:tl2br w:val="nil"/>
              <w:tr2bl w:val="nil"/>
            </w:tcBorders>
            <w:vAlign w:val="center"/>
          </w:tcPr>
          <w:p w14:paraId="74868F5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0.075</w:t>
            </w:r>
          </w:p>
        </w:tc>
        <w:tc>
          <w:tcPr>
            <w:tcW w:w="310" w:type="pct"/>
            <w:tcBorders>
              <w:tl2br w:val="nil"/>
              <w:tr2bl w:val="nil"/>
            </w:tcBorders>
            <w:vAlign w:val="center"/>
          </w:tcPr>
          <w:p w14:paraId="6F95E7F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0.083</w:t>
            </w:r>
          </w:p>
        </w:tc>
        <w:tc>
          <w:tcPr>
            <w:tcW w:w="311" w:type="pct"/>
            <w:tcBorders>
              <w:tl2br w:val="nil"/>
              <w:tr2bl w:val="nil"/>
            </w:tcBorders>
            <w:vAlign w:val="center"/>
          </w:tcPr>
          <w:p w14:paraId="31F1EAA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0.078</w:t>
            </w:r>
          </w:p>
        </w:tc>
        <w:tc>
          <w:tcPr>
            <w:tcW w:w="316" w:type="pct"/>
            <w:tcBorders>
              <w:tl2br w:val="nil"/>
              <w:tr2bl w:val="nil"/>
            </w:tcBorders>
            <w:vAlign w:val="center"/>
          </w:tcPr>
          <w:p w14:paraId="4F3D1AA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0.066</w:t>
            </w:r>
          </w:p>
        </w:tc>
        <w:tc>
          <w:tcPr>
            <w:tcW w:w="491" w:type="pct"/>
            <w:tcBorders>
              <w:tl2br w:val="nil"/>
              <w:tr2bl w:val="nil"/>
            </w:tcBorders>
            <w:shd w:val="clear" w:color="auto" w:fill="auto"/>
            <w:vAlign w:val="center"/>
          </w:tcPr>
          <w:p w14:paraId="0DCAA278">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0.362</w:t>
            </w:r>
          </w:p>
        </w:tc>
        <w:tc>
          <w:tcPr>
            <w:tcW w:w="240" w:type="pct"/>
            <w:tcBorders>
              <w:tl2br w:val="nil"/>
              <w:tr2bl w:val="nil"/>
            </w:tcBorders>
            <w:vAlign w:val="center"/>
          </w:tcPr>
          <w:p w14:paraId="44BABEBD">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w:t>
            </w:r>
          </w:p>
        </w:tc>
        <w:tc>
          <w:tcPr>
            <w:tcW w:w="240" w:type="pct"/>
            <w:tcBorders>
              <w:tl2br w:val="nil"/>
              <w:tr2bl w:val="nil"/>
            </w:tcBorders>
            <w:shd w:val="clear" w:color="auto" w:fill="D7D7D7" w:themeFill="background1" w:themeFillShade="D8"/>
            <w:vAlign w:val="center"/>
          </w:tcPr>
          <w:p w14:paraId="39569F3C">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w:t>
            </w:r>
          </w:p>
        </w:tc>
        <w:tc>
          <w:tcPr>
            <w:tcW w:w="247" w:type="pct"/>
            <w:tcBorders>
              <w:tl2br w:val="nil"/>
              <w:tr2bl w:val="nil"/>
            </w:tcBorders>
            <w:vAlign w:val="center"/>
          </w:tcPr>
          <w:p w14:paraId="2727370B">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w:t>
            </w:r>
          </w:p>
        </w:tc>
        <w:tc>
          <w:tcPr>
            <w:tcW w:w="243" w:type="pct"/>
            <w:tcBorders>
              <w:tl2br w:val="nil"/>
              <w:tr2bl w:val="nil"/>
            </w:tcBorders>
            <w:vAlign w:val="center"/>
          </w:tcPr>
          <w:p w14:paraId="63636255">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r>
      <w:tr w14:paraId="71D5B6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375E38C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硝酸盐氮离子</w:t>
            </w:r>
          </w:p>
        </w:tc>
        <w:tc>
          <w:tcPr>
            <w:tcW w:w="310" w:type="pct"/>
            <w:tcBorders>
              <w:tl2br w:val="nil"/>
              <w:tr2bl w:val="nil"/>
            </w:tcBorders>
            <w:vAlign w:val="center"/>
          </w:tcPr>
          <w:p w14:paraId="2005718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1.76</w:t>
            </w:r>
          </w:p>
        </w:tc>
        <w:tc>
          <w:tcPr>
            <w:tcW w:w="310" w:type="pct"/>
            <w:tcBorders>
              <w:tl2br w:val="nil"/>
              <w:tr2bl w:val="nil"/>
            </w:tcBorders>
            <w:vAlign w:val="center"/>
          </w:tcPr>
          <w:p w14:paraId="76EDF29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1.85</w:t>
            </w:r>
          </w:p>
        </w:tc>
        <w:tc>
          <w:tcPr>
            <w:tcW w:w="310" w:type="pct"/>
            <w:tcBorders>
              <w:tl2br w:val="nil"/>
              <w:tr2bl w:val="nil"/>
            </w:tcBorders>
            <w:vAlign w:val="center"/>
          </w:tcPr>
          <w:p w14:paraId="18F8312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1.68</w:t>
            </w:r>
          </w:p>
        </w:tc>
        <w:tc>
          <w:tcPr>
            <w:tcW w:w="310" w:type="pct"/>
            <w:tcBorders>
              <w:tl2br w:val="nil"/>
              <w:tr2bl w:val="nil"/>
            </w:tcBorders>
            <w:vAlign w:val="center"/>
          </w:tcPr>
          <w:p w14:paraId="1D82311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1.83</w:t>
            </w:r>
          </w:p>
        </w:tc>
        <w:tc>
          <w:tcPr>
            <w:tcW w:w="311" w:type="pct"/>
            <w:tcBorders>
              <w:tl2br w:val="nil"/>
              <w:tr2bl w:val="nil"/>
            </w:tcBorders>
            <w:vAlign w:val="center"/>
          </w:tcPr>
          <w:p w14:paraId="2F4901F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1.88</w:t>
            </w:r>
          </w:p>
        </w:tc>
        <w:tc>
          <w:tcPr>
            <w:tcW w:w="311" w:type="pct"/>
            <w:tcBorders>
              <w:tl2br w:val="nil"/>
              <w:tr2bl w:val="nil"/>
            </w:tcBorders>
            <w:vAlign w:val="center"/>
          </w:tcPr>
          <w:p w14:paraId="7DEFADF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1.71</w:t>
            </w:r>
          </w:p>
        </w:tc>
        <w:tc>
          <w:tcPr>
            <w:tcW w:w="311" w:type="pct"/>
            <w:tcBorders>
              <w:tl2br w:val="nil"/>
              <w:tr2bl w:val="nil"/>
            </w:tcBorders>
            <w:vAlign w:val="center"/>
          </w:tcPr>
          <w:p w14:paraId="63607DC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1.77</w:t>
            </w:r>
          </w:p>
        </w:tc>
        <w:tc>
          <w:tcPr>
            <w:tcW w:w="310" w:type="pct"/>
            <w:tcBorders>
              <w:tl2br w:val="nil"/>
              <w:tr2bl w:val="nil"/>
            </w:tcBorders>
            <w:vAlign w:val="center"/>
          </w:tcPr>
          <w:p w14:paraId="4CD585C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1.88</w:t>
            </w:r>
          </w:p>
        </w:tc>
        <w:tc>
          <w:tcPr>
            <w:tcW w:w="311" w:type="pct"/>
            <w:tcBorders>
              <w:tl2br w:val="nil"/>
              <w:tr2bl w:val="nil"/>
            </w:tcBorders>
            <w:vAlign w:val="center"/>
          </w:tcPr>
          <w:p w14:paraId="13C43ED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1.86</w:t>
            </w:r>
          </w:p>
        </w:tc>
        <w:tc>
          <w:tcPr>
            <w:tcW w:w="316" w:type="pct"/>
            <w:tcBorders>
              <w:tl2br w:val="nil"/>
              <w:tr2bl w:val="nil"/>
            </w:tcBorders>
            <w:vAlign w:val="center"/>
          </w:tcPr>
          <w:p w14:paraId="1704232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1.41</w:t>
            </w:r>
          </w:p>
        </w:tc>
        <w:tc>
          <w:tcPr>
            <w:tcW w:w="491" w:type="pct"/>
            <w:tcBorders>
              <w:tl2br w:val="nil"/>
              <w:tr2bl w:val="nil"/>
            </w:tcBorders>
            <w:shd w:val="clear" w:color="auto" w:fill="auto"/>
            <w:vAlign w:val="center"/>
          </w:tcPr>
          <w:p w14:paraId="5E5415FE">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240" w:type="pct"/>
            <w:tcBorders>
              <w:tl2br w:val="nil"/>
              <w:tr2bl w:val="nil"/>
            </w:tcBorders>
            <w:shd w:val="clear" w:color="auto" w:fill="D7D7D7" w:themeFill="background1" w:themeFillShade="D8"/>
            <w:vAlign w:val="center"/>
          </w:tcPr>
          <w:p w14:paraId="29A6A8A3">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240" w:type="pct"/>
            <w:tcBorders>
              <w:tl2br w:val="nil"/>
              <w:tr2bl w:val="nil"/>
            </w:tcBorders>
            <w:vAlign w:val="center"/>
          </w:tcPr>
          <w:p w14:paraId="67C1E279">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247" w:type="pct"/>
            <w:tcBorders>
              <w:tl2br w:val="nil"/>
              <w:tr2bl w:val="nil"/>
            </w:tcBorders>
            <w:vAlign w:val="center"/>
          </w:tcPr>
          <w:p w14:paraId="0CA8BF45">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243" w:type="pct"/>
            <w:tcBorders>
              <w:tl2br w:val="nil"/>
              <w:tr2bl w:val="nil"/>
            </w:tcBorders>
            <w:vAlign w:val="center"/>
          </w:tcPr>
          <w:p w14:paraId="4BB109F8">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w:t>
            </w:r>
          </w:p>
        </w:tc>
      </w:tr>
      <w:tr w14:paraId="1E7229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8" w:hRule="atLeast"/>
        </w:trPr>
        <w:tc>
          <w:tcPr>
            <w:tcW w:w="422" w:type="pct"/>
            <w:tcBorders>
              <w:tl2br w:val="nil"/>
              <w:tr2bl w:val="nil"/>
            </w:tcBorders>
            <w:vAlign w:val="center"/>
          </w:tcPr>
          <w:p w14:paraId="55B885E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亚硝酸盐氮离子</w:t>
            </w:r>
          </w:p>
        </w:tc>
        <w:tc>
          <w:tcPr>
            <w:tcW w:w="310" w:type="pct"/>
            <w:tcBorders>
              <w:tl2br w:val="nil"/>
              <w:tr2bl w:val="nil"/>
            </w:tcBorders>
            <w:vAlign w:val="center"/>
          </w:tcPr>
          <w:p w14:paraId="164B3B9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3698900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13FF281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31AE454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6F90000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17B63CD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68ACABD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1BE7D61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05AEDEF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6" w:type="pct"/>
            <w:tcBorders>
              <w:tl2br w:val="nil"/>
              <w:tr2bl w:val="nil"/>
            </w:tcBorders>
            <w:vAlign w:val="center"/>
          </w:tcPr>
          <w:p w14:paraId="19206E7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491" w:type="pct"/>
            <w:tcBorders>
              <w:tl2br w:val="nil"/>
              <w:tr2bl w:val="nil"/>
            </w:tcBorders>
            <w:shd w:val="clear" w:color="auto" w:fill="auto"/>
            <w:vAlign w:val="center"/>
          </w:tcPr>
          <w:p w14:paraId="3284EF3E">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w:t>
            </w:r>
          </w:p>
        </w:tc>
        <w:tc>
          <w:tcPr>
            <w:tcW w:w="240" w:type="pct"/>
            <w:tcBorders>
              <w:tl2br w:val="nil"/>
              <w:tr2bl w:val="nil"/>
            </w:tcBorders>
            <w:shd w:val="clear" w:color="auto" w:fill="D7D7D7" w:themeFill="background1" w:themeFillShade="D8"/>
            <w:vAlign w:val="center"/>
          </w:tcPr>
          <w:p w14:paraId="1B88C2DC">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c>
          <w:tcPr>
            <w:tcW w:w="240" w:type="pct"/>
            <w:tcBorders>
              <w:tl2br w:val="nil"/>
              <w:tr2bl w:val="nil"/>
            </w:tcBorders>
            <w:vAlign w:val="center"/>
          </w:tcPr>
          <w:p w14:paraId="24BE30CA">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w:t>
            </w:r>
          </w:p>
        </w:tc>
        <w:tc>
          <w:tcPr>
            <w:tcW w:w="247" w:type="pct"/>
            <w:tcBorders>
              <w:tl2br w:val="nil"/>
              <w:tr2bl w:val="nil"/>
            </w:tcBorders>
            <w:vAlign w:val="center"/>
          </w:tcPr>
          <w:p w14:paraId="660E5D85">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243" w:type="pct"/>
            <w:tcBorders>
              <w:tl2br w:val="nil"/>
              <w:tr2bl w:val="nil"/>
            </w:tcBorders>
            <w:vAlign w:val="center"/>
          </w:tcPr>
          <w:p w14:paraId="6EE481B5">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w:t>
            </w:r>
          </w:p>
        </w:tc>
      </w:tr>
      <w:tr w14:paraId="010D35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56C01B8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挥发酚</w:t>
            </w:r>
          </w:p>
        </w:tc>
        <w:tc>
          <w:tcPr>
            <w:tcW w:w="310" w:type="pct"/>
            <w:tcBorders>
              <w:tl2br w:val="nil"/>
              <w:tr2bl w:val="nil"/>
            </w:tcBorders>
            <w:vAlign w:val="center"/>
          </w:tcPr>
          <w:p w14:paraId="6A7F65F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7977B61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3117EE7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5BB7079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6231223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1033CFA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4F9F514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59CEC3A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3ED9634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6" w:type="pct"/>
            <w:tcBorders>
              <w:tl2br w:val="nil"/>
              <w:tr2bl w:val="nil"/>
            </w:tcBorders>
            <w:vAlign w:val="center"/>
          </w:tcPr>
          <w:p w14:paraId="523A7B8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491" w:type="pct"/>
            <w:tcBorders>
              <w:tl2br w:val="nil"/>
              <w:tr2bl w:val="nil"/>
            </w:tcBorders>
            <w:shd w:val="clear" w:color="auto" w:fill="auto"/>
            <w:vAlign w:val="center"/>
          </w:tcPr>
          <w:p w14:paraId="12D0BD83">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0.006</w:t>
            </w:r>
          </w:p>
        </w:tc>
        <w:tc>
          <w:tcPr>
            <w:tcW w:w="240" w:type="pct"/>
            <w:tcBorders>
              <w:tl2br w:val="nil"/>
              <w:tr2bl w:val="nil"/>
            </w:tcBorders>
            <w:shd w:val="clear" w:color="auto" w:fill="D7D7D7" w:themeFill="background1" w:themeFillShade="D8"/>
            <w:vAlign w:val="center"/>
          </w:tcPr>
          <w:p w14:paraId="3A1F9193">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0.001</w:t>
            </w:r>
          </w:p>
        </w:tc>
        <w:tc>
          <w:tcPr>
            <w:tcW w:w="240" w:type="pct"/>
            <w:tcBorders>
              <w:tl2br w:val="nil"/>
              <w:tr2bl w:val="nil"/>
            </w:tcBorders>
            <w:vAlign w:val="center"/>
          </w:tcPr>
          <w:p w14:paraId="03456F8D">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0.001</w:t>
            </w:r>
          </w:p>
        </w:tc>
        <w:tc>
          <w:tcPr>
            <w:tcW w:w="247" w:type="pct"/>
            <w:tcBorders>
              <w:tl2br w:val="nil"/>
              <w:tr2bl w:val="nil"/>
            </w:tcBorders>
            <w:vAlign w:val="center"/>
          </w:tcPr>
          <w:p w14:paraId="7B08D490">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0.002</w:t>
            </w:r>
          </w:p>
        </w:tc>
        <w:tc>
          <w:tcPr>
            <w:tcW w:w="243" w:type="pct"/>
            <w:tcBorders>
              <w:tl2br w:val="nil"/>
              <w:tr2bl w:val="nil"/>
            </w:tcBorders>
            <w:vAlign w:val="center"/>
          </w:tcPr>
          <w:p w14:paraId="2595CA94">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r>
      <w:tr w14:paraId="1294F3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0357200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氰化物</w:t>
            </w:r>
          </w:p>
        </w:tc>
        <w:tc>
          <w:tcPr>
            <w:tcW w:w="310" w:type="pct"/>
            <w:tcBorders>
              <w:tl2br w:val="nil"/>
              <w:tr2bl w:val="nil"/>
            </w:tcBorders>
            <w:vAlign w:val="center"/>
          </w:tcPr>
          <w:p w14:paraId="585EEBF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693E142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21C73A1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5538583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3E8B1EF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0AA5B4D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79BB981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28D0E35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6CD41A4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6" w:type="pct"/>
            <w:tcBorders>
              <w:tl2br w:val="nil"/>
              <w:tr2bl w:val="nil"/>
            </w:tcBorders>
            <w:vAlign w:val="center"/>
          </w:tcPr>
          <w:p w14:paraId="32EFFFC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491" w:type="pct"/>
            <w:tcBorders>
              <w:tl2br w:val="nil"/>
              <w:tr2bl w:val="nil"/>
            </w:tcBorders>
            <w:shd w:val="clear" w:color="auto" w:fill="auto"/>
            <w:vAlign w:val="center"/>
          </w:tcPr>
          <w:p w14:paraId="242BA5AD">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w:t>
            </w:r>
          </w:p>
        </w:tc>
        <w:tc>
          <w:tcPr>
            <w:tcW w:w="240" w:type="pct"/>
            <w:tcBorders>
              <w:tl2br w:val="nil"/>
              <w:tr2bl w:val="nil"/>
            </w:tcBorders>
            <w:shd w:val="clear" w:color="auto" w:fill="D7D7D7" w:themeFill="background1" w:themeFillShade="D8"/>
            <w:vAlign w:val="center"/>
          </w:tcPr>
          <w:p w14:paraId="11DE4EC6">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0.001</w:t>
            </w:r>
          </w:p>
        </w:tc>
        <w:tc>
          <w:tcPr>
            <w:tcW w:w="240" w:type="pct"/>
            <w:tcBorders>
              <w:tl2br w:val="nil"/>
              <w:tr2bl w:val="nil"/>
            </w:tcBorders>
            <w:vAlign w:val="center"/>
          </w:tcPr>
          <w:p w14:paraId="21868EE1">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c>
          <w:tcPr>
            <w:tcW w:w="247" w:type="pct"/>
            <w:tcBorders>
              <w:tl2br w:val="nil"/>
              <w:tr2bl w:val="nil"/>
            </w:tcBorders>
            <w:vAlign w:val="center"/>
          </w:tcPr>
          <w:p w14:paraId="1313CDED">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c>
          <w:tcPr>
            <w:tcW w:w="243" w:type="pct"/>
            <w:tcBorders>
              <w:tl2br w:val="nil"/>
              <w:tr2bl w:val="nil"/>
            </w:tcBorders>
            <w:vAlign w:val="center"/>
          </w:tcPr>
          <w:p w14:paraId="2E12480C">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w:t>
            </w:r>
          </w:p>
        </w:tc>
      </w:tr>
      <w:tr w14:paraId="5DED43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3B4C394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μg/L</w:t>
            </w:r>
            <w:r>
              <w:rPr>
                <w:rFonts w:hint="eastAsia" w:ascii="Times New Roman" w:hAnsi="Times New Roman" w:eastAsia="宋体" w:cs="Times New Roman"/>
                <w:color w:val="auto"/>
                <w:sz w:val="21"/>
                <w:szCs w:val="21"/>
                <w:lang w:eastAsia="zh-CN"/>
              </w:rPr>
              <w:t>）</w:t>
            </w:r>
          </w:p>
        </w:tc>
        <w:tc>
          <w:tcPr>
            <w:tcW w:w="310" w:type="pct"/>
            <w:tcBorders>
              <w:tl2br w:val="nil"/>
              <w:tr2bl w:val="nil"/>
            </w:tcBorders>
            <w:vAlign w:val="center"/>
          </w:tcPr>
          <w:p w14:paraId="1470183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0.6 </w:t>
            </w:r>
          </w:p>
        </w:tc>
        <w:tc>
          <w:tcPr>
            <w:tcW w:w="310" w:type="pct"/>
            <w:tcBorders>
              <w:tl2br w:val="nil"/>
              <w:tr2bl w:val="nil"/>
            </w:tcBorders>
            <w:vAlign w:val="center"/>
          </w:tcPr>
          <w:p w14:paraId="5E38F98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0.7 </w:t>
            </w:r>
          </w:p>
        </w:tc>
        <w:tc>
          <w:tcPr>
            <w:tcW w:w="310" w:type="pct"/>
            <w:tcBorders>
              <w:tl2br w:val="nil"/>
              <w:tr2bl w:val="nil"/>
            </w:tcBorders>
            <w:vAlign w:val="center"/>
          </w:tcPr>
          <w:p w14:paraId="31B4D9A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0.8 </w:t>
            </w:r>
          </w:p>
        </w:tc>
        <w:tc>
          <w:tcPr>
            <w:tcW w:w="310" w:type="pct"/>
            <w:tcBorders>
              <w:tl2br w:val="nil"/>
              <w:tr2bl w:val="nil"/>
            </w:tcBorders>
            <w:vAlign w:val="center"/>
          </w:tcPr>
          <w:p w14:paraId="7DE79E2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0.8 </w:t>
            </w:r>
          </w:p>
        </w:tc>
        <w:tc>
          <w:tcPr>
            <w:tcW w:w="311" w:type="pct"/>
            <w:tcBorders>
              <w:tl2br w:val="nil"/>
              <w:tr2bl w:val="nil"/>
            </w:tcBorders>
            <w:vAlign w:val="center"/>
          </w:tcPr>
          <w:p w14:paraId="470B12D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0.7 </w:t>
            </w:r>
          </w:p>
        </w:tc>
        <w:tc>
          <w:tcPr>
            <w:tcW w:w="311" w:type="pct"/>
            <w:tcBorders>
              <w:tl2br w:val="nil"/>
              <w:tr2bl w:val="nil"/>
            </w:tcBorders>
            <w:vAlign w:val="center"/>
          </w:tcPr>
          <w:p w14:paraId="5A5AE08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0.8 </w:t>
            </w:r>
          </w:p>
        </w:tc>
        <w:tc>
          <w:tcPr>
            <w:tcW w:w="311" w:type="pct"/>
            <w:tcBorders>
              <w:tl2br w:val="nil"/>
              <w:tr2bl w:val="nil"/>
            </w:tcBorders>
            <w:vAlign w:val="center"/>
          </w:tcPr>
          <w:p w14:paraId="642C515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0.6 </w:t>
            </w:r>
          </w:p>
        </w:tc>
        <w:tc>
          <w:tcPr>
            <w:tcW w:w="310" w:type="pct"/>
            <w:tcBorders>
              <w:tl2br w:val="nil"/>
              <w:tr2bl w:val="nil"/>
            </w:tcBorders>
            <w:vAlign w:val="center"/>
          </w:tcPr>
          <w:p w14:paraId="44DD878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0.7 </w:t>
            </w:r>
          </w:p>
        </w:tc>
        <w:tc>
          <w:tcPr>
            <w:tcW w:w="311" w:type="pct"/>
            <w:tcBorders>
              <w:tl2br w:val="nil"/>
              <w:tr2bl w:val="nil"/>
            </w:tcBorders>
            <w:vAlign w:val="center"/>
          </w:tcPr>
          <w:p w14:paraId="26CA2D2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0.7 </w:t>
            </w:r>
          </w:p>
        </w:tc>
        <w:tc>
          <w:tcPr>
            <w:tcW w:w="316" w:type="pct"/>
            <w:tcBorders>
              <w:tl2br w:val="nil"/>
              <w:tr2bl w:val="nil"/>
            </w:tcBorders>
            <w:vAlign w:val="center"/>
          </w:tcPr>
          <w:p w14:paraId="57C355B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0.6 </w:t>
            </w:r>
          </w:p>
        </w:tc>
        <w:tc>
          <w:tcPr>
            <w:tcW w:w="491" w:type="pct"/>
            <w:tcBorders>
              <w:tl2br w:val="nil"/>
              <w:tr2bl w:val="nil"/>
            </w:tcBorders>
            <w:shd w:val="clear" w:color="auto" w:fill="auto"/>
            <w:vAlign w:val="center"/>
          </w:tcPr>
          <w:p w14:paraId="17F19C50">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240" w:type="pct"/>
            <w:tcBorders>
              <w:tl2br w:val="nil"/>
              <w:tr2bl w:val="nil"/>
            </w:tcBorders>
            <w:shd w:val="clear" w:color="auto" w:fill="D7D7D7" w:themeFill="background1" w:themeFillShade="D8"/>
            <w:vAlign w:val="center"/>
          </w:tcPr>
          <w:p w14:paraId="6DDD06EA">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0.001</w:t>
            </w:r>
          </w:p>
        </w:tc>
        <w:tc>
          <w:tcPr>
            <w:tcW w:w="240" w:type="pct"/>
            <w:tcBorders>
              <w:tl2br w:val="nil"/>
              <w:tr2bl w:val="nil"/>
            </w:tcBorders>
            <w:vAlign w:val="center"/>
          </w:tcPr>
          <w:p w14:paraId="2AB125B1">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0.001</w:t>
            </w:r>
          </w:p>
        </w:tc>
        <w:tc>
          <w:tcPr>
            <w:tcW w:w="247" w:type="pct"/>
            <w:tcBorders>
              <w:tl2br w:val="nil"/>
              <w:tr2bl w:val="nil"/>
            </w:tcBorders>
            <w:vAlign w:val="center"/>
          </w:tcPr>
          <w:p w14:paraId="21509E61">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c>
          <w:tcPr>
            <w:tcW w:w="243" w:type="pct"/>
            <w:tcBorders>
              <w:tl2br w:val="nil"/>
              <w:tr2bl w:val="nil"/>
            </w:tcBorders>
            <w:vAlign w:val="center"/>
          </w:tcPr>
          <w:p w14:paraId="4F19ACE1">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r>
      <w:tr w14:paraId="539CF5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7" w:hRule="atLeast"/>
        </w:trPr>
        <w:tc>
          <w:tcPr>
            <w:tcW w:w="422" w:type="pct"/>
            <w:tcBorders>
              <w:tl2br w:val="nil"/>
              <w:tr2bl w:val="nil"/>
            </w:tcBorders>
            <w:vAlign w:val="center"/>
          </w:tcPr>
          <w:p w14:paraId="663140C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汞</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μg/L</w:t>
            </w:r>
            <w:r>
              <w:rPr>
                <w:rFonts w:hint="eastAsia" w:ascii="Times New Roman" w:hAnsi="Times New Roman" w:eastAsia="宋体" w:cs="Times New Roman"/>
                <w:color w:val="auto"/>
                <w:sz w:val="21"/>
                <w:szCs w:val="21"/>
                <w:lang w:eastAsia="zh-CN"/>
              </w:rPr>
              <w:t>）</w:t>
            </w:r>
          </w:p>
        </w:tc>
        <w:tc>
          <w:tcPr>
            <w:tcW w:w="310" w:type="pct"/>
            <w:tcBorders>
              <w:tl2br w:val="nil"/>
              <w:tr2bl w:val="nil"/>
            </w:tcBorders>
            <w:vAlign w:val="center"/>
          </w:tcPr>
          <w:p w14:paraId="44A68F8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22</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310" w:type="pct"/>
            <w:tcBorders>
              <w:tl2br w:val="nil"/>
              <w:tr2bl w:val="nil"/>
            </w:tcBorders>
            <w:vAlign w:val="center"/>
          </w:tcPr>
          <w:p w14:paraId="0F32EFB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0.2</w:t>
            </w:r>
            <w:r>
              <w:rPr>
                <w:rFonts w:hint="eastAsia" w:ascii="Times New Roman" w:hAnsi="Times New Roman" w:eastAsia="宋体" w:cs="Times New Roman"/>
                <w:i w:val="0"/>
                <w:iCs w:val="0"/>
                <w:color w:val="auto"/>
                <w:kern w:val="0"/>
                <w:sz w:val="21"/>
                <w:szCs w:val="21"/>
                <w:u w:val="none"/>
                <w:lang w:val="en-US" w:eastAsia="zh-CN" w:bidi="ar"/>
              </w:rPr>
              <w:t>0</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310" w:type="pct"/>
            <w:tcBorders>
              <w:tl2br w:val="nil"/>
              <w:tr2bl w:val="nil"/>
            </w:tcBorders>
            <w:vAlign w:val="center"/>
          </w:tcPr>
          <w:p w14:paraId="752DDDB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 xml:space="preserve">0 </w:t>
            </w:r>
          </w:p>
        </w:tc>
        <w:tc>
          <w:tcPr>
            <w:tcW w:w="310" w:type="pct"/>
            <w:tcBorders>
              <w:tl2br w:val="nil"/>
              <w:tr2bl w:val="nil"/>
            </w:tcBorders>
            <w:vAlign w:val="center"/>
          </w:tcPr>
          <w:p w14:paraId="6F35F9B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0.26 </w:t>
            </w:r>
          </w:p>
        </w:tc>
        <w:tc>
          <w:tcPr>
            <w:tcW w:w="311" w:type="pct"/>
            <w:tcBorders>
              <w:tl2br w:val="nil"/>
              <w:tr2bl w:val="nil"/>
            </w:tcBorders>
            <w:vAlign w:val="center"/>
          </w:tcPr>
          <w:p w14:paraId="29EA269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0.32 </w:t>
            </w:r>
          </w:p>
        </w:tc>
        <w:tc>
          <w:tcPr>
            <w:tcW w:w="311" w:type="pct"/>
            <w:tcBorders>
              <w:tl2br w:val="nil"/>
              <w:tr2bl w:val="nil"/>
            </w:tcBorders>
            <w:vAlign w:val="center"/>
          </w:tcPr>
          <w:p w14:paraId="5FDB587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 xml:space="preserve">1 </w:t>
            </w:r>
          </w:p>
        </w:tc>
        <w:tc>
          <w:tcPr>
            <w:tcW w:w="311" w:type="pct"/>
            <w:tcBorders>
              <w:tl2br w:val="nil"/>
              <w:tr2bl w:val="nil"/>
            </w:tcBorders>
            <w:vAlign w:val="center"/>
          </w:tcPr>
          <w:p w14:paraId="7BC449E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21</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310" w:type="pct"/>
            <w:tcBorders>
              <w:tl2br w:val="nil"/>
              <w:tr2bl w:val="nil"/>
            </w:tcBorders>
            <w:vAlign w:val="center"/>
          </w:tcPr>
          <w:p w14:paraId="5D01816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21</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311" w:type="pct"/>
            <w:tcBorders>
              <w:tl2br w:val="nil"/>
              <w:tr2bl w:val="nil"/>
            </w:tcBorders>
            <w:vAlign w:val="center"/>
          </w:tcPr>
          <w:p w14:paraId="7382495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 xml:space="preserve">29 </w:t>
            </w:r>
          </w:p>
        </w:tc>
        <w:tc>
          <w:tcPr>
            <w:tcW w:w="316" w:type="pct"/>
            <w:tcBorders>
              <w:tl2br w:val="nil"/>
              <w:tr2bl w:val="nil"/>
            </w:tcBorders>
            <w:vAlign w:val="center"/>
          </w:tcPr>
          <w:p w14:paraId="4816099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22</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491" w:type="pct"/>
            <w:tcBorders>
              <w:tl2br w:val="nil"/>
              <w:tr2bl w:val="nil"/>
            </w:tcBorders>
            <w:vAlign w:val="center"/>
          </w:tcPr>
          <w:p w14:paraId="2661FABE">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0.46</w:t>
            </w:r>
          </w:p>
        </w:tc>
        <w:tc>
          <w:tcPr>
            <w:tcW w:w="240" w:type="pct"/>
            <w:tcBorders>
              <w:tl2br w:val="nil"/>
              <w:tr2bl w:val="nil"/>
            </w:tcBorders>
            <w:vAlign w:val="center"/>
          </w:tcPr>
          <w:p w14:paraId="698AA5CE">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0.0001</w:t>
            </w:r>
          </w:p>
        </w:tc>
        <w:tc>
          <w:tcPr>
            <w:tcW w:w="240" w:type="pct"/>
            <w:tcBorders>
              <w:tl2br w:val="nil"/>
              <w:tr2bl w:val="nil"/>
            </w:tcBorders>
            <w:vAlign w:val="center"/>
          </w:tcPr>
          <w:p w14:paraId="7235C622">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0.0001</w:t>
            </w:r>
          </w:p>
        </w:tc>
        <w:tc>
          <w:tcPr>
            <w:tcW w:w="247" w:type="pct"/>
            <w:tcBorders>
              <w:tl2br w:val="nil"/>
              <w:tr2bl w:val="nil"/>
            </w:tcBorders>
            <w:shd w:val="clear" w:color="auto" w:fill="D7D7D7" w:themeFill="background1" w:themeFillShade="D8"/>
            <w:vAlign w:val="center"/>
          </w:tcPr>
          <w:p w14:paraId="6C98C5DA">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0.001</w:t>
            </w:r>
          </w:p>
        </w:tc>
        <w:tc>
          <w:tcPr>
            <w:tcW w:w="243" w:type="pct"/>
            <w:tcBorders>
              <w:tl2br w:val="nil"/>
              <w:tr2bl w:val="nil"/>
            </w:tcBorders>
            <w:vAlign w:val="center"/>
          </w:tcPr>
          <w:p w14:paraId="5D2BE7E6">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0.002</w:t>
            </w:r>
          </w:p>
        </w:tc>
      </w:tr>
      <w:tr w14:paraId="2AF5F1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65279DC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六价铬</w:t>
            </w:r>
          </w:p>
        </w:tc>
        <w:tc>
          <w:tcPr>
            <w:tcW w:w="310" w:type="pct"/>
            <w:tcBorders>
              <w:tl2br w:val="nil"/>
              <w:tr2bl w:val="nil"/>
            </w:tcBorders>
            <w:vAlign w:val="center"/>
          </w:tcPr>
          <w:p w14:paraId="2C721E3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5CA6EF3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3FBF6F5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256D080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131C684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3C2B2B7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0613AA3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323F4A4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654CCFF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6" w:type="pct"/>
            <w:tcBorders>
              <w:tl2br w:val="nil"/>
              <w:tr2bl w:val="nil"/>
            </w:tcBorders>
            <w:vAlign w:val="center"/>
          </w:tcPr>
          <w:p w14:paraId="7ED426A7">
            <w:pPr>
              <w:keepNext w:val="0"/>
              <w:keepLines w:val="0"/>
              <w:widowControl/>
              <w:suppressLineNumbers w:val="0"/>
              <w:jc w:val="center"/>
              <w:textAlignment w:val="center"/>
              <w:rPr>
                <w:rFonts w:hint="default" w:ascii="Times New Roman" w:hAnsi="Times New Roman" w:eastAsia="宋体" w:cs="Times New Roman"/>
                <w:color w:val="auto"/>
                <w:sz w:val="21"/>
                <w:szCs w:val="21"/>
              </w:rPr>
            </w:pPr>
            <w:bookmarkStart w:id="1636" w:name="OLE_LINK557"/>
            <w:r>
              <w:rPr>
                <w:rFonts w:hint="default" w:ascii="Times New Roman" w:hAnsi="Times New Roman" w:eastAsia="宋体" w:cs="Times New Roman"/>
                <w:i w:val="0"/>
                <w:iCs w:val="0"/>
                <w:color w:val="auto"/>
                <w:kern w:val="0"/>
                <w:sz w:val="21"/>
                <w:szCs w:val="21"/>
                <w:u w:val="none"/>
                <w:lang w:val="en-US" w:eastAsia="zh-CN" w:bidi="ar"/>
              </w:rPr>
              <w:t>ND</w:t>
            </w:r>
            <w:bookmarkEnd w:id="1636"/>
          </w:p>
        </w:tc>
        <w:tc>
          <w:tcPr>
            <w:tcW w:w="491" w:type="pct"/>
            <w:tcBorders>
              <w:tl2br w:val="nil"/>
              <w:tr2bl w:val="nil"/>
            </w:tcBorders>
            <w:shd w:val="clear" w:color="auto" w:fill="auto"/>
            <w:vAlign w:val="center"/>
          </w:tcPr>
          <w:p w14:paraId="78552E33">
            <w:pPr>
              <w:bidi w:val="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ND</w:t>
            </w:r>
          </w:p>
        </w:tc>
        <w:tc>
          <w:tcPr>
            <w:tcW w:w="240" w:type="pct"/>
            <w:tcBorders>
              <w:tl2br w:val="nil"/>
              <w:tr2bl w:val="nil"/>
            </w:tcBorders>
            <w:shd w:val="clear" w:color="auto" w:fill="D7D7D7" w:themeFill="background1" w:themeFillShade="D8"/>
            <w:vAlign w:val="center"/>
          </w:tcPr>
          <w:p w14:paraId="7C77F129">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0.005</w:t>
            </w:r>
          </w:p>
        </w:tc>
        <w:tc>
          <w:tcPr>
            <w:tcW w:w="240" w:type="pct"/>
            <w:tcBorders>
              <w:tl2br w:val="nil"/>
              <w:tr2bl w:val="nil"/>
            </w:tcBorders>
            <w:vAlign w:val="center"/>
          </w:tcPr>
          <w:p w14:paraId="1F945842">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c>
          <w:tcPr>
            <w:tcW w:w="247" w:type="pct"/>
            <w:tcBorders>
              <w:tl2br w:val="nil"/>
              <w:tr2bl w:val="nil"/>
            </w:tcBorders>
            <w:vAlign w:val="center"/>
          </w:tcPr>
          <w:p w14:paraId="5435E83F">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c>
          <w:tcPr>
            <w:tcW w:w="243" w:type="pct"/>
            <w:tcBorders>
              <w:tl2br w:val="nil"/>
              <w:tr2bl w:val="nil"/>
            </w:tcBorders>
            <w:vAlign w:val="center"/>
          </w:tcPr>
          <w:p w14:paraId="33571B1F">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w:t>
            </w:r>
          </w:p>
        </w:tc>
      </w:tr>
      <w:tr w14:paraId="1C6FAA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7" w:hRule="atLeast"/>
        </w:trPr>
        <w:tc>
          <w:tcPr>
            <w:tcW w:w="422" w:type="pct"/>
            <w:tcBorders>
              <w:tl2br w:val="nil"/>
              <w:tr2bl w:val="nil"/>
            </w:tcBorders>
            <w:vAlign w:val="center"/>
          </w:tcPr>
          <w:p w14:paraId="7C49CF1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总硬度</w:t>
            </w:r>
          </w:p>
        </w:tc>
        <w:tc>
          <w:tcPr>
            <w:tcW w:w="310" w:type="pct"/>
            <w:tcBorders>
              <w:tl2br w:val="nil"/>
              <w:tr2bl w:val="nil"/>
            </w:tcBorders>
            <w:vAlign w:val="center"/>
          </w:tcPr>
          <w:p w14:paraId="7A8816C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415</w:t>
            </w:r>
          </w:p>
        </w:tc>
        <w:tc>
          <w:tcPr>
            <w:tcW w:w="310" w:type="pct"/>
            <w:tcBorders>
              <w:tl2br w:val="nil"/>
              <w:tr2bl w:val="nil"/>
            </w:tcBorders>
            <w:vAlign w:val="center"/>
          </w:tcPr>
          <w:p w14:paraId="16E60D9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418</w:t>
            </w:r>
          </w:p>
        </w:tc>
        <w:tc>
          <w:tcPr>
            <w:tcW w:w="310" w:type="pct"/>
            <w:tcBorders>
              <w:tl2br w:val="nil"/>
              <w:tr2bl w:val="nil"/>
            </w:tcBorders>
            <w:vAlign w:val="center"/>
          </w:tcPr>
          <w:p w14:paraId="505EDC8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415</w:t>
            </w:r>
          </w:p>
        </w:tc>
        <w:tc>
          <w:tcPr>
            <w:tcW w:w="310" w:type="pct"/>
            <w:tcBorders>
              <w:tl2br w:val="nil"/>
              <w:tr2bl w:val="nil"/>
            </w:tcBorders>
            <w:vAlign w:val="center"/>
          </w:tcPr>
          <w:p w14:paraId="110AABE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419</w:t>
            </w:r>
          </w:p>
        </w:tc>
        <w:tc>
          <w:tcPr>
            <w:tcW w:w="311" w:type="pct"/>
            <w:tcBorders>
              <w:tl2br w:val="nil"/>
              <w:tr2bl w:val="nil"/>
            </w:tcBorders>
            <w:vAlign w:val="center"/>
          </w:tcPr>
          <w:p w14:paraId="44F1A0F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421</w:t>
            </w:r>
          </w:p>
        </w:tc>
        <w:tc>
          <w:tcPr>
            <w:tcW w:w="311" w:type="pct"/>
            <w:tcBorders>
              <w:tl2br w:val="nil"/>
              <w:tr2bl w:val="nil"/>
            </w:tcBorders>
            <w:vAlign w:val="center"/>
          </w:tcPr>
          <w:p w14:paraId="6B6D86C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416</w:t>
            </w:r>
          </w:p>
        </w:tc>
        <w:tc>
          <w:tcPr>
            <w:tcW w:w="311" w:type="pct"/>
            <w:tcBorders>
              <w:tl2br w:val="nil"/>
              <w:tr2bl w:val="nil"/>
            </w:tcBorders>
            <w:vAlign w:val="center"/>
          </w:tcPr>
          <w:p w14:paraId="4276820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417</w:t>
            </w:r>
          </w:p>
        </w:tc>
        <w:tc>
          <w:tcPr>
            <w:tcW w:w="310" w:type="pct"/>
            <w:tcBorders>
              <w:tl2br w:val="nil"/>
              <w:tr2bl w:val="nil"/>
            </w:tcBorders>
            <w:vAlign w:val="center"/>
          </w:tcPr>
          <w:p w14:paraId="6FB48DF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414</w:t>
            </w:r>
          </w:p>
        </w:tc>
        <w:tc>
          <w:tcPr>
            <w:tcW w:w="311" w:type="pct"/>
            <w:tcBorders>
              <w:tl2br w:val="nil"/>
              <w:tr2bl w:val="nil"/>
            </w:tcBorders>
            <w:vAlign w:val="center"/>
          </w:tcPr>
          <w:p w14:paraId="77BDF58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412</w:t>
            </w:r>
          </w:p>
        </w:tc>
        <w:tc>
          <w:tcPr>
            <w:tcW w:w="316" w:type="pct"/>
            <w:tcBorders>
              <w:tl2br w:val="nil"/>
              <w:tr2bl w:val="nil"/>
            </w:tcBorders>
            <w:vAlign w:val="center"/>
          </w:tcPr>
          <w:p w14:paraId="0AB3D86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416</w:t>
            </w:r>
          </w:p>
        </w:tc>
        <w:tc>
          <w:tcPr>
            <w:tcW w:w="491" w:type="pct"/>
            <w:tcBorders>
              <w:tl2br w:val="nil"/>
              <w:tr2bl w:val="nil"/>
            </w:tcBorders>
            <w:shd w:val="clear" w:color="auto" w:fill="auto"/>
            <w:vAlign w:val="center"/>
          </w:tcPr>
          <w:p w14:paraId="23CFC835">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290</w:t>
            </w:r>
          </w:p>
        </w:tc>
        <w:tc>
          <w:tcPr>
            <w:tcW w:w="240" w:type="pct"/>
            <w:tcBorders>
              <w:tl2br w:val="nil"/>
              <w:tr2bl w:val="nil"/>
            </w:tcBorders>
            <w:vAlign w:val="center"/>
          </w:tcPr>
          <w:p w14:paraId="515EAD9A">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w:t>
            </w:r>
          </w:p>
        </w:tc>
        <w:tc>
          <w:tcPr>
            <w:tcW w:w="240" w:type="pct"/>
            <w:tcBorders>
              <w:tl2br w:val="nil"/>
              <w:tr2bl w:val="nil"/>
            </w:tcBorders>
            <w:vAlign w:val="center"/>
          </w:tcPr>
          <w:p w14:paraId="54043206">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300</w:t>
            </w:r>
          </w:p>
        </w:tc>
        <w:tc>
          <w:tcPr>
            <w:tcW w:w="247" w:type="pct"/>
            <w:tcBorders>
              <w:tl2br w:val="nil"/>
              <w:tr2bl w:val="nil"/>
            </w:tcBorders>
            <w:shd w:val="clear" w:color="auto" w:fill="D7D7D7" w:themeFill="background1" w:themeFillShade="D8"/>
            <w:vAlign w:val="center"/>
          </w:tcPr>
          <w:p w14:paraId="22932176">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450</w:t>
            </w:r>
          </w:p>
        </w:tc>
        <w:tc>
          <w:tcPr>
            <w:tcW w:w="243" w:type="pct"/>
            <w:tcBorders>
              <w:tl2br w:val="nil"/>
              <w:tr2bl w:val="nil"/>
            </w:tcBorders>
            <w:vAlign w:val="center"/>
          </w:tcPr>
          <w:p w14:paraId="0DF6B9A7">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650</w:t>
            </w:r>
          </w:p>
        </w:tc>
      </w:tr>
      <w:tr w14:paraId="5D26E6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5" w:hRule="atLeast"/>
        </w:trPr>
        <w:tc>
          <w:tcPr>
            <w:tcW w:w="422" w:type="pct"/>
            <w:tcBorders>
              <w:tl2br w:val="nil"/>
              <w:tr2bl w:val="nil"/>
            </w:tcBorders>
            <w:vAlign w:val="center"/>
          </w:tcPr>
          <w:p w14:paraId="25F7A68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μg/L</w:t>
            </w:r>
            <w:r>
              <w:rPr>
                <w:rFonts w:hint="eastAsia" w:ascii="Times New Roman" w:hAnsi="Times New Roman" w:eastAsia="宋体" w:cs="Times New Roman"/>
                <w:color w:val="auto"/>
                <w:sz w:val="21"/>
                <w:szCs w:val="21"/>
                <w:lang w:eastAsia="zh-CN"/>
              </w:rPr>
              <w:t>）</w:t>
            </w:r>
          </w:p>
        </w:tc>
        <w:tc>
          <w:tcPr>
            <w:tcW w:w="310" w:type="pct"/>
            <w:tcBorders>
              <w:tl2br w:val="nil"/>
              <w:tr2bl w:val="nil"/>
            </w:tcBorders>
            <w:vAlign w:val="center"/>
          </w:tcPr>
          <w:p w14:paraId="57C5AFE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2015193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63B4BEC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762761C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1B155D8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71CE927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1346210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400C071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19F8664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6" w:type="pct"/>
            <w:tcBorders>
              <w:tl2br w:val="nil"/>
              <w:tr2bl w:val="nil"/>
            </w:tcBorders>
            <w:vAlign w:val="center"/>
          </w:tcPr>
          <w:p w14:paraId="32B95CE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491" w:type="pct"/>
            <w:tcBorders>
              <w:tl2br w:val="nil"/>
              <w:tr2bl w:val="nil"/>
            </w:tcBorders>
            <w:shd w:val="clear" w:color="auto" w:fill="auto"/>
            <w:vAlign w:val="center"/>
          </w:tcPr>
          <w:p w14:paraId="4E4E50E3">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240" w:type="pct"/>
            <w:tcBorders>
              <w:tl2br w:val="nil"/>
              <w:tr2bl w:val="nil"/>
            </w:tcBorders>
            <w:shd w:val="clear" w:color="auto" w:fill="D7D7D7" w:themeFill="background1" w:themeFillShade="D8"/>
            <w:vAlign w:val="center"/>
          </w:tcPr>
          <w:p w14:paraId="60AB3203">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0.005</w:t>
            </w:r>
          </w:p>
        </w:tc>
        <w:tc>
          <w:tcPr>
            <w:tcW w:w="240" w:type="pct"/>
            <w:tcBorders>
              <w:tl2br w:val="nil"/>
              <w:tr2bl w:val="nil"/>
            </w:tcBorders>
            <w:vAlign w:val="center"/>
          </w:tcPr>
          <w:p w14:paraId="2FF87D1D">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0.005</w:t>
            </w:r>
          </w:p>
        </w:tc>
        <w:tc>
          <w:tcPr>
            <w:tcW w:w="247" w:type="pct"/>
            <w:tcBorders>
              <w:tl2br w:val="nil"/>
              <w:tr2bl w:val="nil"/>
            </w:tcBorders>
            <w:vAlign w:val="center"/>
          </w:tcPr>
          <w:p w14:paraId="20DFF786">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c>
          <w:tcPr>
            <w:tcW w:w="243" w:type="pct"/>
            <w:tcBorders>
              <w:tl2br w:val="nil"/>
              <w:tr2bl w:val="nil"/>
            </w:tcBorders>
            <w:vAlign w:val="center"/>
          </w:tcPr>
          <w:p w14:paraId="14CD88FE">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w:t>
            </w:r>
          </w:p>
        </w:tc>
      </w:tr>
      <w:tr w14:paraId="3B725B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6" w:hRule="atLeast"/>
        </w:trPr>
        <w:tc>
          <w:tcPr>
            <w:tcW w:w="422" w:type="pct"/>
            <w:tcBorders>
              <w:tl2br w:val="nil"/>
              <w:tr2bl w:val="nil"/>
            </w:tcBorders>
            <w:vAlign w:val="center"/>
          </w:tcPr>
          <w:p w14:paraId="4B0280A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氟化物</w:t>
            </w:r>
          </w:p>
        </w:tc>
        <w:tc>
          <w:tcPr>
            <w:tcW w:w="310" w:type="pct"/>
            <w:tcBorders>
              <w:tl2br w:val="nil"/>
              <w:tr2bl w:val="nil"/>
            </w:tcBorders>
            <w:vAlign w:val="center"/>
          </w:tcPr>
          <w:p w14:paraId="14803B1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0.12</w:t>
            </w:r>
          </w:p>
        </w:tc>
        <w:tc>
          <w:tcPr>
            <w:tcW w:w="310" w:type="pct"/>
            <w:tcBorders>
              <w:tl2br w:val="nil"/>
              <w:tr2bl w:val="nil"/>
            </w:tcBorders>
            <w:vAlign w:val="center"/>
          </w:tcPr>
          <w:p w14:paraId="4958F44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0.14</w:t>
            </w:r>
          </w:p>
        </w:tc>
        <w:tc>
          <w:tcPr>
            <w:tcW w:w="310" w:type="pct"/>
            <w:tcBorders>
              <w:tl2br w:val="nil"/>
              <w:tr2bl w:val="nil"/>
            </w:tcBorders>
            <w:vAlign w:val="center"/>
          </w:tcPr>
          <w:p w14:paraId="4EEF5AF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0.13</w:t>
            </w:r>
          </w:p>
        </w:tc>
        <w:tc>
          <w:tcPr>
            <w:tcW w:w="310" w:type="pct"/>
            <w:tcBorders>
              <w:tl2br w:val="nil"/>
              <w:tr2bl w:val="nil"/>
            </w:tcBorders>
            <w:vAlign w:val="center"/>
          </w:tcPr>
          <w:p w14:paraId="3CB48A1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0.16</w:t>
            </w:r>
          </w:p>
        </w:tc>
        <w:tc>
          <w:tcPr>
            <w:tcW w:w="311" w:type="pct"/>
            <w:tcBorders>
              <w:tl2br w:val="nil"/>
              <w:tr2bl w:val="nil"/>
            </w:tcBorders>
            <w:vAlign w:val="center"/>
          </w:tcPr>
          <w:p w14:paraId="00F95E5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0.14</w:t>
            </w:r>
          </w:p>
        </w:tc>
        <w:tc>
          <w:tcPr>
            <w:tcW w:w="311" w:type="pct"/>
            <w:tcBorders>
              <w:tl2br w:val="nil"/>
              <w:tr2bl w:val="nil"/>
            </w:tcBorders>
            <w:vAlign w:val="center"/>
          </w:tcPr>
          <w:p w14:paraId="51E5FDA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0.15</w:t>
            </w:r>
          </w:p>
        </w:tc>
        <w:tc>
          <w:tcPr>
            <w:tcW w:w="311" w:type="pct"/>
            <w:tcBorders>
              <w:tl2br w:val="nil"/>
              <w:tr2bl w:val="nil"/>
            </w:tcBorders>
            <w:vAlign w:val="center"/>
          </w:tcPr>
          <w:p w14:paraId="4BF23F4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0.15</w:t>
            </w:r>
          </w:p>
        </w:tc>
        <w:tc>
          <w:tcPr>
            <w:tcW w:w="310" w:type="pct"/>
            <w:tcBorders>
              <w:tl2br w:val="nil"/>
              <w:tr2bl w:val="nil"/>
            </w:tcBorders>
            <w:vAlign w:val="center"/>
          </w:tcPr>
          <w:p w14:paraId="5E56B54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0.17</w:t>
            </w:r>
          </w:p>
        </w:tc>
        <w:tc>
          <w:tcPr>
            <w:tcW w:w="311" w:type="pct"/>
            <w:tcBorders>
              <w:tl2br w:val="nil"/>
              <w:tr2bl w:val="nil"/>
            </w:tcBorders>
            <w:vAlign w:val="center"/>
          </w:tcPr>
          <w:p w14:paraId="72680DA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0.15</w:t>
            </w:r>
          </w:p>
        </w:tc>
        <w:tc>
          <w:tcPr>
            <w:tcW w:w="316" w:type="pct"/>
            <w:tcBorders>
              <w:tl2br w:val="nil"/>
              <w:tr2bl w:val="nil"/>
            </w:tcBorders>
            <w:vAlign w:val="center"/>
          </w:tcPr>
          <w:p w14:paraId="1C2FFED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0.16</w:t>
            </w:r>
          </w:p>
        </w:tc>
        <w:tc>
          <w:tcPr>
            <w:tcW w:w="491" w:type="pct"/>
            <w:tcBorders>
              <w:tl2br w:val="nil"/>
              <w:tr2bl w:val="nil"/>
            </w:tcBorders>
            <w:shd w:val="clear" w:color="auto" w:fill="auto"/>
            <w:vAlign w:val="center"/>
          </w:tcPr>
          <w:p w14:paraId="31A1D3AA">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0.64</w:t>
            </w:r>
          </w:p>
        </w:tc>
        <w:tc>
          <w:tcPr>
            <w:tcW w:w="240" w:type="pct"/>
            <w:tcBorders>
              <w:tl2br w:val="nil"/>
              <w:tr2bl w:val="nil"/>
            </w:tcBorders>
            <w:shd w:val="clear" w:color="auto" w:fill="D7D7D7" w:themeFill="background1" w:themeFillShade="D8"/>
            <w:vAlign w:val="center"/>
          </w:tcPr>
          <w:p w14:paraId="2EAFE414">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240" w:type="pct"/>
            <w:tcBorders>
              <w:tl2br w:val="nil"/>
              <w:tr2bl w:val="nil"/>
            </w:tcBorders>
            <w:vAlign w:val="center"/>
          </w:tcPr>
          <w:p w14:paraId="64FF0FDD">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247" w:type="pct"/>
            <w:tcBorders>
              <w:tl2br w:val="nil"/>
              <w:tr2bl w:val="nil"/>
            </w:tcBorders>
            <w:vAlign w:val="center"/>
          </w:tcPr>
          <w:p w14:paraId="3633F812">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243" w:type="pct"/>
            <w:tcBorders>
              <w:tl2br w:val="nil"/>
              <w:tr2bl w:val="nil"/>
            </w:tcBorders>
            <w:vAlign w:val="center"/>
          </w:tcPr>
          <w:p w14:paraId="4A1FC23D">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r>
      <w:tr w14:paraId="4D5C73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2" w:hRule="atLeast"/>
        </w:trPr>
        <w:tc>
          <w:tcPr>
            <w:tcW w:w="422" w:type="pct"/>
            <w:tcBorders>
              <w:tl2br w:val="nil"/>
              <w:tr2bl w:val="nil"/>
            </w:tcBorders>
            <w:vAlign w:val="center"/>
          </w:tcPr>
          <w:p w14:paraId="1C5F1DB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镉</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μg/L</w:t>
            </w:r>
            <w:r>
              <w:rPr>
                <w:rFonts w:hint="eastAsia" w:ascii="Times New Roman" w:hAnsi="Times New Roman" w:eastAsia="宋体" w:cs="Times New Roman"/>
                <w:color w:val="auto"/>
                <w:sz w:val="21"/>
                <w:szCs w:val="21"/>
                <w:lang w:eastAsia="zh-CN"/>
              </w:rPr>
              <w:t>）</w:t>
            </w:r>
          </w:p>
        </w:tc>
        <w:tc>
          <w:tcPr>
            <w:tcW w:w="310" w:type="pct"/>
            <w:tcBorders>
              <w:tl2br w:val="nil"/>
              <w:tr2bl w:val="nil"/>
            </w:tcBorders>
            <w:vAlign w:val="center"/>
          </w:tcPr>
          <w:p w14:paraId="440FE5D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0.574</w:t>
            </w:r>
          </w:p>
        </w:tc>
        <w:tc>
          <w:tcPr>
            <w:tcW w:w="310" w:type="pct"/>
            <w:tcBorders>
              <w:tl2br w:val="nil"/>
              <w:tr2bl w:val="nil"/>
            </w:tcBorders>
            <w:vAlign w:val="center"/>
          </w:tcPr>
          <w:p w14:paraId="56C3F78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0.532</w:t>
            </w:r>
          </w:p>
        </w:tc>
        <w:tc>
          <w:tcPr>
            <w:tcW w:w="310" w:type="pct"/>
            <w:tcBorders>
              <w:tl2br w:val="nil"/>
              <w:tr2bl w:val="nil"/>
            </w:tcBorders>
            <w:vAlign w:val="center"/>
          </w:tcPr>
          <w:p w14:paraId="54E25EC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0.542</w:t>
            </w:r>
          </w:p>
        </w:tc>
        <w:tc>
          <w:tcPr>
            <w:tcW w:w="310" w:type="pct"/>
            <w:tcBorders>
              <w:tl2br w:val="nil"/>
              <w:tr2bl w:val="nil"/>
            </w:tcBorders>
            <w:vAlign w:val="center"/>
          </w:tcPr>
          <w:p w14:paraId="3B83DEC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0.542</w:t>
            </w:r>
          </w:p>
        </w:tc>
        <w:tc>
          <w:tcPr>
            <w:tcW w:w="311" w:type="pct"/>
            <w:tcBorders>
              <w:tl2br w:val="nil"/>
              <w:tr2bl w:val="nil"/>
            </w:tcBorders>
            <w:vAlign w:val="center"/>
          </w:tcPr>
          <w:p w14:paraId="3A2F9FF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0.521</w:t>
            </w:r>
          </w:p>
        </w:tc>
        <w:tc>
          <w:tcPr>
            <w:tcW w:w="311" w:type="pct"/>
            <w:tcBorders>
              <w:tl2br w:val="nil"/>
              <w:tr2bl w:val="nil"/>
            </w:tcBorders>
            <w:vAlign w:val="center"/>
          </w:tcPr>
          <w:p w14:paraId="757DE56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0.584</w:t>
            </w:r>
          </w:p>
        </w:tc>
        <w:tc>
          <w:tcPr>
            <w:tcW w:w="311" w:type="pct"/>
            <w:tcBorders>
              <w:tl2br w:val="nil"/>
              <w:tr2bl w:val="nil"/>
            </w:tcBorders>
            <w:vAlign w:val="center"/>
          </w:tcPr>
          <w:p w14:paraId="2FA1658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0.500 </w:t>
            </w:r>
          </w:p>
        </w:tc>
        <w:tc>
          <w:tcPr>
            <w:tcW w:w="310" w:type="pct"/>
            <w:tcBorders>
              <w:tl2br w:val="nil"/>
              <w:tr2bl w:val="nil"/>
            </w:tcBorders>
            <w:vAlign w:val="center"/>
          </w:tcPr>
          <w:p w14:paraId="0A6D6CE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0.500 </w:t>
            </w:r>
          </w:p>
        </w:tc>
        <w:tc>
          <w:tcPr>
            <w:tcW w:w="311" w:type="pct"/>
            <w:tcBorders>
              <w:tl2br w:val="nil"/>
              <w:tr2bl w:val="nil"/>
            </w:tcBorders>
            <w:vAlign w:val="center"/>
          </w:tcPr>
          <w:p w14:paraId="211E565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0.447</w:t>
            </w:r>
          </w:p>
        </w:tc>
        <w:tc>
          <w:tcPr>
            <w:tcW w:w="316" w:type="pct"/>
            <w:tcBorders>
              <w:tl2br w:val="nil"/>
              <w:tr2bl w:val="nil"/>
            </w:tcBorders>
            <w:vAlign w:val="center"/>
          </w:tcPr>
          <w:p w14:paraId="54D5051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0.447</w:t>
            </w:r>
          </w:p>
        </w:tc>
        <w:tc>
          <w:tcPr>
            <w:tcW w:w="491" w:type="pct"/>
            <w:tcBorders>
              <w:tl2br w:val="nil"/>
              <w:tr2bl w:val="nil"/>
            </w:tcBorders>
            <w:shd w:val="clear" w:color="auto" w:fill="auto"/>
            <w:vAlign w:val="center"/>
          </w:tcPr>
          <w:p w14:paraId="21142518">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w:t>
            </w:r>
          </w:p>
        </w:tc>
        <w:tc>
          <w:tcPr>
            <w:tcW w:w="240" w:type="pct"/>
            <w:tcBorders>
              <w:tl2br w:val="nil"/>
              <w:tr2bl w:val="nil"/>
            </w:tcBorders>
            <w:vAlign w:val="center"/>
          </w:tcPr>
          <w:p w14:paraId="6835332B">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0.0001</w:t>
            </w:r>
          </w:p>
        </w:tc>
        <w:tc>
          <w:tcPr>
            <w:tcW w:w="240" w:type="pct"/>
            <w:tcBorders>
              <w:tl2br w:val="nil"/>
              <w:tr2bl w:val="nil"/>
            </w:tcBorders>
            <w:shd w:val="clear" w:color="auto" w:fill="D7D7D7" w:themeFill="background1" w:themeFillShade="D8"/>
            <w:vAlign w:val="center"/>
          </w:tcPr>
          <w:p w14:paraId="5C97D9B5">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0.001</w:t>
            </w:r>
          </w:p>
        </w:tc>
        <w:tc>
          <w:tcPr>
            <w:tcW w:w="247" w:type="pct"/>
            <w:tcBorders>
              <w:tl2br w:val="nil"/>
              <w:tr2bl w:val="nil"/>
            </w:tcBorders>
            <w:vAlign w:val="center"/>
          </w:tcPr>
          <w:p w14:paraId="52613D48">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0.005</w:t>
            </w:r>
          </w:p>
        </w:tc>
        <w:tc>
          <w:tcPr>
            <w:tcW w:w="243" w:type="pct"/>
            <w:tcBorders>
              <w:tl2br w:val="nil"/>
              <w:tr2bl w:val="nil"/>
            </w:tcBorders>
            <w:vAlign w:val="center"/>
          </w:tcPr>
          <w:p w14:paraId="067DAAAD">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r>
      <w:tr w14:paraId="6A3BF7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6" w:hRule="atLeast"/>
        </w:trPr>
        <w:tc>
          <w:tcPr>
            <w:tcW w:w="422" w:type="pct"/>
            <w:tcBorders>
              <w:tl2br w:val="nil"/>
              <w:tr2bl w:val="nil"/>
            </w:tcBorders>
            <w:vAlign w:val="center"/>
          </w:tcPr>
          <w:p w14:paraId="771CC79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铁</w:t>
            </w:r>
          </w:p>
        </w:tc>
        <w:tc>
          <w:tcPr>
            <w:tcW w:w="310" w:type="pct"/>
            <w:tcBorders>
              <w:tl2br w:val="nil"/>
              <w:tr2bl w:val="nil"/>
            </w:tcBorders>
            <w:vAlign w:val="center"/>
          </w:tcPr>
          <w:p w14:paraId="07CFCC1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517E7E9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40FB0E7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536B50B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363DC31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5CA95D7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4EE3B4F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0" w:type="pct"/>
            <w:tcBorders>
              <w:tl2br w:val="nil"/>
              <w:tr2bl w:val="nil"/>
            </w:tcBorders>
            <w:vAlign w:val="center"/>
          </w:tcPr>
          <w:p w14:paraId="2FD526A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1" w:type="pct"/>
            <w:tcBorders>
              <w:tl2br w:val="nil"/>
              <w:tr2bl w:val="nil"/>
            </w:tcBorders>
            <w:vAlign w:val="center"/>
          </w:tcPr>
          <w:p w14:paraId="65ABF77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316" w:type="pct"/>
            <w:tcBorders>
              <w:tl2br w:val="nil"/>
              <w:tr2bl w:val="nil"/>
            </w:tcBorders>
            <w:vAlign w:val="center"/>
          </w:tcPr>
          <w:p w14:paraId="69070A7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ND</w:t>
            </w:r>
          </w:p>
        </w:tc>
        <w:tc>
          <w:tcPr>
            <w:tcW w:w="491" w:type="pct"/>
            <w:tcBorders>
              <w:tl2br w:val="nil"/>
              <w:tr2bl w:val="nil"/>
            </w:tcBorders>
            <w:shd w:val="clear" w:color="auto" w:fill="auto"/>
            <w:vAlign w:val="center"/>
          </w:tcPr>
          <w:p w14:paraId="04F0AE5D">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240" w:type="pct"/>
            <w:tcBorders>
              <w:tl2br w:val="nil"/>
              <w:tr2bl w:val="nil"/>
            </w:tcBorders>
            <w:shd w:val="clear" w:color="auto" w:fill="D7D7D7" w:themeFill="background1" w:themeFillShade="D8"/>
            <w:vAlign w:val="center"/>
          </w:tcPr>
          <w:p w14:paraId="0A9558C8">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w:t>
            </w:r>
          </w:p>
        </w:tc>
        <w:tc>
          <w:tcPr>
            <w:tcW w:w="240" w:type="pct"/>
            <w:tcBorders>
              <w:tl2br w:val="nil"/>
              <w:tr2bl w:val="nil"/>
            </w:tcBorders>
            <w:vAlign w:val="center"/>
          </w:tcPr>
          <w:p w14:paraId="41F7EEAD">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w:t>
            </w:r>
          </w:p>
        </w:tc>
        <w:tc>
          <w:tcPr>
            <w:tcW w:w="247" w:type="pct"/>
            <w:tcBorders>
              <w:tl2br w:val="nil"/>
              <w:tr2bl w:val="nil"/>
            </w:tcBorders>
            <w:vAlign w:val="center"/>
          </w:tcPr>
          <w:p w14:paraId="65E952C7">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w:t>
            </w:r>
          </w:p>
        </w:tc>
        <w:tc>
          <w:tcPr>
            <w:tcW w:w="243" w:type="pct"/>
            <w:tcBorders>
              <w:tl2br w:val="nil"/>
              <w:tr2bl w:val="nil"/>
            </w:tcBorders>
            <w:vAlign w:val="center"/>
          </w:tcPr>
          <w:p w14:paraId="6FC8B760">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r>
      <w:tr w14:paraId="132640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62A59E3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锰</w:t>
            </w:r>
          </w:p>
        </w:tc>
        <w:tc>
          <w:tcPr>
            <w:tcW w:w="310" w:type="pct"/>
            <w:tcBorders>
              <w:tl2br w:val="nil"/>
              <w:tr2bl w:val="nil"/>
            </w:tcBorders>
            <w:vAlign w:val="center"/>
          </w:tcPr>
          <w:p w14:paraId="0EBF0E1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0.008</w:t>
            </w:r>
          </w:p>
        </w:tc>
        <w:tc>
          <w:tcPr>
            <w:tcW w:w="310" w:type="pct"/>
            <w:tcBorders>
              <w:tl2br w:val="nil"/>
              <w:tr2bl w:val="nil"/>
            </w:tcBorders>
            <w:vAlign w:val="center"/>
          </w:tcPr>
          <w:p w14:paraId="2089647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0.008</w:t>
            </w:r>
          </w:p>
        </w:tc>
        <w:tc>
          <w:tcPr>
            <w:tcW w:w="310" w:type="pct"/>
            <w:tcBorders>
              <w:tl2br w:val="nil"/>
              <w:tr2bl w:val="nil"/>
            </w:tcBorders>
            <w:vAlign w:val="center"/>
          </w:tcPr>
          <w:p w14:paraId="12B3736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0.008</w:t>
            </w:r>
          </w:p>
        </w:tc>
        <w:tc>
          <w:tcPr>
            <w:tcW w:w="310" w:type="pct"/>
            <w:tcBorders>
              <w:tl2br w:val="nil"/>
              <w:tr2bl w:val="nil"/>
            </w:tcBorders>
            <w:vAlign w:val="center"/>
          </w:tcPr>
          <w:p w14:paraId="363611C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0.008</w:t>
            </w:r>
          </w:p>
        </w:tc>
        <w:tc>
          <w:tcPr>
            <w:tcW w:w="311" w:type="pct"/>
            <w:tcBorders>
              <w:tl2br w:val="nil"/>
              <w:tr2bl w:val="nil"/>
            </w:tcBorders>
            <w:vAlign w:val="center"/>
          </w:tcPr>
          <w:p w14:paraId="1C06268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0.009</w:t>
            </w:r>
          </w:p>
        </w:tc>
        <w:tc>
          <w:tcPr>
            <w:tcW w:w="311" w:type="pct"/>
            <w:tcBorders>
              <w:tl2br w:val="nil"/>
              <w:tr2bl w:val="nil"/>
            </w:tcBorders>
            <w:vAlign w:val="center"/>
          </w:tcPr>
          <w:p w14:paraId="690E149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0.009</w:t>
            </w:r>
          </w:p>
        </w:tc>
        <w:tc>
          <w:tcPr>
            <w:tcW w:w="311" w:type="pct"/>
            <w:tcBorders>
              <w:tl2br w:val="nil"/>
              <w:tr2bl w:val="nil"/>
            </w:tcBorders>
            <w:vAlign w:val="center"/>
          </w:tcPr>
          <w:p w14:paraId="2B3F319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0.008</w:t>
            </w:r>
          </w:p>
        </w:tc>
        <w:tc>
          <w:tcPr>
            <w:tcW w:w="310" w:type="pct"/>
            <w:tcBorders>
              <w:tl2br w:val="nil"/>
              <w:tr2bl w:val="nil"/>
            </w:tcBorders>
            <w:vAlign w:val="center"/>
          </w:tcPr>
          <w:p w14:paraId="1DFCB1B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0.008</w:t>
            </w:r>
          </w:p>
        </w:tc>
        <w:tc>
          <w:tcPr>
            <w:tcW w:w="311" w:type="pct"/>
            <w:tcBorders>
              <w:tl2br w:val="nil"/>
              <w:tr2bl w:val="nil"/>
            </w:tcBorders>
            <w:vAlign w:val="center"/>
          </w:tcPr>
          <w:p w14:paraId="31D96F3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0.009</w:t>
            </w:r>
          </w:p>
        </w:tc>
        <w:tc>
          <w:tcPr>
            <w:tcW w:w="316" w:type="pct"/>
            <w:tcBorders>
              <w:tl2br w:val="nil"/>
              <w:tr2bl w:val="nil"/>
            </w:tcBorders>
            <w:vAlign w:val="center"/>
          </w:tcPr>
          <w:p w14:paraId="373090C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0.008</w:t>
            </w:r>
          </w:p>
        </w:tc>
        <w:tc>
          <w:tcPr>
            <w:tcW w:w="491" w:type="pct"/>
            <w:tcBorders>
              <w:tl2br w:val="nil"/>
              <w:tr2bl w:val="nil"/>
            </w:tcBorders>
            <w:shd w:val="clear" w:color="auto" w:fill="auto"/>
            <w:vAlign w:val="center"/>
          </w:tcPr>
          <w:p w14:paraId="2D5EBB30">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1.52</w:t>
            </w:r>
          </w:p>
        </w:tc>
        <w:tc>
          <w:tcPr>
            <w:tcW w:w="240" w:type="pct"/>
            <w:tcBorders>
              <w:tl2br w:val="nil"/>
              <w:tr2bl w:val="nil"/>
            </w:tcBorders>
            <w:shd w:val="clear" w:color="auto" w:fill="D7D7D7" w:themeFill="background1" w:themeFillShade="D8"/>
            <w:vAlign w:val="center"/>
          </w:tcPr>
          <w:p w14:paraId="3ECA61F7">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c>
          <w:tcPr>
            <w:tcW w:w="240" w:type="pct"/>
            <w:tcBorders>
              <w:tl2br w:val="nil"/>
              <w:tr2bl w:val="nil"/>
            </w:tcBorders>
            <w:vAlign w:val="center"/>
          </w:tcPr>
          <w:p w14:paraId="5A30A5E7">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c>
          <w:tcPr>
            <w:tcW w:w="247" w:type="pct"/>
            <w:tcBorders>
              <w:tl2br w:val="nil"/>
              <w:tr2bl w:val="nil"/>
            </w:tcBorders>
            <w:vAlign w:val="center"/>
          </w:tcPr>
          <w:p w14:paraId="1521A142">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w:t>
            </w:r>
          </w:p>
        </w:tc>
        <w:tc>
          <w:tcPr>
            <w:tcW w:w="243" w:type="pct"/>
            <w:tcBorders>
              <w:tl2br w:val="nil"/>
              <w:tr2bl w:val="nil"/>
            </w:tcBorders>
            <w:vAlign w:val="center"/>
          </w:tcPr>
          <w:p w14:paraId="4C53B047">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w:t>
            </w:r>
          </w:p>
        </w:tc>
      </w:tr>
      <w:tr w14:paraId="79A655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9" w:hRule="atLeast"/>
        </w:trPr>
        <w:tc>
          <w:tcPr>
            <w:tcW w:w="422" w:type="pct"/>
            <w:tcBorders>
              <w:tl2br w:val="nil"/>
              <w:tr2bl w:val="nil"/>
            </w:tcBorders>
            <w:vAlign w:val="center"/>
          </w:tcPr>
          <w:p w14:paraId="53789E9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溶解性固体总量</w:t>
            </w:r>
          </w:p>
        </w:tc>
        <w:tc>
          <w:tcPr>
            <w:tcW w:w="310" w:type="pct"/>
            <w:tcBorders>
              <w:tl2br w:val="nil"/>
              <w:tr2bl w:val="nil"/>
            </w:tcBorders>
            <w:vAlign w:val="center"/>
          </w:tcPr>
          <w:p w14:paraId="51AD677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681</w:t>
            </w:r>
          </w:p>
        </w:tc>
        <w:tc>
          <w:tcPr>
            <w:tcW w:w="310" w:type="pct"/>
            <w:tcBorders>
              <w:tl2br w:val="nil"/>
              <w:tr2bl w:val="nil"/>
            </w:tcBorders>
            <w:vAlign w:val="center"/>
          </w:tcPr>
          <w:p w14:paraId="222A7CF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673</w:t>
            </w:r>
          </w:p>
        </w:tc>
        <w:tc>
          <w:tcPr>
            <w:tcW w:w="310" w:type="pct"/>
            <w:tcBorders>
              <w:tl2br w:val="nil"/>
              <w:tr2bl w:val="nil"/>
            </w:tcBorders>
            <w:vAlign w:val="center"/>
          </w:tcPr>
          <w:p w14:paraId="7B90ED9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682</w:t>
            </w:r>
          </w:p>
        </w:tc>
        <w:tc>
          <w:tcPr>
            <w:tcW w:w="310" w:type="pct"/>
            <w:tcBorders>
              <w:tl2br w:val="nil"/>
              <w:tr2bl w:val="nil"/>
            </w:tcBorders>
            <w:vAlign w:val="center"/>
          </w:tcPr>
          <w:p w14:paraId="490D38F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677</w:t>
            </w:r>
          </w:p>
        </w:tc>
        <w:tc>
          <w:tcPr>
            <w:tcW w:w="311" w:type="pct"/>
            <w:tcBorders>
              <w:tl2br w:val="nil"/>
              <w:tr2bl w:val="nil"/>
            </w:tcBorders>
            <w:vAlign w:val="center"/>
          </w:tcPr>
          <w:p w14:paraId="4C1892F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675</w:t>
            </w:r>
          </w:p>
        </w:tc>
        <w:tc>
          <w:tcPr>
            <w:tcW w:w="311" w:type="pct"/>
            <w:tcBorders>
              <w:tl2br w:val="nil"/>
              <w:tr2bl w:val="nil"/>
            </w:tcBorders>
            <w:vAlign w:val="center"/>
          </w:tcPr>
          <w:p w14:paraId="4EF9B78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668</w:t>
            </w:r>
          </w:p>
        </w:tc>
        <w:tc>
          <w:tcPr>
            <w:tcW w:w="311" w:type="pct"/>
            <w:tcBorders>
              <w:tl2br w:val="nil"/>
              <w:tr2bl w:val="nil"/>
            </w:tcBorders>
            <w:vAlign w:val="center"/>
          </w:tcPr>
          <w:p w14:paraId="09BA501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677</w:t>
            </w:r>
          </w:p>
        </w:tc>
        <w:tc>
          <w:tcPr>
            <w:tcW w:w="310" w:type="pct"/>
            <w:tcBorders>
              <w:tl2br w:val="nil"/>
              <w:tr2bl w:val="nil"/>
            </w:tcBorders>
            <w:vAlign w:val="center"/>
          </w:tcPr>
          <w:p w14:paraId="260D347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672</w:t>
            </w:r>
          </w:p>
        </w:tc>
        <w:tc>
          <w:tcPr>
            <w:tcW w:w="311" w:type="pct"/>
            <w:tcBorders>
              <w:tl2br w:val="nil"/>
              <w:tr2bl w:val="nil"/>
            </w:tcBorders>
            <w:vAlign w:val="center"/>
          </w:tcPr>
          <w:p w14:paraId="35635F6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679</w:t>
            </w:r>
          </w:p>
        </w:tc>
        <w:tc>
          <w:tcPr>
            <w:tcW w:w="316" w:type="pct"/>
            <w:tcBorders>
              <w:tl2br w:val="nil"/>
              <w:tr2bl w:val="nil"/>
            </w:tcBorders>
            <w:vAlign w:val="center"/>
          </w:tcPr>
          <w:p w14:paraId="2CF2C236">
            <w:pPr>
              <w:keepNext w:val="0"/>
              <w:keepLines w:val="0"/>
              <w:widowControl/>
              <w:suppressLineNumbers w:val="0"/>
              <w:jc w:val="center"/>
              <w:textAlignment w:val="center"/>
              <w:rPr>
                <w:rFonts w:hint="default" w:ascii="Times New Roman" w:hAnsi="Times New Roman" w:eastAsia="宋体" w:cs="Times New Roman"/>
                <w:color w:val="auto"/>
                <w:sz w:val="21"/>
                <w:szCs w:val="21"/>
              </w:rPr>
            </w:pPr>
            <w:bookmarkStart w:id="1637" w:name="OLE_LINK558"/>
            <w:r>
              <w:rPr>
                <w:rFonts w:hint="default" w:ascii="Times New Roman" w:hAnsi="Times New Roman" w:eastAsia="宋体" w:cs="Times New Roman"/>
                <w:i w:val="0"/>
                <w:iCs w:val="0"/>
                <w:color w:val="auto"/>
                <w:kern w:val="0"/>
                <w:sz w:val="21"/>
                <w:szCs w:val="21"/>
                <w:u w:val="none"/>
                <w:lang w:val="en-US" w:eastAsia="zh-CN" w:bidi="ar"/>
              </w:rPr>
              <w:t>680</w:t>
            </w:r>
            <w:bookmarkEnd w:id="1637"/>
          </w:p>
        </w:tc>
        <w:tc>
          <w:tcPr>
            <w:tcW w:w="491" w:type="pct"/>
            <w:tcBorders>
              <w:tl2br w:val="nil"/>
              <w:tr2bl w:val="nil"/>
            </w:tcBorders>
            <w:shd w:val="clear" w:color="auto" w:fill="auto"/>
            <w:vAlign w:val="center"/>
          </w:tcPr>
          <w:p w14:paraId="5CCF183B">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iCs w:val="0"/>
                <w:color w:val="auto"/>
                <w:kern w:val="0"/>
                <w:sz w:val="21"/>
                <w:szCs w:val="21"/>
                <w:u w:val="none"/>
                <w:lang w:val="en-US" w:eastAsia="zh-CN" w:bidi="ar"/>
              </w:rPr>
              <w:t>375</w:t>
            </w:r>
          </w:p>
        </w:tc>
        <w:tc>
          <w:tcPr>
            <w:tcW w:w="240" w:type="pct"/>
            <w:tcBorders>
              <w:tl2br w:val="nil"/>
              <w:tr2bl w:val="nil"/>
            </w:tcBorders>
            <w:vAlign w:val="center"/>
          </w:tcPr>
          <w:p w14:paraId="6931EE1B">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300</w:t>
            </w:r>
          </w:p>
        </w:tc>
        <w:tc>
          <w:tcPr>
            <w:tcW w:w="240" w:type="pct"/>
            <w:tcBorders>
              <w:tl2br w:val="nil"/>
              <w:tr2bl w:val="nil"/>
            </w:tcBorders>
            <w:vAlign w:val="center"/>
          </w:tcPr>
          <w:p w14:paraId="331575CC">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500</w:t>
            </w:r>
          </w:p>
        </w:tc>
        <w:tc>
          <w:tcPr>
            <w:tcW w:w="247" w:type="pct"/>
            <w:tcBorders>
              <w:tl2br w:val="nil"/>
              <w:tr2bl w:val="nil"/>
            </w:tcBorders>
            <w:shd w:val="clear" w:color="auto" w:fill="D7D7D7" w:themeFill="background1" w:themeFillShade="D8"/>
            <w:vAlign w:val="center"/>
          </w:tcPr>
          <w:p w14:paraId="4AA70F1B">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1000</w:t>
            </w:r>
          </w:p>
        </w:tc>
        <w:tc>
          <w:tcPr>
            <w:tcW w:w="243" w:type="pct"/>
            <w:tcBorders>
              <w:tl2br w:val="nil"/>
              <w:tr2bl w:val="nil"/>
            </w:tcBorders>
            <w:vAlign w:val="center"/>
          </w:tcPr>
          <w:p w14:paraId="3F60DDF2">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2000</w:t>
            </w:r>
          </w:p>
        </w:tc>
      </w:tr>
      <w:tr w14:paraId="17CFBF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5" w:hRule="atLeast"/>
        </w:trPr>
        <w:tc>
          <w:tcPr>
            <w:tcW w:w="422" w:type="pct"/>
            <w:tcBorders>
              <w:tl2br w:val="nil"/>
              <w:tr2bl w:val="nil"/>
            </w:tcBorders>
            <w:vAlign w:val="center"/>
          </w:tcPr>
          <w:p w14:paraId="43ED163F">
            <w:pPr>
              <w:keepNext w:val="0"/>
              <w:keepLines w:val="0"/>
              <w:pageBreakBefore w:val="0"/>
              <w:kinsoku/>
              <w:wordWrap/>
              <w:overflowPunct/>
              <w:topLinePunct w:val="0"/>
              <w:autoSpaceDE w:val="0"/>
              <w:autoSpaceDN w:val="0"/>
              <w:bidi w:val="0"/>
              <w:adjustRightInd/>
              <w:snapToGrid/>
              <w:spacing w:line="240" w:lineRule="auto"/>
              <w:ind w:left="-111" w:leftChars="-53" w:right="-103" w:rightChars="-49" w:firstLine="2" w:firstLineChars="1"/>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耗氧量</w:t>
            </w:r>
          </w:p>
          <w:p w14:paraId="3008BA6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sz w:val="21"/>
                <w:szCs w:val="21"/>
                <w:highlight w:val="none"/>
                <w:lang w:val="en-US" w:eastAsia="zh-CN"/>
              </w:rPr>
              <w:t>（高锰酸盐指数计）</w:t>
            </w:r>
          </w:p>
        </w:tc>
        <w:tc>
          <w:tcPr>
            <w:tcW w:w="310" w:type="pct"/>
            <w:tcBorders>
              <w:tl2br w:val="nil"/>
              <w:tr2bl w:val="nil"/>
            </w:tcBorders>
            <w:vAlign w:val="center"/>
          </w:tcPr>
          <w:p w14:paraId="1099CDE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0.6</w:t>
            </w:r>
          </w:p>
        </w:tc>
        <w:tc>
          <w:tcPr>
            <w:tcW w:w="310" w:type="pct"/>
            <w:tcBorders>
              <w:tl2br w:val="nil"/>
              <w:tr2bl w:val="nil"/>
            </w:tcBorders>
            <w:vAlign w:val="center"/>
          </w:tcPr>
          <w:p w14:paraId="633F3C9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310" w:type="pct"/>
            <w:tcBorders>
              <w:tl2br w:val="nil"/>
              <w:tr2bl w:val="nil"/>
            </w:tcBorders>
            <w:vAlign w:val="center"/>
          </w:tcPr>
          <w:p w14:paraId="685994F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0.6</w:t>
            </w:r>
          </w:p>
        </w:tc>
        <w:tc>
          <w:tcPr>
            <w:tcW w:w="310" w:type="pct"/>
            <w:tcBorders>
              <w:tl2br w:val="nil"/>
              <w:tr2bl w:val="nil"/>
            </w:tcBorders>
            <w:vAlign w:val="center"/>
          </w:tcPr>
          <w:p w14:paraId="6B5FB71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311" w:type="pct"/>
            <w:tcBorders>
              <w:tl2br w:val="nil"/>
              <w:tr2bl w:val="nil"/>
            </w:tcBorders>
            <w:vAlign w:val="center"/>
          </w:tcPr>
          <w:p w14:paraId="38AFE9F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0.6</w:t>
            </w:r>
          </w:p>
        </w:tc>
        <w:tc>
          <w:tcPr>
            <w:tcW w:w="311" w:type="pct"/>
            <w:tcBorders>
              <w:tl2br w:val="nil"/>
              <w:tr2bl w:val="nil"/>
            </w:tcBorders>
            <w:vAlign w:val="center"/>
          </w:tcPr>
          <w:p w14:paraId="5C7AA49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0.6</w:t>
            </w:r>
          </w:p>
        </w:tc>
        <w:tc>
          <w:tcPr>
            <w:tcW w:w="311" w:type="pct"/>
            <w:tcBorders>
              <w:tl2br w:val="nil"/>
              <w:tr2bl w:val="nil"/>
            </w:tcBorders>
            <w:vAlign w:val="center"/>
          </w:tcPr>
          <w:p w14:paraId="7B80E84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310" w:type="pct"/>
            <w:tcBorders>
              <w:tl2br w:val="nil"/>
              <w:tr2bl w:val="nil"/>
            </w:tcBorders>
            <w:vAlign w:val="center"/>
          </w:tcPr>
          <w:p w14:paraId="2B5F721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0.6</w:t>
            </w:r>
          </w:p>
        </w:tc>
        <w:tc>
          <w:tcPr>
            <w:tcW w:w="311" w:type="pct"/>
            <w:tcBorders>
              <w:tl2br w:val="nil"/>
              <w:tr2bl w:val="nil"/>
            </w:tcBorders>
            <w:vAlign w:val="center"/>
          </w:tcPr>
          <w:p w14:paraId="04C82F7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0.6</w:t>
            </w:r>
          </w:p>
        </w:tc>
        <w:tc>
          <w:tcPr>
            <w:tcW w:w="316" w:type="pct"/>
            <w:tcBorders>
              <w:tl2br w:val="nil"/>
              <w:tr2bl w:val="nil"/>
            </w:tcBorders>
            <w:vAlign w:val="center"/>
          </w:tcPr>
          <w:p w14:paraId="5DB7FA3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0.6</w:t>
            </w:r>
          </w:p>
        </w:tc>
        <w:tc>
          <w:tcPr>
            <w:tcW w:w="491" w:type="pct"/>
            <w:tcBorders>
              <w:tl2br w:val="nil"/>
              <w:tr2bl w:val="nil"/>
            </w:tcBorders>
            <w:shd w:val="clear" w:color="auto" w:fill="auto"/>
            <w:vAlign w:val="center"/>
          </w:tcPr>
          <w:p w14:paraId="4CB8E603">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0.36</w:t>
            </w:r>
          </w:p>
        </w:tc>
        <w:tc>
          <w:tcPr>
            <w:tcW w:w="240" w:type="pct"/>
            <w:tcBorders>
              <w:tl2br w:val="nil"/>
              <w:tr2bl w:val="nil"/>
            </w:tcBorders>
            <w:shd w:val="clear" w:color="auto" w:fill="D7D7D7" w:themeFill="background1" w:themeFillShade="D8"/>
            <w:vAlign w:val="center"/>
          </w:tcPr>
          <w:p w14:paraId="77310887">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240" w:type="pct"/>
            <w:tcBorders>
              <w:tl2br w:val="nil"/>
              <w:tr2bl w:val="nil"/>
            </w:tcBorders>
            <w:vAlign w:val="center"/>
          </w:tcPr>
          <w:p w14:paraId="18C1C52F">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247" w:type="pct"/>
            <w:tcBorders>
              <w:tl2br w:val="nil"/>
              <w:tr2bl w:val="nil"/>
            </w:tcBorders>
            <w:vAlign w:val="center"/>
          </w:tcPr>
          <w:p w14:paraId="07790E6A">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w:t>
            </w:r>
          </w:p>
        </w:tc>
        <w:tc>
          <w:tcPr>
            <w:tcW w:w="243" w:type="pct"/>
            <w:tcBorders>
              <w:tl2br w:val="nil"/>
              <w:tr2bl w:val="nil"/>
            </w:tcBorders>
            <w:vAlign w:val="center"/>
          </w:tcPr>
          <w:p w14:paraId="7D1679A5">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14:paraId="20ABF7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5" w:hRule="atLeast"/>
        </w:trPr>
        <w:tc>
          <w:tcPr>
            <w:tcW w:w="422" w:type="pct"/>
            <w:tcBorders>
              <w:tl2br w:val="nil"/>
              <w:tr2bl w:val="nil"/>
            </w:tcBorders>
            <w:vAlign w:val="center"/>
          </w:tcPr>
          <w:p w14:paraId="0C6189F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硫酸盐</w:t>
            </w:r>
          </w:p>
        </w:tc>
        <w:tc>
          <w:tcPr>
            <w:tcW w:w="310" w:type="pct"/>
            <w:tcBorders>
              <w:tl2br w:val="nil"/>
              <w:tr2bl w:val="nil"/>
            </w:tcBorders>
            <w:vAlign w:val="center"/>
          </w:tcPr>
          <w:p w14:paraId="0692783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196</w:t>
            </w:r>
          </w:p>
        </w:tc>
        <w:tc>
          <w:tcPr>
            <w:tcW w:w="310" w:type="pct"/>
            <w:tcBorders>
              <w:tl2br w:val="nil"/>
              <w:tr2bl w:val="nil"/>
            </w:tcBorders>
            <w:vAlign w:val="center"/>
          </w:tcPr>
          <w:p w14:paraId="0E35905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177</w:t>
            </w:r>
          </w:p>
        </w:tc>
        <w:tc>
          <w:tcPr>
            <w:tcW w:w="310" w:type="pct"/>
            <w:tcBorders>
              <w:tl2br w:val="nil"/>
              <w:tr2bl w:val="nil"/>
            </w:tcBorders>
            <w:vAlign w:val="center"/>
          </w:tcPr>
          <w:p w14:paraId="1EC3730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177</w:t>
            </w:r>
          </w:p>
        </w:tc>
        <w:tc>
          <w:tcPr>
            <w:tcW w:w="310" w:type="pct"/>
            <w:tcBorders>
              <w:tl2br w:val="nil"/>
              <w:tr2bl w:val="nil"/>
            </w:tcBorders>
            <w:vAlign w:val="center"/>
          </w:tcPr>
          <w:p w14:paraId="612A127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187</w:t>
            </w:r>
          </w:p>
        </w:tc>
        <w:tc>
          <w:tcPr>
            <w:tcW w:w="311" w:type="pct"/>
            <w:tcBorders>
              <w:tl2br w:val="nil"/>
              <w:tr2bl w:val="nil"/>
            </w:tcBorders>
            <w:vAlign w:val="center"/>
          </w:tcPr>
          <w:p w14:paraId="096880E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177</w:t>
            </w:r>
          </w:p>
        </w:tc>
        <w:tc>
          <w:tcPr>
            <w:tcW w:w="311" w:type="pct"/>
            <w:tcBorders>
              <w:tl2br w:val="nil"/>
              <w:tr2bl w:val="nil"/>
            </w:tcBorders>
            <w:vAlign w:val="center"/>
          </w:tcPr>
          <w:p w14:paraId="09B5A5F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177</w:t>
            </w:r>
          </w:p>
        </w:tc>
        <w:tc>
          <w:tcPr>
            <w:tcW w:w="311" w:type="pct"/>
            <w:tcBorders>
              <w:tl2br w:val="nil"/>
              <w:tr2bl w:val="nil"/>
            </w:tcBorders>
            <w:vAlign w:val="center"/>
          </w:tcPr>
          <w:p w14:paraId="36DC78C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196</w:t>
            </w:r>
          </w:p>
        </w:tc>
        <w:tc>
          <w:tcPr>
            <w:tcW w:w="310" w:type="pct"/>
            <w:tcBorders>
              <w:tl2br w:val="nil"/>
              <w:tr2bl w:val="nil"/>
            </w:tcBorders>
            <w:vAlign w:val="center"/>
          </w:tcPr>
          <w:p w14:paraId="466FCC0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187</w:t>
            </w:r>
          </w:p>
        </w:tc>
        <w:tc>
          <w:tcPr>
            <w:tcW w:w="311" w:type="pct"/>
            <w:tcBorders>
              <w:tl2br w:val="nil"/>
              <w:tr2bl w:val="nil"/>
            </w:tcBorders>
            <w:vAlign w:val="center"/>
          </w:tcPr>
          <w:p w14:paraId="3615C40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187</w:t>
            </w:r>
          </w:p>
        </w:tc>
        <w:tc>
          <w:tcPr>
            <w:tcW w:w="316" w:type="pct"/>
            <w:tcBorders>
              <w:tl2br w:val="nil"/>
              <w:tr2bl w:val="nil"/>
            </w:tcBorders>
            <w:vAlign w:val="center"/>
          </w:tcPr>
          <w:p w14:paraId="199AD87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196</w:t>
            </w:r>
          </w:p>
        </w:tc>
        <w:tc>
          <w:tcPr>
            <w:tcW w:w="491" w:type="pct"/>
            <w:tcBorders>
              <w:tl2br w:val="nil"/>
              <w:tr2bl w:val="nil"/>
            </w:tcBorders>
            <w:vAlign w:val="center"/>
          </w:tcPr>
          <w:p w14:paraId="42FACD30">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4.99</w:t>
            </w:r>
          </w:p>
        </w:tc>
        <w:tc>
          <w:tcPr>
            <w:tcW w:w="240" w:type="pct"/>
            <w:tcBorders>
              <w:tl2br w:val="nil"/>
              <w:tr2bl w:val="nil"/>
            </w:tcBorders>
            <w:vAlign w:val="center"/>
          </w:tcPr>
          <w:p w14:paraId="3C10F5CC">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240" w:type="pct"/>
            <w:tcBorders>
              <w:tl2br w:val="nil"/>
              <w:tr2bl w:val="nil"/>
            </w:tcBorders>
            <w:vAlign w:val="center"/>
          </w:tcPr>
          <w:p w14:paraId="4FF3FAC6">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w:t>
            </w:r>
          </w:p>
        </w:tc>
        <w:tc>
          <w:tcPr>
            <w:tcW w:w="247" w:type="pct"/>
            <w:tcBorders>
              <w:tl2br w:val="nil"/>
              <w:tr2bl w:val="nil"/>
            </w:tcBorders>
            <w:shd w:val="clear" w:color="auto" w:fill="D7D7D7" w:themeFill="background1" w:themeFillShade="D8"/>
            <w:vAlign w:val="center"/>
          </w:tcPr>
          <w:p w14:paraId="101913B1">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250</w:t>
            </w:r>
          </w:p>
        </w:tc>
        <w:tc>
          <w:tcPr>
            <w:tcW w:w="243" w:type="pct"/>
            <w:tcBorders>
              <w:tl2br w:val="nil"/>
              <w:tr2bl w:val="nil"/>
            </w:tcBorders>
            <w:vAlign w:val="center"/>
          </w:tcPr>
          <w:p w14:paraId="12205BB7">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350</w:t>
            </w:r>
          </w:p>
        </w:tc>
      </w:tr>
      <w:tr w14:paraId="14E19A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2EE4FF9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氯化物</w:t>
            </w:r>
          </w:p>
        </w:tc>
        <w:tc>
          <w:tcPr>
            <w:tcW w:w="310" w:type="pct"/>
            <w:tcBorders>
              <w:tl2br w:val="nil"/>
              <w:tr2bl w:val="nil"/>
            </w:tcBorders>
            <w:vAlign w:val="center"/>
          </w:tcPr>
          <w:p w14:paraId="29C5344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109</w:t>
            </w:r>
          </w:p>
        </w:tc>
        <w:tc>
          <w:tcPr>
            <w:tcW w:w="310" w:type="pct"/>
            <w:tcBorders>
              <w:tl2br w:val="nil"/>
              <w:tr2bl w:val="nil"/>
            </w:tcBorders>
            <w:vAlign w:val="center"/>
          </w:tcPr>
          <w:p w14:paraId="6E5F81E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111</w:t>
            </w:r>
          </w:p>
        </w:tc>
        <w:tc>
          <w:tcPr>
            <w:tcW w:w="310" w:type="pct"/>
            <w:tcBorders>
              <w:tl2br w:val="nil"/>
              <w:tr2bl w:val="nil"/>
            </w:tcBorders>
            <w:vAlign w:val="center"/>
          </w:tcPr>
          <w:p w14:paraId="509B834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106</w:t>
            </w:r>
          </w:p>
        </w:tc>
        <w:tc>
          <w:tcPr>
            <w:tcW w:w="310" w:type="pct"/>
            <w:tcBorders>
              <w:tl2br w:val="nil"/>
              <w:tr2bl w:val="nil"/>
            </w:tcBorders>
            <w:vAlign w:val="center"/>
          </w:tcPr>
          <w:p w14:paraId="63F2880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108</w:t>
            </w:r>
          </w:p>
        </w:tc>
        <w:tc>
          <w:tcPr>
            <w:tcW w:w="311" w:type="pct"/>
            <w:tcBorders>
              <w:tl2br w:val="nil"/>
              <w:tr2bl w:val="nil"/>
            </w:tcBorders>
            <w:vAlign w:val="center"/>
          </w:tcPr>
          <w:p w14:paraId="3211BA8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110</w:t>
            </w:r>
          </w:p>
        </w:tc>
        <w:tc>
          <w:tcPr>
            <w:tcW w:w="311" w:type="pct"/>
            <w:tcBorders>
              <w:tl2br w:val="nil"/>
              <w:tr2bl w:val="nil"/>
            </w:tcBorders>
            <w:vAlign w:val="center"/>
          </w:tcPr>
          <w:p w14:paraId="20FBD60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109</w:t>
            </w:r>
          </w:p>
        </w:tc>
        <w:tc>
          <w:tcPr>
            <w:tcW w:w="311" w:type="pct"/>
            <w:tcBorders>
              <w:tl2br w:val="nil"/>
              <w:tr2bl w:val="nil"/>
            </w:tcBorders>
            <w:vAlign w:val="center"/>
          </w:tcPr>
          <w:p w14:paraId="1251B85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120</w:t>
            </w:r>
          </w:p>
        </w:tc>
        <w:tc>
          <w:tcPr>
            <w:tcW w:w="310" w:type="pct"/>
            <w:tcBorders>
              <w:tl2br w:val="nil"/>
              <w:tr2bl w:val="nil"/>
            </w:tcBorders>
            <w:vAlign w:val="center"/>
          </w:tcPr>
          <w:p w14:paraId="666FF1C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116</w:t>
            </w:r>
          </w:p>
        </w:tc>
        <w:tc>
          <w:tcPr>
            <w:tcW w:w="311" w:type="pct"/>
            <w:tcBorders>
              <w:tl2br w:val="nil"/>
              <w:tr2bl w:val="nil"/>
            </w:tcBorders>
            <w:vAlign w:val="center"/>
          </w:tcPr>
          <w:p w14:paraId="1EF5F26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117</w:t>
            </w:r>
          </w:p>
        </w:tc>
        <w:tc>
          <w:tcPr>
            <w:tcW w:w="316" w:type="pct"/>
            <w:tcBorders>
              <w:tl2br w:val="nil"/>
              <w:tr2bl w:val="nil"/>
            </w:tcBorders>
            <w:vAlign w:val="center"/>
          </w:tcPr>
          <w:p w14:paraId="72EFAAC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119</w:t>
            </w:r>
          </w:p>
        </w:tc>
        <w:tc>
          <w:tcPr>
            <w:tcW w:w="491" w:type="pct"/>
            <w:tcBorders>
              <w:tl2br w:val="nil"/>
              <w:tr2bl w:val="nil"/>
            </w:tcBorders>
            <w:vAlign w:val="center"/>
          </w:tcPr>
          <w:p w14:paraId="27EDE4E7">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8.89</w:t>
            </w:r>
          </w:p>
        </w:tc>
        <w:tc>
          <w:tcPr>
            <w:tcW w:w="240" w:type="pct"/>
            <w:tcBorders>
              <w:tl2br w:val="nil"/>
              <w:tr2bl w:val="nil"/>
            </w:tcBorders>
            <w:vAlign w:val="center"/>
          </w:tcPr>
          <w:p w14:paraId="26D82E7B">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240" w:type="pct"/>
            <w:tcBorders>
              <w:tl2br w:val="nil"/>
              <w:tr2bl w:val="nil"/>
            </w:tcBorders>
            <w:shd w:val="clear" w:color="auto" w:fill="D7D7D7" w:themeFill="background1" w:themeFillShade="D8"/>
            <w:vAlign w:val="center"/>
          </w:tcPr>
          <w:p w14:paraId="26137E5C">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150</w:t>
            </w:r>
          </w:p>
        </w:tc>
        <w:tc>
          <w:tcPr>
            <w:tcW w:w="247" w:type="pct"/>
            <w:tcBorders>
              <w:tl2br w:val="nil"/>
              <w:tr2bl w:val="nil"/>
            </w:tcBorders>
            <w:vAlign w:val="center"/>
          </w:tcPr>
          <w:p w14:paraId="6D1509CF">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250</w:t>
            </w:r>
          </w:p>
        </w:tc>
        <w:tc>
          <w:tcPr>
            <w:tcW w:w="243" w:type="pct"/>
            <w:tcBorders>
              <w:tl2br w:val="nil"/>
              <w:tr2bl w:val="nil"/>
            </w:tcBorders>
            <w:vAlign w:val="center"/>
          </w:tcPr>
          <w:p w14:paraId="5BDB14AC">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350</w:t>
            </w:r>
          </w:p>
        </w:tc>
      </w:tr>
      <w:tr w14:paraId="75D277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422" w:type="pct"/>
            <w:tcBorders>
              <w:tl2br w:val="nil"/>
              <w:tr2bl w:val="nil"/>
            </w:tcBorders>
            <w:vAlign w:val="center"/>
          </w:tcPr>
          <w:p w14:paraId="7C1F643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总大肠菌群</w:t>
            </w:r>
          </w:p>
          <w:p w14:paraId="04B40C0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Cs w:val="21"/>
                <w:lang w:val="en-US" w:eastAsia="zh-CN"/>
              </w:rPr>
              <w:t>MPN</w:t>
            </w:r>
            <w:r>
              <w:rPr>
                <w:rFonts w:hint="default" w:ascii="Times New Roman" w:hAnsi="Times New Roman" w:eastAsia="宋体" w:cs="Times New Roman"/>
                <w:color w:val="auto"/>
                <w:sz w:val="21"/>
                <w:szCs w:val="21"/>
              </w:rPr>
              <w:t>/L）</w:t>
            </w:r>
          </w:p>
        </w:tc>
        <w:tc>
          <w:tcPr>
            <w:tcW w:w="310" w:type="pct"/>
            <w:tcBorders>
              <w:tl2br w:val="nil"/>
              <w:tr2bl w:val="nil"/>
            </w:tcBorders>
            <w:vAlign w:val="center"/>
          </w:tcPr>
          <w:p w14:paraId="7184D3C3">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9.4×10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0" w:type="pct"/>
            <w:tcBorders>
              <w:tl2br w:val="nil"/>
              <w:tr2bl w:val="nil"/>
            </w:tcBorders>
            <w:vAlign w:val="center"/>
          </w:tcPr>
          <w:p w14:paraId="662D99EB">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9.4×10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0" w:type="pct"/>
            <w:tcBorders>
              <w:tl2br w:val="nil"/>
              <w:tr2bl w:val="nil"/>
            </w:tcBorders>
            <w:vAlign w:val="center"/>
          </w:tcPr>
          <w:p w14:paraId="59481927">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7.0×10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0" w:type="pct"/>
            <w:tcBorders>
              <w:tl2br w:val="nil"/>
              <w:tr2bl w:val="nil"/>
            </w:tcBorders>
            <w:vAlign w:val="center"/>
          </w:tcPr>
          <w:p w14:paraId="2692865E">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7.9×10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1" w:type="pct"/>
            <w:tcBorders>
              <w:tl2br w:val="nil"/>
              <w:tr2bl w:val="nil"/>
            </w:tcBorders>
            <w:vAlign w:val="center"/>
          </w:tcPr>
          <w:p w14:paraId="1F74AC3B">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9.4×10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1" w:type="pct"/>
            <w:tcBorders>
              <w:tl2br w:val="nil"/>
              <w:tr2bl w:val="nil"/>
            </w:tcBorders>
            <w:vAlign w:val="center"/>
          </w:tcPr>
          <w:p w14:paraId="7F80A66E">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4.9×10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1" w:type="pct"/>
            <w:tcBorders>
              <w:tl2br w:val="nil"/>
              <w:tr2bl w:val="nil"/>
            </w:tcBorders>
            <w:vAlign w:val="center"/>
          </w:tcPr>
          <w:p w14:paraId="43CD1AED">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7.0×10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0" w:type="pct"/>
            <w:tcBorders>
              <w:tl2br w:val="nil"/>
              <w:tr2bl w:val="nil"/>
            </w:tcBorders>
            <w:vAlign w:val="center"/>
          </w:tcPr>
          <w:p w14:paraId="218FE1D2">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8.4×10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1" w:type="pct"/>
            <w:tcBorders>
              <w:tl2br w:val="nil"/>
              <w:tr2bl w:val="nil"/>
            </w:tcBorders>
            <w:vAlign w:val="center"/>
          </w:tcPr>
          <w:p w14:paraId="2DAC4E08">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7.9×10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6" w:type="pct"/>
            <w:tcBorders>
              <w:tl2br w:val="nil"/>
              <w:tr2bl w:val="nil"/>
            </w:tcBorders>
            <w:vAlign w:val="center"/>
          </w:tcPr>
          <w:p w14:paraId="21F76BD1">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7.0×10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491" w:type="pct"/>
            <w:tcBorders>
              <w:tl2br w:val="nil"/>
              <w:tr2bl w:val="nil"/>
            </w:tcBorders>
            <w:vAlign w:val="center"/>
          </w:tcPr>
          <w:p w14:paraId="6B3F6E61">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240" w:type="pct"/>
            <w:tcBorders>
              <w:tl2br w:val="nil"/>
              <w:tr2bl w:val="nil"/>
            </w:tcBorders>
            <w:vAlign w:val="center"/>
          </w:tcPr>
          <w:p w14:paraId="10BF2E16">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240" w:type="pct"/>
            <w:tcBorders>
              <w:tl2br w:val="nil"/>
              <w:tr2bl w:val="nil"/>
            </w:tcBorders>
            <w:vAlign w:val="center"/>
          </w:tcPr>
          <w:p w14:paraId="4162E167">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247" w:type="pct"/>
            <w:tcBorders>
              <w:tl2br w:val="nil"/>
              <w:tr2bl w:val="nil"/>
            </w:tcBorders>
            <w:vAlign w:val="center"/>
          </w:tcPr>
          <w:p w14:paraId="2A9906BA">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3</w:t>
            </w:r>
          </w:p>
        </w:tc>
        <w:tc>
          <w:tcPr>
            <w:tcW w:w="243" w:type="pct"/>
            <w:tcBorders>
              <w:tl2br w:val="nil"/>
              <w:tr2bl w:val="nil"/>
            </w:tcBorders>
            <w:vAlign w:val="center"/>
          </w:tcPr>
          <w:p w14:paraId="7FB95969">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r>
      <w:tr w14:paraId="3C0683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422" w:type="pct"/>
            <w:tcBorders>
              <w:tl2br w:val="nil"/>
              <w:tr2bl w:val="nil"/>
            </w:tcBorders>
            <w:vAlign w:val="center"/>
          </w:tcPr>
          <w:p w14:paraId="2FD395C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细菌总数</w:t>
            </w:r>
          </w:p>
          <w:p w14:paraId="35FC74C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（CFU/mL）</w:t>
            </w:r>
          </w:p>
        </w:tc>
        <w:tc>
          <w:tcPr>
            <w:tcW w:w="310" w:type="pct"/>
            <w:tcBorders>
              <w:tl2br w:val="nil"/>
              <w:tr2bl w:val="nil"/>
            </w:tcBorders>
            <w:vAlign w:val="center"/>
          </w:tcPr>
          <w:p w14:paraId="05F0AA4E">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9.1×10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0" w:type="pct"/>
            <w:tcBorders>
              <w:tl2br w:val="nil"/>
              <w:tr2bl w:val="nil"/>
            </w:tcBorders>
            <w:vAlign w:val="center"/>
          </w:tcPr>
          <w:p w14:paraId="4D9CEABE">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9.6×10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0" w:type="pct"/>
            <w:tcBorders>
              <w:tl2br w:val="nil"/>
              <w:tr2bl w:val="nil"/>
            </w:tcBorders>
            <w:vAlign w:val="center"/>
          </w:tcPr>
          <w:p w14:paraId="0C324697">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9.2×10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0" w:type="pct"/>
            <w:tcBorders>
              <w:tl2br w:val="nil"/>
              <w:tr2bl w:val="nil"/>
            </w:tcBorders>
            <w:vAlign w:val="center"/>
          </w:tcPr>
          <w:p w14:paraId="76009E29">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9.4×10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1" w:type="pct"/>
            <w:tcBorders>
              <w:tl2br w:val="nil"/>
              <w:tr2bl w:val="nil"/>
            </w:tcBorders>
            <w:vAlign w:val="center"/>
          </w:tcPr>
          <w:p w14:paraId="50E3F88D">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8.6×10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1" w:type="pct"/>
            <w:tcBorders>
              <w:tl2br w:val="nil"/>
              <w:tr2bl w:val="nil"/>
            </w:tcBorders>
            <w:vAlign w:val="center"/>
          </w:tcPr>
          <w:p w14:paraId="3ED41AF7">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9.2×10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1" w:type="pct"/>
            <w:tcBorders>
              <w:tl2br w:val="nil"/>
              <w:tr2bl w:val="nil"/>
            </w:tcBorders>
            <w:vAlign w:val="center"/>
          </w:tcPr>
          <w:p w14:paraId="5F1DFE46">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8.7×10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0" w:type="pct"/>
            <w:tcBorders>
              <w:tl2br w:val="nil"/>
              <w:tr2bl w:val="nil"/>
            </w:tcBorders>
            <w:vAlign w:val="center"/>
          </w:tcPr>
          <w:p w14:paraId="46A4B7B6">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8.8×10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1" w:type="pct"/>
            <w:tcBorders>
              <w:tl2br w:val="nil"/>
              <w:tr2bl w:val="nil"/>
            </w:tcBorders>
            <w:vAlign w:val="center"/>
          </w:tcPr>
          <w:p w14:paraId="0B1F9601">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8.3×10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16" w:type="pct"/>
            <w:tcBorders>
              <w:tl2br w:val="nil"/>
              <w:tr2bl w:val="nil"/>
            </w:tcBorders>
            <w:vAlign w:val="center"/>
          </w:tcPr>
          <w:p w14:paraId="563B9E3F">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9.9×10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491" w:type="pct"/>
            <w:tcBorders>
              <w:tl2br w:val="nil"/>
              <w:tr2bl w:val="nil"/>
            </w:tcBorders>
            <w:vAlign w:val="center"/>
          </w:tcPr>
          <w:p w14:paraId="2F609008">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68</w:t>
            </w:r>
          </w:p>
        </w:tc>
        <w:tc>
          <w:tcPr>
            <w:tcW w:w="240" w:type="pct"/>
            <w:tcBorders>
              <w:tl2br w:val="nil"/>
              <w:tr2bl w:val="nil"/>
            </w:tcBorders>
            <w:vAlign w:val="center"/>
          </w:tcPr>
          <w:p w14:paraId="16DE15C5">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240" w:type="pct"/>
            <w:tcBorders>
              <w:tl2br w:val="nil"/>
              <w:tr2bl w:val="nil"/>
            </w:tcBorders>
            <w:vAlign w:val="center"/>
          </w:tcPr>
          <w:p w14:paraId="7574464F">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247" w:type="pct"/>
            <w:tcBorders>
              <w:tl2br w:val="nil"/>
              <w:tr2bl w:val="nil"/>
            </w:tcBorders>
            <w:vAlign w:val="center"/>
          </w:tcPr>
          <w:p w14:paraId="3D3701AC">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243" w:type="pct"/>
            <w:tcBorders>
              <w:tl2br w:val="nil"/>
              <w:tr2bl w:val="nil"/>
            </w:tcBorders>
            <w:shd w:val="clear" w:color="auto" w:fill="D7D7D7" w:themeFill="background1" w:themeFillShade="D8"/>
            <w:vAlign w:val="center"/>
          </w:tcPr>
          <w:p w14:paraId="3BD0845C">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1000</w:t>
            </w:r>
          </w:p>
        </w:tc>
      </w:tr>
      <w:tr w14:paraId="596E0F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6BD3BC84">
            <w:pPr>
              <w:bidi w:val="0"/>
              <w:jc w:val="center"/>
              <w:rPr>
                <w:rFonts w:hint="default" w:ascii="Times New Roman" w:hAnsi="Times New Roman" w:eastAsia="宋体" w:cs="Times New Roman"/>
                <w:color w:val="auto"/>
                <w:sz w:val="21"/>
                <w:szCs w:val="21"/>
              </w:rPr>
            </w:pPr>
            <w:bookmarkStart w:id="1638" w:name="OLE_LINK561" w:colFirst="12" w:colLast="15"/>
            <w:r>
              <w:rPr>
                <w:rFonts w:hint="default" w:ascii="Times New Roman" w:hAnsi="Times New Roman" w:eastAsia="宋体" w:cs="Times New Roman"/>
                <w:color w:val="auto"/>
                <w:kern w:val="2"/>
                <w:sz w:val="21"/>
                <w:szCs w:val="21"/>
                <w:highlight w:val="none"/>
                <w:lang w:val="en-US" w:eastAsia="zh-CN" w:bidi="ar-SA"/>
              </w:rPr>
              <w:t>水温（℃）</w:t>
            </w:r>
          </w:p>
        </w:tc>
        <w:tc>
          <w:tcPr>
            <w:tcW w:w="310" w:type="pct"/>
            <w:tcBorders>
              <w:tl2br w:val="nil"/>
              <w:tr2bl w:val="nil"/>
            </w:tcBorders>
            <w:vAlign w:val="center"/>
          </w:tcPr>
          <w:p w14:paraId="5D8E9486">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18.3</w:t>
            </w:r>
          </w:p>
        </w:tc>
        <w:tc>
          <w:tcPr>
            <w:tcW w:w="310" w:type="pct"/>
            <w:tcBorders>
              <w:tl2br w:val="nil"/>
              <w:tr2bl w:val="nil"/>
            </w:tcBorders>
            <w:vAlign w:val="center"/>
          </w:tcPr>
          <w:p w14:paraId="36F4E0B7">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18.5</w:t>
            </w:r>
          </w:p>
        </w:tc>
        <w:tc>
          <w:tcPr>
            <w:tcW w:w="310" w:type="pct"/>
            <w:tcBorders>
              <w:tl2br w:val="nil"/>
              <w:tr2bl w:val="nil"/>
            </w:tcBorders>
            <w:vAlign w:val="center"/>
          </w:tcPr>
          <w:p w14:paraId="7536F641">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18.3</w:t>
            </w:r>
          </w:p>
        </w:tc>
        <w:tc>
          <w:tcPr>
            <w:tcW w:w="310" w:type="pct"/>
            <w:tcBorders>
              <w:tl2br w:val="nil"/>
              <w:tr2bl w:val="nil"/>
            </w:tcBorders>
            <w:vAlign w:val="center"/>
          </w:tcPr>
          <w:p w14:paraId="1C1DE134">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18.4</w:t>
            </w:r>
          </w:p>
        </w:tc>
        <w:tc>
          <w:tcPr>
            <w:tcW w:w="311" w:type="pct"/>
            <w:tcBorders>
              <w:tl2br w:val="nil"/>
              <w:tr2bl w:val="nil"/>
            </w:tcBorders>
            <w:vAlign w:val="center"/>
          </w:tcPr>
          <w:p w14:paraId="4DF437A8">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18.4</w:t>
            </w:r>
          </w:p>
        </w:tc>
        <w:tc>
          <w:tcPr>
            <w:tcW w:w="311" w:type="pct"/>
            <w:tcBorders>
              <w:tl2br w:val="nil"/>
              <w:tr2bl w:val="nil"/>
            </w:tcBorders>
            <w:vAlign w:val="center"/>
          </w:tcPr>
          <w:p w14:paraId="21579A33">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18.5</w:t>
            </w:r>
          </w:p>
        </w:tc>
        <w:tc>
          <w:tcPr>
            <w:tcW w:w="311" w:type="pct"/>
            <w:tcBorders>
              <w:tl2br w:val="nil"/>
              <w:tr2bl w:val="nil"/>
            </w:tcBorders>
            <w:vAlign w:val="center"/>
          </w:tcPr>
          <w:p w14:paraId="278A8CDF">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18.3</w:t>
            </w:r>
          </w:p>
        </w:tc>
        <w:tc>
          <w:tcPr>
            <w:tcW w:w="310" w:type="pct"/>
            <w:tcBorders>
              <w:tl2br w:val="nil"/>
              <w:tr2bl w:val="nil"/>
            </w:tcBorders>
            <w:vAlign w:val="center"/>
          </w:tcPr>
          <w:p w14:paraId="725AB929">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18.3</w:t>
            </w:r>
          </w:p>
        </w:tc>
        <w:tc>
          <w:tcPr>
            <w:tcW w:w="311" w:type="pct"/>
            <w:tcBorders>
              <w:tl2br w:val="nil"/>
              <w:tr2bl w:val="nil"/>
            </w:tcBorders>
            <w:vAlign w:val="center"/>
          </w:tcPr>
          <w:p w14:paraId="43EB76A1">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18.4</w:t>
            </w:r>
          </w:p>
        </w:tc>
        <w:tc>
          <w:tcPr>
            <w:tcW w:w="316" w:type="pct"/>
            <w:tcBorders>
              <w:tl2br w:val="nil"/>
              <w:tr2bl w:val="nil"/>
            </w:tcBorders>
            <w:vAlign w:val="center"/>
          </w:tcPr>
          <w:p w14:paraId="42003F23">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18.6</w:t>
            </w:r>
          </w:p>
        </w:tc>
        <w:tc>
          <w:tcPr>
            <w:tcW w:w="1377" w:type="dxa"/>
            <w:tcBorders>
              <w:tl2br w:val="nil"/>
              <w:tr2bl w:val="nil"/>
            </w:tcBorders>
            <w:vAlign w:val="center"/>
          </w:tcPr>
          <w:p w14:paraId="7A1DE520">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240" w:type="pct"/>
            <w:tcBorders>
              <w:tl2br w:val="nil"/>
              <w:tr2bl w:val="nil"/>
            </w:tcBorders>
            <w:vAlign w:val="center"/>
          </w:tcPr>
          <w:p w14:paraId="7405A40E">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240" w:type="pct"/>
            <w:tcBorders>
              <w:tl2br w:val="nil"/>
              <w:tr2bl w:val="nil"/>
            </w:tcBorders>
            <w:vAlign w:val="center"/>
          </w:tcPr>
          <w:p w14:paraId="11B1FCC1">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247" w:type="pct"/>
            <w:tcBorders>
              <w:tl2br w:val="nil"/>
              <w:tr2bl w:val="nil"/>
            </w:tcBorders>
            <w:vAlign w:val="center"/>
          </w:tcPr>
          <w:p w14:paraId="6A633E56">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243" w:type="pct"/>
            <w:tcBorders>
              <w:tl2br w:val="nil"/>
              <w:tr2bl w:val="nil"/>
            </w:tcBorders>
            <w:vAlign w:val="center"/>
          </w:tcPr>
          <w:p w14:paraId="567BD4E8">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bookmarkEnd w:id="1638"/>
      <w:tr w14:paraId="1BB48E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41FE6326">
            <w:pPr>
              <w:bidi w:val="0"/>
              <w:jc w:val="center"/>
              <w:rPr>
                <w:rFonts w:hint="default" w:ascii="Times New Roman" w:hAnsi="Times New Roman" w:eastAsia="宋体" w:cs="Times New Roman"/>
                <w:color w:val="auto"/>
                <w:kern w:val="2"/>
                <w:sz w:val="21"/>
                <w:szCs w:val="21"/>
                <w:highlight w:val="none"/>
                <w:lang w:val="en-US" w:eastAsia="zh-CN" w:bidi="ar-SA"/>
              </w:rPr>
            </w:pPr>
            <w:bookmarkStart w:id="1639" w:name="OLE_LINK842" w:colFirst="12" w:colLast="15"/>
            <w:bookmarkStart w:id="1640" w:name="OLE_LINK839" w:colFirst="4" w:colLast="4"/>
            <w:bookmarkStart w:id="1641" w:name="OLE_LINK841" w:colFirst="0" w:colLast="0"/>
            <w:r>
              <w:rPr>
                <w:rFonts w:hint="eastAsia" w:ascii="Times New Roman" w:hAnsi="Times New Roman" w:eastAsia="宋体" w:cs="Times New Roman"/>
                <w:color w:val="auto"/>
                <w:kern w:val="2"/>
                <w:sz w:val="21"/>
                <w:szCs w:val="21"/>
                <w:highlight w:val="none"/>
                <w:lang w:val="en-US" w:eastAsia="zh-CN" w:bidi="ar-SA"/>
              </w:rPr>
              <w:t>水位（m）</w:t>
            </w:r>
          </w:p>
        </w:tc>
        <w:tc>
          <w:tcPr>
            <w:tcW w:w="310" w:type="pct"/>
            <w:tcBorders>
              <w:tl2br w:val="nil"/>
              <w:tr2bl w:val="nil"/>
            </w:tcBorders>
            <w:vAlign w:val="center"/>
          </w:tcPr>
          <w:p w14:paraId="52B9A29D">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bookmarkStart w:id="1642" w:name="OLE_LINK840"/>
            <w:r>
              <w:rPr>
                <w:rFonts w:hint="eastAsia" w:ascii="Times New Roman" w:hAnsi="Times New Roman" w:eastAsia="宋体" w:cs="Times New Roman"/>
                <w:color w:val="auto"/>
                <w:kern w:val="2"/>
                <w:sz w:val="21"/>
                <w:szCs w:val="21"/>
                <w:highlight w:val="none"/>
                <w:lang w:val="en-US" w:eastAsia="zh-CN" w:bidi="ar-SA"/>
              </w:rPr>
              <w:t>6.5</w:t>
            </w:r>
            <w:bookmarkEnd w:id="1642"/>
          </w:p>
        </w:tc>
        <w:tc>
          <w:tcPr>
            <w:tcW w:w="310" w:type="pct"/>
            <w:tcBorders>
              <w:tl2br w:val="nil"/>
              <w:tr2bl w:val="nil"/>
            </w:tcBorders>
            <w:vAlign w:val="center"/>
          </w:tcPr>
          <w:p w14:paraId="7D49D153">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6.7</w:t>
            </w:r>
          </w:p>
        </w:tc>
        <w:tc>
          <w:tcPr>
            <w:tcW w:w="310" w:type="pct"/>
            <w:tcBorders>
              <w:tl2br w:val="nil"/>
              <w:tr2bl w:val="nil"/>
            </w:tcBorders>
            <w:vAlign w:val="center"/>
          </w:tcPr>
          <w:p w14:paraId="551E668E">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7.2</w:t>
            </w:r>
          </w:p>
        </w:tc>
        <w:tc>
          <w:tcPr>
            <w:tcW w:w="869" w:type="dxa"/>
            <w:tcBorders>
              <w:tl2br w:val="nil"/>
              <w:tr2bl w:val="nil"/>
            </w:tcBorders>
            <w:vAlign w:val="center"/>
          </w:tcPr>
          <w:p w14:paraId="50D8838C">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6.7</w:t>
            </w:r>
          </w:p>
        </w:tc>
        <w:tc>
          <w:tcPr>
            <w:tcW w:w="872" w:type="dxa"/>
            <w:tcBorders>
              <w:tl2br w:val="nil"/>
              <w:tr2bl w:val="nil"/>
            </w:tcBorders>
            <w:vAlign w:val="center"/>
          </w:tcPr>
          <w:p w14:paraId="53DC9D60">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7.0</w:t>
            </w:r>
          </w:p>
        </w:tc>
        <w:tc>
          <w:tcPr>
            <w:tcW w:w="872" w:type="dxa"/>
            <w:tcBorders>
              <w:tl2br w:val="nil"/>
              <w:tr2bl w:val="nil"/>
            </w:tcBorders>
            <w:vAlign w:val="center"/>
          </w:tcPr>
          <w:p w14:paraId="27CC9253">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7.1</w:t>
            </w:r>
          </w:p>
        </w:tc>
        <w:tc>
          <w:tcPr>
            <w:tcW w:w="872" w:type="dxa"/>
            <w:tcBorders>
              <w:tl2br w:val="nil"/>
              <w:tr2bl w:val="nil"/>
            </w:tcBorders>
            <w:vAlign w:val="center"/>
          </w:tcPr>
          <w:p w14:paraId="5AEBA2D7">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7.1</w:t>
            </w:r>
          </w:p>
        </w:tc>
        <w:tc>
          <w:tcPr>
            <w:tcW w:w="869" w:type="dxa"/>
            <w:tcBorders>
              <w:tl2br w:val="nil"/>
              <w:tr2bl w:val="nil"/>
            </w:tcBorders>
            <w:vAlign w:val="center"/>
          </w:tcPr>
          <w:p w14:paraId="731067DC">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6.9</w:t>
            </w:r>
          </w:p>
        </w:tc>
        <w:tc>
          <w:tcPr>
            <w:tcW w:w="872" w:type="dxa"/>
            <w:tcBorders>
              <w:tl2br w:val="nil"/>
              <w:tr2bl w:val="nil"/>
            </w:tcBorders>
            <w:vAlign w:val="center"/>
          </w:tcPr>
          <w:p w14:paraId="05B34D7D">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7.1</w:t>
            </w:r>
          </w:p>
        </w:tc>
        <w:tc>
          <w:tcPr>
            <w:tcW w:w="897" w:type="dxa"/>
            <w:tcBorders>
              <w:tl2br w:val="nil"/>
              <w:tr2bl w:val="nil"/>
            </w:tcBorders>
            <w:vAlign w:val="center"/>
          </w:tcPr>
          <w:p w14:paraId="2839D7FC">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6.8</w:t>
            </w:r>
          </w:p>
        </w:tc>
        <w:tc>
          <w:tcPr>
            <w:tcW w:w="1377" w:type="dxa"/>
            <w:tcBorders>
              <w:tl2br w:val="nil"/>
              <w:tr2bl w:val="nil"/>
            </w:tcBorders>
            <w:vAlign w:val="center"/>
          </w:tcPr>
          <w:p w14:paraId="2A42E8BC">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240" w:type="pct"/>
            <w:tcBorders>
              <w:tl2br w:val="nil"/>
              <w:tr2bl w:val="nil"/>
            </w:tcBorders>
            <w:shd w:val="clear" w:color="auto" w:fill="auto"/>
            <w:vAlign w:val="center"/>
          </w:tcPr>
          <w:p w14:paraId="63C742CD">
            <w:pPr>
              <w:bidi w:val="0"/>
              <w:jc w:val="center"/>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240" w:type="pct"/>
            <w:tcBorders>
              <w:tl2br w:val="nil"/>
              <w:tr2bl w:val="nil"/>
            </w:tcBorders>
            <w:shd w:val="clear" w:color="auto" w:fill="auto"/>
            <w:vAlign w:val="center"/>
          </w:tcPr>
          <w:p w14:paraId="3A20DFB7">
            <w:pPr>
              <w:bidi w:val="0"/>
              <w:jc w:val="center"/>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247" w:type="pct"/>
            <w:tcBorders>
              <w:tl2br w:val="nil"/>
              <w:tr2bl w:val="nil"/>
            </w:tcBorders>
            <w:shd w:val="clear" w:color="auto" w:fill="auto"/>
            <w:vAlign w:val="center"/>
          </w:tcPr>
          <w:p w14:paraId="678C0BFC">
            <w:pPr>
              <w:bidi w:val="0"/>
              <w:jc w:val="center"/>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243" w:type="pct"/>
            <w:tcBorders>
              <w:tl2br w:val="nil"/>
              <w:tr2bl w:val="nil"/>
            </w:tcBorders>
            <w:shd w:val="clear" w:color="auto" w:fill="auto"/>
            <w:vAlign w:val="center"/>
          </w:tcPr>
          <w:p w14:paraId="233B3038">
            <w:pPr>
              <w:bidi w:val="0"/>
              <w:jc w:val="center"/>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w:t>
            </w:r>
          </w:p>
        </w:tc>
      </w:tr>
      <w:bookmarkEnd w:id="1639"/>
      <w:tr w14:paraId="1538A3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22" w:type="pct"/>
            <w:tcBorders>
              <w:tl2br w:val="nil"/>
              <w:tr2bl w:val="nil"/>
            </w:tcBorders>
            <w:vAlign w:val="center"/>
          </w:tcPr>
          <w:p w14:paraId="4CBF5520">
            <w:pPr>
              <w:bidi w:val="0"/>
              <w:jc w:val="center"/>
              <w:rPr>
                <w:rFonts w:hint="default" w:ascii="Times New Roman" w:hAnsi="Times New Roman" w:eastAsia="宋体" w:cs="Times New Roman"/>
                <w:color w:val="auto"/>
                <w:kern w:val="2"/>
                <w:sz w:val="21"/>
                <w:szCs w:val="21"/>
                <w:highlight w:val="none"/>
                <w:lang w:val="en-US" w:eastAsia="zh-CN" w:bidi="ar-SA"/>
              </w:rPr>
            </w:pPr>
            <w:bookmarkStart w:id="1643" w:name="OLE_LINK843" w:colFirst="12" w:colLast="15"/>
            <w:r>
              <w:rPr>
                <w:rFonts w:hint="eastAsia" w:ascii="Times New Roman" w:hAnsi="Times New Roman" w:eastAsia="宋体" w:cs="Times New Roman"/>
                <w:color w:val="auto"/>
                <w:kern w:val="2"/>
                <w:sz w:val="21"/>
                <w:szCs w:val="21"/>
                <w:highlight w:val="none"/>
                <w:lang w:val="en-US" w:eastAsia="zh-CN" w:bidi="ar-SA"/>
              </w:rPr>
              <w:t>高程（m）</w:t>
            </w:r>
          </w:p>
        </w:tc>
        <w:tc>
          <w:tcPr>
            <w:tcW w:w="310" w:type="pct"/>
            <w:tcBorders>
              <w:tl2br w:val="nil"/>
              <w:tr2bl w:val="nil"/>
            </w:tcBorders>
            <w:vAlign w:val="center"/>
          </w:tcPr>
          <w:p w14:paraId="03590790">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1.8</w:t>
            </w:r>
          </w:p>
        </w:tc>
        <w:tc>
          <w:tcPr>
            <w:tcW w:w="310" w:type="pct"/>
            <w:tcBorders>
              <w:tl2br w:val="nil"/>
              <w:tr2bl w:val="nil"/>
            </w:tcBorders>
            <w:vAlign w:val="center"/>
          </w:tcPr>
          <w:p w14:paraId="73EC9430">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2.0</w:t>
            </w:r>
          </w:p>
        </w:tc>
        <w:tc>
          <w:tcPr>
            <w:tcW w:w="310" w:type="pct"/>
            <w:tcBorders>
              <w:tl2br w:val="nil"/>
              <w:tr2bl w:val="nil"/>
            </w:tcBorders>
            <w:vAlign w:val="center"/>
          </w:tcPr>
          <w:p w14:paraId="66A02B3E">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1.7</w:t>
            </w:r>
          </w:p>
        </w:tc>
        <w:tc>
          <w:tcPr>
            <w:tcW w:w="869" w:type="dxa"/>
            <w:tcBorders>
              <w:tl2br w:val="nil"/>
              <w:tr2bl w:val="nil"/>
            </w:tcBorders>
            <w:vAlign w:val="center"/>
          </w:tcPr>
          <w:p w14:paraId="7DF3D0ED">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w:t>
            </w:r>
          </w:p>
        </w:tc>
        <w:tc>
          <w:tcPr>
            <w:tcW w:w="872" w:type="dxa"/>
            <w:tcBorders>
              <w:tl2br w:val="nil"/>
              <w:tr2bl w:val="nil"/>
            </w:tcBorders>
            <w:vAlign w:val="center"/>
          </w:tcPr>
          <w:p w14:paraId="457AB8FD">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1.9</w:t>
            </w:r>
          </w:p>
        </w:tc>
        <w:tc>
          <w:tcPr>
            <w:tcW w:w="872" w:type="dxa"/>
            <w:tcBorders>
              <w:tl2br w:val="nil"/>
              <w:tr2bl w:val="nil"/>
            </w:tcBorders>
            <w:vAlign w:val="center"/>
          </w:tcPr>
          <w:p w14:paraId="3D50B852">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1.7</w:t>
            </w:r>
          </w:p>
        </w:tc>
        <w:tc>
          <w:tcPr>
            <w:tcW w:w="872" w:type="dxa"/>
            <w:tcBorders>
              <w:tl2br w:val="nil"/>
              <w:tr2bl w:val="nil"/>
            </w:tcBorders>
            <w:vAlign w:val="center"/>
          </w:tcPr>
          <w:p w14:paraId="098EAF1E">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1.9</w:t>
            </w:r>
          </w:p>
        </w:tc>
        <w:tc>
          <w:tcPr>
            <w:tcW w:w="869" w:type="dxa"/>
            <w:tcBorders>
              <w:tl2br w:val="nil"/>
              <w:tr2bl w:val="nil"/>
            </w:tcBorders>
            <w:vAlign w:val="center"/>
          </w:tcPr>
          <w:p w14:paraId="6B61EA5E">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2.0</w:t>
            </w:r>
          </w:p>
        </w:tc>
        <w:tc>
          <w:tcPr>
            <w:tcW w:w="872" w:type="dxa"/>
            <w:tcBorders>
              <w:tl2br w:val="nil"/>
              <w:tr2bl w:val="nil"/>
            </w:tcBorders>
            <w:vAlign w:val="center"/>
          </w:tcPr>
          <w:p w14:paraId="3066C24F">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1.8</w:t>
            </w:r>
          </w:p>
        </w:tc>
        <w:tc>
          <w:tcPr>
            <w:tcW w:w="897" w:type="dxa"/>
            <w:tcBorders>
              <w:tl2br w:val="nil"/>
              <w:tr2bl w:val="nil"/>
            </w:tcBorders>
            <w:vAlign w:val="center"/>
          </w:tcPr>
          <w:p w14:paraId="3DD3D1FA">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1.6</w:t>
            </w:r>
          </w:p>
        </w:tc>
        <w:tc>
          <w:tcPr>
            <w:tcW w:w="1377" w:type="dxa"/>
            <w:tcBorders>
              <w:tl2br w:val="nil"/>
              <w:tr2bl w:val="nil"/>
            </w:tcBorders>
            <w:vAlign w:val="center"/>
          </w:tcPr>
          <w:p w14:paraId="403DE466">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673" w:type="dxa"/>
            <w:tcBorders>
              <w:tl2br w:val="nil"/>
              <w:tr2bl w:val="nil"/>
            </w:tcBorders>
            <w:shd w:val="clear" w:color="auto" w:fill="auto"/>
            <w:vAlign w:val="center"/>
          </w:tcPr>
          <w:p w14:paraId="19FCDD78">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w:t>
            </w:r>
          </w:p>
        </w:tc>
        <w:tc>
          <w:tcPr>
            <w:tcW w:w="673" w:type="dxa"/>
            <w:tcBorders>
              <w:tl2br w:val="nil"/>
              <w:tr2bl w:val="nil"/>
            </w:tcBorders>
            <w:shd w:val="clear" w:color="auto" w:fill="auto"/>
            <w:vAlign w:val="center"/>
          </w:tcPr>
          <w:p w14:paraId="25129936">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95" w:type="dxa"/>
            <w:tcBorders>
              <w:tl2br w:val="nil"/>
              <w:tr2bl w:val="nil"/>
            </w:tcBorders>
            <w:shd w:val="clear" w:color="auto" w:fill="auto"/>
            <w:vAlign w:val="center"/>
          </w:tcPr>
          <w:p w14:paraId="12A723DA">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81" w:type="dxa"/>
            <w:tcBorders>
              <w:tl2br w:val="nil"/>
              <w:tr2bl w:val="nil"/>
            </w:tcBorders>
            <w:shd w:val="clear" w:color="auto" w:fill="auto"/>
            <w:vAlign w:val="center"/>
          </w:tcPr>
          <w:p w14:paraId="0C1148FB">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7D6E4F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0" w:hRule="atLeast"/>
        </w:trPr>
        <w:tc>
          <w:tcPr>
            <w:tcW w:w="422" w:type="pct"/>
            <w:tcBorders>
              <w:tl2br w:val="nil"/>
              <w:tr2bl w:val="nil"/>
            </w:tcBorders>
            <w:vAlign w:val="center"/>
          </w:tcPr>
          <w:p w14:paraId="1EFBFA43">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埋深（m）</w:t>
            </w:r>
          </w:p>
        </w:tc>
        <w:tc>
          <w:tcPr>
            <w:tcW w:w="310" w:type="pct"/>
            <w:tcBorders>
              <w:tl2br w:val="nil"/>
              <w:tr2bl w:val="nil"/>
            </w:tcBorders>
            <w:vAlign w:val="center"/>
          </w:tcPr>
          <w:p w14:paraId="6F40AA07">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4.2</w:t>
            </w:r>
          </w:p>
        </w:tc>
        <w:tc>
          <w:tcPr>
            <w:tcW w:w="310" w:type="pct"/>
            <w:tcBorders>
              <w:tl2br w:val="nil"/>
              <w:tr2bl w:val="nil"/>
            </w:tcBorders>
            <w:vAlign w:val="center"/>
          </w:tcPr>
          <w:p w14:paraId="5160C21A">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4.0</w:t>
            </w:r>
          </w:p>
        </w:tc>
        <w:tc>
          <w:tcPr>
            <w:tcW w:w="310" w:type="pct"/>
            <w:tcBorders>
              <w:tl2br w:val="nil"/>
              <w:tr2bl w:val="nil"/>
            </w:tcBorders>
            <w:vAlign w:val="center"/>
          </w:tcPr>
          <w:p w14:paraId="38BA5F8D">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4.3</w:t>
            </w:r>
          </w:p>
        </w:tc>
        <w:tc>
          <w:tcPr>
            <w:tcW w:w="869" w:type="dxa"/>
            <w:tcBorders>
              <w:tl2br w:val="nil"/>
              <w:tr2bl w:val="nil"/>
            </w:tcBorders>
            <w:vAlign w:val="center"/>
          </w:tcPr>
          <w:p w14:paraId="42CA44B5">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4.5</w:t>
            </w:r>
          </w:p>
        </w:tc>
        <w:tc>
          <w:tcPr>
            <w:tcW w:w="872" w:type="dxa"/>
            <w:tcBorders>
              <w:tl2br w:val="nil"/>
              <w:tr2bl w:val="nil"/>
            </w:tcBorders>
            <w:vAlign w:val="center"/>
          </w:tcPr>
          <w:p w14:paraId="46621C2C">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4.1</w:t>
            </w:r>
          </w:p>
        </w:tc>
        <w:tc>
          <w:tcPr>
            <w:tcW w:w="872" w:type="dxa"/>
            <w:tcBorders>
              <w:tl2br w:val="nil"/>
              <w:tr2bl w:val="nil"/>
            </w:tcBorders>
            <w:vAlign w:val="center"/>
          </w:tcPr>
          <w:p w14:paraId="46B06EC6">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4.3</w:t>
            </w:r>
          </w:p>
        </w:tc>
        <w:tc>
          <w:tcPr>
            <w:tcW w:w="872" w:type="dxa"/>
            <w:tcBorders>
              <w:tl2br w:val="nil"/>
              <w:tr2bl w:val="nil"/>
            </w:tcBorders>
            <w:vAlign w:val="center"/>
          </w:tcPr>
          <w:p w14:paraId="5F897EA9">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4.1</w:t>
            </w:r>
          </w:p>
        </w:tc>
        <w:tc>
          <w:tcPr>
            <w:tcW w:w="869" w:type="dxa"/>
            <w:tcBorders>
              <w:tl2br w:val="nil"/>
              <w:tr2bl w:val="nil"/>
            </w:tcBorders>
            <w:vAlign w:val="center"/>
          </w:tcPr>
          <w:p w14:paraId="77471D98">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4.0</w:t>
            </w:r>
          </w:p>
        </w:tc>
        <w:tc>
          <w:tcPr>
            <w:tcW w:w="872" w:type="dxa"/>
            <w:tcBorders>
              <w:tl2br w:val="nil"/>
              <w:tr2bl w:val="nil"/>
            </w:tcBorders>
            <w:vAlign w:val="center"/>
          </w:tcPr>
          <w:p w14:paraId="01D7BE23">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4.2</w:t>
            </w:r>
          </w:p>
        </w:tc>
        <w:tc>
          <w:tcPr>
            <w:tcW w:w="897" w:type="dxa"/>
            <w:tcBorders>
              <w:tl2br w:val="nil"/>
              <w:tr2bl w:val="nil"/>
            </w:tcBorders>
            <w:vAlign w:val="center"/>
          </w:tcPr>
          <w:p w14:paraId="6931CA53">
            <w:pPr>
              <w:keepNext w:val="0"/>
              <w:keepLines w:val="0"/>
              <w:pageBreakBefore w:val="0"/>
              <w:widowControl w:val="0"/>
              <w:numPr>
                <w:ilvl w:val="0"/>
                <w:numId w:val="0"/>
              </w:numPr>
              <w:kinsoku/>
              <w:wordWrap w:val="0"/>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4.4</w:t>
            </w:r>
          </w:p>
        </w:tc>
        <w:tc>
          <w:tcPr>
            <w:tcW w:w="1377" w:type="dxa"/>
            <w:tcBorders>
              <w:tl2br w:val="nil"/>
              <w:tr2bl w:val="nil"/>
            </w:tcBorders>
            <w:vAlign w:val="center"/>
          </w:tcPr>
          <w:p w14:paraId="687D8E47">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w:t>
            </w:r>
          </w:p>
        </w:tc>
        <w:tc>
          <w:tcPr>
            <w:tcW w:w="673" w:type="dxa"/>
            <w:tcBorders>
              <w:tl2br w:val="nil"/>
              <w:tr2bl w:val="nil"/>
            </w:tcBorders>
            <w:shd w:val="clear" w:color="auto" w:fill="auto"/>
            <w:vAlign w:val="center"/>
          </w:tcPr>
          <w:p w14:paraId="182CAA0F">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73" w:type="dxa"/>
            <w:tcBorders>
              <w:tl2br w:val="nil"/>
              <w:tr2bl w:val="nil"/>
            </w:tcBorders>
            <w:shd w:val="clear" w:color="auto" w:fill="auto"/>
            <w:vAlign w:val="center"/>
          </w:tcPr>
          <w:p w14:paraId="510F7C31">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95" w:type="dxa"/>
            <w:tcBorders>
              <w:tl2br w:val="nil"/>
              <w:tr2bl w:val="nil"/>
            </w:tcBorders>
            <w:shd w:val="clear" w:color="auto" w:fill="auto"/>
            <w:vAlign w:val="center"/>
          </w:tcPr>
          <w:p w14:paraId="3010ECC7">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w:t>
            </w:r>
          </w:p>
        </w:tc>
        <w:tc>
          <w:tcPr>
            <w:tcW w:w="681" w:type="dxa"/>
            <w:tcBorders>
              <w:tl2br w:val="nil"/>
              <w:tr2bl w:val="nil"/>
            </w:tcBorders>
            <w:shd w:val="clear" w:color="auto" w:fill="auto"/>
            <w:vAlign w:val="center"/>
          </w:tcPr>
          <w:p w14:paraId="39636772">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bookmarkEnd w:id="1640"/>
      <w:bookmarkEnd w:id="1641"/>
      <w:bookmarkEnd w:id="1643"/>
    </w:tbl>
    <w:p w14:paraId="01A4DB47">
      <w:pPr>
        <w:keepNext w:val="0"/>
        <w:keepLines w:val="0"/>
        <w:pageBreakBefore w:val="0"/>
        <w:wordWrap/>
        <w:overflowPunct/>
        <w:topLinePunct w:val="0"/>
        <w:bidi w:val="0"/>
        <w:spacing w:before="29" w:line="240" w:lineRule="auto"/>
        <w:ind w:left="29" w:right="24" w:firstLine="428"/>
        <w:jc w:val="both"/>
        <w:rPr>
          <w:rFonts w:ascii="宋体" w:hAnsi="宋体" w:eastAsia="宋体" w:cs="宋体"/>
          <w:color w:val="auto"/>
          <w:spacing w:val="-1"/>
          <w:sz w:val="21"/>
          <w:szCs w:val="21"/>
          <w:highlight w:val="none"/>
        </w:rPr>
      </w:pPr>
      <w:r>
        <w:rPr>
          <w:rFonts w:ascii="宋体" w:hAnsi="宋体" w:eastAsia="宋体" w:cs="宋体"/>
          <w:color w:val="auto"/>
          <w:spacing w:val="-1"/>
          <w:sz w:val="21"/>
          <w:szCs w:val="21"/>
          <w:highlight w:val="none"/>
        </w:rPr>
        <w:t>注：</w:t>
      </w:r>
      <w:r>
        <w:rPr>
          <w:rFonts w:ascii="Times New Roman" w:hAnsi="Times New Roman" w:eastAsia="Times New Roman" w:cs="Times New Roman"/>
          <w:color w:val="auto"/>
          <w:spacing w:val="-1"/>
          <w:sz w:val="21"/>
          <w:szCs w:val="21"/>
          <w:highlight w:val="none"/>
        </w:rPr>
        <w:t>“ND”</w:t>
      </w:r>
      <w:r>
        <w:rPr>
          <w:rFonts w:ascii="宋体" w:hAnsi="宋体" w:eastAsia="宋体" w:cs="宋体"/>
          <w:color w:val="auto"/>
          <w:spacing w:val="-1"/>
          <w:sz w:val="21"/>
          <w:szCs w:val="21"/>
          <w:highlight w:val="none"/>
        </w:rPr>
        <w:t>表示未检出，涉及项目检出限为：碳酸根</w:t>
      </w:r>
      <w:r>
        <w:rPr>
          <w:rFonts w:hint="eastAsia" w:ascii="Times New Roman" w:hAnsi="Times New Roman" w:cs="Times New Roman"/>
          <w:color w:val="auto"/>
          <w:kern w:val="2"/>
          <w:sz w:val="21"/>
          <w:szCs w:val="21"/>
          <w:highlight w:val="none"/>
          <w:lang w:val="en-US" w:eastAsia="zh-CN" w:bidi="ar-SA"/>
        </w:rPr>
        <w:t>1.25</w:t>
      </w:r>
      <w:r>
        <w:rPr>
          <w:rFonts w:hint="eastAsia" w:ascii="Times New Roman" w:hAnsi="Times New Roman" w:cs="Times New Roman"/>
          <w:color w:val="auto"/>
          <w:sz w:val="21"/>
          <w:szCs w:val="21"/>
          <w:highlight w:val="none"/>
          <w:lang w:val="en-US" w:eastAsia="zh-CN"/>
        </w:rPr>
        <w:t>mg/L</w:t>
      </w:r>
      <w:r>
        <w:rPr>
          <w:rFonts w:ascii="宋体" w:hAnsi="宋体" w:eastAsia="宋体" w:cs="宋体"/>
          <w:color w:val="auto"/>
          <w:spacing w:val="-2"/>
          <w:sz w:val="21"/>
          <w:szCs w:val="21"/>
          <w:highlight w:val="none"/>
        </w:rPr>
        <w:t>；</w:t>
      </w:r>
      <w:r>
        <w:rPr>
          <w:rFonts w:hint="default" w:ascii="Times New Roman" w:hAnsi="Times New Roman" w:eastAsia="宋体" w:cs="Times New Roman"/>
          <w:color w:val="auto"/>
          <w:sz w:val="21"/>
          <w:szCs w:val="21"/>
          <w:highlight w:val="none"/>
        </w:rPr>
        <w:t>亚硝酸盐氮离子</w:t>
      </w:r>
      <w:r>
        <w:rPr>
          <w:rFonts w:hint="eastAsia" w:ascii="Times New Roman" w:hAnsi="Times New Roman" w:eastAsia="宋体" w:cs="Times New Roman"/>
          <w:color w:val="auto"/>
          <w:szCs w:val="21"/>
          <w:highlight w:val="none"/>
          <w:lang w:val="en-US" w:eastAsia="zh-CN"/>
        </w:rPr>
        <w:t>0.016</w:t>
      </w:r>
      <w:r>
        <w:rPr>
          <w:rFonts w:hint="eastAsia" w:ascii="Times New Roman" w:hAnsi="Times New Roman" w:cs="Times New Roman"/>
          <w:color w:val="auto"/>
          <w:sz w:val="21"/>
          <w:szCs w:val="21"/>
          <w:highlight w:val="none"/>
          <w:lang w:val="en-US" w:eastAsia="zh-CN"/>
        </w:rPr>
        <w:t>mg/L</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挥发酚</w:t>
      </w:r>
      <w:r>
        <w:rPr>
          <w:rFonts w:hint="default" w:ascii="Times New Roman" w:hAnsi="Times New Roman" w:cs="Times New Roman"/>
          <w:color w:val="auto"/>
          <w:sz w:val="21"/>
          <w:szCs w:val="21"/>
          <w:highlight w:val="none"/>
        </w:rPr>
        <w:t>0.0003mg/L</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kern w:val="2"/>
          <w:sz w:val="21"/>
          <w:szCs w:val="21"/>
          <w:highlight w:val="none"/>
          <w:lang w:val="en-US" w:eastAsia="zh-CN" w:bidi="ar-SA"/>
        </w:rPr>
        <w:t>氰化物</w:t>
      </w:r>
      <w:r>
        <w:rPr>
          <w:rFonts w:hint="eastAsia" w:ascii="Times New Roman" w:hAnsi="Times New Roman" w:cs="Times New Roman"/>
          <w:color w:val="auto"/>
          <w:sz w:val="21"/>
          <w:szCs w:val="21"/>
          <w:lang w:val="en-US" w:eastAsia="zh-CN"/>
        </w:rPr>
        <w:t>0.0005mg/L</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六价铬</w:t>
      </w:r>
      <w:r>
        <w:rPr>
          <w:rFonts w:hint="eastAsia" w:ascii="Times New Roman" w:hAnsi="Times New Roman" w:cs="Times New Roman"/>
          <w:color w:val="auto"/>
          <w:sz w:val="21"/>
          <w:szCs w:val="21"/>
          <w:lang w:val="en-US" w:eastAsia="zh-CN"/>
        </w:rPr>
        <w:t>0.001m</w:t>
      </w:r>
      <w:r>
        <w:rPr>
          <w:rFonts w:hint="eastAsia" w:ascii="Times New Roman" w:hAnsi="Times New Roman" w:cs="Times New Roman"/>
          <w:color w:val="auto"/>
          <w:sz w:val="21"/>
          <w:szCs w:val="21"/>
          <w:highlight w:val="none"/>
          <w:lang w:val="en-US" w:eastAsia="zh-CN"/>
        </w:rPr>
        <w:t>g/L</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sz w:val="21"/>
          <w:szCs w:val="21"/>
          <w:highlight w:val="none"/>
        </w:rPr>
        <w:t>铅</w:t>
      </w:r>
      <w:r>
        <w:rPr>
          <w:rFonts w:hint="eastAsia" w:ascii="Times New Roman" w:hAnsi="Times New Roman" w:cs="Times New Roman"/>
          <w:color w:val="auto"/>
          <w:sz w:val="21"/>
          <w:szCs w:val="21"/>
          <w:highlight w:val="none"/>
          <w:lang w:val="en-US" w:eastAsia="zh-CN"/>
        </w:rPr>
        <w:t>0.07mg/L</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铁</w:t>
      </w:r>
      <w:r>
        <w:rPr>
          <w:rFonts w:hint="eastAsia" w:ascii="Times New Roman" w:hAnsi="Times New Roman" w:cs="Times New Roman"/>
          <w:color w:val="auto"/>
          <w:kern w:val="2"/>
          <w:sz w:val="21"/>
          <w:szCs w:val="21"/>
          <w:highlight w:val="none"/>
          <w:lang w:val="en-US" w:eastAsia="zh-CN" w:bidi="ar-SA"/>
        </w:rPr>
        <w:t>0.02</w:t>
      </w:r>
      <w:r>
        <w:rPr>
          <w:rFonts w:hint="eastAsia" w:ascii="Times New Roman" w:hAnsi="Times New Roman" w:cs="Times New Roman"/>
          <w:color w:val="auto"/>
          <w:sz w:val="21"/>
          <w:szCs w:val="21"/>
          <w:highlight w:val="none"/>
          <w:lang w:val="en-US" w:eastAsia="zh-CN"/>
        </w:rPr>
        <w:t>mg/L</w:t>
      </w:r>
      <w:r>
        <w:rPr>
          <w:rFonts w:ascii="宋体" w:hAnsi="宋体" w:eastAsia="宋体" w:cs="宋体"/>
          <w:color w:val="auto"/>
          <w:spacing w:val="-1"/>
          <w:sz w:val="21"/>
          <w:szCs w:val="21"/>
          <w:highlight w:val="none"/>
        </w:rPr>
        <w:t>。</w:t>
      </w:r>
      <w:bookmarkStart w:id="1644" w:name="OLE_LINK553"/>
    </w:p>
    <w:p w14:paraId="2329217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color w:val="auto"/>
          <w:highlight w:val="none"/>
        </w:rPr>
        <w:sectPr>
          <w:headerReference r:id="rId26" w:type="default"/>
          <w:footerReference r:id="rId27" w:type="default"/>
          <w:pgSz w:w="16839" w:h="11907"/>
          <w:pgMar w:top="1176" w:right="1408" w:bottom="1623" w:left="1411" w:header="862" w:footer="1445" w:gutter="0"/>
          <w:pgBorders>
            <w:top w:val="none" w:sz="0" w:space="0"/>
            <w:left w:val="none" w:sz="0" w:space="0"/>
            <w:bottom w:val="none" w:sz="0" w:space="0"/>
            <w:right w:val="none" w:sz="0" w:space="0"/>
          </w:pgBorders>
          <w:pgNumType w:fmt="decimal"/>
          <w:cols w:space="720" w:num="1"/>
        </w:sectPr>
      </w:pPr>
      <w:bookmarkStart w:id="1645" w:name="sys101040124"/>
      <w:bookmarkStart w:id="1646" w:name="OLE_LINK554"/>
      <w:r>
        <w:rPr>
          <w:rFonts w:ascii="Times New Roman" w:hAnsi="Times New Roman" w:eastAsia="宋体" w:cs="Times New Roman"/>
          <w:color w:val="auto"/>
          <w:sz w:val="24"/>
          <w:szCs w:val="24"/>
          <w:highlight w:val="none"/>
        </w:rPr>
        <w:t>对照评价标准，由表</w:t>
      </w:r>
      <w:r>
        <w:rPr>
          <w:rFonts w:hint="eastAsia" w:ascii="Times New Roman" w:hAnsi="Times New Roman" w:eastAsia="宋体" w:cs="Times New Roman"/>
          <w:color w:val="auto"/>
          <w:sz w:val="24"/>
          <w:szCs w:val="24"/>
          <w:highlight w:val="none"/>
          <w:lang w:val="en-US" w:eastAsia="zh-CN"/>
        </w:rPr>
        <w:t>6.3-21</w:t>
      </w:r>
      <w:r>
        <w:rPr>
          <w:rFonts w:ascii="Times New Roman" w:hAnsi="Times New Roman" w:eastAsia="宋体" w:cs="Times New Roman"/>
          <w:color w:val="auto"/>
          <w:sz w:val="24"/>
          <w:szCs w:val="24"/>
          <w:highlight w:val="none"/>
        </w:rPr>
        <w:t>各监测点位根据地下水水质及水位监测结果：各</w:t>
      </w:r>
      <w:r>
        <w:rPr>
          <w:rFonts w:hint="eastAsia" w:ascii="Times New Roman" w:hAnsi="Times New Roman" w:eastAsia="宋体" w:cs="Times New Roman"/>
          <w:color w:val="auto"/>
          <w:sz w:val="24"/>
          <w:szCs w:val="24"/>
          <w:highlight w:val="none"/>
          <w:lang w:val="en-US" w:eastAsia="zh-CN"/>
        </w:rPr>
        <w:t>点位</w:t>
      </w:r>
      <w:r>
        <w:rPr>
          <w:rFonts w:ascii="Times New Roman" w:hAnsi="Times New Roman" w:eastAsia="宋体" w:cs="Times New Roman"/>
          <w:color w:val="auto"/>
          <w:sz w:val="24"/>
          <w:szCs w:val="24"/>
          <w:highlight w:val="none"/>
        </w:rPr>
        <w:t>pH值、</w:t>
      </w:r>
      <w:r>
        <w:rPr>
          <w:rFonts w:hint="eastAsia" w:ascii="Times New Roman" w:hAnsi="Times New Roman" w:eastAsia="宋体" w:cs="Times New Roman"/>
          <w:color w:val="auto"/>
          <w:sz w:val="24"/>
          <w:szCs w:val="24"/>
          <w:highlight w:val="none"/>
          <w:lang w:val="en-US" w:eastAsia="zh-CN"/>
        </w:rPr>
        <w:t>钠、硝酸盐氮离子、</w:t>
      </w:r>
      <w:r>
        <w:rPr>
          <w:rFonts w:hint="default" w:ascii="Times New Roman" w:hAnsi="Times New Roman" w:eastAsia="宋体" w:cs="Times New Roman"/>
          <w:color w:val="auto"/>
          <w:sz w:val="24"/>
          <w:szCs w:val="24"/>
          <w:highlight w:val="none"/>
        </w:rPr>
        <w:t>亚硝酸盐氮离子</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挥发酚</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氰化物</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sz w:val="24"/>
          <w:szCs w:val="24"/>
          <w:highlight w:val="none"/>
        </w:rPr>
        <w:t>砷</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六价铬</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sz w:val="24"/>
          <w:szCs w:val="24"/>
          <w:highlight w:val="none"/>
        </w:rPr>
        <w:t>铅</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氟化物</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铁</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锰</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耗氧量</w:t>
      </w:r>
      <w:r>
        <w:rPr>
          <w:rFonts w:ascii="Times New Roman" w:hAnsi="Times New Roman" w:eastAsia="宋体" w:cs="Times New Roman"/>
          <w:color w:val="auto"/>
          <w:sz w:val="24"/>
          <w:szCs w:val="24"/>
          <w:highlight w:val="none"/>
        </w:rPr>
        <w:t>等因子满足《地下水质量标准》（GB/T 14848-2017）I类水质要求；</w:t>
      </w:r>
      <w:bookmarkEnd w:id="1645"/>
      <w:bookmarkStart w:id="1647" w:name="sys1010412451"/>
      <w:r>
        <w:rPr>
          <w:rFonts w:hint="default" w:ascii="Times New Roman" w:hAnsi="Times New Roman" w:eastAsia="宋体" w:cs="Times New Roman"/>
          <w:color w:val="auto"/>
          <w:sz w:val="24"/>
          <w:szCs w:val="24"/>
          <w:highlight w:val="none"/>
        </w:rPr>
        <w:t>氯离子</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氯化物</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氨氮</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镉铁</w:t>
      </w:r>
      <w:r>
        <w:rPr>
          <w:rFonts w:ascii="Times New Roman" w:hAnsi="Times New Roman" w:eastAsia="宋体" w:cs="Times New Roman"/>
          <w:color w:val="auto"/>
          <w:sz w:val="24"/>
          <w:szCs w:val="24"/>
          <w:highlight w:val="none"/>
        </w:rPr>
        <w:t>等因子满足《地下水质量标准》（GB/T 14848-2017）</w:t>
      </w:r>
      <w:r>
        <w:rPr>
          <w:rFonts w:hint="default" w:ascii="Times New Roman" w:hAnsi="Times New Roman" w:eastAsia="宋体" w:cs="Times New Roman"/>
          <w:color w:val="auto"/>
          <w:sz w:val="24"/>
          <w:szCs w:val="24"/>
          <w:highlight w:val="none"/>
          <w:lang w:eastAsia="zh-CN"/>
        </w:rPr>
        <w:t>Ⅱ</w:t>
      </w:r>
      <w:r>
        <w:rPr>
          <w:rFonts w:ascii="Times New Roman" w:hAnsi="Times New Roman" w:eastAsia="宋体" w:cs="Times New Roman"/>
          <w:color w:val="auto"/>
          <w:sz w:val="24"/>
          <w:szCs w:val="24"/>
          <w:highlight w:val="none"/>
        </w:rPr>
        <w:t>类水质要求；</w:t>
      </w:r>
      <w:bookmarkEnd w:id="1647"/>
      <w:bookmarkStart w:id="1648" w:name="sys1010417561"/>
      <w:r>
        <w:rPr>
          <w:rFonts w:hint="default" w:ascii="Times New Roman" w:hAnsi="Times New Roman" w:eastAsia="宋体" w:cs="Times New Roman"/>
          <w:color w:val="auto"/>
          <w:sz w:val="24"/>
          <w:szCs w:val="24"/>
          <w:highlight w:val="none"/>
        </w:rPr>
        <w:t>硫酸根离子</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硫酸盐</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汞</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总硬度</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i w:val="0"/>
          <w:iCs w:val="0"/>
          <w:color w:val="auto"/>
          <w:kern w:val="0"/>
          <w:sz w:val="24"/>
          <w:szCs w:val="24"/>
          <w:highlight w:val="none"/>
          <w:u w:val="none"/>
          <w:lang w:val="en-US" w:eastAsia="zh-CN" w:bidi="ar"/>
        </w:rPr>
        <w:t>溶解性固体总量</w:t>
      </w:r>
      <w:r>
        <w:rPr>
          <w:rFonts w:ascii="Times New Roman" w:hAnsi="Times New Roman" w:eastAsia="宋体" w:cs="Times New Roman"/>
          <w:color w:val="auto"/>
          <w:sz w:val="24"/>
          <w:szCs w:val="24"/>
          <w:highlight w:val="none"/>
        </w:rPr>
        <w:t>等因子满足《地下水质量标准》（GB/T 14848-2017）</w:t>
      </w:r>
      <w:r>
        <w:rPr>
          <w:rFonts w:hint="default" w:ascii="Times New Roman" w:hAnsi="Times New Roman" w:eastAsia="宋体" w:cs="Times New Roman"/>
          <w:color w:val="auto"/>
          <w:sz w:val="24"/>
          <w:szCs w:val="24"/>
          <w:highlight w:val="none"/>
          <w:lang w:eastAsia="zh-CN"/>
        </w:rPr>
        <w:t>Ⅲ</w:t>
      </w:r>
      <w:r>
        <w:rPr>
          <w:rFonts w:ascii="Times New Roman" w:hAnsi="Times New Roman" w:eastAsia="宋体" w:cs="Times New Roman"/>
          <w:color w:val="auto"/>
          <w:sz w:val="24"/>
          <w:szCs w:val="24"/>
          <w:highlight w:val="none"/>
        </w:rPr>
        <w:t>类水质要求；</w:t>
      </w:r>
      <w:bookmarkEnd w:id="1648"/>
      <w:bookmarkStart w:id="1649" w:name="sys1010423642"/>
      <w:r>
        <w:rPr>
          <w:rFonts w:hint="default" w:ascii="Times New Roman" w:hAnsi="Times New Roman" w:eastAsia="宋体" w:cs="Times New Roman"/>
          <w:color w:val="auto"/>
          <w:sz w:val="24"/>
          <w:szCs w:val="24"/>
          <w:highlight w:val="none"/>
        </w:rPr>
        <w:t>细菌总数</w:t>
      </w:r>
      <w:r>
        <w:rPr>
          <w:rFonts w:ascii="Times New Roman" w:hAnsi="Times New Roman" w:eastAsia="宋体" w:cs="Times New Roman"/>
          <w:color w:val="auto"/>
          <w:sz w:val="24"/>
          <w:szCs w:val="24"/>
          <w:highlight w:val="none"/>
        </w:rPr>
        <w:t>等因子满足《地下水质量标准》（GB/T 14848-2017）Ⅳ类水质要求</w:t>
      </w:r>
      <w:r>
        <w:rPr>
          <w:rFonts w:hint="eastAsia" w:ascii="Times New Roman" w:hAnsi="Times New Roman" w:eastAsia="宋体" w:cs="Times New Roman"/>
          <w:color w:val="auto"/>
          <w:sz w:val="24"/>
          <w:szCs w:val="24"/>
          <w:highlight w:val="none"/>
          <w:lang w:eastAsia="zh-CN"/>
        </w:rPr>
        <w:t>；</w:t>
      </w:r>
      <w:bookmarkEnd w:id="1649"/>
      <w:bookmarkStart w:id="1650" w:name="sys1010427840"/>
      <w:r>
        <w:rPr>
          <w:rFonts w:hint="eastAsia" w:ascii="Times New Roman" w:hAnsi="Times New Roman" w:eastAsia="宋体" w:cs="Times New Roman"/>
          <w:color w:val="auto"/>
          <w:sz w:val="24"/>
          <w:szCs w:val="24"/>
          <w:highlight w:val="none"/>
          <w:lang w:eastAsia="zh-CN"/>
        </w:rPr>
        <w:t>总大肠菌群</w:t>
      </w:r>
      <w:r>
        <w:rPr>
          <w:rFonts w:ascii="Times New Roman" w:hAnsi="Times New Roman" w:eastAsia="宋体" w:cs="Times New Roman"/>
          <w:color w:val="auto"/>
          <w:sz w:val="24"/>
          <w:szCs w:val="24"/>
          <w:highlight w:val="none"/>
        </w:rPr>
        <w:t>满足《地下水质量标准》（GB/T 14848-2017）</w:t>
      </w:r>
      <w:r>
        <w:rPr>
          <w:rFonts w:hint="default" w:ascii="Times New Roman" w:hAnsi="Times New Roman" w:eastAsia="宋体" w:cs="Times New Roman"/>
          <w:color w:val="auto"/>
          <w:sz w:val="24"/>
          <w:szCs w:val="24"/>
          <w:highlight w:val="none"/>
          <w:lang w:val="en-US" w:eastAsia="zh-CN"/>
        </w:rPr>
        <w:t>Ⅴ</w:t>
      </w:r>
      <w:r>
        <w:rPr>
          <w:rFonts w:ascii="Times New Roman" w:hAnsi="Times New Roman" w:eastAsia="宋体" w:cs="Times New Roman"/>
          <w:color w:val="auto"/>
          <w:sz w:val="24"/>
          <w:szCs w:val="24"/>
          <w:highlight w:val="none"/>
        </w:rPr>
        <w:t>类水质要求。</w:t>
      </w:r>
      <w:bookmarkEnd w:id="1650"/>
    </w:p>
    <w:bookmarkEnd w:id="1644"/>
    <w:bookmarkEnd w:id="1646"/>
    <w:p w14:paraId="0CF65EF3">
      <w:pPr>
        <w:spacing w:before="8" w:line="218" w:lineRule="auto"/>
        <w:ind w:left="37"/>
        <w:outlineLvl w:val="2"/>
        <w:rPr>
          <w:rFonts w:ascii="宋体" w:hAnsi="宋体" w:eastAsia="宋体" w:cs="宋体"/>
          <w:color w:val="auto"/>
          <w:sz w:val="24"/>
          <w:szCs w:val="24"/>
          <w:highlight w:val="none"/>
        </w:rPr>
      </w:pPr>
      <w:bookmarkStart w:id="1651" w:name="_Toc15791"/>
      <w:bookmarkStart w:id="1652" w:name="OLE_LINK576"/>
      <w:r>
        <w:rPr>
          <w:rFonts w:ascii="Times New Roman" w:hAnsi="Times New Roman" w:eastAsia="Times New Roman" w:cs="Times New Roman"/>
          <w:b/>
          <w:bCs/>
          <w:color w:val="auto"/>
          <w:spacing w:val="-2"/>
          <w:sz w:val="24"/>
          <w:szCs w:val="24"/>
          <w:highlight w:val="none"/>
        </w:rPr>
        <w:t>6.3.5</w:t>
      </w:r>
      <w:r>
        <w:rPr>
          <w:rFonts w:ascii="宋体" w:hAnsi="宋体" w:eastAsia="宋体" w:cs="宋体"/>
          <w:b/>
          <w:bCs/>
          <w:color w:val="auto"/>
          <w:spacing w:val="-2"/>
          <w:sz w:val="24"/>
          <w:szCs w:val="24"/>
          <w:highlight w:val="none"/>
        </w:rPr>
        <w:t>土壤环境质量现状监测与评价</w:t>
      </w:r>
      <w:bookmarkEnd w:id="1651"/>
      <w:bookmarkStart w:id="1653" w:name="pindex10105"/>
      <w:bookmarkEnd w:id="1653"/>
    </w:p>
    <w:bookmarkEnd w:id="1652"/>
    <w:p w14:paraId="5EBB7A5E">
      <w:pPr>
        <w:spacing w:before="181" w:line="347" w:lineRule="auto"/>
        <w:ind w:left="39" w:right="26" w:firstLine="479"/>
        <w:rPr>
          <w:rFonts w:hint="eastAsia" w:ascii="宋体" w:hAnsi="宋体" w:eastAsia="宋体" w:cs="宋体"/>
          <w:color w:val="auto"/>
          <w:sz w:val="24"/>
          <w:szCs w:val="24"/>
          <w:highlight w:val="none"/>
          <w:lang w:eastAsia="zh-CN"/>
        </w:rPr>
      </w:pPr>
      <w:bookmarkStart w:id="1654" w:name="sys10106043"/>
      <w:r>
        <w:rPr>
          <w:rFonts w:ascii="宋体" w:hAnsi="宋体" w:eastAsia="宋体" w:cs="宋体"/>
          <w:color w:val="auto"/>
          <w:spacing w:val="4"/>
          <w:sz w:val="24"/>
          <w:szCs w:val="24"/>
          <w:highlight w:val="none"/>
        </w:rPr>
        <w:t>土壤环境质量现状委托</w:t>
      </w:r>
      <w:r>
        <w:rPr>
          <w:rFonts w:hint="default" w:ascii="宋体" w:hAnsi="宋体" w:eastAsia="宋体" w:cs="宋体"/>
          <w:color w:val="auto"/>
          <w:spacing w:val="4"/>
          <w:sz w:val="24"/>
          <w:szCs w:val="24"/>
          <w:highlight w:val="none"/>
        </w:rPr>
        <w:t>南京</w:t>
      </w:r>
      <w:r>
        <w:rPr>
          <w:rFonts w:hint="default" w:ascii="宋体" w:hAnsi="宋体" w:eastAsia="宋体" w:cs="宋体"/>
          <w:color w:val="auto"/>
          <w:spacing w:val="4"/>
          <w:sz w:val="24"/>
          <w:szCs w:val="24"/>
          <w:highlight w:val="none"/>
          <w:lang w:val="en-US" w:eastAsia="zh-CN"/>
        </w:rPr>
        <w:t>学府环境安全</w:t>
      </w:r>
      <w:r>
        <w:rPr>
          <w:rFonts w:hint="eastAsia" w:ascii="宋体" w:hAnsi="宋体" w:eastAsia="宋体" w:cs="宋体"/>
          <w:color w:val="auto"/>
          <w:spacing w:val="4"/>
          <w:sz w:val="24"/>
          <w:szCs w:val="24"/>
          <w:highlight w:val="none"/>
          <w:lang w:val="en-US" w:eastAsia="zh-CN"/>
        </w:rPr>
        <w:t>科技</w:t>
      </w:r>
      <w:r>
        <w:rPr>
          <w:rFonts w:hint="default" w:ascii="宋体" w:hAnsi="宋体" w:eastAsia="宋体" w:cs="宋体"/>
          <w:color w:val="auto"/>
          <w:spacing w:val="4"/>
          <w:sz w:val="24"/>
          <w:szCs w:val="24"/>
          <w:highlight w:val="none"/>
        </w:rPr>
        <w:t>有限公司</w:t>
      </w:r>
      <w:r>
        <w:rPr>
          <w:rFonts w:ascii="宋体" w:hAnsi="宋体" w:eastAsia="宋体" w:cs="宋体"/>
          <w:color w:val="auto"/>
          <w:spacing w:val="-5"/>
          <w:sz w:val="24"/>
          <w:szCs w:val="24"/>
          <w:highlight w:val="none"/>
        </w:rPr>
        <w:t>进行实测，监测时间</w:t>
      </w:r>
      <w:r>
        <w:rPr>
          <w:rFonts w:ascii="Times New Roman" w:hAnsi="Times New Roman" w:eastAsia="Times New Roman" w:cs="Times New Roman"/>
          <w:color w:val="auto"/>
          <w:spacing w:val="-5"/>
          <w:sz w:val="24"/>
          <w:szCs w:val="24"/>
          <w:highlight w:val="none"/>
        </w:rPr>
        <w:t>202</w:t>
      </w:r>
      <w:r>
        <w:rPr>
          <w:rFonts w:hint="eastAsia" w:ascii="Times New Roman" w:hAnsi="Times New Roman" w:eastAsia="宋体" w:cs="Times New Roman"/>
          <w:color w:val="auto"/>
          <w:spacing w:val="-5"/>
          <w:sz w:val="24"/>
          <w:szCs w:val="24"/>
          <w:highlight w:val="none"/>
          <w:lang w:val="en-US" w:eastAsia="zh-CN"/>
        </w:rPr>
        <w:t>4</w:t>
      </w:r>
      <w:r>
        <w:rPr>
          <w:rFonts w:ascii="宋体" w:hAnsi="宋体" w:eastAsia="宋体" w:cs="宋体"/>
          <w:color w:val="auto"/>
          <w:spacing w:val="-5"/>
          <w:sz w:val="24"/>
          <w:szCs w:val="24"/>
          <w:highlight w:val="none"/>
        </w:rPr>
        <w:t>年</w:t>
      </w:r>
      <w:r>
        <w:rPr>
          <w:rFonts w:ascii="Times New Roman" w:hAnsi="Times New Roman" w:eastAsia="Times New Roman" w:cs="Times New Roman"/>
          <w:color w:val="auto"/>
          <w:spacing w:val="-5"/>
          <w:sz w:val="24"/>
          <w:szCs w:val="24"/>
          <w:highlight w:val="none"/>
        </w:rPr>
        <w:t>8</w:t>
      </w:r>
      <w:r>
        <w:rPr>
          <w:rFonts w:ascii="宋体" w:hAnsi="宋体" w:eastAsia="宋体" w:cs="宋体"/>
          <w:color w:val="auto"/>
          <w:spacing w:val="-5"/>
          <w:sz w:val="24"/>
          <w:szCs w:val="24"/>
          <w:highlight w:val="none"/>
        </w:rPr>
        <w:t>月</w:t>
      </w:r>
      <w:r>
        <w:rPr>
          <w:rFonts w:hint="eastAsia" w:ascii="Times New Roman" w:hAnsi="Times New Roman" w:eastAsia="宋体" w:cs="Times New Roman"/>
          <w:color w:val="auto"/>
          <w:spacing w:val="-5"/>
          <w:sz w:val="24"/>
          <w:szCs w:val="24"/>
          <w:highlight w:val="none"/>
          <w:lang w:val="en-US" w:eastAsia="zh-CN"/>
        </w:rPr>
        <w:t>8</w:t>
      </w:r>
      <w:r>
        <w:rPr>
          <w:rFonts w:ascii="宋体" w:hAnsi="宋体" w:eastAsia="宋体" w:cs="宋体"/>
          <w:color w:val="auto"/>
          <w:spacing w:val="-5"/>
          <w:sz w:val="24"/>
          <w:szCs w:val="24"/>
          <w:highlight w:val="none"/>
        </w:rPr>
        <w:t>日</w:t>
      </w:r>
      <w:r>
        <w:rPr>
          <w:rFonts w:hint="eastAsia" w:ascii="宋体" w:hAnsi="宋体" w:eastAsia="宋体" w:cs="宋体"/>
          <w:color w:val="auto"/>
          <w:spacing w:val="-5"/>
          <w:sz w:val="24"/>
          <w:szCs w:val="24"/>
          <w:highlight w:val="none"/>
          <w:lang w:eastAsia="zh-CN"/>
        </w:rPr>
        <w:t>。</w:t>
      </w:r>
      <w:bookmarkEnd w:id="1654"/>
    </w:p>
    <w:p w14:paraId="37F99359">
      <w:pPr>
        <w:spacing w:before="31" w:line="220" w:lineRule="auto"/>
        <w:ind w:left="520"/>
        <w:rPr>
          <w:rFonts w:ascii="宋体" w:hAnsi="宋体" w:eastAsia="宋体" w:cs="宋体"/>
          <w:color w:val="auto"/>
          <w:sz w:val="24"/>
          <w:szCs w:val="24"/>
          <w:highlight w:val="none"/>
        </w:rPr>
      </w:pPr>
      <w:r>
        <w:rPr>
          <w:rFonts w:ascii="宋体" w:hAnsi="宋体" w:eastAsia="宋体" w:cs="宋体"/>
          <w:color w:val="auto"/>
          <w:spacing w:val="-6"/>
          <w:sz w:val="24"/>
          <w:szCs w:val="24"/>
          <w:highlight w:val="none"/>
        </w:rPr>
        <w:t>数据有效期为</w:t>
      </w:r>
      <w:r>
        <w:rPr>
          <w:rFonts w:ascii="Times New Roman" w:hAnsi="Times New Roman" w:eastAsia="Times New Roman" w:cs="Times New Roman"/>
          <w:color w:val="auto"/>
          <w:spacing w:val="-6"/>
          <w:sz w:val="24"/>
          <w:szCs w:val="24"/>
          <w:highlight w:val="none"/>
        </w:rPr>
        <w:t>202</w:t>
      </w:r>
      <w:r>
        <w:rPr>
          <w:rFonts w:hint="eastAsia" w:ascii="Times New Roman" w:hAnsi="Times New Roman" w:eastAsia="宋体" w:cs="Times New Roman"/>
          <w:color w:val="auto"/>
          <w:spacing w:val="-6"/>
          <w:sz w:val="24"/>
          <w:szCs w:val="24"/>
          <w:highlight w:val="none"/>
          <w:lang w:val="en-US" w:eastAsia="zh-CN"/>
        </w:rPr>
        <w:t>4</w:t>
      </w:r>
      <w:r>
        <w:rPr>
          <w:rFonts w:ascii="宋体" w:hAnsi="宋体" w:eastAsia="宋体" w:cs="宋体"/>
          <w:color w:val="auto"/>
          <w:spacing w:val="-6"/>
          <w:sz w:val="24"/>
          <w:szCs w:val="24"/>
          <w:highlight w:val="none"/>
        </w:rPr>
        <w:t>年</w:t>
      </w:r>
      <w:r>
        <w:rPr>
          <w:rFonts w:ascii="Times New Roman" w:hAnsi="Times New Roman" w:eastAsia="Times New Roman" w:cs="Times New Roman"/>
          <w:color w:val="auto"/>
          <w:spacing w:val="-6"/>
          <w:sz w:val="24"/>
          <w:szCs w:val="24"/>
          <w:highlight w:val="none"/>
        </w:rPr>
        <w:t>8</w:t>
      </w:r>
      <w:r>
        <w:rPr>
          <w:rFonts w:ascii="宋体" w:hAnsi="宋体" w:eastAsia="宋体" w:cs="宋体"/>
          <w:color w:val="auto"/>
          <w:spacing w:val="-6"/>
          <w:sz w:val="24"/>
          <w:szCs w:val="24"/>
          <w:highlight w:val="none"/>
        </w:rPr>
        <w:t>月</w:t>
      </w:r>
      <w:r>
        <w:rPr>
          <w:rFonts w:hint="eastAsia" w:ascii="Times New Roman" w:hAnsi="Times New Roman" w:eastAsia="宋体" w:cs="Times New Roman"/>
          <w:color w:val="auto"/>
          <w:spacing w:val="-6"/>
          <w:sz w:val="24"/>
          <w:szCs w:val="24"/>
          <w:highlight w:val="none"/>
          <w:lang w:val="en-US" w:eastAsia="zh-CN"/>
        </w:rPr>
        <w:t>8</w:t>
      </w:r>
      <w:r>
        <w:rPr>
          <w:rFonts w:ascii="宋体" w:hAnsi="宋体" w:eastAsia="宋体" w:cs="宋体"/>
          <w:color w:val="auto"/>
          <w:spacing w:val="-6"/>
          <w:sz w:val="24"/>
          <w:szCs w:val="24"/>
          <w:highlight w:val="none"/>
        </w:rPr>
        <w:t>日</w:t>
      </w:r>
      <w:r>
        <w:rPr>
          <w:rFonts w:hint="eastAsia" w:ascii="Times New Roman" w:hAnsi="Times New Roman" w:eastAsia="宋体" w:cs="Times New Roman"/>
          <w:color w:val="auto"/>
          <w:spacing w:val="-6"/>
          <w:sz w:val="24"/>
          <w:szCs w:val="24"/>
          <w:highlight w:val="none"/>
          <w:lang w:val="en-US" w:eastAsia="zh-CN"/>
        </w:rPr>
        <w:t>-</w:t>
      </w:r>
      <w:r>
        <w:rPr>
          <w:rFonts w:ascii="Times New Roman" w:hAnsi="Times New Roman" w:eastAsia="Times New Roman" w:cs="Times New Roman"/>
          <w:color w:val="auto"/>
          <w:spacing w:val="-6"/>
          <w:sz w:val="24"/>
          <w:szCs w:val="24"/>
          <w:highlight w:val="none"/>
        </w:rPr>
        <w:t>202</w:t>
      </w:r>
      <w:r>
        <w:rPr>
          <w:rFonts w:hint="eastAsia" w:ascii="Times New Roman" w:hAnsi="Times New Roman" w:eastAsia="宋体" w:cs="Times New Roman"/>
          <w:color w:val="auto"/>
          <w:spacing w:val="-6"/>
          <w:sz w:val="24"/>
          <w:szCs w:val="24"/>
          <w:highlight w:val="none"/>
          <w:lang w:val="en-US" w:eastAsia="zh-CN"/>
        </w:rPr>
        <w:t>7</w:t>
      </w:r>
      <w:r>
        <w:rPr>
          <w:rFonts w:ascii="宋体" w:hAnsi="宋体" w:eastAsia="宋体" w:cs="宋体"/>
          <w:color w:val="auto"/>
          <w:spacing w:val="-6"/>
          <w:sz w:val="24"/>
          <w:szCs w:val="24"/>
          <w:highlight w:val="none"/>
        </w:rPr>
        <w:t>年</w:t>
      </w:r>
      <w:r>
        <w:rPr>
          <w:rFonts w:ascii="Times New Roman" w:hAnsi="Times New Roman" w:eastAsia="Times New Roman" w:cs="Times New Roman"/>
          <w:color w:val="auto"/>
          <w:spacing w:val="-6"/>
          <w:sz w:val="24"/>
          <w:szCs w:val="24"/>
          <w:highlight w:val="none"/>
        </w:rPr>
        <w:t>8</w:t>
      </w:r>
      <w:r>
        <w:rPr>
          <w:rFonts w:ascii="宋体" w:hAnsi="宋体" w:eastAsia="宋体" w:cs="宋体"/>
          <w:color w:val="auto"/>
          <w:spacing w:val="-6"/>
          <w:sz w:val="24"/>
          <w:szCs w:val="24"/>
          <w:highlight w:val="none"/>
        </w:rPr>
        <w:t>月</w:t>
      </w:r>
      <w:r>
        <w:rPr>
          <w:rFonts w:hint="eastAsia" w:ascii="Times New Roman" w:hAnsi="Times New Roman" w:eastAsia="宋体" w:cs="Times New Roman"/>
          <w:color w:val="auto"/>
          <w:spacing w:val="-6"/>
          <w:sz w:val="24"/>
          <w:szCs w:val="24"/>
          <w:highlight w:val="none"/>
          <w:lang w:val="en-US" w:eastAsia="zh-CN"/>
        </w:rPr>
        <w:t>7</w:t>
      </w:r>
      <w:r>
        <w:rPr>
          <w:rFonts w:ascii="宋体" w:hAnsi="宋体" w:eastAsia="宋体" w:cs="宋体"/>
          <w:color w:val="auto"/>
          <w:spacing w:val="-7"/>
          <w:sz w:val="24"/>
          <w:szCs w:val="24"/>
          <w:highlight w:val="none"/>
        </w:rPr>
        <w:t>日。</w:t>
      </w:r>
    </w:p>
    <w:p w14:paraId="1EF7F482">
      <w:pPr>
        <w:spacing w:before="183" w:line="219" w:lineRule="auto"/>
        <w:ind w:left="37"/>
        <w:rPr>
          <w:rFonts w:ascii="宋体" w:hAnsi="宋体" w:eastAsia="宋体" w:cs="宋体"/>
          <w:color w:val="auto"/>
          <w:sz w:val="24"/>
          <w:szCs w:val="24"/>
          <w:highlight w:val="none"/>
        </w:rPr>
      </w:pPr>
      <w:r>
        <w:rPr>
          <w:color w:val="auto"/>
          <w:highlight w:val="none"/>
        </w:rPr>
        <w:fldChar w:fldCharType="begin"/>
      </w:r>
      <w:r>
        <w:rPr>
          <w:color w:val="auto"/>
          <w:highlight w:val="none"/>
        </w:rPr>
        <w:instrText xml:space="preserve"> HYPERLINK "6.3.5.1" </w:instrText>
      </w:r>
      <w:r>
        <w:rPr>
          <w:color w:val="auto"/>
          <w:highlight w:val="none"/>
        </w:rPr>
        <w:fldChar w:fldCharType="separate"/>
      </w:r>
      <w:r>
        <w:rPr>
          <w:rFonts w:ascii="Times New Roman" w:hAnsi="Times New Roman" w:eastAsia="Times New Roman" w:cs="Times New Roman"/>
          <w:b/>
          <w:bCs/>
          <w:color w:val="auto"/>
          <w:spacing w:val="-2"/>
          <w:sz w:val="24"/>
          <w:szCs w:val="24"/>
          <w:highlight w:val="none"/>
        </w:rPr>
        <w:t>6.3.5.1</w:t>
      </w:r>
      <w:r>
        <w:rPr>
          <w:rFonts w:ascii="Times New Roman" w:hAnsi="Times New Roman" w:eastAsia="Times New Roman" w:cs="Times New Roman"/>
          <w:b/>
          <w:bCs/>
          <w:color w:val="auto"/>
          <w:spacing w:val="-2"/>
          <w:sz w:val="24"/>
          <w:szCs w:val="24"/>
          <w:highlight w:val="none"/>
        </w:rPr>
        <w:fldChar w:fldCharType="end"/>
      </w:r>
      <w:r>
        <w:rPr>
          <w:rFonts w:ascii="宋体" w:hAnsi="宋体" w:eastAsia="宋体" w:cs="宋体"/>
          <w:b/>
          <w:bCs/>
          <w:color w:val="auto"/>
          <w:spacing w:val="-2"/>
          <w:sz w:val="24"/>
          <w:szCs w:val="24"/>
          <w:highlight w:val="none"/>
        </w:rPr>
        <w:t>监测布点及监测项目、频次</w:t>
      </w:r>
      <w:bookmarkStart w:id="1655" w:name="pindex10108"/>
      <w:bookmarkEnd w:id="1655"/>
    </w:p>
    <w:p w14:paraId="312A49E2">
      <w:pPr>
        <w:spacing w:before="181" w:line="221" w:lineRule="auto"/>
        <w:ind w:left="524"/>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w:t>
      </w:r>
      <w:r>
        <w:rPr>
          <w:rFonts w:ascii="Times New Roman" w:hAnsi="Times New Roman" w:eastAsia="Times New Roman" w:cs="Times New Roman"/>
          <w:color w:val="auto"/>
          <w:spacing w:val="-4"/>
          <w:sz w:val="24"/>
          <w:szCs w:val="24"/>
          <w:highlight w:val="none"/>
        </w:rPr>
        <w:t>1</w:t>
      </w:r>
      <w:r>
        <w:rPr>
          <w:rFonts w:ascii="宋体" w:hAnsi="宋体" w:eastAsia="宋体" w:cs="宋体"/>
          <w:color w:val="auto"/>
          <w:spacing w:val="-4"/>
          <w:sz w:val="24"/>
          <w:szCs w:val="24"/>
          <w:highlight w:val="none"/>
        </w:rPr>
        <w:t>）</w:t>
      </w:r>
      <w:sdt>
        <w:sdtPr>
          <w:rPr>
            <w:color w:val="auto"/>
            <w:highlight w:val="none"/>
          </w:rPr>
          <w:alias w:val="易错词检查"/>
          <w:tag w:val="auto"/>
          <w:id w:val="1123244"/>
        </w:sdtPr>
        <w:sdtEndPr>
          <w:rPr>
            <w:color w:val="auto"/>
            <w:highlight w:val="none"/>
          </w:rPr>
        </w:sdtEndPr>
        <w:sdtContent>
          <w:bookmarkStart w:id="1656" w:name="bkReivew1123244"/>
          <w:r>
            <w:rPr>
              <w:rFonts w:ascii="宋体" w:hAnsi="宋体" w:eastAsia="宋体" w:cs="宋体"/>
              <w:color w:val="auto"/>
              <w:spacing w:val="-4"/>
              <w:sz w:val="24"/>
              <w:szCs w:val="24"/>
              <w:highlight w:val="none"/>
            </w:rPr>
            <w:t>监测</w:t>
          </w:r>
          <w:bookmarkEnd w:id="1656"/>
        </w:sdtContent>
      </w:sdt>
      <w:r>
        <w:rPr>
          <w:rFonts w:ascii="宋体" w:hAnsi="宋体" w:eastAsia="宋体" w:cs="宋体"/>
          <w:color w:val="auto"/>
          <w:spacing w:val="-4"/>
          <w:sz w:val="24"/>
          <w:szCs w:val="24"/>
          <w:highlight w:val="none"/>
        </w:rPr>
        <w:t>点位</w:t>
      </w:r>
      <w:bookmarkStart w:id="1657" w:name="pindex10109"/>
      <w:bookmarkEnd w:id="1657"/>
    </w:p>
    <w:p w14:paraId="424B0260">
      <w:pPr>
        <w:spacing w:before="180" w:line="219" w:lineRule="auto"/>
        <w:ind w:left="517"/>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共设</w:t>
      </w:r>
      <w:r>
        <w:rPr>
          <w:rFonts w:hint="eastAsia" w:ascii="Times New Roman" w:hAnsi="Times New Roman" w:eastAsia="宋体" w:cs="Times New Roman"/>
          <w:color w:val="auto"/>
          <w:spacing w:val="-2"/>
          <w:sz w:val="24"/>
          <w:szCs w:val="24"/>
          <w:highlight w:val="none"/>
          <w:lang w:val="en-US" w:eastAsia="zh-CN"/>
        </w:rPr>
        <w:t>9</w:t>
      </w:r>
      <w:r>
        <w:rPr>
          <w:rFonts w:ascii="宋体" w:hAnsi="宋体" w:eastAsia="宋体" w:cs="宋体"/>
          <w:color w:val="auto"/>
          <w:spacing w:val="-2"/>
          <w:sz w:val="24"/>
          <w:szCs w:val="24"/>
          <w:highlight w:val="none"/>
        </w:rPr>
        <w:t>个采样点。土壤监测点位详见附</w:t>
      </w:r>
      <w:r>
        <w:rPr>
          <w:rFonts w:ascii="宋体" w:hAnsi="宋体" w:eastAsia="宋体" w:cs="宋体"/>
          <w:color w:val="auto"/>
          <w:spacing w:val="-3"/>
          <w:sz w:val="24"/>
          <w:szCs w:val="24"/>
          <w:highlight w:val="none"/>
        </w:rPr>
        <w:t>图</w:t>
      </w:r>
      <w:r>
        <w:rPr>
          <w:rFonts w:hint="eastAsia" w:ascii="Times New Roman" w:hAnsi="Times New Roman" w:eastAsia="宋体" w:cs="Times New Roman"/>
          <w:color w:val="auto"/>
          <w:spacing w:val="-3"/>
          <w:sz w:val="24"/>
          <w:szCs w:val="24"/>
          <w:highlight w:val="none"/>
          <w:lang w:val="en-US" w:eastAsia="zh-CN"/>
        </w:rPr>
        <w:t>5</w:t>
      </w:r>
      <w:r>
        <w:rPr>
          <w:rFonts w:ascii="宋体" w:hAnsi="宋体" w:eastAsia="宋体" w:cs="宋体"/>
          <w:color w:val="auto"/>
          <w:spacing w:val="-3"/>
          <w:sz w:val="24"/>
          <w:szCs w:val="24"/>
          <w:highlight w:val="none"/>
        </w:rPr>
        <w:t>和表</w:t>
      </w:r>
      <w:r>
        <w:rPr>
          <w:rFonts w:ascii="Times New Roman" w:hAnsi="Times New Roman" w:eastAsia="Times New Roman" w:cs="Times New Roman"/>
          <w:color w:val="auto"/>
          <w:spacing w:val="-3"/>
          <w:sz w:val="24"/>
          <w:szCs w:val="24"/>
          <w:highlight w:val="none"/>
        </w:rPr>
        <w:t>6.3-</w:t>
      </w:r>
      <w:r>
        <w:rPr>
          <w:rFonts w:hint="eastAsia" w:ascii="Times New Roman" w:hAnsi="Times New Roman" w:eastAsia="宋体" w:cs="Times New Roman"/>
          <w:color w:val="auto"/>
          <w:spacing w:val="-3"/>
          <w:sz w:val="24"/>
          <w:szCs w:val="24"/>
          <w:highlight w:val="none"/>
          <w:lang w:val="en-US" w:eastAsia="zh-CN"/>
        </w:rPr>
        <w:t>22</w:t>
      </w:r>
      <w:r>
        <w:rPr>
          <w:rFonts w:ascii="宋体" w:hAnsi="宋体" w:eastAsia="宋体" w:cs="宋体"/>
          <w:color w:val="auto"/>
          <w:spacing w:val="-3"/>
          <w:sz w:val="24"/>
          <w:szCs w:val="24"/>
          <w:highlight w:val="none"/>
        </w:rPr>
        <w:t>。</w:t>
      </w:r>
    </w:p>
    <w:p w14:paraId="549748F1">
      <w:pPr>
        <w:keepNext w:val="0"/>
        <w:keepLines w:val="0"/>
        <w:pageBreakBefore w:val="0"/>
        <w:widowControl/>
        <w:kinsoku w:val="0"/>
        <w:wordWrap/>
        <w:overflowPunct/>
        <w:topLinePunct w:val="0"/>
        <w:autoSpaceDE w:val="0"/>
        <w:autoSpaceDN w:val="0"/>
        <w:bidi w:val="0"/>
        <w:adjustRightInd w:val="0"/>
        <w:snapToGrid w:val="0"/>
        <w:spacing w:before="181" w:line="240" w:lineRule="auto"/>
        <w:jc w:val="center"/>
        <w:textAlignment w:val="baseline"/>
        <w:rPr>
          <w:rFonts w:hint="default" w:eastAsia="宋体"/>
          <w:color w:val="auto"/>
          <w:highlight w:val="none"/>
          <w:lang w:val="en-US" w:eastAsia="zh-CN"/>
        </w:rPr>
      </w:pPr>
      <w:r>
        <w:rPr>
          <w:rFonts w:ascii="宋体" w:hAnsi="宋体" w:eastAsia="宋体" w:cs="宋体"/>
          <w:b/>
          <w:bCs/>
          <w:color w:val="auto"/>
          <w:spacing w:val="-3"/>
          <w:sz w:val="24"/>
          <w:szCs w:val="24"/>
          <w:highlight w:val="none"/>
        </w:rPr>
        <w:t>表</w:t>
      </w:r>
      <w:r>
        <w:rPr>
          <w:rFonts w:ascii="Times New Roman" w:hAnsi="Times New Roman" w:eastAsia="Times New Roman" w:cs="Times New Roman"/>
          <w:b/>
          <w:bCs/>
          <w:color w:val="auto"/>
          <w:spacing w:val="-3"/>
          <w:sz w:val="24"/>
          <w:szCs w:val="24"/>
          <w:highlight w:val="none"/>
        </w:rPr>
        <w:t>6.3-</w:t>
      </w:r>
      <w:r>
        <w:rPr>
          <w:rFonts w:hint="eastAsia" w:ascii="Times New Roman" w:hAnsi="Times New Roman" w:eastAsia="宋体" w:cs="Times New Roman"/>
          <w:b/>
          <w:bCs/>
          <w:color w:val="auto"/>
          <w:spacing w:val="-3"/>
          <w:sz w:val="24"/>
          <w:szCs w:val="24"/>
          <w:highlight w:val="none"/>
          <w:lang w:val="en-US" w:eastAsia="zh-CN"/>
        </w:rPr>
        <w:t xml:space="preserve">22  </w:t>
      </w:r>
      <w:r>
        <w:rPr>
          <w:rFonts w:ascii="宋体" w:hAnsi="宋体" w:eastAsia="宋体" w:cs="宋体"/>
          <w:b/>
          <w:bCs/>
          <w:color w:val="auto"/>
          <w:spacing w:val="-3"/>
          <w:sz w:val="24"/>
          <w:szCs w:val="24"/>
          <w:highlight w:val="none"/>
        </w:rPr>
        <w:t>土壤监测点位</w:t>
      </w:r>
      <w:r>
        <w:rPr>
          <w:rFonts w:hint="eastAsia" w:ascii="宋体" w:hAnsi="宋体" w:eastAsia="宋体" w:cs="宋体"/>
          <w:b/>
          <w:bCs/>
          <w:color w:val="auto"/>
          <w:spacing w:val="-3"/>
          <w:sz w:val="24"/>
          <w:szCs w:val="24"/>
          <w:highlight w:val="none"/>
          <w:lang w:val="en-US" w:eastAsia="zh-CN"/>
        </w:rPr>
        <w:t>及监测因子情况表</w:t>
      </w:r>
      <w:bookmarkStart w:id="1658" w:name="pindex10111"/>
      <w:bookmarkEnd w:id="1658"/>
    </w:p>
    <w:tbl>
      <w:tblPr>
        <w:tblStyle w:val="1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5"/>
        <w:gridCol w:w="775"/>
        <w:gridCol w:w="898"/>
        <w:gridCol w:w="1487"/>
        <w:gridCol w:w="1547"/>
        <w:gridCol w:w="2805"/>
        <w:gridCol w:w="909"/>
      </w:tblGrid>
      <w:tr w14:paraId="521DC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555" w:type="dxa"/>
            <w:noWrap w:val="0"/>
            <w:vAlign w:val="center"/>
          </w:tcPr>
          <w:p w14:paraId="3E7CC831">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b/>
                <w:bCs/>
                <w:color w:val="auto"/>
                <w:highlight w:val="none"/>
                <w:lang w:eastAsia="zh-CN"/>
              </w:rPr>
            </w:pPr>
            <w:r>
              <w:rPr>
                <w:rFonts w:hint="eastAsia" w:cs="Times New Roman"/>
                <w:b/>
                <w:bCs/>
                <w:color w:val="auto"/>
                <w:highlight w:val="none"/>
                <w:lang w:val="en-US" w:eastAsia="zh-CN"/>
              </w:rPr>
              <w:t>监测</w:t>
            </w:r>
            <w:r>
              <w:rPr>
                <w:rFonts w:hint="default" w:ascii="Times New Roman" w:hAnsi="Times New Roman" w:cs="Times New Roman"/>
                <w:b/>
                <w:bCs/>
                <w:color w:val="auto"/>
                <w:highlight w:val="none"/>
                <w:lang w:val="en-US" w:eastAsia="zh-CN"/>
              </w:rPr>
              <w:t>编号</w:t>
            </w:r>
          </w:p>
        </w:tc>
        <w:tc>
          <w:tcPr>
            <w:tcW w:w="775" w:type="dxa"/>
            <w:noWrap w:val="0"/>
            <w:vAlign w:val="center"/>
          </w:tcPr>
          <w:p w14:paraId="14D32254">
            <w:pPr>
              <w:pStyle w:val="30"/>
              <w:keepNext w:val="0"/>
              <w:keepLines w:val="0"/>
              <w:suppressLineNumbers w:val="0"/>
              <w:spacing w:before="0" w:beforeAutospacing="0" w:after="0" w:afterAutospacing="0"/>
              <w:ind w:left="0" w:right="0"/>
              <w:rPr>
                <w:rFonts w:hint="default" w:ascii="Times New Roman" w:hAnsi="Times New Roman" w:eastAsia="宋体" w:cs="Times New Roman"/>
                <w:b/>
                <w:bCs/>
                <w:color w:val="auto"/>
                <w:highlight w:val="none"/>
                <w:lang w:val="en-US" w:eastAsia="zh-CN"/>
              </w:rPr>
            </w:pPr>
            <w:sdt>
              <w:sdtPr>
                <w:rPr>
                  <w:color w:val="auto"/>
                  <w:highlight w:val="none"/>
                </w:rPr>
                <w:alias w:val="易错词检查"/>
                <w:tag w:val="auto"/>
                <w:id w:val="1162713"/>
              </w:sdtPr>
              <w:sdtEndPr>
                <w:rPr>
                  <w:color w:val="auto"/>
                  <w:highlight w:val="none"/>
                </w:rPr>
              </w:sdtEndPr>
              <w:sdtContent>
                <w:bookmarkStart w:id="1659" w:name="bkReivew1162713"/>
                <w:r>
                  <w:rPr>
                    <w:rFonts w:hint="default" w:ascii="Times New Roman" w:hAnsi="Times New Roman" w:cs="Times New Roman"/>
                    <w:b/>
                    <w:bCs/>
                    <w:color w:val="auto"/>
                    <w:highlight w:val="none"/>
                    <w:lang w:val="en-US" w:eastAsia="zh-CN"/>
                  </w:rPr>
                  <w:t>监</w:t>
                </w:r>
                <w:bookmarkEnd w:id="1659"/>
              </w:sdtContent>
            </w:sdt>
            <w:r>
              <w:rPr>
                <w:rFonts w:hint="default" w:ascii="Times New Roman" w:hAnsi="Times New Roman" w:cs="Times New Roman"/>
                <w:b/>
                <w:bCs/>
                <w:color w:val="auto"/>
                <w:highlight w:val="none"/>
                <w:lang w:val="en-US" w:eastAsia="zh-CN"/>
              </w:rPr>
              <w:t>测点位置</w:t>
            </w:r>
          </w:p>
        </w:tc>
        <w:tc>
          <w:tcPr>
            <w:tcW w:w="898" w:type="dxa"/>
            <w:noWrap w:val="0"/>
            <w:vAlign w:val="center"/>
          </w:tcPr>
          <w:p w14:paraId="3E05A3A1">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现状土地利用类型</w:t>
            </w:r>
          </w:p>
        </w:tc>
        <w:tc>
          <w:tcPr>
            <w:tcW w:w="1487" w:type="dxa"/>
            <w:noWrap w:val="0"/>
            <w:vAlign w:val="center"/>
          </w:tcPr>
          <w:p w14:paraId="53F73B64">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采样深度</w:t>
            </w:r>
          </w:p>
        </w:tc>
        <w:tc>
          <w:tcPr>
            <w:tcW w:w="1547" w:type="dxa"/>
            <w:noWrap w:val="0"/>
            <w:vAlign w:val="center"/>
          </w:tcPr>
          <w:p w14:paraId="7FC940F2">
            <w:pPr>
              <w:pStyle w:val="30"/>
              <w:keepNext w:val="0"/>
              <w:keepLines w:val="0"/>
              <w:suppressLineNumbers w:val="0"/>
              <w:spacing w:before="0" w:beforeAutospacing="0" w:after="0" w:afterAutospacing="0"/>
              <w:ind w:left="0" w:right="0"/>
              <w:rPr>
                <w:rFonts w:hint="eastAsia" w:ascii="Times New Roman" w:hAnsi="Times New Roman" w:eastAsia="宋体" w:cs="Times New Roman"/>
                <w:b/>
                <w:bCs/>
                <w:color w:val="auto"/>
                <w:highlight w:val="none"/>
                <w:lang w:eastAsia="zh-CN"/>
              </w:rPr>
            </w:pPr>
            <w:bookmarkStart w:id="1660" w:name="OLE_LINK394"/>
            <w:r>
              <w:rPr>
                <w:rFonts w:hint="eastAsia" w:cs="Times New Roman"/>
                <w:b/>
                <w:bCs/>
                <w:color w:val="auto"/>
                <w:highlight w:val="none"/>
                <w:lang w:val="en-US" w:eastAsia="zh-CN"/>
              </w:rPr>
              <w:t>经纬度</w:t>
            </w:r>
            <w:bookmarkEnd w:id="1660"/>
          </w:p>
        </w:tc>
        <w:tc>
          <w:tcPr>
            <w:tcW w:w="2805" w:type="dxa"/>
            <w:noWrap w:val="0"/>
            <w:vAlign w:val="center"/>
          </w:tcPr>
          <w:p w14:paraId="31B7B5F2">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检测项目</w:t>
            </w:r>
          </w:p>
        </w:tc>
        <w:tc>
          <w:tcPr>
            <w:tcW w:w="909" w:type="dxa"/>
            <w:noWrap w:val="0"/>
            <w:vAlign w:val="center"/>
          </w:tcPr>
          <w:p w14:paraId="71AD39D7">
            <w:pPr>
              <w:pStyle w:val="30"/>
              <w:keepNext w:val="0"/>
              <w:keepLines w:val="0"/>
              <w:suppressLineNumbers w:val="0"/>
              <w:spacing w:before="0" w:beforeAutospacing="0" w:after="0" w:afterAutospacing="0"/>
              <w:ind w:left="0" w:right="0"/>
              <w:rPr>
                <w:rFonts w:hint="eastAsia" w:ascii="Times New Roman" w:hAnsi="Times New Roman" w:eastAsia="宋体" w:cs="Times New Roman"/>
                <w:b/>
                <w:bCs/>
                <w:color w:val="auto"/>
                <w:highlight w:val="none"/>
                <w:lang w:val="en-US" w:eastAsia="zh-CN"/>
              </w:rPr>
            </w:pPr>
            <w:bookmarkStart w:id="1661" w:name="OLE_LINK566"/>
            <w:r>
              <w:rPr>
                <w:rFonts w:hint="eastAsia" w:cs="Times New Roman"/>
                <w:b/>
                <w:bCs/>
                <w:color w:val="auto"/>
                <w:highlight w:val="none"/>
                <w:lang w:val="en-US" w:eastAsia="zh-CN"/>
              </w:rPr>
              <w:t>备注</w:t>
            </w:r>
            <w:bookmarkEnd w:id="1661"/>
          </w:p>
        </w:tc>
      </w:tr>
      <w:tr w14:paraId="470F92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555" w:type="dxa"/>
            <w:noWrap w:val="0"/>
            <w:vAlign w:val="center"/>
          </w:tcPr>
          <w:p w14:paraId="7390FE27">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bookmarkStart w:id="1662" w:name="OLE_LINK924" w:colFirst="4" w:colLast="4"/>
            <w:r>
              <w:rPr>
                <w:rFonts w:hint="default" w:ascii="Times New Roman" w:hAnsi="Times New Roman" w:cs="Times New Roman"/>
                <w:bCs/>
                <w:color w:val="auto"/>
                <w:highlight w:val="none"/>
                <w:lang w:val="en-US" w:eastAsia="zh-CN"/>
              </w:rPr>
              <w:t>T1</w:t>
            </w:r>
          </w:p>
        </w:tc>
        <w:tc>
          <w:tcPr>
            <w:tcW w:w="775" w:type="dxa"/>
            <w:noWrap w:val="0"/>
            <w:vAlign w:val="center"/>
          </w:tcPr>
          <w:p w14:paraId="4F9D8F0B">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bookmarkStart w:id="1663" w:name="OLE_LINK912"/>
            <w:r>
              <w:rPr>
                <w:rFonts w:hint="default" w:ascii="Times New Roman" w:hAnsi="Times New Roman" w:cs="Times New Roman"/>
                <w:bCs/>
                <w:color w:val="auto"/>
                <w:highlight w:val="none"/>
                <w:lang w:val="en-US" w:eastAsia="zh-CN"/>
              </w:rPr>
              <w:t>翠屏</w:t>
            </w:r>
            <w:bookmarkStart w:id="1664" w:name="OLE_LINK911"/>
            <w:r>
              <w:rPr>
                <w:rFonts w:hint="default" w:ascii="Times New Roman" w:hAnsi="Times New Roman" w:cs="Times New Roman"/>
                <w:bCs/>
                <w:color w:val="auto"/>
                <w:highlight w:val="none"/>
                <w:lang w:val="en-US" w:eastAsia="zh-CN"/>
              </w:rPr>
              <w:t>清</w:t>
            </w:r>
            <w:bookmarkEnd w:id="1664"/>
            <w:r>
              <w:rPr>
                <w:rFonts w:hint="default" w:ascii="Times New Roman" w:hAnsi="Times New Roman" w:cs="Times New Roman"/>
                <w:bCs/>
                <w:color w:val="auto"/>
                <w:highlight w:val="none"/>
                <w:lang w:val="en-US" w:eastAsia="zh-CN"/>
              </w:rPr>
              <w:t>华园</w:t>
            </w:r>
            <w:bookmarkEnd w:id="1663"/>
          </w:p>
        </w:tc>
        <w:tc>
          <w:tcPr>
            <w:tcW w:w="898" w:type="dxa"/>
            <w:noWrap w:val="0"/>
            <w:vAlign w:val="center"/>
          </w:tcPr>
          <w:p w14:paraId="3BF62B91">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第一类建设用地</w:t>
            </w:r>
          </w:p>
        </w:tc>
        <w:tc>
          <w:tcPr>
            <w:tcW w:w="1487" w:type="dxa"/>
            <w:noWrap w:val="0"/>
            <w:vAlign w:val="center"/>
          </w:tcPr>
          <w:p w14:paraId="4ECB9484">
            <w:pPr>
              <w:pStyle w:val="30"/>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0-0.2m</w:t>
            </w:r>
          </w:p>
        </w:tc>
        <w:tc>
          <w:tcPr>
            <w:tcW w:w="1547" w:type="dxa"/>
            <w:noWrap w:val="0"/>
            <w:vAlign w:val="center"/>
          </w:tcPr>
          <w:p w14:paraId="23B29966">
            <w:pPr>
              <w:pStyle w:val="30"/>
              <w:keepNext w:val="0"/>
              <w:keepLines w:val="0"/>
              <w:suppressLineNumbers w:val="0"/>
              <w:spacing w:before="0" w:beforeAutospacing="0" w:after="0" w:afterAutospacing="0"/>
              <w:ind w:left="0" w:right="0"/>
              <w:jc w:val="left"/>
              <w:rPr>
                <w:rFonts w:hint="default" w:ascii="Times New Roman" w:hAnsi="Times New Roman" w:cs="Times New Roman"/>
                <w:b w:val="0"/>
                <w:bCs/>
                <w:color w:val="auto"/>
                <w:highlight w:val="none"/>
                <w:lang w:val="en-US" w:eastAsia="zh-CN"/>
              </w:rPr>
            </w:pPr>
            <w:bookmarkStart w:id="1665" w:name="OLE_LINK913"/>
            <w:r>
              <w:rPr>
                <w:rFonts w:hint="default" w:ascii="Times New Roman" w:hAnsi="Times New Roman" w:cs="Times New Roman"/>
                <w:b w:val="0"/>
                <w:bCs/>
                <w:color w:val="auto"/>
                <w:highlight w:val="none"/>
                <w:lang w:val="en-US" w:eastAsia="zh-CN"/>
              </w:rPr>
              <w:t>118.7750983</w:t>
            </w:r>
            <w:r>
              <w:rPr>
                <w:rFonts w:hint="eastAsia" w:cs="Times New Roman"/>
                <w:b w:val="0"/>
                <w:bCs/>
                <w:color w:val="auto"/>
                <w:highlight w:val="none"/>
                <w:lang w:val="en-US" w:eastAsia="zh-CN"/>
              </w:rPr>
              <w:t>,</w:t>
            </w:r>
            <w:r>
              <w:rPr>
                <w:rFonts w:hint="default" w:ascii="Times New Roman" w:hAnsi="Times New Roman" w:cs="Times New Roman"/>
                <w:b w:val="0"/>
                <w:bCs/>
                <w:color w:val="auto"/>
                <w:highlight w:val="none"/>
                <w:lang w:val="en-US" w:eastAsia="zh-CN"/>
              </w:rPr>
              <w:t>31.9465784</w:t>
            </w:r>
            <w:bookmarkEnd w:id="1665"/>
          </w:p>
        </w:tc>
        <w:tc>
          <w:tcPr>
            <w:tcW w:w="2805" w:type="dxa"/>
            <w:vMerge w:val="restart"/>
            <w:noWrap w:val="0"/>
            <w:vAlign w:val="center"/>
          </w:tcPr>
          <w:p w14:paraId="7C7E07E9">
            <w:pPr>
              <w:pStyle w:val="30"/>
              <w:keepNext w:val="0"/>
              <w:keepLines w:val="0"/>
              <w:suppressLineNumbers w:val="0"/>
              <w:spacing w:before="0" w:beforeAutospacing="0" w:after="0" w:afterAutospacing="0"/>
              <w:ind w:left="0" w:right="0"/>
              <w:jc w:val="left"/>
              <w:rPr>
                <w:rFonts w:hint="default" w:ascii="Times New Roman" w:hAnsi="Times New Roman" w:cs="Times New Roman"/>
                <w:bCs/>
                <w:color w:val="auto"/>
                <w:highlight w:val="none"/>
              </w:rPr>
            </w:pPr>
            <w:bookmarkStart w:id="1666" w:name="sys10124037"/>
            <w:r>
              <w:rPr>
                <w:rFonts w:hint="default" w:ascii="Times New Roman" w:hAnsi="Times New Roman" w:cs="Times New Roman"/>
                <w:b/>
                <w:bCs w:val="0"/>
                <w:color w:val="auto"/>
                <w:highlight w:val="none"/>
                <w:lang w:val="en-US" w:eastAsia="zh-CN"/>
              </w:rPr>
              <w:t>基本因子：</w:t>
            </w:r>
            <w:r>
              <w:rPr>
                <w:rFonts w:hint="default" w:ascii="Times New Roman" w:hAnsi="Times New Roman" w:cs="Times New Roman"/>
                <w:bCs/>
                <w:color w:val="auto"/>
                <w:highlight w:val="none"/>
              </w:rPr>
              <w:t>GB36600-2018表1中序号1~45等共计45项基本项目；</w:t>
            </w:r>
            <w:bookmarkEnd w:id="1666"/>
          </w:p>
          <w:p w14:paraId="69E97522">
            <w:pPr>
              <w:pStyle w:val="30"/>
              <w:keepNext w:val="0"/>
              <w:keepLines w:val="0"/>
              <w:suppressLineNumbers w:val="0"/>
              <w:spacing w:before="0" w:beforeAutospacing="0" w:after="0" w:afterAutospacing="0"/>
              <w:ind w:left="0" w:right="0"/>
              <w:jc w:val="left"/>
              <w:rPr>
                <w:rFonts w:hint="default" w:ascii="Times New Roman" w:hAnsi="Times New Roman" w:cs="Times New Roman"/>
                <w:bCs/>
                <w:color w:val="auto"/>
                <w:highlight w:val="none"/>
              </w:rPr>
            </w:pPr>
            <w:r>
              <w:rPr>
                <w:rFonts w:hint="default" w:ascii="Times New Roman" w:hAnsi="Times New Roman" w:cs="Times New Roman"/>
                <w:b/>
                <w:bCs w:val="0"/>
                <w:color w:val="auto"/>
                <w:highlight w:val="none"/>
                <w:lang w:val="en-US" w:eastAsia="zh-CN"/>
              </w:rPr>
              <w:t>特征因子：</w:t>
            </w:r>
            <w:r>
              <w:rPr>
                <w:rFonts w:hint="default" w:ascii="Times New Roman" w:hAnsi="Times New Roman" w:cs="Times New Roman"/>
                <w:b w:val="0"/>
                <w:bCs/>
                <w:color w:val="auto"/>
                <w:highlight w:val="none"/>
                <w:lang w:val="en-US" w:eastAsia="zh-CN"/>
              </w:rPr>
              <w:t>石油烃</w:t>
            </w:r>
          </w:p>
          <w:p w14:paraId="3E64F751">
            <w:pPr>
              <w:pStyle w:val="30"/>
              <w:keepNext w:val="0"/>
              <w:keepLines w:val="0"/>
              <w:suppressLineNumbers w:val="0"/>
              <w:spacing w:before="0" w:beforeAutospacing="0" w:after="0" w:afterAutospacing="0"/>
              <w:ind w:left="0" w:right="0"/>
              <w:jc w:val="left"/>
              <w:rPr>
                <w:rFonts w:hint="default" w:ascii="Times New Roman" w:hAnsi="Times New Roman" w:cs="Times New Roman"/>
                <w:bCs/>
                <w:color w:val="auto"/>
                <w:highlight w:val="none"/>
              </w:rPr>
            </w:pPr>
            <w:bookmarkStart w:id="1667" w:name="sys10126054"/>
            <w:r>
              <w:rPr>
                <w:rFonts w:hint="default" w:ascii="Times New Roman" w:hAnsi="Times New Roman" w:cs="Times New Roman"/>
                <w:b/>
                <w:bCs w:val="0"/>
                <w:color w:val="auto"/>
                <w:highlight w:val="none"/>
                <w:lang w:val="en-US" w:eastAsia="zh-CN"/>
              </w:rPr>
              <w:t>其他：</w:t>
            </w:r>
            <w:r>
              <w:rPr>
                <w:rFonts w:hint="default" w:ascii="Times New Roman" w:hAnsi="Times New Roman" w:cs="Times New Roman"/>
                <w:bCs/>
                <w:color w:val="auto"/>
                <w:highlight w:val="none"/>
              </w:rPr>
              <w:t>颜色、结构、质地、砂砾含量、其他异物、pH、阳离子交换量、</w:t>
            </w:r>
            <w:r>
              <w:rPr>
                <w:rFonts w:hint="eastAsia" w:cs="Times New Roman"/>
                <w:bCs/>
                <w:color w:val="auto"/>
                <w:highlight w:val="none"/>
                <w:lang w:eastAsia="zh-CN"/>
              </w:rPr>
              <w:t>氧化还原电位</w:t>
            </w:r>
            <w:r>
              <w:rPr>
                <w:rFonts w:hint="default" w:ascii="Times New Roman" w:hAnsi="Times New Roman" w:cs="Times New Roman"/>
                <w:bCs/>
                <w:color w:val="auto"/>
                <w:highlight w:val="none"/>
              </w:rPr>
              <w:t>、饱和导水率、土壤容重、孔隙度；</w:t>
            </w:r>
            <w:bookmarkEnd w:id="1667"/>
          </w:p>
        </w:tc>
        <w:tc>
          <w:tcPr>
            <w:tcW w:w="909" w:type="dxa"/>
            <w:vMerge w:val="restart"/>
            <w:noWrap w:val="0"/>
            <w:vAlign w:val="center"/>
          </w:tcPr>
          <w:p w14:paraId="35E8C0C0">
            <w:pPr>
              <w:pStyle w:val="30"/>
              <w:keepNext w:val="0"/>
              <w:keepLines w:val="0"/>
              <w:suppressLineNumbers w:val="0"/>
              <w:spacing w:before="0" w:beforeAutospacing="0" w:after="0" w:afterAutospacing="0"/>
              <w:ind w:left="0" w:right="0"/>
              <w:jc w:val="left"/>
              <w:rPr>
                <w:rFonts w:hint="default" w:ascii="Times New Roman" w:hAnsi="Times New Roman" w:cs="Times New Roman"/>
                <w:b/>
                <w:bCs w:val="0"/>
                <w:color w:val="auto"/>
                <w:highlight w:val="none"/>
                <w:lang w:val="en-US" w:eastAsia="zh-CN"/>
              </w:rPr>
            </w:pPr>
            <w:bookmarkStart w:id="1668" w:name="OLE_LINK565"/>
            <w:r>
              <w:rPr>
                <w:rFonts w:hint="eastAsia" w:cs="Times New Roman"/>
                <w:b w:val="0"/>
                <w:bCs/>
                <w:color w:val="auto"/>
                <w:highlight w:val="none"/>
                <w:lang w:val="en-US" w:eastAsia="zh-CN"/>
              </w:rPr>
              <w:t>实测</w:t>
            </w:r>
            <w:bookmarkEnd w:id="1668"/>
          </w:p>
        </w:tc>
      </w:tr>
      <w:tr w14:paraId="48271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blHeader/>
        </w:trPr>
        <w:tc>
          <w:tcPr>
            <w:tcW w:w="555" w:type="dxa"/>
            <w:noWrap w:val="0"/>
            <w:vAlign w:val="center"/>
          </w:tcPr>
          <w:p w14:paraId="431C90F0">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T2</w:t>
            </w:r>
          </w:p>
        </w:tc>
        <w:tc>
          <w:tcPr>
            <w:tcW w:w="775" w:type="dxa"/>
            <w:noWrap w:val="0"/>
            <w:vAlign w:val="center"/>
          </w:tcPr>
          <w:p w14:paraId="13FFFC5F">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bookmarkStart w:id="1669" w:name="OLE_LINK914"/>
            <w:r>
              <w:rPr>
                <w:rFonts w:hint="default" w:ascii="Times New Roman" w:hAnsi="Times New Roman" w:cs="Times New Roman"/>
                <w:bCs/>
                <w:color w:val="auto"/>
                <w:highlight w:val="none"/>
                <w:lang w:val="en-US" w:eastAsia="zh-CN"/>
              </w:rPr>
              <w:t>陈家</w:t>
            </w:r>
            <w:bookmarkEnd w:id="1669"/>
          </w:p>
        </w:tc>
        <w:tc>
          <w:tcPr>
            <w:tcW w:w="898" w:type="dxa"/>
            <w:noWrap w:val="0"/>
            <w:vAlign w:val="center"/>
          </w:tcPr>
          <w:p w14:paraId="6E8D52E2">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第一类建设用地</w:t>
            </w:r>
          </w:p>
        </w:tc>
        <w:tc>
          <w:tcPr>
            <w:tcW w:w="1487" w:type="dxa"/>
            <w:noWrap w:val="0"/>
            <w:vAlign w:val="center"/>
          </w:tcPr>
          <w:p w14:paraId="15789F23">
            <w:pPr>
              <w:pStyle w:val="30"/>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0-0.2m、0.5-1.5m、1.5-3m</w:t>
            </w:r>
          </w:p>
        </w:tc>
        <w:tc>
          <w:tcPr>
            <w:tcW w:w="1547" w:type="dxa"/>
            <w:noWrap w:val="0"/>
            <w:vAlign w:val="center"/>
          </w:tcPr>
          <w:p w14:paraId="07ACE668">
            <w:pPr>
              <w:pStyle w:val="30"/>
              <w:keepNext w:val="0"/>
              <w:keepLines w:val="0"/>
              <w:suppressLineNumbers w:val="0"/>
              <w:spacing w:before="0" w:beforeAutospacing="0" w:after="0" w:afterAutospacing="0"/>
              <w:ind w:left="0" w:right="0"/>
              <w:jc w:val="left"/>
              <w:rPr>
                <w:rFonts w:hint="default" w:ascii="Times New Roman" w:hAnsi="Times New Roman" w:cs="Times New Roman"/>
                <w:b w:val="0"/>
                <w:bCs/>
                <w:color w:val="auto"/>
                <w:highlight w:val="none"/>
                <w:lang w:val="en-US" w:eastAsia="zh-CN"/>
              </w:rPr>
            </w:pPr>
            <w:r>
              <w:rPr>
                <w:rFonts w:hint="default" w:ascii="Times New Roman" w:hAnsi="Times New Roman" w:cs="Times New Roman"/>
                <w:b w:val="0"/>
                <w:bCs/>
                <w:color w:val="auto"/>
                <w:highlight w:val="none"/>
                <w:lang w:val="en-US" w:eastAsia="zh-CN"/>
              </w:rPr>
              <w:t>118.7462645</w:t>
            </w:r>
            <w:r>
              <w:rPr>
                <w:rFonts w:hint="eastAsia" w:cs="Times New Roman"/>
                <w:b w:val="0"/>
                <w:bCs/>
                <w:color w:val="auto"/>
                <w:highlight w:val="none"/>
                <w:lang w:val="en-US" w:eastAsia="zh-CN"/>
              </w:rPr>
              <w:t>,</w:t>
            </w:r>
            <w:r>
              <w:rPr>
                <w:rFonts w:hint="default" w:ascii="Times New Roman" w:hAnsi="Times New Roman" w:cs="Times New Roman"/>
                <w:b w:val="0"/>
                <w:bCs/>
                <w:color w:val="auto"/>
                <w:highlight w:val="none"/>
                <w:lang w:val="en-US" w:eastAsia="zh-CN"/>
              </w:rPr>
              <w:t>31.8425302</w:t>
            </w:r>
          </w:p>
        </w:tc>
        <w:tc>
          <w:tcPr>
            <w:tcW w:w="2805" w:type="dxa"/>
            <w:vMerge w:val="continue"/>
            <w:noWrap w:val="0"/>
            <w:vAlign w:val="center"/>
          </w:tcPr>
          <w:p w14:paraId="15FFD1FF">
            <w:pPr>
              <w:pStyle w:val="30"/>
              <w:keepNext w:val="0"/>
              <w:keepLines w:val="0"/>
              <w:suppressLineNumbers w:val="0"/>
              <w:spacing w:before="0" w:beforeAutospacing="0" w:after="0" w:afterAutospacing="0"/>
              <w:ind w:left="0" w:right="0"/>
              <w:jc w:val="left"/>
              <w:rPr>
                <w:rFonts w:hint="default" w:ascii="Times New Roman" w:hAnsi="Times New Roman" w:cs="Times New Roman"/>
                <w:b/>
                <w:bCs w:val="0"/>
                <w:color w:val="auto"/>
                <w:highlight w:val="none"/>
                <w:lang w:val="en-US" w:eastAsia="zh-CN"/>
              </w:rPr>
            </w:pPr>
          </w:p>
        </w:tc>
        <w:tc>
          <w:tcPr>
            <w:tcW w:w="909" w:type="dxa"/>
            <w:vMerge w:val="continue"/>
            <w:noWrap w:val="0"/>
            <w:vAlign w:val="center"/>
          </w:tcPr>
          <w:p w14:paraId="1AC5F93A">
            <w:pPr>
              <w:pStyle w:val="30"/>
              <w:keepNext w:val="0"/>
              <w:keepLines w:val="0"/>
              <w:suppressLineNumbers w:val="0"/>
              <w:spacing w:before="0" w:beforeAutospacing="0" w:after="0" w:afterAutospacing="0"/>
              <w:ind w:left="0" w:right="0"/>
              <w:jc w:val="left"/>
              <w:rPr>
                <w:rFonts w:hint="default" w:ascii="Times New Roman" w:hAnsi="Times New Roman" w:cs="Times New Roman"/>
                <w:b/>
                <w:bCs w:val="0"/>
                <w:color w:val="auto"/>
                <w:highlight w:val="none"/>
                <w:lang w:val="en-US" w:eastAsia="zh-CN"/>
              </w:rPr>
            </w:pPr>
          </w:p>
        </w:tc>
      </w:tr>
      <w:tr w14:paraId="780EAB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555" w:type="dxa"/>
            <w:noWrap w:val="0"/>
            <w:vAlign w:val="center"/>
          </w:tcPr>
          <w:p w14:paraId="00EFFB4D">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highlight w:val="none"/>
                <w:lang w:val="en-US" w:eastAsia="zh-CN"/>
              </w:rPr>
              <w:t>T4</w:t>
            </w:r>
          </w:p>
        </w:tc>
        <w:tc>
          <w:tcPr>
            <w:tcW w:w="775" w:type="dxa"/>
            <w:noWrap w:val="0"/>
            <w:vAlign w:val="center"/>
          </w:tcPr>
          <w:p w14:paraId="29277623">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bCs/>
                <w:color w:val="auto"/>
                <w:kern w:val="2"/>
                <w:sz w:val="21"/>
                <w:szCs w:val="21"/>
                <w:highlight w:val="none"/>
                <w:lang w:val="en-US" w:eastAsia="zh-CN" w:bidi="ar-SA"/>
              </w:rPr>
            </w:pPr>
            <w:bookmarkStart w:id="1670" w:name="OLE_LINK915"/>
            <w:r>
              <w:rPr>
                <w:rFonts w:hint="default" w:ascii="Times New Roman" w:hAnsi="Times New Roman" w:cs="Times New Roman"/>
                <w:bCs/>
                <w:color w:val="auto"/>
                <w:highlight w:val="none"/>
                <w:lang w:val="en-US" w:eastAsia="zh-CN"/>
              </w:rPr>
              <w:t>北葛村</w:t>
            </w:r>
            <w:bookmarkEnd w:id="1670"/>
          </w:p>
        </w:tc>
        <w:tc>
          <w:tcPr>
            <w:tcW w:w="898" w:type="dxa"/>
            <w:noWrap w:val="0"/>
            <w:vAlign w:val="center"/>
          </w:tcPr>
          <w:p w14:paraId="74F8588B">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highlight w:val="none"/>
                <w:lang w:val="en-US" w:eastAsia="zh-CN"/>
              </w:rPr>
              <w:t>第一类建设用地</w:t>
            </w:r>
          </w:p>
        </w:tc>
        <w:tc>
          <w:tcPr>
            <w:tcW w:w="1487" w:type="dxa"/>
            <w:noWrap w:val="0"/>
            <w:vAlign w:val="center"/>
          </w:tcPr>
          <w:p w14:paraId="235F86A3">
            <w:pPr>
              <w:pStyle w:val="30"/>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0-0.2m、0.5-1.5m、1.5-3m</w:t>
            </w:r>
          </w:p>
        </w:tc>
        <w:tc>
          <w:tcPr>
            <w:tcW w:w="1547" w:type="dxa"/>
            <w:noWrap w:val="0"/>
            <w:vAlign w:val="center"/>
          </w:tcPr>
          <w:p w14:paraId="19650919">
            <w:pPr>
              <w:pStyle w:val="30"/>
              <w:keepNext w:val="0"/>
              <w:keepLines w:val="0"/>
              <w:suppressLineNumbers w:val="0"/>
              <w:spacing w:before="0" w:beforeAutospacing="0" w:after="0" w:afterAutospacing="0"/>
              <w:ind w:left="0" w:right="0"/>
              <w:jc w:val="left"/>
              <w:rPr>
                <w:rFonts w:hint="default" w:ascii="Times New Roman" w:hAnsi="Times New Roman" w:cs="Times New Roman"/>
                <w:b w:val="0"/>
                <w:bCs/>
                <w:color w:val="auto"/>
                <w:highlight w:val="none"/>
                <w:lang w:val="en-US" w:eastAsia="zh-CN"/>
              </w:rPr>
            </w:pPr>
            <w:r>
              <w:rPr>
                <w:rFonts w:hint="default" w:ascii="Times New Roman" w:hAnsi="Times New Roman" w:cs="Times New Roman"/>
                <w:b w:val="0"/>
                <w:bCs/>
                <w:color w:val="auto"/>
                <w:highlight w:val="none"/>
                <w:lang w:val="en-US" w:eastAsia="zh-CN"/>
              </w:rPr>
              <w:t>118.7904029</w:t>
            </w:r>
            <w:r>
              <w:rPr>
                <w:rFonts w:hint="eastAsia" w:cs="Times New Roman"/>
                <w:b w:val="0"/>
                <w:bCs/>
                <w:color w:val="auto"/>
                <w:highlight w:val="none"/>
                <w:lang w:val="en-US" w:eastAsia="zh-CN"/>
              </w:rPr>
              <w:t>,</w:t>
            </w:r>
            <w:r>
              <w:rPr>
                <w:rFonts w:hint="default" w:ascii="Times New Roman" w:hAnsi="Times New Roman" w:cs="Times New Roman"/>
                <w:b w:val="0"/>
                <w:bCs/>
                <w:color w:val="auto"/>
                <w:highlight w:val="none"/>
                <w:lang w:val="en-US" w:eastAsia="zh-CN"/>
              </w:rPr>
              <w:t>31.8353794</w:t>
            </w:r>
          </w:p>
        </w:tc>
        <w:tc>
          <w:tcPr>
            <w:tcW w:w="2805" w:type="dxa"/>
            <w:vMerge w:val="continue"/>
            <w:noWrap w:val="0"/>
            <w:vAlign w:val="center"/>
          </w:tcPr>
          <w:p w14:paraId="3731EF4F">
            <w:pPr>
              <w:pStyle w:val="30"/>
              <w:keepNext w:val="0"/>
              <w:keepLines w:val="0"/>
              <w:suppressLineNumbers w:val="0"/>
              <w:spacing w:before="0" w:beforeAutospacing="0" w:after="0" w:afterAutospacing="0"/>
              <w:ind w:left="0" w:right="0"/>
              <w:jc w:val="left"/>
              <w:rPr>
                <w:rFonts w:hint="default" w:ascii="Times New Roman" w:hAnsi="Times New Roman" w:cs="Times New Roman"/>
                <w:b/>
                <w:bCs w:val="0"/>
                <w:color w:val="auto"/>
                <w:highlight w:val="none"/>
                <w:lang w:val="en-US" w:eastAsia="zh-CN"/>
              </w:rPr>
            </w:pPr>
          </w:p>
        </w:tc>
        <w:tc>
          <w:tcPr>
            <w:tcW w:w="909" w:type="dxa"/>
            <w:vMerge w:val="continue"/>
            <w:noWrap w:val="0"/>
            <w:vAlign w:val="center"/>
          </w:tcPr>
          <w:p w14:paraId="313093F8">
            <w:pPr>
              <w:pStyle w:val="30"/>
              <w:keepNext w:val="0"/>
              <w:keepLines w:val="0"/>
              <w:suppressLineNumbers w:val="0"/>
              <w:spacing w:before="0" w:beforeAutospacing="0" w:after="0" w:afterAutospacing="0"/>
              <w:ind w:left="0" w:right="0"/>
              <w:jc w:val="left"/>
              <w:rPr>
                <w:rFonts w:hint="default" w:ascii="Times New Roman" w:hAnsi="Times New Roman" w:cs="Times New Roman"/>
                <w:b/>
                <w:bCs w:val="0"/>
                <w:color w:val="auto"/>
                <w:highlight w:val="none"/>
                <w:lang w:val="en-US" w:eastAsia="zh-CN"/>
              </w:rPr>
            </w:pPr>
          </w:p>
        </w:tc>
      </w:tr>
      <w:tr w14:paraId="52889B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555" w:type="dxa"/>
            <w:noWrap w:val="0"/>
            <w:vAlign w:val="center"/>
          </w:tcPr>
          <w:p w14:paraId="2358EAA5">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highlight w:val="none"/>
                <w:lang w:val="en-US" w:eastAsia="zh-CN"/>
              </w:rPr>
              <w:t>T5</w:t>
            </w:r>
          </w:p>
        </w:tc>
        <w:tc>
          <w:tcPr>
            <w:tcW w:w="775" w:type="dxa"/>
            <w:noWrap w:val="0"/>
            <w:vAlign w:val="center"/>
          </w:tcPr>
          <w:p w14:paraId="38D4B0A3">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bCs/>
                <w:color w:val="auto"/>
                <w:kern w:val="2"/>
                <w:sz w:val="21"/>
                <w:szCs w:val="21"/>
                <w:highlight w:val="none"/>
                <w:lang w:val="en-US" w:eastAsia="zh-CN" w:bidi="ar-SA"/>
              </w:rPr>
            </w:pPr>
            <w:bookmarkStart w:id="1671" w:name="OLE_LINK916"/>
            <w:r>
              <w:rPr>
                <w:rFonts w:hint="default" w:ascii="Times New Roman" w:hAnsi="Times New Roman" w:cs="Times New Roman"/>
                <w:bCs/>
                <w:color w:val="auto"/>
                <w:highlight w:val="none"/>
                <w:lang w:val="en-US" w:eastAsia="zh-CN"/>
              </w:rPr>
              <w:t>秣陵中学</w:t>
            </w:r>
            <w:bookmarkEnd w:id="1671"/>
          </w:p>
        </w:tc>
        <w:tc>
          <w:tcPr>
            <w:tcW w:w="898" w:type="dxa"/>
            <w:noWrap w:val="0"/>
            <w:vAlign w:val="center"/>
          </w:tcPr>
          <w:p w14:paraId="6AA9C87D">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highlight w:val="none"/>
                <w:lang w:val="en-US" w:eastAsia="zh-CN"/>
              </w:rPr>
              <w:t>第一类建设用地</w:t>
            </w:r>
          </w:p>
        </w:tc>
        <w:tc>
          <w:tcPr>
            <w:tcW w:w="1487" w:type="dxa"/>
            <w:noWrap w:val="0"/>
            <w:vAlign w:val="center"/>
          </w:tcPr>
          <w:p w14:paraId="7845AA1D">
            <w:pPr>
              <w:pStyle w:val="30"/>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0-0.2m</w:t>
            </w:r>
          </w:p>
        </w:tc>
        <w:tc>
          <w:tcPr>
            <w:tcW w:w="1547" w:type="dxa"/>
            <w:noWrap w:val="0"/>
            <w:vAlign w:val="center"/>
          </w:tcPr>
          <w:p w14:paraId="677DBA6A">
            <w:pPr>
              <w:pStyle w:val="30"/>
              <w:keepNext w:val="0"/>
              <w:keepLines w:val="0"/>
              <w:suppressLineNumbers w:val="0"/>
              <w:spacing w:before="0" w:beforeAutospacing="0" w:after="0" w:afterAutospacing="0"/>
              <w:ind w:left="0" w:right="0"/>
              <w:jc w:val="left"/>
              <w:rPr>
                <w:rFonts w:hint="default" w:ascii="Times New Roman" w:hAnsi="Times New Roman" w:cs="Times New Roman"/>
                <w:b w:val="0"/>
                <w:bCs/>
                <w:color w:val="auto"/>
                <w:highlight w:val="none"/>
                <w:lang w:val="en-US" w:eastAsia="zh-CN"/>
              </w:rPr>
            </w:pPr>
            <w:r>
              <w:rPr>
                <w:rFonts w:hint="default" w:ascii="Times New Roman" w:hAnsi="Times New Roman" w:cs="Times New Roman"/>
                <w:b w:val="0"/>
                <w:bCs/>
                <w:color w:val="auto"/>
                <w:highlight w:val="none"/>
                <w:lang w:val="en-US" w:eastAsia="zh-CN"/>
              </w:rPr>
              <w:t>118.8301801</w:t>
            </w:r>
            <w:r>
              <w:rPr>
                <w:rFonts w:hint="eastAsia" w:cs="Times New Roman"/>
                <w:b w:val="0"/>
                <w:bCs/>
                <w:color w:val="auto"/>
                <w:highlight w:val="none"/>
                <w:lang w:val="en-US" w:eastAsia="zh-CN"/>
              </w:rPr>
              <w:t>,</w:t>
            </w:r>
            <w:r>
              <w:rPr>
                <w:rFonts w:hint="default" w:ascii="Times New Roman" w:hAnsi="Times New Roman" w:cs="Times New Roman"/>
                <w:b w:val="0"/>
                <w:bCs/>
                <w:color w:val="auto"/>
                <w:highlight w:val="none"/>
                <w:lang w:val="en-US" w:eastAsia="zh-CN"/>
              </w:rPr>
              <w:t>31.8315814</w:t>
            </w:r>
          </w:p>
        </w:tc>
        <w:tc>
          <w:tcPr>
            <w:tcW w:w="2805" w:type="dxa"/>
            <w:vMerge w:val="continue"/>
            <w:noWrap w:val="0"/>
            <w:vAlign w:val="center"/>
          </w:tcPr>
          <w:p w14:paraId="50D89D81">
            <w:pPr>
              <w:pStyle w:val="30"/>
              <w:keepNext w:val="0"/>
              <w:keepLines w:val="0"/>
              <w:suppressLineNumbers w:val="0"/>
              <w:spacing w:before="0" w:beforeAutospacing="0" w:after="0" w:afterAutospacing="0"/>
              <w:ind w:left="0" w:right="0"/>
              <w:jc w:val="left"/>
              <w:rPr>
                <w:rFonts w:hint="default" w:ascii="Times New Roman" w:hAnsi="Times New Roman" w:cs="Times New Roman"/>
                <w:b/>
                <w:bCs w:val="0"/>
                <w:color w:val="auto"/>
                <w:highlight w:val="none"/>
                <w:lang w:val="en-US" w:eastAsia="zh-CN"/>
              </w:rPr>
            </w:pPr>
          </w:p>
        </w:tc>
        <w:tc>
          <w:tcPr>
            <w:tcW w:w="909" w:type="dxa"/>
            <w:vMerge w:val="continue"/>
            <w:noWrap w:val="0"/>
            <w:vAlign w:val="center"/>
          </w:tcPr>
          <w:p w14:paraId="2DE5E104">
            <w:pPr>
              <w:pStyle w:val="30"/>
              <w:keepNext w:val="0"/>
              <w:keepLines w:val="0"/>
              <w:suppressLineNumbers w:val="0"/>
              <w:spacing w:before="0" w:beforeAutospacing="0" w:after="0" w:afterAutospacing="0"/>
              <w:ind w:left="0" w:right="0"/>
              <w:jc w:val="left"/>
              <w:rPr>
                <w:rFonts w:hint="default" w:ascii="Times New Roman" w:hAnsi="Times New Roman" w:cs="Times New Roman"/>
                <w:b/>
                <w:bCs w:val="0"/>
                <w:color w:val="auto"/>
                <w:highlight w:val="none"/>
                <w:lang w:val="en-US" w:eastAsia="zh-CN"/>
              </w:rPr>
            </w:pPr>
          </w:p>
        </w:tc>
      </w:tr>
      <w:tr w14:paraId="36DD76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555" w:type="dxa"/>
            <w:noWrap w:val="0"/>
            <w:vAlign w:val="center"/>
          </w:tcPr>
          <w:p w14:paraId="7FEB507D">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highlight w:val="none"/>
                <w:lang w:val="en-US" w:eastAsia="zh-CN"/>
              </w:rPr>
              <w:t>T7</w:t>
            </w:r>
          </w:p>
        </w:tc>
        <w:tc>
          <w:tcPr>
            <w:tcW w:w="775" w:type="dxa"/>
            <w:noWrap w:val="0"/>
            <w:vAlign w:val="center"/>
          </w:tcPr>
          <w:p w14:paraId="635D7105">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bCs/>
                <w:color w:val="auto"/>
                <w:kern w:val="2"/>
                <w:sz w:val="21"/>
                <w:szCs w:val="21"/>
                <w:highlight w:val="none"/>
                <w:lang w:val="en-US" w:eastAsia="zh-CN" w:bidi="ar-SA"/>
              </w:rPr>
            </w:pPr>
            <w:bookmarkStart w:id="1672" w:name="OLE_LINK917"/>
            <w:r>
              <w:rPr>
                <w:rFonts w:hint="default" w:ascii="Times New Roman" w:hAnsi="Times New Roman" w:cs="Times New Roman"/>
                <w:bCs/>
                <w:color w:val="auto"/>
                <w:highlight w:val="none"/>
                <w:lang w:val="en-US" w:eastAsia="zh-CN"/>
              </w:rPr>
              <w:t>金王府</w:t>
            </w:r>
            <w:bookmarkEnd w:id="1672"/>
          </w:p>
        </w:tc>
        <w:tc>
          <w:tcPr>
            <w:tcW w:w="898" w:type="dxa"/>
            <w:noWrap w:val="0"/>
            <w:vAlign w:val="center"/>
          </w:tcPr>
          <w:p w14:paraId="77C75EB7">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highlight w:val="none"/>
                <w:lang w:val="en-US" w:eastAsia="zh-CN"/>
              </w:rPr>
              <w:t>第一类建设用地</w:t>
            </w:r>
          </w:p>
        </w:tc>
        <w:tc>
          <w:tcPr>
            <w:tcW w:w="1487" w:type="dxa"/>
            <w:noWrap w:val="0"/>
            <w:vAlign w:val="center"/>
          </w:tcPr>
          <w:p w14:paraId="66F5C6C8">
            <w:pPr>
              <w:pStyle w:val="30"/>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0-0.2m、0.5-1.5m、1.5-3m</w:t>
            </w:r>
          </w:p>
        </w:tc>
        <w:tc>
          <w:tcPr>
            <w:tcW w:w="1547" w:type="dxa"/>
            <w:noWrap w:val="0"/>
            <w:vAlign w:val="center"/>
          </w:tcPr>
          <w:p w14:paraId="11EEF804">
            <w:pPr>
              <w:pStyle w:val="30"/>
              <w:keepNext w:val="0"/>
              <w:keepLines w:val="0"/>
              <w:suppressLineNumbers w:val="0"/>
              <w:spacing w:before="0" w:beforeAutospacing="0" w:after="0" w:afterAutospacing="0"/>
              <w:ind w:left="0" w:right="0"/>
              <w:jc w:val="left"/>
              <w:rPr>
                <w:rFonts w:hint="default" w:ascii="Times New Roman" w:hAnsi="Times New Roman" w:cs="Times New Roman"/>
                <w:b w:val="0"/>
                <w:bCs/>
                <w:color w:val="auto"/>
                <w:highlight w:val="none"/>
                <w:lang w:val="en-US" w:eastAsia="zh-CN"/>
              </w:rPr>
            </w:pPr>
            <w:r>
              <w:rPr>
                <w:rFonts w:hint="default" w:ascii="Times New Roman" w:hAnsi="Times New Roman" w:cs="Times New Roman"/>
                <w:b w:val="0"/>
                <w:bCs/>
                <w:color w:val="auto"/>
                <w:highlight w:val="none"/>
                <w:lang w:val="en-US" w:eastAsia="zh-CN"/>
              </w:rPr>
              <w:t>118.8191884</w:t>
            </w:r>
            <w:r>
              <w:rPr>
                <w:rFonts w:hint="eastAsia" w:cs="Times New Roman"/>
                <w:b w:val="0"/>
                <w:bCs/>
                <w:color w:val="auto"/>
                <w:highlight w:val="none"/>
                <w:lang w:val="en-US" w:eastAsia="zh-CN"/>
              </w:rPr>
              <w:t>,</w:t>
            </w:r>
            <w:r>
              <w:rPr>
                <w:rFonts w:hint="default" w:ascii="Times New Roman" w:hAnsi="Times New Roman" w:cs="Times New Roman"/>
                <w:b w:val="0"/>
                <w:bCs/>
                <w:color w:val="auto"/>
                <w:highlight w:val="none"/>
                <w:lang w:val="en-US" w:eastAsia="zh-CN"/>
              </w:rPr>
              <w:t>31.9525276</w:t>
            </w:r>
          </w:p>
        </w:tc>
        <w:tc>
          <w:tcPr>
            <w:tcW w:w="2805" w:type="dxa"/>
            <w:noWrap w:val="0"/>
            <w:vAlign w:val="center"/>
          </w:tcPr>
          <w:p w14:paraId="37974117">
            <w:pPr>
              <w:pStyle w:val="30"/>
              <w:keepNext w:val="0"/>
              <w:keepLines w:val="0"/>
              <w:suppressLineNumbers w:val="0"/>
              <w:spacing w:before="0" w:beforeAutospacing="0" w:after="0" w:afterAutospacing="0"/>
              <w:ind w:left="0" w:right="0"/>
              <w:jc w:val="left"/>
              <w:rPr>
                <w:rFonts w:hint="default" w:ascii="Times New Roman" w:hAnsi="Times New Roman" w:cs="Times New Roman"/>
                <w:bCs/>
                <w:color w:val="auto"/>
                <w:highlight w:val="none"/>
              </w:rPr>
            </w:pPr>
            <w:bookmarkStart w:id="1673" w:name="sys10154037"/>
            <w:r>
              <w:rPr>
                <w:rFonts w:hint="default" w:ascii="Times New Roman" w:hAnsi="Times New Roman" w:cs="Times New Roman"/>
                <w:b/>
                <w:bCs w:val="0"/>
                <w:color w:val="auto"/>
                <w:highlight w:val="none"/>
                <w:lang w:val="en-US" w:eastAsia="zh-CN"/>
              </w:rPr>
              <w:t>基本因子：</w:t>
            </w:r>
            <w:r>
              <w:rPr>
                <w:rFonts w:hint="default" w:ascii="Times New Roman" w:hAnsi="Times New Roman" w:cs="Times New Roman"/>
                <w:bCs/>
                <w:color w:val="auto"/>
                <w:highlight w:val="none"/>
              </w:rPr>
              <w:t>GB36600-2018表1中序号1~45等共计45项基本项目；</w:t>
            </w:r>
            <w:bookmarkEnd w:id="1673"/>
          </w:p>
          <w:p w14:paraId="0413FFC9">
            <w:pPr>
              <w:pStyle w:val="30"/>
              <w:keepNext w:val="0"/>
              <w:keepLines w:val="0"/>
              <w:suppressLineNumbers w:val="0"/>
              <w:spacing w:before="0" w:beforeAutospacing="0" w:after="0" w:afterAutospacing="0"/>
              <w:ind w:left="0" w:right="0"/>
              <w:jc w:val="left"/>
              <w:rPr>
                <w:rFonts w:hint="default" w:ascii="Times New Roman" w:hAnsi="Times New Roman" w:cs="Times New Roman"/>
                <w:b/>
                <w:bCs w:val="0"/>
                <w:color w:val="auto"/>
                <w:highlight w:val="none"/>
                <w:lang w:val="en-US" w:eastAsia="zh-CN"/>
              </w:rPr>
            </w:pPr>
            <w:r>
              <w:rPr>
                <w:rFonts w:hint="default" w:ascii="Times New Roman" w:hAnsi="Times New Roman" w:cs="Times New Roman"/>
                <w:b/>
                <w:bCs w:val="0"/>
                <w:color w:val="auto"/>
                <w:highlight w:val="none"/>
                <w:lang w:val="en-US" w:eastAsia="zh-CN"/>
              </w:rPr>
              <w:t>特征因子：</w:t>
            </w:r>
            <w:r>
              <w:rPr>
                <w:rFonts w:hint="default" w:ascii="Times New Roman" w:hAnsi="Times New Roman" w:cs="Times New Roman"/>
                <w:b w:val="0"/>
                <w:bCs/>
                <w:color w:val="auto"/>
                <w:highlight w:val="none"/>
                <w:lang w:val="en-US" w:eastAsia="zh-CN"/>
              </w:rPr>
              <w:t>石油烃</w:t>
            </w:r>
          </w:p>
          <w:p w14:paraId="6AFF9AFC">
            <w:pPr>
              <w:pStyle w:val="30"/>
              <w:keepNext w:val="0"/>
              <w:keepLines w:val="0"/>
              <w:suppressLineNumbers w:val="0"/>
              <w:spacing w:before="0" w:beforeAutospacing="0" w:after="0" w:afterAutospacing="0"/>
              <w:ind w:left="0" w:right="0"/>
              <w:jc w:val="left"/>
              <w:rPr>
                <w:rFonts w:hint="default" w:ascii="Times New Roman" w:hAnsi="Times New Roman" w:cs="Times New Roman"/>
                <w:b/>
                <w:bCs w:val="0"/>
                <w:color w:val="auto"/>
                <w:highlight w:val="none"/>
                <w:lang w:val="en-US" w:eastAsia="zh-CN"/>
              </w:rPr>
            </w:pPr>
            <w:bookmarkStart w:id="1674" w:name="sys10156054"/>
            <w:r>
              <w:rPr>
                <w:rFonts w:hint="default" w:ascii="Times New Roman" w:hAnsi="Times New Roman" w:cs="Times New Roman"/>
                <w:b/>
                <w:bCs w:val="0"/>
                <w:color w:val="auto"/>
                <w:highlight w:val="none"/>
                <w:lang w:val="en-US" w:eastAsia="zh-CN"/>
              </w:rPr>
              <w:t>其他：</w:t>
            </w:r>
            <w:r>
              <w:rPr>
                <w:rFonts w:hint="default" w:ascii="Times New Roman" w:hAnsi="Times New Roman" w:cs="Times New Roman"/>
                <w:bCs/>
                <w:color w:val="auto"/>
                <w:highlight w:val="none"/>
              </w:rPr>
              <w:t>颜色、结构、质地、砂砾含量、其他异物、pH、阳离子交换量、</w:t>
            </w:r>
            <w:r>
              <w:rPr>
                <w:rFonts w:hint="eastAsia" w:cs="Times New Roman"/>
                <w:bCs/>
                <w:color w:val="auto"/>
                <w:highlight w:val="none"/>
                <w:lang w:eastAsia="zh-CN"/>
              </w:rPr>
              <w:t>氧化还原电位</w:t>
            </w:r>
            <w:r>
              <w:rPr>
                <w:rFonts w:hint="default" w:ascii="Times New Roman" w:hAnsi="Times New Roman" w:cs="Times New Roman"/>
                <w:bCs/>
                <w:color w:val="auto"/>
                <w:highlight w:val="none"/>
              </w:rPr>
              <w:t>、饱和导水率、土壤容重、孔隙度；</w:t>
            </w:r>
            <w:bookmarkEnd w:id="1674"/>
          </w:p>
        </w:tc>
        <w:tc>
          <w:tcPr>
            <w:tcW w:w="909" w:type="dxa"/>
            <w:vMerge w:val="continue"/>
            <w:noWrap w:val="0"/>
            <w:vAlign w:val="center"/>
          </w:tcPr>
          <w:p w14:paraId="63E06E8D">
            <w:pPr>
              <w:pStyle w:val="30"/>
              <w:keepNext w:val="0"/>
              <w:keepLines w:val="0"/>
              <w:suppressLineNumbers w:val="0"/>
              <w:spacing w:before="0" w:beforeAutospacing="0" w:after="0" w:afterAutospacing="0"/>
              <w:ind w:left="0" w:right="0"/>
              <w:jc w:val="left"/>
              <w:rPr>
                <w:rFonts w:hint="default" w:ascii="Times New Roman" w:hAnsi="Times New Roman" w:cs="Times New Roman"/>
                <w:b/>
                <w:bCs w:val="0"/>
                <w:color w:val="auto"/>
                <w:highlight w:val="none"/>
                <w:lang w:val="en-US" w:eastAsia="zh-CN"/>
              </w:rPr>
            </w:pPr>
          </w:p>
        </w:tc>
      </w:tr>
      <w:tr w14:paraId="42F09B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555" w:type="dxa"/>
            <w:noWrap w:val="0"/>
            <w:vAlign w:val="center"/>
          </w:tcPr>
          <w:p w14:paraId="25298302">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T8</w:t>
            </w:r>
          </w:p>
        </w:tc>
        <w:tc>
          <w:tcPr>
            <w:tcW w:w="775" w:type="dxa"/>
            <w:noWrap w:val="0"/>
            <w:vAlign w:val="center"/>
          </w:tcPr>
          <w:p w14:paraId="01DAF460">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bookmarkStart w:id="1675" w:name="OLE_LINK918"/>
            <w:r>
              <w:rPr>
                <w:rFonts w:hint="default" w:ascii="Times New Roman" w:hAnsi="Times New Roman" w:cs="Times New Roman"/>
                <w:bCs/>
                <w:color w:val="auto"/>
                <w:highlight w:val="none"/>
                <w:lang w:val="en-US" w:eastAsia="zh-CN"/>
              </w:rPr>
              <w:t>协鑫燃机</w:t>
            </w:r>
            <w:bookmarkEnd w:id="1675"/>
          </w:p>
        </w:tc>
        <w:tc>
          <w:tcPr>
            <w:tcW w:w="898" w:type="dxa"/>
            <w:noWrap w:val="0"/>
            <w:vAlign w:val="center"/>
          </w:tcPr>
          <w:p w14:paraId="2A9EEF22">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第二类建设用地</w:t>
            </w:r>
          </w:p>
        </w:tc>
        <w:tc>
          <w:tcPr>
            <w:tcW w:w="1487" w:type="dxa"/>
            <w:noWrap w:val="0"/>
            <w:vAlign w:val="center"/>
          </w:tcPr>
          <w:p w14:paraId="7E995C71">
            <w:pPr>
              <w:pStyle w:val="30"/>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0-0.5m、0.5-1.5m、1.5-3m</w:t>
            </w:r>
          </w:p>
        </w:tc>
        <w:tc>
          <w:tcPr>
            <w:tcW w:w="1547" w:type="dxa"/>
            <w:noWrap w:val="0"/>
            <w:vAlign w:val="center"/>
          </w:tcPr>
          <w:p w14:paraId="284EB127">
            <w:pPr>
              <w:pStyle w:val="30"/>
              <w:keepNext w:val="0"/>
              <w:keepLines w:val="0"/>
              <w:suppressLineNumbers w:val="0"/>
              <w:spacing w:before="0" w:beforeAutospacing="0" w:after="0" w:afterAutospacing="0"/>
              <w:ind w:left="0" w:right="0"/>
              <w:jc w:val="both"/>
              <w:rPr>
                <w:rFonts w:hint="default" w:ascii="Times New Roman" w:hAnsi="Times New Roman" w:cs="Times New Roman"/>
                <w:b w:val="0"/>
                <w:bCs/>
                <w:color w:val="auto"/>
                <w:highlight w:val="none"/>
                <w:lang w:val="en-US" w:eastAsia="zh-CN"/>
              </w:rPr>
            </w:pPr>
            <w:r>
              <w:rPr>
                <w:rFonts w:hint="default" w:ascii="Times New Roman" w:hAnsi="Times New Roman" w:cs="Times New Roman"/>
                <w:b w:val="0"/>
                <w:bCs/>
                <w:color w:val="auto"/>
                <w:highlight w:val="none"/>
                <w:lang w:val="en-US" w:eastAsia="zh-CN"/>
              </w:rPr>
              <w:t>118.8370627</w:t>
            </w:r>
            <w:r>
              <w:rPr>
                <w:rFonts w:hint="eastAsia" w:cs="Times New Roman"/>
                <w:b w:val="0"/>
                <w:bCs/>
                <w:color w:val="auto"/>
                <w:highlight w:val="none"/>
                <w:lang w:val="en-US" w:eastAsia="zh-CN"/>
              </w:rPr>
              <w:t>,</w:t>
            </w:r>
            <w:r>
              <w:rPr>
                <w:rFonts w:hint="default" w:ascii="Times New Roman" w:hAnsi="Times New Roman" w:cs="Times New Roman"/>
                <w:b w:val="0"/>
                <w:bCs/>
                <w:color w:val="auto"/>
                <w:highlight w:val="none"/>
                <w:lang w:val="en-US" w:eastAsia="zh-CN"/>
              </w:rPr>
              <w:t>31.8810413</w:t>
            </w:r>
          </w:p>
        </w:tc>
        <w:tc>
          <w:tcPr>
            <w:tcW w:w="2805" w:type="dxa"/>
            <w:noWrap w:val="0"/>
            <w:vAlign w:val="center"/>
          </w:tcPr>
          <w:p w14:paraId="4C37062F">
            <w:pPr>
              <w:pStyle w:val="30"/>
              <w:keepNext w:val="0"/>
              <w:keepLines w:val="0"/>
              <w:suppressLineNumbers w:val="0"/>
              <w:spacing w:before="0" w:beforeAutospacing="0" w:after="0" w:afterAutospacing="0"/>
              <w:ind w:left="0" w:right="0"/>
              <w:jc w:val="left"/>
              <w:rPr>
                <w:rFonts w:hint="default" w:ascii="Times New Roman" w:hAnsi="Times New Roman" w:cs="Times New Roman"/>
                <w:bCs/>
                <w:color w:val="auto"/>
                <w:highlight w:val="none"/>
              </w:rPr>
            </w:pPr>
            <w:bookmarkStart w:id="1676" w:name="sys10163037"/>
            <w:r>
              <w:rPr>
                <w:rFonts w:hint="default" w:ascii="Times New Roman" w:hAnsi="Times New Roman" w:cs="Times New Roman"/>
                <w:b/>
                <w:bCs w:val="0"/>
                <w:color w:val="auto"/>
                <w:highlight w:val="none"/>
                <w:lang w:val="en-US" w:eastAsia="zh-CN"/>
              </w:rPr>
              <w:t>基本因子：</w:t>
            </w:r>
            <w:r>
              <w:rPr>
                <w:rFonts w:hint="default" w:ascii="Times New Roman" w:hAnsi="Times New Roman" w:cs="Times New Roman"/>
                <w:bCs/>
                <w:color w:val="auto"/>
                <w:highlight w:val="none"/>
              </w:rPr>
              <w:t>GB36600-2018表1中序号1~45等共计45项基本项目；</w:t>
            </w:r>
            <w:bookmarkEnd w:id="1676"/>
          </w:p>
          <w:p w14:paraId="2C76A97F">
            <w:pPr>
              <w:pStyle w:val="30"/>
              <w:keepNext w:val="0"/>
              <w:keepLines w:val="0"/>
              <w:suppressLineNumbers w:val="0"/>
              <w:spacing w:before="0" w:beforeAutospacing="0" w:after="0" w:afterAutospacing="0"/>
              <w:ind w:left="0" w:right="0"/>
              <w:jc w:val="left"/>
              <w:rPr>
                <w:rFonts w:hint="default" w:ascii="Times New Roman" w:hAnsi="Times New Roman" w:cs="Times New Roman"/>
                <w:b/>
                <w:bCs w:val="0"/>
                <w:color w:val="auto"/>
                <w:highlight w:val="none"/>
                <w:lang w:val="en-US" w:eastAsia="zh-CN"/>
              </w:rPr>
            </w:pPr>
            <w:r>
              <w:rPr>
                <w:rFonts w:hint="default" w:ascii="Times New Roman" w:hAnsi="Times New Roman" w:cs="Times New Roman"/>
                <w:b/>
                <w:bCs w:val="0"/>
                <w:color w:val="auto"/>
                <w:highlight w:val="none"/>
                <w:lang w:val="en-US" w:eastAsia="zh-CN"/>
              </w:rPr>
              <w:t>特征因子：</w:t>
            </w:r>
            <w:r>
              <w:rPr>
                <w:rFonts w:hint="default" w:ascii="Times New Roman" w:hAnsi="Times New Roman" w:cs="Times New Roman"/>
                <w:b w:val="0"/>
                <w:bCs/>
                <w:color w:val="auto"/>
                <w:highlight w:val="none"/>
                <w:lang w:val="en-US" w:eastAsia="zh-CN"/>
              </w:rPr>
              <w:t>石油烃</w:t>
            </w:r>
          </w:p>
          <w:p w14:paraId="1E8D8234">
            <w:pPr>
              <w:pStyle w:val="30"/>
              <w:keepNext w:val="0"/>
              <w:keepLines w:val="0"/>
              <w:suppressLineNumbers w:val="0"/>
              <w:spacing w:before="0" w:beforeAutospacing="0" w:after="0" w:afterAutospacing="0"/>
              <w:ind w:left="0" w:right="0"/>
              <w:jc w:val="both"/>
              <w:rPr>
                <w:rFonts w:hint="default" w:ascii="Times New Roman" w:hAnsi="Times New Roman" w:cs="Times New Roman"/>
                <w:bCs/>
                <w:color w:val="auto"/>
                <w:highlight w:val="none"/>
              </w:rPr>
            </w:pPr>
            <w:bookmarkStart w:id="1677" w:name="sys10165054"/>
            <w:r>
              <w:rPr>
                <w:rFonts w:hint="default" w:ascii="Times New Roman" w:hAnsi="Times New Roman" w:cs="Times New Roman"/>
                <w:b/>
                <w:bCs w:val="0"/>
                <w:color w:val="auto"/>
                <w:highlight w:val="none"/>
                <w:lang w:val="en-US" w:eastAsia="zh-CN"/>
              </w:rPr>
              <w:t>其他：</w:t>
            </w:r>
            <w:r>
              <w:rPr>
                <w:rFonts w:hint="default" w:ascii="Times New Roman" w:hAnsi="Times New Roman" w:cs="Times New Roman"/>
                <w:bCs/>
                <w:color w:val="auto"/>
                <w:highlight w:val="none"/>
              </w:rPr>
              <w:t>颜色、结构、质地、砂砾含量、其他异物、pH、阳离子交换量、</w:t>
            </w:r>
            <w:r>
              <w:rPr>
                <w:rFonts w:hint="eastAsia" w:cs="Times New Roman"/>
                <w:bCs/>
                <w:color w:val="auto"/>
                <w:highlight w:val="none"/>
                <w:lang w:eastAsia="zh-CN"/>
              </w:rPr>
              <w:t>氧化还原电位</w:t>
            </w:r>
            <w:r>
              <w:rPr>
                <w:rFonts w:hint="default" w:ascii="Times New Roman" w:hAnsi="Times New Roman" w:cs="Times New Roman"/>
                <w:bCs/>
                <w:color w:val="auto"/>
                <w:highlight w:val="none"/>
              </w:rPr>
              <w:t>、饱和导水率、土壤容重、孔隙度；</w:t>
            </w:r>
            <w:bookmarkEnd w:id="1677"/>
          </w:p>
        </w:tc>
        <w:tc>
          <w:tcPr>
            <w:tcW w:w="909" w:type="dxa"/>
            <w:vMerge w:val="continue"/>
            <w:noWrap w:val="0"/>
            <w:vAlign w:val="center"/>
          </w:tcPr>
          <w:p w14:paraId="5E00A234">
            <w:pPr>
              <w:pStyle w:val="30"/>
              <w:keepNext w:val="0"/>
              <w:keepLines w:val="0"/>
              <w:suppressLineNumbers w:val="0"/>
              <w:spacing w:before="0" w:beforeAutospacing="0" w:after="0" w:afterAutospacing="0"/>
              <w:ind w:left="0" w:right="0"/>
              <w:jc w:val="both"/>
              <w:rPr>
                <w:rFonts w:hint="default" w:ascii="Times New Roman" w:hAnsi="Times New Roman" w:cs="Times New Roman"/>
                <w:b/>
                <w:bCs w:val="0"/>
                <w:color w:val="auto"/>
                <w:highlight w:val="none"/>
                <w:lang w:val="en-US" w:eastAsia="zh-CN"/>
              </w:rPr>
            </w:pPr>
          </w:p>
        </w:tc>
      </w:tr>
      <w:tr w14:paraId="4E6F6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555" w:type="dxa"/>
            <w:noWrap w:val="0"/>
            <w:vAlign w:val="center"/>
          </w:tcPr>
          <w:p w14:paraId="4E4C3EFC">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T9</w:t>
            </w:r>
          </w:p>
        </w:tc>
        <w:tc>
          <w:tcPr>
            <w:tcW w:w="775" w:type="dxa"/>
            <w:noWrap w:val="0"/>
            <w:vAlign w:val="center"/>
          </w:tcPr>
          <w:p w14:paraId="1C0C0D83">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bookmarkStart w:id="1678" w:name="OLE_LINK919"/>
            <w:r>
              <w:rPr>
                <w:rFonts w:hint="default" w:ascii="Times New Roman" w:hAnsi="Times New Roman" w:cs="Times New Roman"/>
                <w:bCs/>
                <w:color w:val="auto"/>
                <w:highlight w:val="none"/>
                <w:lang w:val="en-US" w:eastAsia="zh-CN"/>
              </w:rPr>
              <w:t>长安马自达有限公司</w:t>
            </w:r>
            <w:bookmarkEnd w:id="1678"/>
          </w:p>
        </w:tc>
        <w:tc>
          <w:tcPr>
            <w:tcW w:w="898" w:type="dxa"/>
            <w:noWrap w:val="0"/>
            <w:vAlign w:val="center"/>
          </w:tcPr>
          <w:p w14:paraId="0AE647DA">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第二类建设用地</w:t>
            </w:r>
          </w:p>
        </w:tc>
        <w:tc>
          <w:tcPr>
            <w:tcW w:w="1487" w:type="dxa"/>
            <w:noWrap w:val="0"/>
            <w:vAlign w:val="center"/>
          </w:tcPr>
          <w:p w14:paraId="574A11DD">
            <w:pPr>
              <w:pStyle w:val="30"/>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0-0.5m、0.5-1.5m、1.5-3m</w:t>
            </w:r>
          </w:p>
        </w:tc>
        <w:tc>
          <w:tcPr>
            <w:tcW w:w="1547" w:type="dxa"/>
            <w:noWrap w:val="0"/>
            <w:vAlign w:val="center"/>
          </w:tcPr>
          <w:p w14:paraId="7B2B3681">
            <w:pPr>
              <w:pStyle w:val="30"/>
              <w:keepNext w:val="0"/>
              <w:keepLines w:val="0"/>
              <w:suppressLineNumbers w:val="0"/>
              <w:spacing w:before="0" w:beforeAutospacing="0" w:after="0" w:afterAutospacing="0"/>
              <w:ind w:left="0" w:right="0"/>
              <w:jc w:val="both"/>
              <w:rPr>
                <w:rFonts w:hint="default" w:ascii="Times New Roman" w:hAnsi="Times New Roman" w:cs="Times New Roman"/>
                <w:b w:val="0"/>
                <w:bCs/>
                <w:color w:val="auto"/>
                <w:highlight w:val="none"/>
                <w:lang w:val="en-US" w:eastAsia="zh-CN"/>
              </w:rPr>
            </w:pPr>
            <w:r>
              <w:rPr>
                <w:rFonts w:hint="default" w:ascii="Times New Roman" w:hAnsi="Times New Roman" w:cs="Times New Roman"/>
                <w:b w:val="0"/>
                <w:bCs/>
                <w:color w:val="auto"/>
                <w:highlight w:val="none"/>
                <w:lang w:val="en-US" w:eastAsia="zh-CN"/>
              </w:rPr>
              <w:t>118.7988895</w:t>
            </w:r>
            <w:r>
              <w:rPr>
                <w:rFonts w:hint="eastAsia" w:cs="Times New Roman"/>
                <w:b w:val="0"/>
                <w:bCs/>
                <w:color w:val="auto"/>
                <w:highlight w:val="none"/>
                <w:lang w:val="en-US" w:eastAsia="zh-CN"/>
              </w:rPr>
              <w:t>,</w:t>
            </w:r>
            <w:r>
              <w:rPr>
                <w:rFonts w:hint="default" w:ascii="Times New Roman" w:hAnsi="Times New Roman" w:cs="Times New Roman"/>
                <w:b w:val="0"/>
                <w:bCs/>
                <w:color w:val="auto"/>
                <w:highlight w:val="none"/>
                <w:lang w:val="en-US" w:eastAsia="zh-CN"/>
              </w:rPr>
              <w:t>31.8995056</w:t>
            </w:r>
          </w:p>
        </w:tc>
        <w:tc>
          <w:tcPr>
            <w:tcW w:w="2805" w:type="dxa"/>
            <w:vMerge w:val="restart"/>
            <w:noWrap w:val="0"/>
            <w:vAlign w:val="center"/>
          </w:tcPr>
          <w:p w14:paraId="6C6A8B4E">
            <w:pPr>
              <w:pStyle w:val="30"/>
              <w:keepNext w:val="0"/>
              <w:keepLines w:val="0"/>
              <w:suppressLineNumbers w:val="0"/>
              <w:spacing w:before="0" w:beforeAutospacing="0" w:after="0" w:afterAutospacing="0"/>
              <w:ind w:left="0" w:right="0"/>
              <w:jc w:val="left"/>
              <w:rPr>
                <w:rFonts w:hint="default" w:ascii="Times New Roman" w:hAnsi="Times New Roman" w:cs="Times New Roman"/>
                <w:bCs/>
                <w:color w:val="auto"/>
                <w:highlight w:val="none"/>
              </w:rPr>
            </w:pPr>
            <w:bookmarkStart w:id="1679" w:name="sys10172037"/>
            <w:r>
              <w:rPr>
                <w:rFonts w:hint="default" w:ascii="Times New Roman" w:hAnsi="Times New Roman" w:cs="Times New Roman"/>
                <w:b/>
                <w:bCs w:val="0"/>
                <w:color w:val="auto"/>
                <w:highlight w:val="none"/>
                <w:lang w:val="en-US" w:eastAsia="zh-CN"/>
              </w:rPr>
              <w:t>基本因子：</w:t>
            </w:r>
            <w:r>
              <w:rPr>
                <w:rFonts w:hint="default" w:ascii="Times New Roman" w:hAnsi="Times New Roman" w:cs="Times New Roman"/>
                <w:bCs/>
                <w:color w:val="auto"/>
                <w:highlight w:val="none"/>
              </w:rPr>
              <w:t>GB36600-2018表1中序号1~45等共计45项基本项目；</w:t>
            </w:r>
            <w:bookmarkEnd w:id="1679"/>
          </w:p>
          <w:p w14:paraId="1FA98BD5">
            <w:pPr>
              <w:pStyle w:val="30"/>
              <w:keepNext w:val="0"/>
              <w:keepLines w:val="0"/>
              <w:suppressLineNumbers w:val="0"/>
              <w:spacing w:before="0" w:beforeAutospacing="0" w:after="0" w:afterAutospacing="0"/>
              <w:ind w:left="0" w:right="0"/>
              <w:jc w:val="left"/>
              <w:rPr>
                <w:rFonts w:hint="default" w:ascii="Times New Roman" w:hAnsi="Times New Roman" w:cs="Times New Roman"/>
                <w:b/>
                <w:bCs w:val="0"/>
                <w:color w:val="auto"/>
                <w:highlight w:val="none"/>
                <w:lang w:val="en-US" w:eastAsia="zh-CN"/>
              </w:rPr>
            </w:pPr>
            <w:r>
              <w:rPr>
                <w:rFonts w:hint="default" w:ascii="Times New Roman" w:hAnsi="Times New Roman" w:cs="Times New Roman"/>
                <w:b/>
                <w:bCs w:val="0"/>
                <w:color w:val="auto"/>
                <w:highlight w:val="none"/>
                <w:lang w:val="en-US" w:eastAsia="zh-CN"/>
              </w:rPr>
              <w:t>特征因子：</w:t>
            </w:r>
            <w:r>
              <w:rPr>
                <w:rFonts w:hint="default" w:ascii="Times New Roman" w:hAnsi="Times New Roman" w:cs="Times New Roman"/>
                <w:b w:val="0"/>
                <w:bCs/>
                <w:color w:val="auto"/>
                <w:highlight w:val="none"/>
                <w:lang w:val="en-US" w:eastAsia="zh-CN"/>
              </w:rPr>
              <w:t>石油烃</w:t>
            </w:r>
          </w:p>
          <w:p w14:paraId="5941CACC">
            <w:pPr>
              <w:pStyle w:val="30"/>
              <w:keepNext w:val="0"/>
              <w:keepLines w:val="0"/>
              <w:suppressLineNumbers w:val="0"/>
              <w:spacing w:before="0" w:beforeAutospacing="0" w:after="0" w:afterAutospacing="0"/>
              <w:ind w:left="0" w:right="0"/>
              <w:jc w:val="both"/>
              <w:rPr>
                <w:rFonts w:hint="default" w:ascii="Times New Roman" w:hAnsi="Times New Roman" w:cs="Times New Roman"/>
                <w:bCs/>
                <w:color w:val="auto"/>
                <w:highlight w:val="none"/>
              </w:rPr>
            </w:pPr>
            <w:bookmarkStart w:id="1680" w:name="sys10174054"/>
            <w:r>
              <w:rPr>
                <w:rFonts w:hint="default" w:ascii="Times New Roman" w:hAnsi="Times New Roman" w:cs="Times New Roman"/>
                <w:b/>
                <w:bCs w:val="0"/>
                <w:color w:val="auto"/>
                <w:highlight w:val="none"/>
                <w:lang w:val="en-US" w:eastAsia="zh-CN"/>
              </w:rPr>
              <w:t>其他：</w:t>
            </w:r>
            <w:r>
              <w:rPr>
                <w:rFonts w:hint="default" w:ascii="Times New Roman" w:hAnsi="Times New Roman" w:cs="Times New Roman"/>
                <w:bCs/>
                <w:color w:val="auto"/>
                <w:highlight w:val="none"/>
              </w:rPr>
              <w:t>颜色、结构、质地、砂砾含量、其他异物、pH、阳离子交换量、</w:t>
            </w:r>
            <w:r>
              <w:rPr>
                <w:rFonts w:hint="eastAsia" w:cs="Times New Roman"/>
                <w:bCs/>
                <w:color w:val="auto"/>
                <w:highlight w:val="none"/>
                <w:lang w:eastAsia="zh-CN"/>
              </w:rPr>
              <w:t>氧化还原电位</w:t>
            </w:r>
            <w:r>
              <w:rPr>
                <w:rFonts w:hint="default" w:ascii="Times New Roman" w:hAnsi="Times New Roman" w:cs="Times New Roman"/>
                <w:bCs/>
                <w:color w:val="auto"/>
                <w:highlight w:val="none"/>
              </w:rPr>
              <w:t>、饱和导水率、土壤容重、孔隙度；</w:t>
            </w:r>
            <w:bookmarkEnd w:id="1680"/>
          </w:p>
        </w:tc>
        <w:tc>
          <w:tcPr>
            <w:tcW w:w="909" w:type="dxa"/>
            <w:vMerge w:val="continue"/>
            <w:noWrap w:val="0"/>
            <w:vAlign w:val="center"/>
          </w:tcPr>
          <w:p w14:paraId="56699D6D">
            <w:pPr>
              <w:pStyle w:val="30"/>
              <w:keepNext w:val="0"/>
              <w:keepLines w:val="0"/>
              <w:suppressLineNumbers w:val="0"/>
              <w:spacing w:before="0" w:beforeAutospacing="0" w:after="0" w:afterAutospacing="0"/>
              <w:ind w:left="0" w:right="0"/>
              <w:jc w:val="both"/>
              <w:rPr>
                <w:rFonts w:hint="default" w:ascii="Times New Roman" w:hAnsi="Times New Roman" w:cs="Times New Roman"/>
                <w:b/>
                <w:bCs w:val="0"/>
                <w:color w:val="auto"/>
                <w:highlight w:val="none"/>
                <w:lang w:val="en-US" w:eastAsia="zh-CN"/>
              </w:rPr>
            </w:pPr>
          </w:p>
        </w:tc>
      </w:tr>
      <w:tr w14:paraId="27FD14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555" w:type="dxa"/>
            <w:noWrap w:val="0"/>
            <w:vAlign w:val="center"/>
          </w:tcPr>
          <w:p w14:paraId="492DC8BC">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T10</w:t>
            </w:r>
          </w:p>
        </w:tc>
        <w:tc>
          <w:tcPr>
            <w:tcW w:w="775" w:type="dxa"/>
            <w:noWrap w:val="0"/>
            <w:vAlign w:val="center"/>
          </w:tcPr>
          <w:p w14:paraId="1ECC54DC">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bookmarkStart w:id="1681" w:name="OLE_LINK920"/>
            <w:r>
              <w:rPr>
                <w:rFonts w:hint="default" w:ascii="Times New Roman" w:hAnsi="Times New Roman" w:cs="Times New Roman"/>
                <w:bCs/>
                <w:color w:val="auto"/>
                <w:highlight w:val="none"/>
                <w:lang w:val="en-US" w:eastAsia="zh-CN"/>
              </w:rPr>
              <w:t>中国兵器</w:t>
            </w:r>
            <w:bookmarkEnd w:id="1681"/>
          </w:p>
        </w:tc>
        <w:tc>
          <w:tcPr>
            <w:tcW w:w="898" w:type="dxa"/>
            <w:noWrap w:val="0"/>
            <w:vAlign w:val="center"/>
          </w:tcPr>
          <w:p w14:paraId="3142EF13">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bookmarkStart w:id="1682" w:name="OLE_LINK562"/>
            <w:r>
              <w:rPr>
                <w:rFonts w:hint="default" w:ascii="Times New Roman" w:hAnsi="Times New Roman" w:cs="Times New Roman"/>
                <w:bCs/>
                <w:color w:val="auto"/>
                <w:highlight w:val="none"/>
                <w:lang w:val="en-US" w:eastAsia="zh-CN"/>
              </w:rPr>
              <w:t>第二类建设用地</w:t>
            </w:r>
            <w:bookmarkEnd w:id="1682"/>
          </w:p>
        </w:tc>
        <w:tc>
          <w:tcPr>
            <w:tcW w:w="1487" w:type="dxa"/>
            <w:noWrap w:val="0"/>
            <w:vAlign w:val="center"/>
          </w:tcPr>
          <w:p w14:paraId="72F3F490">
            <w:pPr>
              <w:pStyle w:val="30"/>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highlight w:val="none"/>
                <w:lang w:val="en-US" w:eastAsia="zh-CN"/>
              </w:rPr>
            </w:pPr>
            <w:bookmarkStart w:id="1683" w:name="OLE_LINK564"/>
            <w:r>
              <w:rPr>
                <w:rFonts w:hint="default" w:ascii="Times New Roman" w:hAnsi="Times New Roman" w:cs="Times New Roman"/>
                <w:bCs/>
                <w:color w:val="auto"/>
                <w:highlight w:val="none"/>
                <w:lang w:val="en-US" w:eastAsia="zh-CN"/>
              </w:rPr>
              <w:t>0-0.2m、0.5-1.5m、1.5-3m</w:t>
            </w:r>
            <w:bookmarkEnd w:id="1683"/>
          </w:p>
        </w:tc>
        <w:tc>
          <w:tcPr>
            <w:tcW w:w="1547" w:type="dxa"/>
            <w:noWrap w:val="0"/>
            <w:vAlign w:val="center"/>
          </w:tcPr>
          <w:p w14:paraId="183B1FC7">
            <w:pPr>
              <w:pStyle w:val="30"/>
              <w:keepNext w:val="0"/>
              <w:keepLines w:val="0"/>
              <w:suppressLineNumbers w:val="0"/>
              <w:spacing w:before="0" w:beforeAutospacing="0" w:after="0" w:afterAutospacing="0"/>
              <w:ind w:left="0" w:right="0"/>
              <w:jc w:val="both"/>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118.792012</w:t>
            </w:r>
            <w:bookmarkStart w:id="1684" w:name="OLE_LINK921"/>
            <w:r>
              <w:rPr>
                <w:rFonts w:hint="default" w:ascii="Times New Roman" w:hAnsi="Times New Roman" w:eastAsia="宋体" w:cs="Times New Roman"/>
                <w:b w:val="0"/>
                <w:bCs/>
                <w:color w:val="auto"/>
                <w:highlight w:val="none"/>
                <w:lang w:val="en-US" w:eastAsia="zh-CN"/>
              </w:rPr>
              <w:t>3</w:t>
            </w:r>
            <w:bookmarkEnd w:id="1684"/>
            <w:r>
              <w:rPr>
                <w:rFonts w:hint="eastAsia"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31.8639717</w:t>
            </w:r>
          </w:p>
        </w:tc>
        <w:tc>
          <w:tcPr>
            <w:tcW w:w="2805" w:type="dxa"/>
            <w:vMerge w:val="continue"/>
            <w:noWrap w:val="0"/>
            <w:vAlign w:val="center"/>
          </w:tcPr>
          <w:p w14:paraId="4F7F37E1">
            <w:pPr>
              <w:pStyle w:val="30"/>
              <w:keepNext w:val="0"/>
              <w:keepLines w:val="0"/>
              <w:suppressLineNumbers w:val="0"/>
              <w:spacing w:before="0" w:beforeAutospacing="0" w:after="0" w:afterAutospacing="0"/>
              <w:ind w:left="0" w:right="0"/>
              <w:jc w:val="both"/>
              <w:rPr>
                <w:rFonts w:hint="default" w:ascii="Times New Roman" w:hAnsi="Times New Roman" w:eastAsia="宋体" w:cs="Times New Roman"/>
                <w:bCs/>
                <w:color w:val="auto"/>
                <w:highlight w:val="none"/>
                <w:lang w:val="en-US" w:eastAsia="zh-CN"/>
              </w:rPr>
            </w:pPr>
          </w:p>
        </w:tc>
        <w:tc>
          <w:tcPr>
            <w:tcW w:w="909" w:type="dxa"/>
            <w:vMerge w:val="continue"/>
            <w:noWrap w:val="0"/>
            <w:vAlign w:val="center"/>
          </w:tcPr>
          <w:p w14:paraId="559B10D2">
            <w:pPr>
              <w:pStyle w:val="30"/>
              <w:keepNext w:val="0"/>
              <w:keepLines w:val="0"/>
              <w:suppressLineNumbers w:val="0"/>
              <w:spacing w:before="0" w:beforeAutospacing="0" w:after="0" w:afterAutospacing="0"/>
              <w:ind w:left="0" w:right="0"/>
              <w:jc w:val="both"/>
              <w:rPr>
                <w:rFonts w:hint="default" w:ascii="Times New Roman" w:hAnsi="Times New Roman" w:eastAsia="宋体" w:cs="Times New Roman"/>
                <w:bCs/>
                <w:color w:val="auto"/>
                <w:highlight w:val="none"/>
                <w:lang w:val="en-US" w:eastAsia="zh-CN"/>
              </w:rPr>
            </w:pPr>
          </w:p>
        </w:tc>
      </w:tr>
      <w:tr w14:paraId="3A38C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blHeader/>
        </w:trPr>
        <w:tc>
          <w:tcPr>
            <w:tcW w:w="555" w:type="dxa"/>
            <w:noWrap w:val="0"/>
            <w:vAlign w:val="center"/>
          </w:tcPr>
          <w:p w14:paraId="6FE6EAB5">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highlight w:val="none"/>
                <w:lang w:val="en-US" w:eastAsia="zh-CN"/>
              </w:rPr>
              <w:t>T3</w:t>
            </w:r>
          </w:p>
        </w:tc>
        <w:tc>
          <w:tcPr>
            <w:tcW w:w="775" w:type="dxa"/>
            <w:noWrap w:val="0"/>
            <w:vAlign w:val="center"/>
          </w:tcPr>
          <w:p w14:paraId="7CCDB21F">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bCs/>
                <w:color w:val="auto"/>
                <w:kern w:val="2"/>
                <w:sz w:val="21"/>
                <w:szCs w:val="21"/>
                <w:highlight w:val="none"/>
                <w:lang w:val="en-US" w:eastAsia="zh-CN" w:bidi="ar-SA"/>
              </w:rPr>
            </w:pPr>
            <w:bookmarkStart w:id="1685" w:name="OLE_LINK922"/>
            <w:r>
              <w:rPr>
                <w:rFonts w:hint="default" w:ascii="Times New Roman" w:hAnsi="Times New Roman" w:cs="Times New Roman"/>
                <w:bCs/>
                <w:color w:val="auto"/>
                <w:highlight w:val="none"/>
                <w:lang w:val="en-US" w:eastAsia="zh-CN"/>
              </w:rPr>
              <w:t>赵林村农田</w:t>
            </w:r>
            <w:bookmarkEnd w:id="1685"/>
          </w:p>
        </w:tc>
        <w:tc>
          <w:tcPr>
            <w:tcW w:w="898" w:type="dxa"/>
            <w:noWrap w:val="0"/>
            <w:vAlign w:val="center"/>
          </w:tcPr>
          <w:p w14:paraId="25429F58">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highlight w:val="none"/>
                <w:lang w:val="en-US" w:eastAsia="zh-CN"/>
              </w:rPr>
              <w:t>农用地</w:t>
            </w:r>
          </w:p>
        </w:tc>
        <w:tc>
          <w:tcPr>
            <w:tcW w:w="1487" w:type="dxa"/>
            <w:noWrap w:val="0"/>
            <w:vAlign w:val="center"/>
          </w:tcPr>
          <w:p w14:paraId="500B12C5">
            <w:pPr>
              <w:pStyle w:val="30"/>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0-0.2m</w:t>
            </w:r>
          </w:p>
        </w:tc>
        <w:tc>
          <w:tcPr>
            <w:tcW w:w="1547" w:type="dxa"/>
            <w:noWrap w:val="0"/>
            <w:vAlign w:val="center"/>
          </w:tcPr>
          <w:p w14:paraId="0A402343">
            <w:pPr>
              <w:pStyle w:val="30"/>
              <w:keepNext w:val="0"/>
              <w:keepLines w:val="0"/>
              <w:suppressLineNumbers w:val="0"/>
              <w:spacing w:before="0" w:beforeAutospacing="0" w:after="0" w:afterAutospacing="0"/>
              <w:ind w:left="0" w:right="0"/>
              <w:jc w:val="both"/>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118.7003666</w:t>
            </w:r>
            <w:r>
              <w:rPr>
                <w:rFonts w:hint="eastAsia" w:cs="Times New Roman"/>
                <w:b w:val="0"/>
                <w:bCs/>
                <w:color w:val="auto"/>
                <w:highlight w:val="none"/>
                <w:lang w:eastAsia="zh-CN"/>
              </w:rPr>
              <w:t>,</w:t>
            </w:r>
            <w:r>
              <w:rPr>
                <w:rFonts w:hint="default" w:ascii="Times New Roman" w:hAnsi="Times New Roman" w:cs="Times New Roman"/>
                <w:b w:val="0"/>
                <w:bCs/>
                <w:color w:val="auto"/>
                <w:highlight w:val="none"/>
              </w:rPr>
              <w:t>31.8311093</w:t>
            </w:r>
          </w:p>
        </w:tc>
        <w:tc>
          <w:tcPr>
            <w:tcW w:w="2805" w:type="dxa"/>
            <w:noWrap w:val="0"/>
            <w:vAlign w:val="center"/>
          </w:tcPr>
          <w:p w14:paraId="3A5827CD">
            <w:pPr>
              <w:pStyle w:val="30"/>
              <w:keepNext w:val="0"/>
              <w:keepLines w:val="0"/>
              <w:suppressLineNumbers w:val="0"/>
              <w:spacing w:before="0" w:beforeAutospacing="0" w:after="0" w:afterAutospacing="0"/>
              <w:ind w:left="0" w:right="0"/>
              <w:jc w:val="both"/>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pH、镉、汞、砷、铅、铬、铜、镍、锌</w:t>
            </w:r>
          </w:p>
        </w:tc>
        <w:tc>
          <w:tcPr>
            <w:tcW w:w="909" w:type="dxa"/>
            <w:vMerge w:val="continue"/>
            <w:noWrap w:val="0"/>
            <w:vAlign w:val="center"/>
          </w:tcPr>
          <w:p w14:paraId="7E3AB6BB">
            <w:pPr>
              <w:pStyle w:val="30"/>
              <w:keepNext w:val="0"/>
              <w:keepLines w:val="0"/>
              <w:suppressLineNumbers w:val="0"/>
              <w:spacing w:before="0" w:beforeAutospacing="0" w:after="0" w:afterAutospacing="0"/>
              <w:ind w:left="0" w:right="0"/>
              <w:jc w:val="both"/>
              <w:rPr>
                <w:rFonts w:hint="default" w:ascii="Times New Roman" w:hAnsi="Times New Roman" w:cs="Times New Roman"/>
                <w:bCs/>
                <w:color w:val="auto"/>
                <w:highlight w:val="none"/>
              </w:rPr>
            </w:pPr>
          </w:p>
        </w:tc>
      </w:tr>
      <w:tr w14:paraId="51ABC9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555" w:type="dxa"/>
            <w:noWrap w:val="0"/>
            <w:vAlign w:val="center"/>
          </w:tcPr>
          <w:p w14:paraId="057D960D">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bookmarkStart w:id="1686" w:name="OLE_LINK563"/>
            <w:bookmarkStart w:id="1687" w:name="OLE_LINK845" w:colFirst="3" w:colLast="4"/>
            <w:r>
              <w:rPr>
                <w:rFonts w:hint="eastAsia" w:cs="Times New Roman"/>
                <w:bCs/>
                <w:color w:val="auto"/>
                <w:highlight w:val="none"/>
                <w:lang w:val="en-US" w:eastAsia="zh-CN"/>
              </w:rPr>
              <w:t>T6</w:t>
            </w:r>
            <w:bookmarkEnd w:id="1686"/>
          </w:p>
        </w:tc>
        <w:tc>
          <w:tcPr>
            <w:tcW w:w="775" w:type="dxa"/>
            <w:noWrap w:val="0"/>
            <w:vAlign w:val="center"/>
          </w:tcPr>
          <w:p w14:paraId="0774DB4B">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bookmarkStart w:id="1688" w:name="OLE_LINK923"/>
            <w:r>
              <w:rPr>
                <w:rFonts w:hint="eastAsia" w:cs="Times New Roman"/>
                <w:bCs/>
                <w:color w:val="auto"/>
                <w:highlight w:val="none"/>
                <w:lang w:val="en-US" w:eastAsia="zh-CN"/>
              </w:rPr>
              <w:t>九龙湖片区</w:t>
            </w:r>
            <w:bookmarkEnd w:id="1688"/>
          </w:p>
        </w:tc>
        <w:tc>
          <w:tcPr>
            <w:tcW w:w="898" w:type="dxa"/>
            <w:noWrap w:val="0"/>
            <w:vAlign w:val="center"/>
          </w:tcPr>
          <w:p w14:paraId="0E241F11">
            <w:pPr>
              <w:pStyle w:val="30"/>
              <w:keepNext w:val="0"/>
              <w:keepLines w:val="0"/>
              <w:suppressLineNumbers w:val="0"/>
              <w:spacing w:before="0" w:beforeAutospacing="0" w:after="0" w:afterAutospacing="0"/>
              <w:ind w:left="0" w:leftChars="0" w:right="0" w:rightChars="0"/>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第二类建设用地</w:t>
            </w:r>
          </w:p>
        </w:tc>
        <w:tc>
          <w:tcPr>
            <w:tcW w:w="1487" w:type="dxa"/>
            <w:noWrap w:val="0"/>
            <w:vAlign w:val="center"/>
          </w:tcPr>
          <w:p w14:paraId="55B9540C">
            <w:pPr>
              <w:pStyle w:val="30"/>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0-0.</w:t>
            </w:r>
            <w:r>
              <w:rPr>
                <w:rFonts w:hint="eastAsia" w:cs="Times New Roman"/>
                <w:bCs/>
                <w:color w:val="auto"/>
                <w:highlight w:val="none"/>
                <w:lang w:val="en-US" w:eastAsia="zh-CN"/>
              </w:rPr>
              <w:t>2</w:t>
            </w:r>
            <w:r>
              <w:rPr>
                <w:rFonts w:hint="default" w:ascii="Times New Roman" w:hAnsi="Times New Roman" w:cs="Times New Roman"/>
                <w:bCs/>
                <w:color w:val="auto"/>
                <w:highlight w:val="none"/>
                <w:lang w:val="en-US" w:eastAsia="zh-CN"/>
              </w:rPr>
              <w:t>m</w:t>
            </w:r>
          </w:p>
        </w:tc>
        <w:tc>
          <w:tcPr>
            <w:tcW w:w="1547" w:type="dxa"/>
            <w:noWrap w:val="0"/>
            <w:vAlign w:val="center"/>
          </w:tcPr>
          <w:p w14:paraId="21DCCF30">
            <w:pPr>
              <w:pStyle w:val="30"/>
              <w:keepNext w:val="0"/>
              <w:keepLines w:val="0"/>
              <w:suppressLineNumbers w:val="0"/>
              <w:spacing w:before="0" w:beforeAutospacing="0" w:after="0" w:afterAutospacing="0"/>
              <w:ind w:left="0" w:right="0"/>
              <w:jc w:val="both"/>
              <w:rPr>
                <w:rFonts w:hint="default" w:ascii="Times New Roman" w:hAnsi="Times New Roman" w:cs="Times New Roman"/>
                <w:b w:val="0"/>
                <w:bCs/>
                <w:color w:val="auto"/>
                <w:highlight w:val="none"/>
                <w:lang w:val="en-US" w:eastAsia="zh-CN"/>
              </w:rPr>
            </w:pPr>
            <w:r>
              <w:rPr>
                <w:rFonts w:hint="default" w:ascii="Times New Roman" w:hAnsi="Times New Roman" w:cs="Times New Roman"/>
                <w:b w:val="0"/>
                <w:bCs/>
                <w:color w:val="auto"/>
                <w:highlight w:val="none"/>
                <w:lang w:val="en-US" w:eastAsia="zh-CN"/>
              </w:rPr>
              <w:t>118.8</w:t>
            </w:r>
            <w:r>
              <w:rPr>
                <w:rFonts w:hint="eastAsia" w:cs="Times New Roman"/>
                <w:b w:val="0"/>
                <w:bCs/>
                <w:color w:val="auto"/>
                <w:highlight w:val="none"/>
                <w:lang w:val="en-US" w:eastAsia="zh-CN"/>
              </w:rPr>
              <w:t>219994,</w:t>
            </w:r>
            <w:r>
              <w:rPr>
                <w:rFonts w:hint="default" w:ascii="Times New Roman" w:hAnsi="Times New Roman" w:cs="Times New Roman"/>
                <w:b w:val="0"/>
                <w:bCs/>
                <w:color w:val="auto"/>
                <w:highlight w:val="none"/>
                <w:lang w:val="en-US" w:eastAsia="zh-CN"/>
              </w:rPr>
              <w:t>31.91</w:t>
            </w:r>
            <w:r>
              <w:rPr>
                <w:rFonts w:hint="eastAsia" w:cs="Times New Roman"/>
                <w:b w:val="0"/>
                <w:bCs/>
                <w:color w:val="auto"/>
                <w:highlight w:val="none"/>
                <w:lang w:val="en-US" w:eastAsia="zh-CN"/>
              </w:rPr>
              <w:t>34102</w:t>
            </w:r>
          </w:p>
        </w:tc>
        <w:tc>
          <w:tcPr>
            <w:tcW w:w="2805" w:type="dxa"/>
            <w:noWrap w:val="0"/>
            <w:vAlign w:val="center"/>
          </w:tcPr>
          <w:p w14:paraId="75A910D5">
            <w:pPr>
              <w:pStyle w:val="30"/>
              <w:keepNext w:val="0"/>
              <w:keepLines w:val="0"/>
              <w:suppressLineNumbers w:val="0"/>
              <w:spacing w:before="0" w:beforeAutospacing="0" w:after="0" w:afterAutospacing="0"/>
              <w:ind w:left="0" w:right="0"/>
              <w:jc w:val="left"/>
              <w:rPr>
                <w:rFonts w:hint="default" w:ascii="Times New Roman" w:hAnsi="Times New Roman" w:cs="Times New Roman"/>
                <w:bCs/>
                <w:color w:val="auto"/>
                <w:highlight w:val="none"/>
              </w:rPr>
            </w:pPr>
            <w:bookmarkStart w:id="1689" w:name="sys10195037"/>
            <w:r>
              <w:rPr>
                <w:rFonts w:hint="default" w:ascii="Times New Roman" w:hAnsi="Times New Roman" w:cs="Times New Roman"/>
                <w:b/>
                <w:bCs w:val="0"/>
                <w:color w:val="auto"/>
                <w:highlight w:val="none"/>
                <w:lang w:val="en-US" w:eastAsia="zh-CN"/>
              </w:rPr>
              <w:t>基本因子：</w:t>
            </w:r>
            <w:r>
              <w:rPr>
                <w:rFonts w:hint="default" w:ascii="Times New Roman" w:hAnsi="Times New Roman" w:cs="Times New Roman"/>
                <w:bCs/>
                <w:color w:val="auto"/>
                <w:highlight w:val="none"/>
              </w:rPr>
              <w:t>GB36600-2018表1中序号1~45等共计45项基本项目；</w:t>
            </w:r>
            <w:bookmarkEnd w:id="1689"/>
          </w:p>
          <w:p w14:paraId="4BDEB5D7">
            <w:pPr>
              <w:pStyle w:val="30"/>
              <w:keepNext w:val="0"/>
              <w:keepLines w:val="0"/>
              <w:suppressLineNumbers w:val="0"/>
              <w:spacing w:before="0" w:beforeAutospacing="0" w:after="0" w:afterAutospacing="0"/>
              <w:ind w:left="0" w:right="0"/>
              <w:jc w:val="both"/>
              <w:rPr>
                <w:rFonts w:hint="default" w:ascii="Times New Roman" w:hAnsi="Times New Roman" w:cs="Times New Roman"/>
                <w:bCs/>
                <w:color w:val="auto"/>
                <w:highlight w:val="none"/>
              </w:rPr>
            </w:pPr>
            <w:bookmarkStart w:id="1690" w:name="sys10196054"/>
            <w:r>
              <w:rPr>
                <w:rFonts w:hint="default" w:ascii="Times New Roman" w:hAnsi="Times New Roman" w:cs="Times New Roman"/>
                <w:b/>
                <w:bCs w:val="0"/>
                <w:color w:val="auto"/>
                <w:highlight w:val="none"/>
                <w:lang w:val="en-US" w:eastAsia="zh-CN"/>
              </w:rPr>
              <w:t>其他：</w:t>
            </w:r>
            <w:r>
              <w:rPr>
                <w:rFonts w:hint="default" w:ascii="Times New Roman" w:hAnsi="Times New Roman" w:cs="Times New Roman"/>
                <w:bCs/>
                <w:color w:val="auto"/>
                <w:highlight w:val="none"/>
              </w:rPr>
              <w:t>颜色、结构、质地、砂砾含量、其他异物、pH、阳离子交换量、</w:t>
            </w:r>
            <w:r>
              <w:rPr>
                <w:rFonts w:hint="eastAsia" w:cs="Times New Roman"/>
                <w:bCs/>
                <w:color w:val="auto"/>
                <w:highlight w:val="none"/>
                <w:lang w:eastAsia="zh-CN"/>
              </w:rPr>
              <w:t>氧化还原电位</w:t>
            </w:r>
            <w:r>
              <w:rPr>
                <w:rFonts w:hint="default" w:ascii="Times New Roman" w:hAnsi="Times New Roman" w:cs="Times New Roman"/>
                <w:bCs/>
                <w:color w:val="auto"/>
                <w:highlight w:val="none"/>
              </w:rPr>
              <w:t>、饱和导水率、土壤容重、孔隙度；</w:t>
            </w:r>
            <w:bookmarkEnd w:id="1690"/>
          </w:p>
        </w:tc>
        <w:tc>
          <w:tcPr>
            <w:tcW w:w="909" w:type="dxa"/>
            <w:noWrap w:val="0"/>
            <w:vAlign w:val="center"/>
          </w:tcPr>
          <w:p w14:paraId="6772A920">
            <w:pPr>
              <w:pStyle w:val="30"/>
              <w:keepNext w:val="0"/>
              <w:keepLines w:val="0"/>
              <w:suppressLineNumbers w:val="0"/>
              <w:spacing w:before="0" w:beforeAutospacing="0" w:after="0" w:afterAutospacing="0"/>
              <w:ind w:left="0" w:right="0"/>
              <w:jc w:val="both"/>
              <w:rPr>
                <w:rFonts w:hint="eastAsia" w:ascii="Times New Roman" w:hAnsi="Times New Roman" w:eastAsia="宋体" w:cs="Times New Roman"/>
                <w:bCs/>
                <w:color w:val="auto"/>
                <w:highlight w:val="none"/>
                <w:lang w:val="en-US" w:eastAsia="zh-CN"/>
              </w:rPr>
            </w:pPr>
            <w:r>
              <w:rPr>
                <w:rFonts w:hint="eastAsia" w:cs="Times New Roman"/>
                <w:bCs/>
                <w:color w:val="auto"/>
                <w:highlight w:val="none"/>
                <w:lang w:val="en-US" w:eastAsia="zh-CN"/>
              </w:rPr>
              <w:t>引用</w:t>
            </w:r>
            <w:r>
              <w:rPr>
                <w:rFonts w:hint="eastAsia"/>
                <w:color w:val="auto"/>
                <w:highlight w:val="none"/>
                <w:lang w:eastAsia="zh-CN"/>
              </w:rPr>
              <w:t>（</w:t>
            </w:r>
            <w:r>
              <w:rPr>
                <w:rFonts w:hint="eastAsia"/>
                <w:color w:val="auto"/>
                <w:highlight w:val="none"/>
                <w:lang w:val="en-US" w:eastAsia="zh-CN"/>
              </w:rPr>
              <w:t>2024.3.29</w:t>
            </w:r>
            <w:r>
              <w:rPr>
                <w:rFonts w:hint="eastAsia"/>
                <w:color w:val="auto"/>
                <w:highlight w:val="none"/>
                <w:lang w:eastAsia="zh-CN"/>
              </w:rPr>
              <w:t>）</w:t>
            </w:r>
          </w:p>
        </w:tc>
      </w:tr>
      <w:bookmarkEnd w:id="1662"/>
      <w:bookmarkEnd w:id="1687"/>
    </w:tbl>
    <w:p w14:paraId="0B006DC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1691" w:name="OLE_LINK926"/>
      <w:r>
        <w:rPr>
          <w:rFonts w:hint="default" w:ascii="Times New Roman" w:hAnsi="Times New Roman" w:eastAsia="宋体" w:cs="Times New Roman"/>
          <w:color w:val="auto"/>
          <w:sz w:val="24"/>
          <w:szCs w:val="24"/>
          <w:highlight w:val="none"/>
          <w:lang w:val="en-US" w:eastAsia="en-US"/>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en-US"/>
        </w:rPr>
        <w:t>）</w:t>
      </w:r>
      <w:r>
        <w:rPr>
          <w:rFonts w:hint="default" w:ascii="Times New Roman" w:hAnsi="Times New Roman" w:eastAsia="宋体" w:cs="Times New Roman"/>
          <w:color w:val="auto"/>
          <w:sz w:val="24"/>
          <w:szCs w:val="24"/>
          <w:highlight w:val="none"/>
        </w:rPr>
        <w:t>监测频次和监测因子</w:t>
      </w:r>
      <w:bookmarkStart w:id="1692" w:name="pindex10198"/>
      <w:bookmarkEnd w:id="1692"/>
    </w:p>
    <w:p w14:paraId="69619A8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监测一天，每天监测一次。</w:t>
      </w:r>
    </w:p>
    <w:p w14:paraId="0F9185A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1693" w:name="sys102000292"/>
      <w:r>
        <w:rPr>
          <w:rFonts w:hint="default" w:ascii="Times New Roman" w:hAnsi="Times New Roman" w:eastAsia="宋体" w:cs="Times New Roman"/>
          <w:color w:val="auto"/>
          <w:sz w:val="24"/>
          <w:szCs w:val="24"/>
          <w:highlight w:val="none"/>
          <w:lang w:val="en-US" w:eastAsia="zh-CN"/>
        </w:rPr>
        <w:t>监测因子：</w:t>
      </w:r>
      <w:r>
        <w:rPr>
          <w:rFonts w:hint="default" w:ascii="Times New Roman" w:hAnsi="Times New Roman" w:eastAsia="宋体" w:cs="Times New Roman"/>
          <w:color w:val="auto"/>
          <w:sz w:val="24"/>
          <w:szCs w:val="24"/>
          <w:highlight w:val="none"/>
        </w:rPr>
        <w:t>基本项目：砷、镉、铬（六价）、铜、铅、汞、镍、</w:t>
      </w:r>
      <w:bookmarkEnd w:id="1691"/>
      <w:r>
        <w:rPr>
          <w:rFonts w:hint="default" w:ascii="Times New Roman" w:hAnsi="Times New Roman" w:eastAsia="宋体" w:cs="Times New Roman"/>
          <w:color w:val="auto"/>
          <w:sz w:val="24"/>
          <w:szCs w:val="24"/>
          <w:highlight w:val="none"/>
        </w:rPr>
        <w:t>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a〕荧蒽、苯并〔k〕荧蒽、䓛、二苯并〔a，h〕蒽、茚〔1,2,3-cd〕并芘、萘。</w:t>
      </w:r>
      <w:bookmarkEnd w:id="1693"/>
      <w:r>
        <w:rPr>
          <w:rFonts w:hint="default" w:ascii="Times New Roman" w:hAnsi="Times New Roman" w:eastAsia="宋体" w:cs="Times New Roman"/>
          <w:color w:val="auto"/>
          <w:sz w:val="24"/>
          <w:szCs w:val="24"/>
          <w:highlight w:val="none"/>
        </w:rPr>
        <w:t>特征因子：pH值</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石油烃（C10-C40）。</w:t>
      </w:r>
    </w:p>
    <w:p w14:paraId="2150825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监测时间：</w:t>
      </w:r>
      <w:r>
        <w:rPr>
          <w:rFonts w:hint="eastAsia" w:ascii="Times New Roman" w:hAnsi="Times New Roman" w:eastAsia="宋体" w:cs="Times New Roman"/>
          <w:color w:val="auto"/>
          <w:sz w:val="24"/>
          <w:szCs w:val="24"/>
          <w:highlight w:val="none"/>
          <w:lang w:val="en-US" w:eastAsia="zh-CN"/>
        </w:rPr>
        <w:t>2024年8月8日。</w:t>
      </w:r>
    </w:p>
    <w:p w14:paraId="22BED8F6">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highlight w:val="none"/>
          <w:lang w:val="en-US" w:eastAsia="zh-CN"/>
        </w:rPr>
        <w:t>引用报告分别来源于《江宁经济技术开发区环境质量跟踪监测》（报告编号：</w:t>
      </w:r>
      <w:sdt>
        <w:sdtPr>
          <w:rPr>
            <w:color w:val="auto"/>
          </w:rPr>
          <w:alias w:val="标点符号检查"/>
          <w:tag w:val="FF0000"/>
          <w:id w:val="2061321"/>
        </w:sdtPr>
        <w:sdtEndPr>
          <w:rPr>
            <w:color w:val="auto"/>
          </w:rPr>
        </w:sdtEndPr>
        <w:sdtContent>
          <w:bookmarkStart w:id="1694" w:name="bkReivew2061321"/>
          <w:r>
            <w:rPr>
              <w:rFonts w:hint="eastAsia" w:ascii="Times New Roman" w:hAnsi="Times New Roman" w:eastAsia="宋体" w:cs="Times New Roman"/>
              <w:color w:val="auto"/>
              <w:sz w:val="24"/>
              <w:szCs w:val="24"/>
              <w:highlight w:val="none"/>
              <w:lang w:val="en-US" w:eastAsia="zh-CN"/>
            </w:rPr>
            <w:t>（</w:t>
          </w:r>
          <w:bookmarkEnd w:id="1694"/>
        </w:sdtContent>
      </w:sdt>
      <w:r>
        <w:rPr>
          <w:rFonts w:hint="eastAsia" w:ascii="Times New Roman" w:hAnsi="Times New Roman" w:eastAsia="宋体" w:cs="Times New Roman"/>
          <w:color w:val="auto"/>
          <w:sz w:val="24"/>
          <w:szCs w:val="24"/>
          <w:highlight w:val="none"/>
          <w:lang w:val="en-US" w:eastAsia="zh-CN"/>
        </w:rPr>
        <w:t>2024</w:t>
      </w:r>
      <w:sdt>
        <w:sdtPr>
          <w:rPr>
            <w:color w:val="auto"/>
          </w:rPr>
          <w:alias w:val="标点符号检查"/>
          <w:tag w:val="FF0000"/>
          <w:id w:val="2182741"/>
        </w:sdtPr>
        <w:sdtEndPr>
          <w:rPr>
            <w:color w:val="auto"/>
          </w:rPr>
        </w:sdtEndPr>
        <w:sdtContent>
          <w:bookmarkStart w:id="1695" w:name="bkReivew2182741"/>
          <w:r>
            <w:rPr>
              <w:rFonts w:hint="eastAsia" w:ascii="Times New Roman" w:hAnsi="Times New Roman" w:eastAsia="宋体" w:cs="Times New Roman"/>
              <w:color w:val="auto"/>
              <w:sz w:val="24"/>
              <w:szCs w:val="24"/>
              <w:highlight w:val="none"/>
              <w:lang w:val="en-US" w:eastAsia="zh-CN"/>
            </w:rPr>
            <w:t>）</w:t>
          </w:r>
          <w:bookmarkEnd w:id="1695"/>
        </w:sdtContent>
      </w:sdt>
      <w:r>
        <w:rPr>
          <w:rFonts w:hint="eastAsia" w:ascii="Times New Roman" w:hAnsi="Times New Roman" w:eastAsia="宋体" w:cs="Times New Roman"/>
          <w:color w:val="auto"/>
          <w:sz w:val="24"/>
          <w:szCs w:val="24"/>
          <w:highlight w:val="none"/>
          <w:lang w:val="en-US" w:eastAsia="zh-CN"/>
        </w:rPr>
        <w:t>环检</w:t>
      </w:r>
      <w:sdt>
        <w:sdtPr>
          <w:rPr>
            <w:color w:val="auto"/>
          </w:rPr>
          <w:alias w:val="标点符号检查"/>
          <w:tag w:val="FF0000"/>
          <w:id w:val="61322"/>
        </w:sdtPr>
        <w:sdtEndPr>
          <w:rPr>
            <w:color w:val="auto"/>
          </w:rPr>
        </w:sdtEndPr>
        <w:sdtContent>
          <w:bookmarkStart w:id="1696" w:name="bkReivew61322"/>
          <w:r>
            <w:rPr>
              <w:rFonts w:hint="eastAsia" w:ascii="Times New Roman" w:hAnsi="Times New Roman" w:eastAsia="宋体" w:cs="Times New Roman"/>
              <w:color w:val="auto"/>
              <w:sz w:val="24"/>
              <w:szCs w:val="24"/>
              <w:highlight w:val="none"/>
              <w:lang w:val="en-US" w:eastAsia="zh-CN"/>
            </w:rPr>
            <w:t>（</w:t>
          </w:r>
          <w:bookmarkEnd w:id="1696"/>
        </w:sdtContent>
      </w:sdt>
      <w:r>
        <w:rPr>
          <w:rFonts w:hint="eastAsia" w:ascii="Times New Roman" w:hAnsi="Times New Roman" w:eastAsia="宋体" w:cs="Times New Roman"/>
          <w:color w:val="auto"/>
          <w:sz w:val="24"/>
          <w:szCs w:val="24"/>
          <w:highlight w:val="none"/>
          <w:lang w:val="en-US" w:eastAsia="zh-CN"/>
        </w:rPr>
        <w:t>综</w:t>
      </w:r>
      <w:sdt>
        <w:sdtPr>
          <w:rPr>
            <w:color w:val="auto"/>
          </w:rPr>
          <w:alias w:val="标点符号检查"/>
          <w:tag w:val="FF0000"/>
          <w:id w:val="3170852"/>
        </w:sdtPr>
        <w:sdtEndPr>
          <w:rPr>
            <w:color w:val="auto"/>
          </w:rPr>
        </w:sdtEndPr>
        <w:sdtContent>
          <w:bookmarkStart w:id="1697" w:name="bkReivew3170852"/>
          <w:r>
            <w:rPr>
              <w:rFonts w:hint="eastAsia" w:ascii="Times New Roman" w:hAnsi="Times New Roman" w:eastAsia="宋体" w:cs="Times New Roman"/>
              <w:color w:val="auto"/>
              <w:sz w:val="24"/>
              <w:szCs w:val="24"/>
              <w:highlight w:val="none"/>
              <w:lang w:val="en-US" w:eastAsia="zh-CN"/>
            </w:rPr>
            <w:t>）</w:t>
          </w:r>
          <w:bookmarkEnd w:id="1697"/>
        </w:sdtContent>
      </w:sdt>
      <w:r>
        <w:rPr>
          <w:rFonts w:hint="eastAsia" w:ascii="Times New Roman" w:hAnsi="Times New Roman" w:eastAsia="宋体" w:cs="Times New Roman"/>
          <w:color w:val="auto"/>
          <w:sz w:val="24"/>
          <w:szCs w:val="24"/>
          <w:highlight w:val="none"/>
          <w:lang w:val="en-US" w:eastAsia="zh-CN"/>
        </w:rPr>
        <w:t>字第</w:t>
      </w:r>
      <w:sdt>
        <w:sdtPr>
          <w:rPr>
            <w:color w:val="auto"/>
          </w:rPr>
          <w:alias w:val="标点符号检查"/>
          <w:tag w:val="FF0000"/>
          <w:id w:val="32604"/>
        </w:sdtPr>
        <w:sdtEndPr>
          <w:rPr>
            <w:color w:val="auto"/>
          </w:rPr>
        </w:sdtEndPr>
        <w:sdtContent>
          <w:bookmarkStart w:id="1698" w:name="bkReivew32604"/>
          <w:r>
            <w:rPr>
              <w:rFonts w:hint="eastAsia" w:ascii="Times New Roman" w:hAnsi="Times New Roman" w:eastAsia="宋体" w:cs="Times New Roman"/>
              <w:color w:val="auto"/>
              <w:sz w:val="24"/>
              <w:szCs w:val="24"/>
              <w:highlight w:val="none"/>
              <w:lang w:val="en-US" w:eastAsia="zh-CN"/>
            </w:rPr>
            <w:t>（</w:t>
          </w:r>
          <w:bookmarkEnd w:id="1698"/>
        </w:sdtContent>
      </w:sdt>
      <w:r>
        <w:rPr>
          <w:rFonts w:hint="eastAsia" w:ascii="Times New Roman" w:hAnsi="Times New Roman" w:eastAsia="宋体" w:cs="Times New Roman"/>
          <w:color w:val="auto"/>
          <w:sz w:val="24"/>
          <w:szCs w:val="24"/>
          <w:highlight w:val="none"/>
          <w:lang w:val="en-US" w:eastAsia="zh-CN"/>
        </w:rPr>
        <w:t>H0002</w:t>
      </w:r>
      <w:sdt>
        <w:sdtPr>
          <w:rPr>
            <w:color w:val="auto"/>
          </w:rPr>
          <w:alias w:val="标点符号检查"/>
          <w:tag w:val="FF0000"/>
          <w:id w:val="1131044"/>
        </w:sdtPr>
        <w:sdtEndPr>
          <w:rPr>
            <w:color w:val="auto"/>
          </w:rPr>
        </w:sdtEndPr>
        <w:sdtContent>
          <w:bookmarkStart w:id="1699" w:name="bkReivew1131044"/>
          <w:r>
            <w:rPr>
              <w:rFonts w:hint="eastAsia" w:ascii="Times New Roman" w:hAnsi="Times New Roman" w:eastAsia="宋体" w:cs="Times New Roman"/>
              <w:color w:val="auto"/>
              <w:sz w:val="24"/>
              <w:szCs w:val="24"/>
              <w:highlight w:val="none"/>
              <w:lang w:val="en-US" w:eastAsia="zh-CN"/>
            </w:rPr>
            <w:t>）</w:t>
          </w:r>
          <w:bookmarkEnd w:id="1699"/>
        </w:sdtContent>
      </w:sdt>
      <w:r>
        <w:rPr>
          <w:rFonts w:hint="eastAsia" w:ascii="Times New Roman" w:hAnsi="Times New Roman" w:eastAsia="宋体" w:cs="Times New Roman"/>
          <w:color w:val="auto"/>
          <w:sz w:val="24"/>
          <w:szCs w:val="24"/>
          <w:highlight w:val="none"/>
          <w:lang w:val="en-US" w:eastAsia="zh-CN"/>
        </w:rPr>
        <w:t>号）中九龙湖T1土壤检测数据</w:t>
      </w:r>
      <w:r>
        <w:rPr>
          <w:rFonts w:hint="eastAsia" w:ascii="Times New Roman" w:hAnsi="Times New Roman" w:eastAsia="宋体" w:cs="Times New Roman"/>
          <w:color w:val="auto"/>
          <w:sz w:val="24"/>
          <w:szCs w:val="24"/>
          <w:lang w:val="en-US" w:eastAsia="zh-CN"/>
        </w:rPr>
        <w:t>，检测时间为2024年3月29日，监测</w:t>
      </w:r>
      <w:r>
        <w:rPr>
          <w:rFonts w:hint="default" w:ascii="Times New Roman" w:hAnsi="Times New Roman" w:eastAsia="宋体" w:cs="Times New Roman"/>
          <w:color w:val="auto"/>
          <w:sz w:val="24"/>
          <w:szCs w:val="24"/>
          <w:lang w:val="en-US" w:eastAsia="zh-CN"/>
        </w:rPr>
        <w:t>点</w:t>
      </w:r>
      <w:sdt>
        <w:sdtPr>
          <w:rPr>
            <w:color w:val="auto"/>
          </w:rPr>
          <w:alias w:val="易错词检查"/>
          <w:tag w:val="auto"/>
          <w:id w:val="1062014"/>
        </w:sdtPr>
        <w:sdtEndPr>
          <w:rPr>
            <w:color w:val="auto"/>
          </w:rPr>
        </w:sdtEndPr>
        <w:sdtContent>
          <w:bookmarkStart w:id="1700" w:name="bkReivew1062014"/>
          <w:r>
            <w:rPr>
              <w:rFonts w:hint="default" w:ascii="Times New Roman" w:hAnsi="Times New Roman" w:eastAsia="宋体" w:cs="Times New Roman"/>
              <w:color w:val="auto"/>
              <w:sz w:val="24"/>
              <w:szCs w:val="24"/>
              <w:lang w:val="en-US" w:eastAsia="zh-CN"/>
            </w:rPr>
            <w:t>位位</w:t>
          </w:r>
          <w:bookmarkEnd w:id="1700"/>
        </w:sdtContent>
      </w:sdt>
      <w:r>
        <w:rPr>
          <w:rFonts w:hint="default" w:ascii="Times New Roman" w:hAnsi="Times New Roman" w:eastAsia="宋体" w:cs="Times New Roman"/>
          <w:color w:val="auto"/>
          <w:sz w:val="24"/>
          <w:szCs w:val="24"/>
          <w:lang w:val="en-US" w:eastAsia="zh-CN"/>
        </w:rPr>
        <w:t>于评估范围内，且时间未超过三年，因此检测数据可以引用。</w:t>
      </w:r>
    </w:p>
    <w:p w14:paraId="014A3BA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w:t>
      </w:r>
      <w:sdt>
        <w:sdtPr>
          <w:rPr>
            <w:color w:val="auto"/>
          </w:rPr>
          <w:alias w:val="易错词检查"/>
          <w:tag w:val="auto"/>
          <w:id w:val="1070736"/>
        </w:sdtPr>
        <w:sdtEndPr>
          <w:rPr>
            <w:color w:val="auto"/>
          </w:rPr>
        </w:sdtEndPr>
        <w:sdtContent>
          <w:bookmarkStart w:id="1701" w:name="bkReivew1070736"/>
          <w:r>
            <w:rPr>
              <w:rFonts w:hint="default" w:ascii="Times New Roman" w:hAnsi="Times New Roman" w:eastAsia="宋体" w:cs="Times New Roman"/>
              <w:color w:val="auto"/>
              <w:sz w:val="24"/>
              <w:szCs w:val="24"/>
            </w:rPr>
            <w:t>监测方法</w:t>
          </w:r>
          <w:bookmarkEnd w:id="1701"/>
        </w:sdtContent>
      </w:sdt>
      <w:bookmarkStart w:id="1702" w:name="pindex10203"/>
      <w:bookmarkEnd w:id="1702"/>
    </w:p>
    <w:p w14:paraId="0005169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监测方法执行《土壤环境质量建设用地土壤污染风险管控标准（试行）》（GB36600-2018）。详见表6.3-</w:t>
      </w:r>
      <w:r>
        <w:rPr>
          <w:rFonts w:hint="eastAsia" w:ascii="Times New Roman" w:hAnsi="Times New Roman" w:eastAsia="宋体" w:cs="Times New Roman"/>
          <w:color w:val="auto"/>
          <w:sz w:val="24"/>
          <w:szCs w:val="24"/>
          <w:lang w:val="en-US" w:eastAsia="zh-CN"/>
        </w:rPr>
        <w:t>23</w:t>
      </w:r>
      <w:r>
        <w:rPr>
          <w:rFonts w:hint="default" w:ascii="Times New Roman" w:hAnsi="Times New Roman" w:eastAsia="宋体" w:cs="Times New Roman"/>
          <w:color w:val="auto"/>
          <w:sz w:val="24"/>
          <w:szCs w:val="24"/>
        </w:rPr>
        <w:t>所示。</w:t>
      </w:r>
    </w:p>
    <w:p w14:paraId="53658D32">
      <w:pPr>
        <w:keepNext w:val="0"/>
        <w:keepLines w:val="0"/>
        <w:pageBreakBefore w:val="0"/>
        <w:widowControl/>
        <w:kinsoku w:val="0"/>
        <w:wordWrap/>
        <w:overflowPunct/>
        <w:topLinePunct w:val="0"/>
        <w:autoSpaceDE w:val="0"/>
        <w:autoSpaceDN w:val="0"/>
        <w:bidi w:val="0"/>
        <w:adjustRightInd w:val="0"/>
        <w:snapToGrid w:val="0"/>
        <w:spacing w:before="38" w:line="240" w:lineRule="auto"/>
        <w:ind w:left="2903"/>
        <w:textAlignment w:val="baseline"/>
        <w:rPr>
          <w:color w:val="auto"/>
          <w:highlight w:val="none"/>
        </w:rPr>
      </w:pPr>
      <w:r>
        <w:rPr>
          <w:rFonts w:ascii="宋体" w:hAnsi="宋体" w:eastAsia="宋体" w:cs="宋体"/>
          <w:b/>
          <w:bCs/>
          <w:color w:val="auto"/>
          <w:spacing w:val="-3"/>
          <w:sz w:val="24"/>
          <w:szCs w:val="24"/>
          <w:highlight w:val="none"/>
        </w:rPr>
        <w:t>表</w:t>
      </w:r>
      <w:r>
        <w:rPr>
          <w:rFonts w:ascii="Times New Roman" w:hAnsi="Times New Roman" w:eastAsia="Times New Roman" w:cs="Times New Roman"/>
          <w:b/>
          <w:bCs/>
          <w:color w:val="auto"/>
          <w:spacing w:val="-3"/>
          <w:sz w:val="24"/>
          <w:szCs w:val="24"/>
          <w:highlight w:val="none"/>
        </w:rPr>
        <w:t>6.3-</w:t>
      </w:r>
      <w:r>
        <w:rPr>
          <w:rFonts w:hint="eastAsia" w:ascii="Times New Roman" w:hAnsi="Times New Roman" w:eastAsia="宋体" w:cs="Times New Roman"/>
          <w:b/>
          <w:bCs/>
          <w:color w:val="auto"/>
          <w:spacing w:val="-3"/>
          <w:sz w:val="24"/>
          <w:szCs w:val="24"/>
          <w:highlight w:val="none"/>
          <w:lang w:val="en-US" w:eastAsia="zh-CN"/>
        </w:rPr>
        <w:t xml:space="preserve">23  </w:t>
      </w:r>
      <w:r>
        <w:rPr>
          <w:rFonts w:ascii="宋体" w:hAnsi="宋体" w:eastAsia="宋体" w:cs="宋体"/>
          <w:b/>
          <w:bCs/>
          <w:color w:val="auto"/>
          <w:spacing w:val="-3"/>
          <w:sz w:val="24"/>
          <w:szCs w:val="24"/>
          <w:highlight w:val="none"/>
        </w:rPr>
        <w:t>土壤监测分析方法</w:t>
      </w:r>
      <w:bookmarkStart w:id="1703" w:name="pindex10205"/>
      <w:bookmarkEnd w:id="1703"/>
    </w:p>
    <w:tbl>
      <w:tblPr>
        <w:tblStyle w:val="26"/>
        <w:tblW w:w="8763"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fixed"/>
        <w:tblCellMar>
          <w:top w:w="0" w:type="dxa"/>
          <w:left w:w="0" w:type="dxa"/>
          <w:bottom w:w="0" w:type="dxa"/>
          <w:right w:w="0" w:type="dxa"/>
        </w:tblCellMar>
      </w:tblPr>
      <w:tblGrid>
        <w:gridCol w:w="542"/>
        <w:gridCol w:w="1560"/>
        <w:gridCol w:w="4176"/>
        <w:gridCol w:w="1316"/>
        <w:gridCol w:w="1169"/>
      </w:tblGrid>
      <w:tr w14:paraId="29F4A558">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56" w:hRule="atLeast"/>
        </w:trPr>
        <w:tc>
          <w:tcPr>
            <w:tcW w:w="542" w:type="dxa"/>
            <w:tcBorders>
              <w:tl2br w:val="nil"/>
              <w:tr2bl w:val="nil"/>
            </w:tcBorders>
            <w:vAlign w:val="center"/>
          </w:tcPr>
          <w:p w14:paraId="0DFCD236">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检测类别</w:t>
            </w:r>
          </w:p>
        </w:tc>
        <w:tc>
          <w:tcPr>
            <w:tcW w:w="1560" w:type="dxa"/>
            <w:tcBorders>
              <w:tl2br w:val="nil"/>
              <w:tr2bl w:val="nil"/>
            </w:tcBorders>
            <w:vAlign w:val="center"/>
          </w:tcPr>
          <w:p w14:paraId="4EC67AA4">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检测项目</w:t>
            </w:r>
          </w:p>
        </w:tc>
        <w:tc>
          <w:tcPr>
            <w:tcW w:w="4176" w:type="dxa"/>
            <w:tcBorders>
              <w:tl2br w:val="nil"/>
              <w:tr2bl w:val="nil"/>
            </w:tcBorders>
            <w:vAlign w:val="center"/>
          </w:tcPr>
          <w:p w14:paraId="7EA99A12">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检测方法</w:t>
            </w:r>
          </w:p>
        </w:tc>
        <w:tc>
          <w:tcPr>
            <w:tcW w:w="1316" w:type="dxa"/>
            <w:tcBorders>
              <w:tl2br w:val="nil"/>
              <w:tr2bl w:val="nil"/>
            </w:tcBorders>
            <w:vAlign w:val="center"/>
          </w:tcPr>
          <w:p w14:paraId="03C7115A">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仪器名称</w:t>
            </w:r>
          </w:p>
        </w:tc>
        <w:tc>
          <w:tcPr>
            <w:tcW w:w="1169" w:type="dxa"/>
            <w:tcBorders>
              <w:tl2br w:val="nil"/>
              <w:tr2bl w:val="nil"/>
            </w:tcBorders>
            <w:vAlign w:val="center"/>
          </w:tcPr>
          <w:p w14:paraId="4CCDE5B6">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检出限</w:t>
            </w:r>
          </w:p>
        </w:tc>
      </w:tr>
      <w:tr w14:paraId="102609E1">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62" w:hRule="atLeast"/>
        </w:trPr>
        <w:tc>
          <w:tcPr>
            <w:tcW w:w="542" w:type="dxa"/>
            <w:vMerge w:val="restart"/>
            <w:tcBorders>
              <w:tl2br w:val="nil"/>
              <w:tr2bl w:val="nil"/>
            </w:tcBorders>
            <w:vAlign w:val="center"/>
          </w:tcPr>
          <w:p w14:paraId="56956D1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w:t>
            </w:r>
          </w:p>
        </w:tc>
        <w:tc>
          <w:tcPr>
            <w:tcW w:w="1560" w:type="dxa"/>
            <w:tcBorders>
              <w:tl2br w:val="nil"/>
              <w:tr2bl w:val="nil"/>
            </w:tcBorders>
            <w:vAlign w:val="center"/>
          </w:tcPr>
          <w:p w14:paraId="4D51AFD2">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汞</w:t>
            </w:r>
          </w:p>
        </w:tc>
        <w:tc>
          <w:tcPr>
            <w:tcW w:w="4176" w:type="dxa"/>
            <w:tcBorders>
              <w:tl2br w:val="nil"/>
              <w:tr2bl w:val="nil"/>
            </w:tcBorders>
            <w:vAlign w:val="center"/>
          </w:tcPr>
          <w:p w14:paraId="094FD290">
            <w:pPr>
              <w:bidi w:val="0"/>
              <w:jc w:val="center"/>
              <w:rPr>
                <w:rFonts w:hint="default" w:ascii="Times New Roman" w:hAnsi="Times New Roman" w:eastAsia="宋体" w:cs="Times New Roman"/>
                <w:color w:val="auto"/>
                <w:sz w:val="21"/>
                <w:szCs w:val="21"/>
                <w:highlight w:val="none"/>
              </w:rPr>
            </w:pPr>
            <w:bookmarkStart w:id="1704" w:name="sys10213040"/>
            <w:r>
              <w:rPr>
                <w:rFonts w:hint="default" w:ascii="Times New Roman" w:hAnsi="Times New Roman" w:eastAsia="宋体" w:cs="Times New Roman"/>
                <w:color w:val="auto"/>
                <w:sz w:val="21"/>
                <w:szCs w:val="21"/>
                <w:highlight w:val="none"/>
              </w:rPr>
              <w:t>土壤和沉积物</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汞、砷、硒、铋、锑的测定微波消解/原子荧光法</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HJ680-2013</w:t>
            </w:r>
            <w:bookmarkEnd w:id="1704"/>
          </w:p>
        </w:tc>
        <w:tc>
          <w:tcPr>
            <w:tcW w:w="1316" w:type="dxa"/>
            <w:tcBorders>
              <w:tl2br w:val="nil"/>
              <w:tr2bl w:val="nil"/>
            </w:tcBorders>
            <w:vAlign w:val="center"/>
          </w:tcPr>
          <w:p w14:paraId="21BA11C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原子荧光分光光度计</w:t>
            </w:r>
          </w:p>
        </w:tc>
        <w:tc>
          <w:tcPr>
            <w:tcW w:w="1169" w:type="dxa"/>
            <w:tcBorders>
              <w:tl2br w:val="nil"/>
              <w:tr2bl w:val="nil"/>
            </w:tcBorders>
            <w:vAlign w:val="center"/>
          </w:tcPr>
          <w:p w14:paraId="750E8C3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0.002mg/kg</w:t>
            </w:r>
          </w:p>
        </w:tc>
      </w:tr>
      <w:tr w14:paraId="5C9E9BD0">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549" w:hRule="atLeast"/>
        </w:trPr>
        <w:tc>
          <w:tcPr>
            <w:tcW w:w="542" w:type="dxa"/>
            <w:vMerge w:val="continue"/>
            <w:tcBorders>
              <w:tl2br w:val="nil"/>
              <w:tr2bl w:val="nil"/>
            </w:tcBorders>
            <w:textDirection w:val="tbRlV"/>
            <w:vAlign w:val="center"/>
          </w:tcPr>
          <w:p w14:paraId="22D568F2">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1951A000">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砷</w:t>
            </w:r>
          </w:p>
        </w:tc>
        <w:tc>
          <w:tcPr>
            <w:tcW w:w="4176" w:type="dxa"/>
            <w:tcBorders>
              <w:tl2br w:val="nil"/>
              <w:tr2bl w:val="nil"/>
            </w:tcBorders>
            <w:vAlign w:val="center"/>
          </w:tcPr>
          <w:p w14:paraId="7A16FD1F">
            <w:pPr>
              <w:bidi w:val="0"/>
              <w:jc w:val="center"/>
              <w:rPr>
                <w:rFonts w:hint="default" w:ascii="Times New Roman" w:hAnsi="Times New Roman" w:eastAsia="宋体" w:cs="Times New Roman"/>
                <w:color w:val="auto"/>
                <w:sz w:val="21"/>
                <w:szCs w:val="21"/>
                <w:highlight w:val="none"/>
              </w:rPr>
            </w:pPr>
            <w:bookmarkStart w:id="1705" w:name="sys10218040"/>
            <w:r>
              <w:rPr>
                <w:rFonts w:hint="default" w:ascii="Times New Roman" w:hAnsi="Times New Roman" w:eastAsia="宋体" w:cs="Times New Roman"/>
                <w:color w:val="auto"/>
                <w:sz w:val="21"/>
                <w:szCs w:val="21"/>
                <w:highlight w:val="none"/>
              </w:rPr>
              <w:t>土壤和沉积物</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汞、砷、硒、铋、锑的测定微波消解/原子荧光法</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HJ680-2013</w:t>
            </w:r>
            <w:bookmarkEnd w:id="1705"/>
          </w:p>
        </w:tc>
        <w:tc>
          <w:tcPr>
            <w:tcW w:w="1316" w:type="dxa"/>
            <w:tcBorders>
              <w:tl2br w:val="nil"/>
              <w:tr2bl w:val="nil"/>
            </w:tcBorders>
            <w:vAlign w:val="center"/>
          </w:tcPr>
          <w:p w14:paraId="639FAA8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原子荧光分光光度计</w:t>
            </w:r>
          </w:p>
        </w:tc>
        <w:tc>
          <w:tcPr>
            <w:tcW w:w="1169" w:type="dxa"/>
            <w:tcBorders>
              <w:tl2br w:val="nil"/>
              <w:tr2bl w:val="nil"/>
            </w:tcBorders>
            <w:vAlign w:val="center"/>
          </w:tcPr>
          <w:p w14:paraId="78F614FE">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0.01mg/kg</w:t>
            </w:r>
          </w:p>
        </w:tc>
      </w:tr>
      <w:tr w14:paraId="589ACFF9">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296" w:hRule="atLeast"/>
        </w:trPr>
        <w:tc>
          <w:tcPr>
            <w:tcW w:w="542" w:type="dxa"/>
            <w:vMerge w:val="continue"/>
            <w:tcBorders>
              <w:tl2br w:val="nil"/>
              <w:tr2bl w:val="nil"/>
            </w:tcBorders>
            <w:textDirection w:val="tbRlV"/>
            <w:vAlign w:val="center"/>
          </w:tcPr>
          <w:p w14:paraId="252133D7">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0419D9C4">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六价铬</w:t>
            </w:r>
          </w:p>
        </w:tc>
        <w:tc>
          <w:tcPr>
            <w:tcW w:w="4176" w:type="dxa"/>
            <w:tcBorders>
              <w:tl2br w:val="nil"/>
              <w:tr2bl w:val="nil"/>
            </w:tcBorders>
            <w:vAlign w:val="center"/>
          </w:tcPr>
          <w:p w14:paraId="57486FAE">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土壤和沉积物</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六价铬的测定碱溶液提取-火焰原子吸收分光光度法</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HJ1082-2019</w:t>
            </w:r>
          </w:p>
        </w:tc>
        <w:tc>
          <w:tcPr>
            <w:tcW w:w="1316" w:type="dxa"/>
            <w:tcBorders>
              <w:tl2br w:val="nil"/>
              <w:tr2bl w:val="nil"/>
            </w:tcBorders>
            <w:vAlign w:val="center"/>
          </w:tcPr>
          <w:p w14:paraId="72AB2A0D">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原子吸收分光光度计</w:t>
            </w:r>
          </w:p>
        </w:tc>
        <w:tc>
          <w:tcPr>
            <w:tcW w:w="1169" w:type="dxa"/>
            <w:tcBorders>
              <w:tl2br w:val="nil"/>
              <w:tr2bl w:val="nil"/>
            </w:tcBorders>
            <w:vAlign w:val="center"/>
          </w:tcPr>
          <w:p w14:paraId="2A07438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0.5mg/kg</w:t>
            </w:r>
          </w:p>
        </w:tc>
      </w:tr>
      <w:tr w14:paraId="7DEFF4CA">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500" w:hRule="atLeast"/>
        </w:trPr>
        <w:tc>
          <w:tcPr>
            <w:tcW w:w="542" w:type="dxa"/>
            <w:vMerge w:val="continue"/>
            <w:tcBorders>
              <w:tl2br w:val="nil"/>
              <w:tr2bl w:val="nil"/>
            </w:tcBorders>
            <w:textDirection w:val="tbRlV"/>
            <w:vAlign w:val="center"/>
          </w:tcPr>
          <w:p w14:paraId="4B031F08">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105E518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铜</w:t>
            </w:r>
          </w:p>
        </w:tc>
        <w:tc>
          <w:tcPr>
            <w:tcW w:w="4176" w:type="dxa"/>
            <w:tcBorders>
              <w:tl2br w:val="nil"/>
              <w:tr2bl w:val="nil"/>
            </w:tcBorders>
            <w:vAlign w:val="center"/>
          </w:tcPr>
          <w:p w14:paraId="7C7CB324">
            <w:pPr>
              <w:bidi w:val="0"/>
              <w:jc w:val="center"/>
              <w:rPr>
                <w:rFonts w:hint="default" w:ascii="Times New Roman" w:hAnsi="Times New Roman" w:eastAsia="宋体" w:cs="Times New Roman"/>
                <w:color w:val="auto"/>
                <w:sz w:val="21"/>
                <w:szCs w:val="21"/>
                <w:highlight w:val="none"/>
              </w:rPr>
            </w:pPr>
            <w:bookmarkStart w:id="1706" w:name="sys10228041"/>
            <w:r>
              <w:rPr>
                <w:rFonts w:hint="default" w:ascii="Times New Roman" w:hAnsi="Times New Roman" w:eastAsia="宋体" w:cs="Times New Roman"/>
                <w:color w:val="auto"/>
                <w:sz w:val="21"/>
                <w:szCs w:val="21"/>
                <w:highlight w:val="none"/>
              </w:rPr>
              <w:t>土壤和沉积物</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铜、锌、铅、镍、铬的测定火焰原子吸收分光光度法</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HJ491-2019</w:t>
            </w:r>
            <w:bookmarkEnd w:id="1706"/>
          </w:p>
        </w:tc>
        <w:tc>
          <w:tcPr>
            <w:tcW w:w="1316" w:type="dxa"/>
            <w:tcBorders>
              <w:tl2br w:val="nil"/>
              <w:tr2bl w:val="nil"/>
            </w:tcBorders>
            <w:vAlign w:val="center"/>
          </w:tcPr>
          <w:p w14:paraId="4085AB62">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原子吸收分光光度计</w:t>
            </w:r>
          </w:p>
        </w:tc>
        <w:tc>
          <w:tcPr>
            <w:tcW w:w="1169" w:type="dxa"/>
            <w:tcBorders>
              <w:tl2br w:val="nil"/>
              <w:tr2bl w:val="nil"/>
            </w:tcBorders>
            <w:vAlign w:val="center"/>
          </w:tcPr>
          <w:p w14:paraId="77D03042">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1mg/kg</w:t>
            </w:r>
          </w:p>
        </w:tc>
      </w:tr>
      <w:tr w14:paraId="334799FE">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50" w:hRule="atLeast"/>
        </w:trPr>
        <w:tc>
          <w:tcPr>
            <w:tcW w:w="542" w:type="dxa"/>
            <w:vMerge w:val="continue"/>
            <w:tcBorders>
              <w:tl2br w:val="nil"/>
              <w:tr2bl w:val="nil"/>
            </w:tcBorders>
            <w:textDirection w:val="tbRlV"/>
            <w:vAlign w:val="center"/>
          </w:tcPr>
          <w:p w14:paraId="44FADD33">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1EFEAF1F">
            <w:pPr>
              <w:bidi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锌</w:t>
            </w:r>
          </w:p>
        </w:tc>
        <w:tc>
          <w:tcPr>
            <w:tcW w:w="4176" w:type="dxa"/>
            <w:tcBorders>
              <w:tl2br w:val="nil"/>
              <w:tr2bl w:val="nil"/>
            </w:tcBorders>
            <w:vAlign w:val="center"/>
          </w:tcPr>
          <w:p w14:paraId="7E52711D">
            <w:pPr>
              <w:bidi w:val="0"/>
              <w:jc w:val="center"/>
              <w:rPr>
                <w:rFonts w:hint="default" w:ascii="Times New Roman" w:hAnsi="Times New Roman" w:eastAsia="宋体" w:cs="Times New Roman"/>
                <w:color w:val="auto"/>
                <w:sz w:val="21"/>
                <w:szCs w:val="21"/>
                <w:highlight w:val="none"/>
              </w:rPr>
            </w:pPr>
            <w:bookmarkStart w:id="1707" w:name="sys10233041"/>
            <w:r>
              <w:rPr>
                <w:rFonts w:hint="default" w:ascii="Times New Roman" w:hAnsi="Times New Roman" w:eastAsia="宋体" w:cs="Times New Roman"/>
                <w:color w:val="auto"/>
                <w:sz w:val="21"/>
                <w:szCs w:val="21"/>
                <w:highlight w:val="none"/>
              </w:rPr>
              <w:t>土壤和沉积物</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铜、锌、铅、镍、铬的测定火焰原子吸收分光光度法</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HJ491-2019</w:t>
            </w:r>
            <w:bookmarkEnd w:id="1707"/>
          </w:p>
        </w:tc>
        <w:tc>
          <w:tcPr>
            <w:tcW w:w="1316" w:type="dxa"/>
            <w:tcBorders>
              <w:tl2br w:val="nil"/>
              <w:tr2bl w:val="nil"/>
            </w:tcBorders>
            <w:vAlign w:val="center"/>
          </w:tcPr>
          <w:p w14:paraId="40DD932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原子吸收分光光度计</w:t>
            </w:r>
          </w:p>
        </w:tc>
        <w:tc>
          <w:tcPr>
            <w:tcW w:w="1169" w:type="dxa"/>
            <w:tcBorders>
              <w:tl2br w:val="nil"/>
              <w:tr2bl w:val="nil"/>
            </w:tcBorders>
            <w:vAlign w:val="center"/>
          </w:tcPr>
          <w:p w14:paraId="21C6B486">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1mg/kg</w:t>
            </w:r>
          </w:p>
        </w:tc>
      </w:tr>
      <w:tr w14:paraId="66267B6B">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513" w:hRule="atLeast"/>
        </w:trPr>
        <w:tc>
          <w:tcPr>
            <w:tcW w:w="542" w:type="dxa"/>
            <w:vMerge w:val="continue"/>
            <w:tcBorders>
              <w:tl2br w:val="nil"/>
              <w:tr2bl w:val="nil"/>
            </w:tcBorders>
            <w:textDirection w:val="tbRlV"/>
            <w:vAlign w:val="center"/>
          </w:tcPr>
          <w:p w14:paraId="0A60468D">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1E9D5C6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镍</w:t>
            </w:r>
          </w:p>
        </w:tc>
        <w:tc>
          <w:tcPr>
            <w:tcW w:w="4176" w:type="dxa"/>
            <w:tcBorders>
              <w:tl2br w:val="nil"/>
              <w:tr2bl w:val="nil"/>
            </w:tcBorders>
            <w:vAlign w:val="center"/>
          </w:tcPr>
          <w:p w14:paraId="608CF3E4">
            <w:pPr>
              <w:bidi w:val="0"/>
              <w:jc w:val="center"/>
              <w:rPr>
                <w:rFonts w:hint="default" w:ascii="Times New Roman" w:hAnsi="Times New Roman" w:eastAsia="宋体" w:cs="Times New Roman"/>
                <w:color w:val="auto"/>
                <w:sz w:val="21"/>
                <w:szCs w:val="21"/>
                <w:highlight w:val="none"/>
              </w:rPr>
            </w:pPr>
            <w:bookmarkStart w:id="1708" w:name="sys10238042"/>
            <w:r>
              <w:rPr>
                <w:rFonts w:hint="default" w:ascii="Times New Roman" w:hAnsi="Times New Roman" w:eastAsia="宋体" w:cs="Times New Roman"/>
                <w:color w:val="auto"/>
                <w:sz w:val="21"/>
                <w:szCs w:val="21"/>
                <w:highlight w:val="none"/>
              </w:rPr>
              <w:t>土壤和沉积物</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铜、锌、铅、镍、铬的测定</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火焰原子吸收分光光度法</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HJ491-2019</w:t>
            </w:r>
            <w:bookmarkEnd w:id="1708"/>
          </w:p>
        </w:tc>
        <w:tc>
          <w:tcPr>
            <w:tcW w:w="1316" w:type="dxa"/>
            <w:tcBorders>
              <w:tl2br w:val="nil"/>
              <w:tr2bl w:val="nil"/>
            </w:tcBorders>
            <w:vAlign w:val="center"/>
          </w:tcPr>
          <w:p w14:paraId="0B866E8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原子吸收分光光度计</w:t>
            </w:r>
          </w:p>
        </w:tc>
        <w:tc>
          <w:tcPr>
            <w:tcW w:w="1169" w:type="dxa"/>
            <w:tcBorders>
              <w:tl2br w:val="nil"/>
              <w:tr2bl w:val="nil"/>
            </w:tcBorders>
            <w:vAlign w:val="center"/>
          </w:tcPr>
          <w:p w14:paraId="255C4F9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3mg/kg</w:t>
            </w:r>
          </w:p>
        </w:tc>
      </w:tr>
      <w:tr w14:paraId="347A8D09">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102" w:hRule="atLeast"/>
        </w:trPr>
        <w:tc>
          <w:tcPr>
            <w:tcW w:w="542" w:type="dxa"/>
            <w:vMerge w:val="continue"/>
            <w:tcBorders>
              <w:tl2br w:val="nil"/>
              <w:tr2bl w:val="nil"/>
            </w:tcBorders>
            <w:textDirection w:val="tbRlV"/>
            <w:vAlign w:val="center"/>
          </w:tcPr>
          <w:p w14:paraId="043824AF">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585910B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铅</w:t>
            </w:r>
          </w:p>
        </w:tc>
        <w:tc>
          <w:tcPr>
            <w:tcW w:w="4176" w:type="dxa"/>
            <w:tcBorders>
              <w:tl2br w:val="nil"/>
              <w:tr2bl w:val="nil"/>
            </w:tcBorders>
            <w:vAlign w:val="center"/>
          </w:tcPr>
          <w:p w14:paraId="509B8FD0">
            <w:pPr>
              <w:bidi w:val="0"/>
              <w:jc w:val="center"/>
              <w:rPr>
                <w:rFonts w:hint="default" w:ascii="Times New Roman" w:hAnsi="Times New Roman" w:eastAsia="宋体" w:cs="Times New Roman"/>
                <w:color w:val="auto"/>
                <w:sz w:val="21"/>
                <w:szCs w:val="21"/>
                <w:highlight w:val="none"/>
              </w:rPr>
            </w:pPr>
            <w:bookmarkStart w:id="1709" w:name="sys10243039"/>
            <w:r>
              <w:rPr>
                <w:rFonts w:hint="default" w:ascii="Times New Roman" w:hAnsi="Times New Roman" w:eastAsia="宋体" w:cs="Times New Roman"/>
                <w:color w:val="auto"/>
                <w:sz w:val="21"/>
                <w:szCs w:val="21"/>
                <w:highlight w:val="none"/>
              </w:rPr>
              <w:t>土壤质量</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铅、镉的测定</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石墨炉原子吸收分光光度法</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GB/T17141-1997</w:t>
            </w:r>
            <w:bookmarkEnd w:id="1709"/>
          </w:p>
        </w:tc>
        <w:tc>
          <w:tcPr>
            <w:tcW w:w="1316" w:type="dxa"/>
            <w:tcBorders>
              <w:tl2br w:val="nil"/>
              <w:tr2bl w:val="nil"/>
            </w:tcBorders>
            <w:vAlign w:val="center"/>
          </w:tcPr>
          <w:p w14:paraId="0B24749E">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原子吸收分光光度计（石墨炉）</w:t>
            </w:r>
          </w:p>
        </w:tc>
        <w:tc>
          <w:tcPr>
            <w:tcW w:w="1169" w:type="dxa"/>
            <w:tcBorders>
              <w:tl2br w:val="nil"/>
              <w:tr2bl w:val="nil"/>
            </w:tcBorders>
            <w:vAlign w:val="center"/>
          </w:tcPr>
          <w:p w14:paraId="2BB82C57">
            <w:pPr>
              <w:bidi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mg/kg</w:t>
            </w:r>
          </w:p>
        </w:tc>
      </w:tr>
      <w:tr w14:paraId="48B180F0">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723" w:hRule="atLeast"/>
        </w:trPr>
        <w:tc>
          <w:tcPr>
            <w:tcW w:w="542" w:type="dxa"/>
            <w:vMerge w:val="continue"/>
            <w:tcBorders>
              <w:tl2br w:val="nil"/>
              <w:tr2bl w:val="nil"/>
            </w:tcBorders>
            <w:textDirection w:val="tbRlV"/>
            <w:vAlign w:val="center"/>
          </w:tcPr>
          <w:p w14:paraId="7F2F8880">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1B5053C6">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镉</w:t>
            </w:r>
          </w:p>
        </w:tc>
        <w:tc>
          <w:tcPr>
            <w:tcW w:w="4176" w:type="dxa"/>
            <w:tcBorders>
              <w:tl2br w:val="nil"/>
              <w:tr2bl w:val="nil"/>
            </w:tcBorders>
            <w:vAlign w:val="center"/>
          </w:tcPr>
          <w:p w14:paraId="1B74659C">
            <w:pPr>
              <w:bidi w:val="0"/>
              <w:jc w:val="center"/>
              <w:rPr>
                <w:rFonts w:hint="default" w:ascii="Times New Roman" w:hAnsi="Times New Roman" w:eastAsia="宋体" w:cs="Times New Roman"/>
                <w:color w:val="auto"/>
                <w:sz w:val="21"/>
                <w:szCs w:val="21"/>
                <w:highlight w:val="none"/>
              </w:rPr>
            </w:pPr>
            <w:bookmarkStart w:id="1710" w:name="sys10248039"/>
            <w:r>
              <w:rPr>
                <w:rFonts w:hint="default" w:ascii="Times New Roman" w:hAnsi="Times New Roman" w:eastAsia="宋体" w:cs="Times New Roman"/>
                <w:color w:val="auto"/>
                <w:sz w:val="21"/>
                <w:szCs w:val="21"/>
                <w:highlight w:val="none"/>
              </w:rPr>
              <w:t>土壤质量</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铅、镉的测定</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石墨炉原子吸收分光光度法</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GB/T17141-1997</w:t>
            </w:r>
            <w:bookmarkEnd w:id="1710"/>
          </w:p>
        </w:tc>
        <w:tc>
          <w:tcPr>
            <w:tcW w:w="1316" w:type="dxa"/>
            <w:tcBorders>
              <w:tl2br w:val="nil"/>
              <w:tr2bl w:val="nil"/>
            </w:tcBorders>
            <w:vAlign w:val="center"/>
          </w:tcPr>
          <w:p w14:paraId="056EA099">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原子吸收分光光度计（石墨炉）</w:t>
            </w:r>
          </w:p>
        </w:tc>
        <w:tc>
          <w:tcPr>
            <w:tcW w:w="1169" w:type="dxa"/>
            <w:tcBorders>
              <w:tl2br w:val="nil"/>
              <w:tr2bl w:val="nil"/>
            </w:tcBorders>
            <w:vAlign w:val="center"/>
          </w:tcPr>
          <w:p w14:paraId="2FD9953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0.01mg/kg</w:t>
            </w:r>
          </w:p>
        </w:tc>
      </w:tr>
      <w:tr w14:paraId="77824EA1">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textDirection w:val="tbRlV"/>
            <w:vAlign w:val="center"/>
          </w:tcPr>
          <w:p w14:paraId="07B24092">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2950DF5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氯甲烷</w:t>
            </w:r>
          </w:p>
        </w:tc>
        <w:tc>
          <w:tcPr>
            <w:tcW w:w="4176" w:type="dxa"/>
            <w:vMerge w:val="restart"/>
            <w:tcBorders>
              <w:tl2br w:val="nil"/>
              <w:tr2bl w:val="nil"/>
            </w:tcBorders>
            <w:vAlign w:val="center"/>
          </w:tcPr>
          <w:p w14:paraId="105A39CB">
            <w:pPr>
              <w:bidi w:val="0"/>
              <w:jc w:val="center"/>
              <w:rPr>
                <w:rFonts w:hint="default" w:ascii="Times New Roman" w:hAnsi="Times New Roman" w:eastAsia="宋体" w:cs="Times New Roman"/>
                <w:color w:val="auto"/>
                <w:sz w:val="21"/>
                <w:szCs w:val="21"/>
                <w:highlight w:val="none"/>
              </w:rPr>
            </w:pPr>
            <w:bookmarkStart w:id="1711" w:name="sys10253040"/>
            <w:r>
              <w:rPr>
                <w:rFonts w:hint="default" w:ascii="Times New Roman" w:hAnsi="Times New Roman" w:eastAsia="宋体" w:cs="Times New Roman"/>
                <w:color w:val="auto"/>
                <w:sz w:val="21"/>
                <w:szCs w:val="21"/>
                <w:highlight w:val="none"/>
              </w:rPr>
              <w:t>土壤和沉积物</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挥发性有机物的测定吹扫捕集/气相色谱-质谱法</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HJ605-2011</w:t>
            </w:r>
            <w:bookmarkEnd w:id="1711"/>
          </w:p>
        </w:tc>
        <w:tc>
          <w:tcPr>
            <w:tcW w:w="1316" w:type="dxa"/>
            <w:vMerge w:val="restart"/>
            <w:tcBorders>
              <w:tl2br w:val="nil"/>
              <w:tr2bl w:val="nil"/>
            </w:tcBorders>
            <w:vAlign w:val="center"/>
          </w:tcPr>
          <w:p w14:paraId="3AA0EDD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气质联用仪</w:t>
            </w:r>
          </w:p>
        </w:tc>
        <w:tc>
          <w:tcPr>
            <w:tcW w:w="1169" w:type="dxa"/>
            <w:tcBorders>
              <w:tl2br w:val="nil"/>
              <w:tr2bl w:val="nil"/>
            </w:tcBorders>
            <w:vAlign w:val="center"/>
          </w:tcPr>
          <w:p w14:paraId="54D159D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1.0μg/kg</w:t>
            </w:r>
          </w:p>
        </w:tc>
      </w:tr>
      <w:tr w14:paraId="76DF9823">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textDirection w:val="tbRlV"/>
            <w:vAlign w:val="center"/>
          </w:tcPr>
          <w:p w14:paraId="2CFEECA7">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5B9C76F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氯乙烯</w:t>
            </w:r>
          </w:p>
        </w:tc>
        <w:tc>
          <w:tcPr>
            <w:tcW w:w="4176" w:type="dxa"/>
            <w:vMerge w:val="continue"/>
            <w:tcBorders>
              <w:tl2br w:val="nil"/>
              <w:tr2bl w:val="nil"/>
            </w:tcBorders>
            <w:vAlign w:val="center"/>
          </w:tcPr>
          <w:p w14:paraId="74E5C85E">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6E549690">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306F687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1.0μg/kg</w:t>
            </w:r>
          </w:p>
        </w:tc>
      </w:tr>
      <w:tr w14:paraId="451C5490">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8" w:hRule="atLeast"/>
        </w:trPr>
        <w:tc>
          <w:tcPr>
            <w:tcW w:w="542" w:type="dxa"/>
            <w:vMerge w:val="continue"/>
            <w:tcBorders>
              <w:tl2br w:val="nil"/>
              <w:tr2bl w:val="nil"/>
            </w:tcBorders>
            <w:textDirection w:val="tbRlV"/>
            <w:vAlign w:val="center"/>
          </w:tcPr>
          <w:p w14:paraId="664FCDA4">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16C9B5C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1,1-二氯乙烯</w:t>
            </w:r>
          </w:p>
        </w:tc>
        <w:tc>
          <w:tcPr>
            <w:tcW w:w="4176" w:type="dxa"/>
            <w:vMerge w:val="continue"/>
            <w:tcBorders>
              <w:tl2br w:val="nil"/>
              <w:tr2bl w:val="nil"/>
            </w:tcBorders>
            <w:vAlign w:val="center"/>
          </w:tcPr>
          <w:p w14:paraId="311C39F7">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4D8B085E">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232FDF9D">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1.0μg/kg</w:t>
            </w:r>
          </w:p>
        </w:tc>
      </w:tr>
      <w:tr w14:paraId="5C7AD9E7">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textDirection w:val="tbRlV"/>
            <w:vAlign w:val="center"/>
          </w:tcPr>
          <w:p w14:paraId="43884CF8">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68C53AE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二氯甲烷</w:t>
            </w:r>
          </w:p>
        </w:tc>
        <w:tc>
          <w:tcPr>
            <w:tcW w:w="4176" w:type="dxa"/>
            <w:vMerge w:val="continue"/>
            <w:tcBorders>
              <w:tl2br w:val="nil"/>
              <w:tr2bl w:val="nil"/>
            </w:tcBorders>
            <w:vAlign w:val="center"/>
          </w:tcPr>
          <w:p w14:paraId="57383277">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5DDB69CD">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2F0D982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1.5μg/kg</w:t>
            </w:r>
          </w:p>
        </w:tc>
      </w:tr>
      <w:tr w14:paraId="40BE2F9C">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90" w:hRule="atLeast"/>
        </w:trPr>
        <w:tc>
          <w:tcPr>
            <w:tcW w:w="542" w:type="dxa"/>
            <w:vMerge w:val="continue"/>
            <w:tcBorders>
              <w:tl2br w:val="nil"/>
              <w:tr2bl w:val="nil"/>
            </w:tcBorders>
            <w:textDirection w:val="tbRlV"/>
            <w:vAlign w:val="center"/>
          </w:tcPr>
          <w:p w14:paraId="2154223F">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1947D2A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反式-1，2-二氯乙烯</w:t>
            </w:r>
          </w:p>
        </w:tc>
        <w:tc>
          <w:tcPr>
            <w:tcW w:w="4176" w:type="dxa"/>
            <w:vMerge w:val="continue"/>
            <w:tcBorders>
              <w:tl2br w:val="nil"/>
              <w:tr2bl w:val="nil"/>
            </w:tcBorders>
            <w:vAlign w:val="center"/>
          </w:tcPr>
          <w:p w14:paraId="2F917418">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279397BE">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6BF445F0">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1.4μg/kg</w:t>
            </w:r>
          </w:p>
        </w:tc>
      </w:tr>
      <w:tr w14:paraId="18CA5F48">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42" w:hRule="atLeast"/>
        </w:trPr>
        <w:tc>
          <w:tcPr>
            <w:tcW w:w="542" w:type="dxa"/>
            <w:vMerge w:val="continue"/>
            <w:tcBorders>
              <w:tl2br w:val="nil"/>
              <w:tr2bl w:val="nil"/>
            </w:tcBorders>
            <w:textDirection w:val="tbRlV"/>
            <w:vAlign w:val="center"/>
          </w:tcPr>
          <w:p w14:paraId="4088105D">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5938D14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1，1-二氯乙烷</w:t>
            </w:r>
          </w:p>
        </w:tc>
        <w:tc>
          <w:tcPr>
            <w:tcW w:w="4176" w:type="dxa"/>
            <w:vMerge w:val="continue"/>
            <w:tcBorders>
              <w:tl2br w:val="nil"/>
              <w:tr2bl w:val="nil"/>
            </w:tcBorders>
            <w:vAlign w:val="center"/>
          </w:tcPr>
          <w:p w14:paraId="02550821">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13424718">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496077F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1.2μg/kg</w:t>
            </w:r>
          </w:p>
        </w:tc>
      </w:tr>
      <w:tr w14:paraId="4308A667">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176" w:hRule="atLeast"/>
        </w:trPr>
        <w:tc>
          <w:tcPr>
            <w:tcW w:w="542" w:type="dxa"/>
            <w:vMerge w:val="continue"/>
            <w:tcBorders>
              <w:tl2br w:val="nil"/>
              <w:tr2bl w:val="nil"/>
            </w:tcBorders>
            <w:vAlign w:val="center"/>
          </w:tcPr>
          <w:p w14:paraId="6A444865">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0A73357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顺式-1，2-二氯乙烯</w:t>
            </w:r>
          </w:p>
        </w:tc>
        <w:tc>
          <w:tcPr>
            <w:tcW w:w="4176" w:type="dxa"/>
            <w:vMerge w:val="continue"/>
            <w:tcBorders>
              <w:tl2br w:val="nil"/>
              <w:tr2bl w:val="nil"/>
            </w:tcBorders>
            <w:vAlign w:val="center"/>
          </w:tcPr>
          <w:p w14:paraId="125F2F1F">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713BBB2C">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7D89CE6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1.3μg/kg</w:t>
            </w:r>
          </w:p>
        </w:tc>
      </w:tr>
      <w:tr w14:paraId="1135202F">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7EC6B9A8">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3BA8D71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氯仿</w:t>
            </w:r>
          </w:p>
        </w:tc>
        <w:tc>
          <w:tcPr>
            <w:tcW w:w="4176" w:type="dxa"/>
            <w:vMerge w:val="continue"/>
            <w:tcBorders>
              <w:tl2br w:val="nil"/>
              <w:tr2bl w:val="nil"/>
            </w:tcBorders>
            <w:vAlign w:val="center"/>
          </w:tcPr>
          <w:p w14:paraId="6E0EDDB3">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3B3CE1B6">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2D83CE8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1.1μg/kg</w:t>
            </w:r>
          </w:p>
        </w:tc>
      </w:tr>
      <w:tr w14:paraId="67085F1E">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153" w:hRule="atLeast"/>
        </w:trPr>
        <w:tc>
          <w:tcPr>
            <w:tcW w:w="542" w:type="dxa"/>
            <w:vMerge w:val="continue"/>
            <w:tcBorders>
              <w:tl2br w:val="nil"/>
              <w:tr2bl w:val="nil"/>
            </w:tcBorders>
            <w:vAlign w:val="center"/>
          </w:tcPr>
          <w:p w14:paraId="3FD370E5">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6DAC2C42">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1，1，1-三氯乙烷</w:t>
            </w:r>
          </w:p>
        </w:tc>
        <w:tc>
          <w:tcPr>
            <w:tcW w:w="4176" w:type="dxa"/>
            <w:vMerge w:val="continue"/>
            <w:tcBorders>
              <w:tl2br w:val="nil"/>
              <w:tr2bl w:val="nil"/>
            </w:tcBorders>
            <w:vAlign w:val="center"/>
          </w:tcPr>
          <w:p w14:paraId="41C88F6E">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4A6624DF">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678E12B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1.3μg/kg</w:t>
            </w:r>
          </w:p>
        </w:tc>
      </w:tr>
      <w:tr w14:paraId="42057ACD">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1247B8EA">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02C03E2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四氯化碳</w:t>
            </w:r>
          </w:p>
        </w:tc>
        <w:tc>
          <w:tcPr>
            <w:tcW w:w="4176" w:type="dxa"/>
            <w:vMerge w:val="continue"/>
            <w:tcBorders>
              <w:tl2br w:val="nil"/>
              <w:tr2bl w:val="nil"/>
            </w:tcBorders>
            <w:vAlign w:val="center"/>
          </w:tcPr>
          <w:p w14:paraId="173AD474">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3F82CC3E">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7F08293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1.3μg/kg</w:t>
            </w:r>
          </w:p>
        </w:tc>
      </w:tr>
      <w:tr w14:paraId="041E499D">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107518BB">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618AD1B2">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w:t>
            </w:r>
          </w:p>
        </w:tc>
        <w:tc>
          <w:tcPr>
            <w:tcW w:w="4176" w:type="dxa"/>
            <w:vMerge w:val="continue"/>
            <w:tcBorders>
              <w:tl2br w:val="nil"/>
              <w:tr2bl w:val="nil"/>
            </w:tcBorders>
            <w:vAlign w:val="center"/>
          </w:tcPr>
          <w:p w14:paraId="681A238B">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5B8708AD">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36ECFA52">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1.9μg/kg</w:t>
            </w:r>
          </w:p>
        </w:tc>
      </w:tr>
      <w:tr w14:paraId="23CFA2D6">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085AECCA">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0D4B6D74">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1，2-二氯乙烷</w:t>
            </w:r>
          </w:p>
        </w:tc>
        <w:tc>
          <w:tcPr>
            <w:tcW w:w="4176" w:type="dxa"/>
            <w:vMerge w:val="continue"/>
            <w:tcBorders>
              <w:tl2br w:val="nil"/>
              <w:tr2bl w:val="nil"/>
            </w:tcBorders>
            <w:vAlign w:val="center"/>
          </w:tcPr>
          <w:p w14:paraId="74DAE868">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3867300D">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57A35622">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1.3μg/kg</w:t>
            </w:r>
          </w:p>
        </w:tc>
      </w:tr>
      <w:tr w14:paraId="5BC401C4">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9" w:hRule="atLeast"/>
        </w:trPr>
        <w:tc>
          <w:tcPr>
            <w:tcW w:w="542" w:type="dxa"/>
            <w:vMerge w:val="continue"/>
            <w:tcBorders>
              <w:tl2br w:val="nil"/>
              <w:tr2bl w:val="nil"/>
            </w:tcBorders>
            <w:vAlign w:val="center"/>
          </w:tcPr>
          <w:p w14:paraId="6F2463CC">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11C0451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三氯乙烯</w:t>
            </w:r>
          </w:p>
        </w:tc>
        <w:tc>
          <w:tcPr>
            <w:tcW w:w="4176" w:type="dxa"/>
            <w:vMerge w:val="continue"/>
            <w:tcBorders>
              <w:tl2br w:val="nil"/>
              <w:tr2bl w:val="nil"/>
            </w:tcBorders>
            <w:vAlign w:val="center"/>
          </w:tcPr>
          <w:p w14:paraId="2C135397">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71C77B4C">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0115CB8E">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1.2μg/kg</w:t>
            </w:r>
          </w:p>
        </w:tc>
      </w:tr>
      <w:tr w14:paraId="099F7A40">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4B88EC7F">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372576E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1，2-二氯丙烷</w:t>
            </w:r>
          </w:p>
        </w:tc>
        <w:tc>
          <w:tcPr>
            <w:tcW w:w="4176" w:type="dxa"/>
            <w:vMerge w:val="continue"/>
            <w:tcBorders>
              <w:tl2br w:val="nil"/>
              <w:tr2bl w:val="nil"/>
            </w:tcBorders>
            <w:vAlign w:val="center"/>
          </w:tcPr>
          <w:p w14:paraId="157839D0">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164F1CE4">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5E032D54">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1.1μg/kg</w:t>
            </w:r>
          </w:p>
        </w:tc>
      </w:tr>
      <w:tr w14:paraId="20091D4C">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763AA6CF">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15B54DEE">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甲苯</w:t>
            </w:r>
          </w:p>
        </w:tc>
        <w:tc>
          <w:tcPr>
            <w:tcW w:w="4176" w:type="dxa"/>
            <w:vMerge w:val="continue"/>
            <w:tcBorders>
              <w:tl2br w:val="nil"/>
              <w:tr2bl w:val="nil"/>
            </w:tcBorders>
            <w:vAlign w:val="center"/>
          </w:tcPr>
          <w:p w14:paraId="67DFE276">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10DA795A">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063C1989">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1.3μg/kg</w:t>
            </w:r>
          </w:p>
        </w:tc>
      </w:tr>
      <w:tr w14:paraId="16BF1266">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90" w:hRule="atLeast"/>
        </w:trPr>
        <w:tc>
          <w:tcPr>
            <w:tcW w:w="542" w:type="dxa"/>
            <w:vMerge w:val="continue"/>
            <w:tcBorders>
              <w:tl2br w:val="nil"/>
              <w:tr2bl w:val="nil"/>
            </w:tcBorders>
            <w:vAlign w:val="center"/>
          </w:tcPr>
          <w:p w14:paraId="32A83D62">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1E0113D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1，1，2-三氯乙烷</w:t>
            </w:r>
          </w:p>
        </w:tc>
        <w:tc>
          <w:tcPr>
            <w:tcW w:w="4176" w:type="dxa"/>
            <w:vMerge w:val="continue"/>
            <w:tcBorders>
              <w:tl2br w:val="nil"/>
              <w:tr2bl w:val="nil"/>
            </w:tcBorders>
            <w:vAlign w:val="center"/>
          </w:tcPr>
          <w:p w14:paraId="4FBB0EC0">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2EA5E760">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504F82C9">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1.2μg/kg</w:t>
            </w:r>
          </w:p>
        </w:tc>
      </w:tr>
      <w:tr w14:paraId="0E7959B3">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90" w:hRule="atLeast"/>
        </w:trPr>
        <w:tc>
          <w:tcPr>
            <w:tcW w:w="542" w:type="dxa"/>
            <w:vMerge w:val="continue"/>
            <w:tcBorders>
              <w:tl2br w:val="nil"/>
              <w:tr2bl w:val="nil"/>
            </w:tcBorders>
            <w:vAlign w:val="center"/>
          </w:tcPr>
          <w:p w14:paraId="7F513C90">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3EB691A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四氯乙烯</w:t>
            </w:r>
          </w:p>
        </w:tc>
        <w:tc>
          <w:tcPr>
            <w:tcW w:w="4176" w:type="dxa"/>
            <w:vMerge w:val="continue"/>
            <w:tcBorders>
              <w:tl2br w:val="nil"/>
              <w:tr2bl w:val="nil"/>
            </w:tcBorders>
            <w:vAlign w:val="center"/>
          </w:tcPr>
          <w:p w14:paraId="4723F0A1">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2C11DD81">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5573D6F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1.4μg/kg</w:t>
            </w:r>
          </w:p>
        </w:tc>
      </w:tr>
      <w:tr w14:paraId="7D9C0744">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629B1471">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5207C80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氯苯</w:t>
            </w:r>
          </w:p>
        </w:tc>
        <w:tc>
          <w:tcPr>
            <w:tcW w:w="4176" w:type="dxa"/>
            <w:vMerge w:val="continue"/>
            <w:tcBorders>
              <w:tl2br w:val="nil"/>
              <w:tr2bl w:val="nil"/>
            </w:tcBorders>
            <w:vAlign w:val="center"/>
          </w:tcPr>
          <w:p w14:paraId="2AC2ED77">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655B7471">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00571A4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1.2μg/kg</w:t>
            </w:r>
          </w:p>
        </w:tc>
      </w:tr>
      <w:tr w14:paraId="469256B6">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194" w:hRule="atLeast"/>
        </w:trPr>
        <w:tc>
          <w:tcPr>
            <w:tcW w:w="542" w:type="dxa"/>
            <w:vMerge w:val="continue"/>
            <w:tcBorders>
              <w:tl2br w:val="nil"/>
              <w:tr2bl w:val="nil"/>
            </w:tcBorders>
            <w:vAlign w:val="center"/>
          </w:tcPr>
          <w:p w14:paraId="2560CBE4">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7B8123B9">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1，1，1，2-四氯乙烷</w:t>
            </w:r>
          </w:p>
        </w:tc>
        <w:tc>
          <w:tcPr>
            <w:tcW w:w="4176" w:type="dxa"/>
            <w:vMerge w:val="continue"/>
            <w:tcBorders>
              <w:tl2br w:val="nil"/>
              <w:tr2bl w:val="nil"/>
            </w:tcBorders>
            <w:vAlign w:val="center"/>
          </w:tcPr>
          <w:p w14:paraId="3043DA41">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7550958C">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42A8FFD9">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1.2μg/kg</w:t>
            </w:r>
          </w:p>
        </w:tc>
      </w:tr>
      <w:tr w14:paraId="11E31BC6">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0108664E">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1AC9CCC6">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乙苯</w:t>
            </w:r>
          </w:p>
        </w:tc>
        <w:tc>
          <w:tcPr>
            <w:tcW w:w="4176" w:type="dxa"/>
            <w:vMerge w:val="continue"/>
            <w:tcBorders>
              <w:tl2br w:val="nil"/>
              <w:tr2bl w:val="nil"/>
            </w:tcBorders>
            <w:vAlign w:val="center"/>
          </w:tcPr>
          <w:p w14:paraId="6CF71FD2">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497A673A">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7E4A043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1.2μg/kg</w:t>
            </w:r>
          </w:p>
        </w:tc>
      </w:tr>
      <w:tr w14:paraId="7CF338D6">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46CF1978">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04AC7F4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间，对-二甲苯</w:t>
            </w:r>
          </w:p>
        </w:tc>
        <w:tc>
          <w:tcPr>
            <w:tcW w:w="4176" w:type="dxa"/>
            <w:vMerge w:val="continue"/>
            <w:tcBorders>
              <w:tl2br w:val="nil"/>
              <w:tr2bl w:val="nil"/>
            </w:tcBorders>
            <w:vAlign w:val="center"/>
          </w:tcPr>
          <w:p w14:paraId="5655EC2D">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37E20C73">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71D3BF5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1.2μg/kg</w:t>
            </w:r>
          </w:p>
        </w:tc>
      </w:tr>
      <w:tr w14:paraId="1C0057E8">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36499444">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5DA060B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邻-二甲苯</w:t>
            </w:r>
          </w:p>
        </w:tc>
        <w:tc>
          <w:tcPr>
            <w:tcW w:w="4176" w:type="dxa"/>
            <w:vMerge w:val="continue"/>
            <w:tcBorders>
              <w:tl2br w:val="nil"/>
              <w:tr2bl w:val="nil"/>
            </w:tcBorders>
            <w:vAlign w:val="center"/>
          </w:tcPr>
          <w:p w14:paraId="61D6B1D6">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26E4FB9B">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70F0CEF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1.2μg/kg</w:t>
            </w:r>
          </w:p>
        </w:tc>
      </w:tr>
      <w:tr w14:paraId="1F1537BD">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1A300240">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30FE3D3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苯乙烯</w:t>
            </w:r>
          </w:p>
        </w:tc>
        <w:tc>
          <w:tcPr>
            <w:tcW w:w="4176" w:type="dxa"/>
            <w:vMerge w:val="continue"/>
            <w:tcBorders>
              <w:tl2br w:val="nil"/>
              <w:tr2bl w:val="nil"/>
            </w:tcBorders>
            <w:vAlign w:val="center"/>
          </w:tcPr>
          <w:p w14:paraId="09F80964">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67B3F94F">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1909C24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1.1μg/kg</w:t>
            </w:r>
          </w:p>
        </w:tc>
      </w:tr>
      <w:tr w14:paraId="728E626A">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90" w:hRule="atLeast"/>
        </w:trPr>
        <w:tc>
          <w:tcPr>
            <w:tcW w:w="542" w:type="dxa"/>
            <w:vMerge w:val="continue"/>
            <w:tcBorders>
              <w:tl2br w:val="nil"/>
              <w:tr2bl w:val="nil"/>
            </w:tcBorders>
            <w:vAlign w:val="center"/>
          </w:tcPr>
          <w:p w14:paraId="21ED9ACC">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70A6FF8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1，1，2，2-四氯乙烷</w:t>
            </w:r>
          </w:p>
        </w:tc>
        <w:tc>
          <w:tcPr>
            <w:tcW w:w="4176" w:type="dxa"/>
            <w:vMerge w:val="continue"/>
            <w:tcBorders>
              <w:tl2br w:val="nil"/>
              <w:tr2bl w:val="nil"/>
            </w:tcBorders>
            <w:vAlign w:val="center"/>
          </w:tcPr>
          <w:p w14:paraId="339DDEDD">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348C2E85">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462AFA1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1.2μg/kg</w:t>
            </w:r>
          </w:p>
        </w:tc>
      </w:tr>
      <w:tr w14:paraId="5CA52219">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250" w:hRule="atLeast"/>
        </w:trPr>
        <w:tc>
          <w:tcPr>
            <w:tcW w:w="542" w:type="dxa"/>
            <w:vMerge w:val="continue"/>
            <w:tcBorders>
              <w:tl2br w:val="nil"/>
              <w:tr2bl w:val="nil"/>
            </w:tcBorders>
            <w:vAlign w:val="center"/>
          </w:tcPr>
          <w:p w14:paraId="29907115">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6B299AC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1，2，3-三氯丙烷</w:t>
            </w:r>
          </w:p>
        </w:tc>
        <w:tc>
          <w:tcPr>
            <w:tcW w:w="4176" w:type="dxa"/>
            <w:vMerge w:val="continue"/>
            <w:tcBorders>
              <w:tl2br w:val="nil"/>
              <w:tr2bl w:val="nil"/>
            </w:tcBorders>
            <w:vAlign w:val="center"/>
          </w:tcPr>
          <w:p w14:paraId="0169BFBA">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6B23DD56">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67282F8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1.2μg/kg</w:t>
            </w:r>
          </w:p>
        </w:tc>
      </w:tr>
      <w:tr w14:paraId="630870FE">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595E005D">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2CBB023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1，4-二氯苯</w:t>
            </w:r>
          </w:p>
        </w:tc>
        <w:tc>
          <w:tcPr>
            <w:tcW w:w="4176" w:type="dxa"/>
            <w:vMerge w:val="continue"/>
            <w:tcBorders>
              <w:tl2br w:val="nil"/>
              <w:tr2bl w:val="nil"/>
            </w:tcBorders>
            <w:vAlign w:val="center"/>
          </w:tcPr>
          <w:p w14:paraId="18456F48">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2D224A8F">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4E1CB62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1.5μg/kg</w:t>
            </w:r>
          </w:p>
        </w:tc>
      </w:tr>
      <w:tr w14:paraId="24770D95">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3FC53FB2">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3F8A53E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1，2-二氯苯</w:t>
            </w:r>
          </w:p>
        </w:tc>
        <w:tc>
          <w:tcPr>
            <w:tcW w:w="4176" w:type="dxa"/>
            <w:vMerge w:val="continue"/>
            <w:tcBorders>
              <w:tl2br w:val="nil"/>
              <w:tr2bl w:val="nil"/>
            </w:tcBorders>
            <w:vAlign w:val="center"/>
          </w:tcPr>
          <w:p w14:paraId="5EBEE133">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1F17F2D2">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12F796C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1.5μg/kg</w:t>
            </w:r>
          </w:p>
        </w:tc>
      </w:tr>
      <w:tr w14:paraId="3CB32220">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59982772">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2633C43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2-氯苯酚</w:t>
            </w:r>
          </w:p>
        </w:tc>
        <w:tc>
          <w:tcPr>
            <w:tcW w:w="4176" w:type="dxa"/>
            <w:vMerge w:val="restart"/>
            <w:tcBorders>
              <w:tl2br w:val="nil"/>
              <w:tr2bl w:val="nil"/>
            </w:tcBorders>
            <w:vAlign w:val="center"/>
          </w:tcPr>
          <w:p w14:paraId="5096E0CB">
            <w:pPr>
              <w:bidi w:val="0"/>
              <w:jc w:val="center"/>
              <w:rPr>
                <w:rFonts w:hint="default" w:ascii="Times New Roman" w:hAnsi="Times New Roman" w:eastAsia="宋体" w:cs="Times New Roman"/>
                <w:color w:val="auto"/>
                <w:sz w:val="21"/>
                <w:szCs w:val="21"/>
                <w:highlight w:val="none"/>
              </w:rPr>
            </w:pPr>
            <w:bookmarkStart w:id="1712" w:name="sys10388036"/>
            <w:r>
              <w:rPr>
                <w:rFonts w:hint="default" w:ascii="Times New Roman" w:hAnsi="Times New Roman" w:eastAsia="宋体" w:cs="Times New Roman"/>
                <w:color w:val="auto"/>
                <w:sz w:val="21"/>
                <w:szCs w:val="21"/>
                <w:highlight w:val="none"/>
              </w:rPr>
              <w:t>土壤和沉积物</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半挥发性有机物的测定气相色谱-质谱法</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HJ834-2017</w:t>
            </w:r>
            <w:bookmarkEnd w:id="1712"/>
          </w:p>
        </w:tc>
        <w:tc>
          <w:tcPr>
            <w:tcW w:w="1316" w:type="dxa"/>
            <w:vMerge w:val="restart"/>
            <w:tcBorders>
              <w:tl2br w:val="nil"/>
              <w:tr2bl w:val="nil"/>
            </w:tcBorders>
            <w:vAlign w:val="center"/>
          </w:tcPr>
          <w:p w14:paraId="0A4A5B7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气质联用仪</w:t>
            </w:r>
          </w:p>
        </w:tc>
        <w:tc>
          <w:tcPr>
            <w:tcW w:w="1169" w:type="dxa"/>
            <w:tcBorders>
              <w:tl2br w:val="nil"/>
              <w:tr2bl w:val="nil"/>
            </w:tcBorders>
            <w:vAlign w:val="center"/>
          </w:tcPr>
          <w:p w14:paraId="57631EBE">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0.06mg/kg</w:t>
            </w:r>
          </w:p>
        </w:tc>
      </w:tr>
      <w:tr w14:paraId="55D8CAA1">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1180B7E2">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55A55AE9">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硝基苯</w:t>
            </w:r>
          </w:p>
        </w:tc>
        <w:tc>
          <w:tcPr>
            <w:tcW w:w="4176" w:type="dxa"/>
            <w:vMerge w:val="continue"/>
            <w:tcBorders>
              <w:tl2br w:val="nil"/>
              <w:tr2bl w:val="nil"/>
            </w:tcBorders>
            <w:vAlign w:val="center"/>
          </w:tcPr>
          <w:p w14:paraId="15EDD8DB">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1E49BA27">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02E87D6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0.09mg/kg</w:t>
            </w:r>
          </w:p>
        </w:tc>
      </w:tr>
      <w:tr w14:paraId="6E56388D">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7" w:hRule="atLeast"/>
        </w:trPr>
        <w:tc>
          <w:tcPr>
            <w:tcW w:w="542" w:type="dxa"/>
            <w:vMerge w:val="continue"/>
            <w:tcBorders>
              <w:tl2br w:val="nil"/>
              <w:tr2bl w:val="nil"/>
            </w:tcBorders>
            <w:vAlign w:val="center"/>
          </w:tcPr>
          <w:p w14:paraId="503B3DF7">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55BAFCB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萘</w:t>
            </w:r>
          </w:p>
        </w:tc>
        <w:tc>
          <w:tcPr>
            <w:tcW w:w="4176" w:type="dxa"/>
            <w:vMerge w:val="continue"/>
            <w:tcBorders>
              <w:tl2br w:val="nil"/>
              <w:tr2bl w:val="nil"/>
            </w:tcBorders>
            <w:vAlign w:val="center"/>
          </w:tcPr>
          <w:p w14:paraId="0B0C28AB">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6F78D0C0">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72ED3A6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0.09mg/kg</w:t>
            </w:r>
          </w:p>
        </w:tc>
      </w:tr>
      <w:tr w14:paraId="3103D0C0">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294" w:hRule="atLeast"/>
        </w:trPr>
        <w:tc>
          <w:tcPr>
            <w:tcW w:w="542" w:type="dxa"/>
            <w:vMerge w:val="continue"/>
            <w:tcBorders>
              <w:tl2br w:val="nil"/>
              <w:tr2bl w:val="nil"/>
            </w:tcBorders>
            <w:vAlign w:val="center"/>
          </w:tcPr>
          <w:p w14:paraId="6E096B7C">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7C204F0D">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苯并〔a〕蒽</w:t>
            </w:r>
          </w:p>
        </w:tc>
        <w:tc>
          <w:tcPr>
            <w:tcW w:w="4176" w:type="dxa"/>
            <w:vMerge w:val="continue"/>
            <w:tcBorders>
              <w:tl2br w:val="nil"/>
              <w:tr2bl w:val="nil"/>
            </w:tcBorders>
            <w:vAlign w:val="center"/>
          </w:tcPr>
          <w:p w14:paraId="0B90FFC9">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1D7D1616">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79E8F8A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0.1mg/kg</w:t>
            </w:r>
          </w:p>
        </w:tc>
      </w:tr>
      <w:tr w14:paraId="629E25E9">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6EB3A4C2">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782299B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䓛</w:t>
            </w:r>
          </w:p>
        </w:tc>
        <w:tc>
          <w:tcPr>
            <w:tcW w:w="4176" w:type="dxa"/>
            <w:vMerge w:val="continue"/>
            <w:tcBorders>
              <w:tl2br w:val="nil"/>
              <w:tr2bl w:val="nil"/>
            </w:tcBorders>
            <w:vAlign w:val="center"/>
          </w:tcPr>
          <w:p w14:paraId="0DF76A33">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1133D6EE">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04774A7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0.1mg/kg</w:t>
            </w:r>
          </w:p>
        </w:tc>
      </w:tr>
      <w:tr w14:paraId="30BE5E0F">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03" w:hRule="atLeast"/>
        </w:trPr>
        <w:tc>
          <w:tcPr>
            <w:tcW w:w="542" w:type="dxa"/>
            <w:vMerge w:val="continue"/>
            <w:tcBorders>
              <w:tl2br w:val="nil"/>
              <w:tr2bl w:val="nil"/>
            </w:tcBorders>
            <w:vAlign w:val="center"/>
          </w:tcPr>
          <w:p w14:paraId="6E2F203F">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28CADF5E">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苯并〔b〕荧蒽</w:t>
            </w:r>
          </w:p>
        </w:tc>
        <w:tc>
          <w:tcPr>
            <w:tcW w:w="4176" w:type="dxa"/>
            <w:vMerge w:val="continue"/>
            <w:tcBorders>
              <w:tl2br w:val="nil"/>
              <w:tr2bl w:val="nil"/>
            </w:tcBorders>
            <w:vAlign w:val="center"/>
          </w:tcPr>
          <w:p w14:paraId="5BE6F2A8">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6699AA72">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1D72B306">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0.2mg/kg</w:t>
            </w:r>
          </w:p>
        </w:tc>
      </w:tr>
      <w:tr w14:paraId="074DEC21">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247" w:hRule="atLeast"/>
        </w:trPr>
        <w:tc>
          <w:tcPr>
            <w:tcW w:w="542" w:type="dxa"/>
            <w:vMerge w:val="continue"/>
            <w:tcBorders>
              <w:tl2br w:val="nil"/>
              <w:tr2bl w:val="nil"/>
            </w:tcBorders>
            <w:vAlign w:val="center"/>
          </w:tcPr>
          <w:p w14:paraId="5E62B77B">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55B48B7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苯并〔k〕荧蒽</w:t>
            </w:r>
          </w:p>
        </w:tc>
        <w:tc>
          <w:tcPr>
            <w:tcW w:w="4176" w:type="dxa"/>
            <w:vMerge w:val="continue"/>
            <w:tcBorders>
              <w:tl2br w:val="nil"/>
              <w:tr2bl w:val="nil"/>
            </w:tcBorders>
            <w:vAlign w:val="center"/>
          </w:tcPr>
          <w:p w14:paraId="073A8E75">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4B9C3CC1">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2EFCCFC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0.1mg/kg</w:t>
            </w:r>
          </w:p>
        </w:tc>
      </w:tr>
      <w:tr w14:paraId="2B8B0970">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16" w:hRule="atLeast"/>
        </w:trPr>
        <w:tc>
          <w:tcPr>
            <w:tcW w:w="542" w:type="dxa"/>
            <w:vMerge w:val="continue"/>
            <w:tcBorders>
              <w:tl2br w:val="nil"/>
              <w:tr2bl w:val="nil"/>
            </w:tcBorders>
            <w:vAlign w:val="center"/>
          </w:tcPr>
          <w:p w14:paraId="7CEE1CE4">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3CC1F94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苯并〔a〕芘</w:t>
            </w:r>
          </w:p>
        </w:tc>
        <w:tc>
          <w:tcPr>
            <w:tcW w:w="4176" w:type="dxa"/>
            <w:vMerge w:val="continue"/>
            <w:tcBorders>
              <w:tl2br w:val="nil"/>
              <w:tr2bl w:val="nil"/>
            </w:tcBorders>
            <w:vAlign w:val="center"/>
          </w:tcPr>
          <w:p w14:paraId="6B208FB3">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2F31B0FB">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50C9334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0.1mg/kg</w:t>
            </w:r>
          </w:p>
        </w:tc>
      </w:tr>
      <w:tr w14:paraId="20172895">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87" w:hRule="atLeast"/>
        </w:trPr>
        <w:tc>
          <w:tcPr>
            <w:tcW w:w="542" w:type="dxa"/>
            <w:vMerge w:val="continue"/>
            <w:tcBorders>
              <w:tl2br w:val="nil"/>
              <w:tr2bl w:val="nil"/>
            </w:tcBorders>
            <w:vAlign w:val="center"/>
          </w:tcPr>
          <w:p w14:paraId="06B6C1C4">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20365AF9">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茚并〔1,2,3-cd〕芘</w:t>
            </w:r>
          </w:p>
        </w:tc>
        <w:tc>
          <w:tcPr>
            <w:tcW w:w="4176" w:type="dxa"/>
            <w:vMerge w:val="continue"/>
            <w:tcBorders>
              <w:tl2br w:val="nil"/>
              <w:tr2bl w:val="nil"/>
            </w:tcBorders>
            <w:vAlign w:val="center"/>
          </w:tcPr>
          <w:p w14:paraId="43E14894">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7179B472">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504B743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0.1mg/kg</w:t>
            </w:r>
          </w:p>
        </w:tc>
      </w:tr>
      <w:tr w14:paraId="240843FF">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90" w:hRule="atLeast"/>
        </w:trPr>
        <w:tc>
          <w:tcPr>
            <w:tcW w:w="542" w:type="dxa"/>
            <w:vMerge w:val="continue"/>
            <w:tcBorders>
              <w:tl2br w:val="nil"/>
              <w:tr2bl w:val="nil"/>
            </w:tcBorders>
            <w:vAlign w:val="center"/>
          </w:tcPr>
          <w:p w14:paraId="3424542F">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728D1389">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二苯并〔a,h〕蒽</w:t>
            </w:r>
          </w:p>
        </w:tc>
        <w:tc>
          <w:tcPr>
            <w:tcW w:w="4176" w:type="dxa"/>
            <w:vMerge w:val="continue"/>
            <w:tcBorders>
              <w:tl2br w:val="nil"/>
              <w:tr2bl w:val="nil"/>
            </w:tcBorders>
            <w:vAlign w:val="center"/>
          </w:tcPr>
          <w:p w14:paraId="35606BCB">
            <w:pPr>
              <w:bidi w:val="0"/>
              <w:jc w:val="center"/>
              <w:rPr>
                <w:rFonts w:hint="default" w:ascii="Times New Roman" w:hAnsi="Times New Roman" w:eastAsia="宋体" w:cs="Times New Roman"/>
                <w:color w:val="auto"/>
                <w:sz w:val="21"/>
                <w:szCs w:val="21"/>
                <w:highlight w:val="none"/>
              </w:rPr>
            </w:pPr>
          </w:p>
        </w:tc>
        <w:tc>
          <w:tcPr>
            <w:tcW w:w="1316" w:type="dxa"/>
            <w:vMerge w:val="continue"/>
            <w:tcBorders>
              <w:tl2br w:val="nil"/>
              <w:tr2bl w:val="nil"/>
            </w:tcBorders>
            <w:vAlign w:val="center"/>
          </w:tcPr>
          <w:p w14:paraId="4725A0C5">
            <w:pPr>
              <w:bidi w:val="0"/>
              <w:jc w:val="center"/>
              <w:rPr>
                <w:rFonts w:hint="default" w:ascii="Times New Roman" w:hAnsi="Times New Roman" w:eastAsia="宋体" w:cs="Times New Roman"/>
                <w:color w:val="auto"/>
                <w:sz w:val="21"/>
                <w:szCs w:val="21"/>
                <w:highlight w:val="none"/>
              </w:rPr>
            </w:pPr>
          </w:p>
        </w:tc>
        <w:tc>
          <w:tcPr>
            <w:tcW w:w="1169" w:type="dxa"/>
            <w:tcBorders>
              <w:tl2br w:val="nil"/>
              <w:tr2bl w:val="nil"/>
            </w:tcBorders>
            <w:vAlign w:val="center"/>
          </w:tcPr>
          <w:p w14:paraId="7069383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0.1mg/kg</w:t>
            </w:r>
          </w:p>
        </w:tc>
      </w:tr>
      <w:tr w14:paraId="602E2AE2">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90" w:hRule="atLeast"/>
        </w:trPr>
        <w:tc>
          <w:tcPr>
            <w:tcW w:w="542" w:type="dxa"/>
            <w:vMerge w:val="continue"/>
            <w:tcBorders>
              <w:tl2br w:val="nil"/>
              <w:tr2bl w:val="nil"/>
            </w:tcBorders>
            <w:vAlign w:val="center"/>
          </w:tcPr>
          <w:p w14:paraId="3959020B">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4F392C26">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苯胺</w:t>
            </w:r>
          </w:p>
        </w:tc>
        <w:tc>
          <w:tcPr>
            <w:tcW w:w="4176" w:type="dxa"/>
            <w:tcBorders>
              <w:tl2br w:val="nil"/>
              <w:tr2bl w:val="nil"/>
            </w:tcBorders>
            <w:vAlign w:val="center"/>
          </w:tcPr>
          <w:p w14:paraId="68B2962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土壤和沉积物</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苯胺的测定气相色谱-质谱法</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NJADT/OG-101/0-2020</w:t>
            </w:r>
          </w:p>
        </w:tc>
        <w:tc>
          <w:tcPr>
            <w:tcW w:w="1316" w:type="dxa"/>
            <w:tcBorders>
              <w:tl2br w:val="nil"/>
              <w:tr2bl w:val="nil"/>
            </w:tcBorders>
            <w:vAlign w:val="center"/>
          </w:tcPr>
          <w:p w14:paraId="7F4FF78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气质联用仪</w:t>
            </w:r>
          </w:p>
        </w:tc>
        <w:tc>
          <w:tcPr>
            <w:tcW w:w="1169" w:type="dxa"/>
            <w:tcBorders>
              <w:tl2br w:val="nil"/>
              <w:tr2bl w:val="nil"/>
            </w:tcBorders>
            <w:vAlign w:val="center"/>
          </w:tcPr>
          <w:p w14:paraId="54D65E2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0.08mg/kg</w:t>
            </w:r>
          </w:p>
        </w:tc>
      </w:tr>
      <w:tr w14:paraId="43492DA7">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90" w:hRule="atLeast"/>
        </w:trPr>
        <w:tc>
          <w:tcPr>
            <w:tcW w:w="542" w:type="dxa"/>
            <w:vMerge w:val="continue"/>
            <w:tcBorders>
              <w:tl2br w:val="nil"/>
              <w:tr2bl w:val="nil"/>
            </w:tcBorders>
            <w:vAlign w:val="center"/>
          </w:tcPr>
          <w:p w14:paraId="4038DEAE">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426D2CF9">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4176" w:type="dxa"/>
            <w:tcBorders>
              <w:tl2br w:val="nil"/>
              <w:tr2bl w:val="nil"/>
            </w:tcBorders>
            <w:vAlign w:val="center"/>
          </w:tcPr>
          <w:p w14:paraId="403DD91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pH值的测定</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电位法</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HJ962-2018</w:t>
            </w:r>
          </w:p>
        </w:tc>
        <w:tc>
          <w:tcPr>
            <w:tcW w:w="1316" w:type="dxa"/>
            <w:tcBorders>
              <w:tl2br w:val="nil"/>
              <w:tr2bl w:val="nil"/>
            </w:tcBorders>
            <w:vAlign w:val="center"/>
          </w:tcPr>
          <w:p w14:paraId="3D9D06D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pH计</w:t>
            </w:r>
          </w:p>
        </w:tc>
        <w:tc>
          <w:tcPr>
            <w:tcW w:w="1169" w:type="dxa"/>
            <w:tcBorders>
              <w:tl2br w:val="nil"/>
              <w:tr2bl w:val="nil"/>
            </w:tcBorders>
            <w:vAlign w:val="center"/>
          </w:tcPr>
          <w:p w14:paraId="3DC8EFDF">
            <w:pPr>
              <w:bidi w:val="0"/>
              <w:jc w:val="center"/>
              <w:rPr>
                <w:rFonts w:hint="default" w:ascii="Times New Roman" w:hAnsi="Times New Roman" w:eastAsia="宋体" w:cs="Times New Roman"/>
                <w:color w:val="auto"/>
                <w:sz w:val="21"/>
                <w:szCs w:val="21"/>
                <w:highlight w:val="none"/>
                <w:lang w:val="en-US" w:eastAsia="zh-CN"/>
              </w:rPr>
            </w:pPr>
            <w:sdt>
              <w:sdtPr>
                <w:rPr>
                  <w:color w:val="auto"/>
                </w:rPr>
                <w:alias w:val="标点符号检查"/>
                <w:tag w:val="auto"/>
                <w:id w:val="152624"/>
              </w:sdtPr>
              <w:sdtEndPr>
                <w:rPr>
                  <w:color w:val="auto"/>
                </w:rPr>
              </w:sdtEndPr>
              <w:sdtContent>
                <w:bookmarkStart w:id="1713" w:name="bkReivew152624"/>
                <w:r>
                  <w:rPr>
                    <w:rFonts w:hint="default" w:ascii="Times New Roman" w:hAnsi="Times New Roman" w:eastAsia="宋体" w:cs="Times New Roman"/>
                    <w:color w:val="auto"/>
                    <w:sz w:val="21"/>
                    <w:szCs w:val="21"/>
                    <w:highlight w:val="none"/>
                    <w:lang w:val="en-US" w:eastAsia="zh-CN"/>
                  </w:rPr>
                  <w:t>-</w:t>
                </w:r>
                <w:bookmarkEnd w:id="1713"/>
              </w:sdtContent>
            </w:sdt>
          </w:p>
        </w:tc>
      </w:tr>
      <w:tr w14:paraId="7596D7D2">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200" w:hRule="atLeast"/>
        </w:trPr>
        <w:tc>
          <w:tcPr>
            <w:tcW w:w="542" w:type="dxa"/>
            <w:vMerge w:val="continue"/>
            <w:tcBorders>
              <w:tl2br w:val="nil"/>
              <w:tr2bl w:val="nil"/>
            </w:tcBorders>
            <w:vAlign w:val="center"/>
          </w:tcPr>
          <w:p w14:paraId="16BF3D45">
            <w:pPr>
              <w:bidi w:val="0"/>
              <w:jc w:val="center"/>
              <w:rPr>
                <w:rFonts w:hint="default" w:ascii="Times New Roman" w:hAnsi="Times New Roman" w:eastAsia="宋体" w:cs="Times New Roman"/>
                <w:color w:val="auto"/>
                <w:sz w:val="21"/>
                <w:szCs w:val="21"/>
                <w:highlight w:val="none"/>
              </w:rPr>
            </w:pPr>
          </w:p>
        </w:tc>
        <w:tc>
          <w:tcPr>
            <w:tcW w:w="1560" w:type="dxa"/>
            <w:tcBorders>
              <w:tl2br w:val="nil"/>
              <w:tr2bl w:val="nil"/>
            </w:tcBorders>
            <w:vAlign w:val="center"/>
          </w:tcPr>
          <w:p w14:paraId="51108A3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石油烃</w:t>
            </w:r>
          </w:p>
          <w:p w14:paraId="3D3B304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（C10~C40）</w:t>
            </w:r>
          </w:p>
        </w:tc>
        <w:tc>
          <w:tcPr>
            <w:tcW w:w="4176" w:type="dxa"/>
            <w:tcBorders>
              <w:tl2br w:val="nil"/>
              <w:tr2bl w:val="nil"/>
            </w:tcBorders>
            <w:vAlign w:val="center"/>
          </w:tcPr>
          <w:p w14:paraId="4F933361">
            <w:pPr>
              <w:bidi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土壤和沉积物</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石油烃（C10~C40）的测定气相色谱法</w:t>
            </w:r>
            <w:r>
              <w:rPr>
                <w:rFonts w:hint="eastAsia" w:ascii="Times New Roman" w:hAnsi="Times New Roman" w:eastAsia="宋体" w:cs="Times New Roman"/>
                <w:color w:val="auto"/>
                <w:sz w:val="21"/>
                <w:szCs w:val="21"/>
                <w:highlight w:val="none"/>
                <w:lang w:val="en-US" w:eastAsia="zh-CN"/>
              </w:rPr>
              <w:t>》</w:t>
            </w:r>
          </w:p>
        </w:tc>
        <w:tc>
          <w:tcPr>
            <w:tcW w:w="1316" w:type="dxa"/>
            <w:tcBorders>
              <w:tl2br w:val="nil"/>
              <w:tr2bl w:val="nil"/>
            </w:tcBorders>
            <w:vAlign w:val="center"/>
          </w:tcPr>
          <w:p w14:paraId="3738F1A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气相色谱仪</w:t>
            </w:r>
          </w:p>
        </w:tc>
        <w:tc>
          <w:tcPr>
            <w:tcW w:w="1169" w:type="dxa"/>
            <w:tcBorders>
              <w:tl2br w:val="nil"/>
              <w:tr2bl w:val="nil"/>
            </w:tcBorders>
            <w:vAlign w:val="center"/>
          </w:tcPr>
          <w:p w14:paraId="207E43B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6mg/kg</w:t>
            </w:r>
          </w:p>
        </w:tc>
      </w:tr>
    </w:tbl>
    <w:p w14:paraId="09756593">
      <w:pPr>
        <w:spacing w:before="192" w:line="218" w:lineRule="auto"/>
        <w:ind w:left="236"/>
        <w:rPr>
          <w:rFonts w:ascii="宋体" w:hAnsi="宋体" w:eastAsia="宋体" w:cs="宋体"/>
          <w:color w:val="auto"/>
          <w:sz w:val="24"/>
          <w:szCs w:val="24"/>
        </w:rPr>
      </w:pPr>
      <w:r>
        <w:rPr>
          <w:color w:val="auto"/>
        </w:rPr>
        <w:fldChar w:fldCharType="begin"/>
      </w:r>
      <w:r>
        <w:rPr>
          <w:color w:val="auto"/>
        </w:rPr>
        <w:instrText xml:space="preserve"> HYPERLINK "6.3.5.2" </w:instrText>
      </w:r>
      <w:r>
        <w:rPr>
          <w:color w:val="auto"/>
        </w:rPr>
        <w:fldChar w:fldCharType="separate"/>
      </w:r>
      <w:r>
        <w:rPr>
          <w:rFonts w:ascii="Times New Roman" w:hAnsi="Times New Roman" w:eastAsia="Times New Roman" w:cs="Times New Roman"/>
          <w:b/>
          <w:bCs/>
          <w:color w:val="auto"/>
          <w:spacing w:val="-2"/>
          <w:sz w:val="24"/>
          <w:szCs w:val="24"/>
        </w:rPr>
        <w:t>6.3.5.2</w:t>
      </w:r>
      <w:r>
        <w:rPr>
          <w:rFonts w:ascii="Times New Roman" w:hAnsi="Times New Roman" w:eastAsia="Times New Roman" w:cs="Times New Roman"/>
          <w:b/>
          <w:bCs/>
          <w:color w:val="auto"/>
          <w:spacing w:val="-2"/>
          <w:sz w:val="24"/>
          <w:szCs w:val="24"/>
        </w:rPr>
        <w:fldChar w:fldCharType="end"/>
      </w:r>
      <w:r>
        <w:rPr>
          <w:rFonts w:ascii="宋体" w:hAnsi="宋体" w:eastAsia="宋体" w:cs="宋体"/>
          <w:b/>
          <w:bCs/>
          <w:color w:val="auto"/>
          <w:spacing w:val="-2"/>
          <w:sz w:val="24"/>
          <w:szCs w:val="24"/>
        </w:rPr>
        <w:t>现状监测结果与评价</w:t>
      </w:r>
      <w:bookmarkStart w:id="1714" w:name="pindex10452"/>
      <w:bookmarkEnd w:id="1714"/>
    </w:p>
    <w:p w14:paraId="29E94565">
      <w:pPr>
        <w:spacing w:before="181" w:line="220" w:lineRule="auto"/>
        <w:ind w:left="718"/>
        <w:rPr>
          <w:rFonts w:ascii="宋体" w:hAnsi="宋体" w:eastAsia="宋体" w:cs="宋体"/>
          <w:color w:val="auto"/>
          <w:sz w:val="24"/>
          <w:szCs w:val="24"/>
        </w:rPr>
      </w:pPr>
      <w:r>
        <w:rPr>
          <w:rFonts w:ascii="宋体" w:hAnsi="宋体" w:eastAsia="宋体" w:cs="宋体"/>
          <w:color w:val="auto"/>
          <w:spacing w:val="-2"/>
          <w:sz w:val="24"/>
          <w:szCs w:val="24"/>
        </w:rPr>
        <w:t>土壤监测结果见表</w:t>
      </w:r>
      <w:r>
        <w:rPr>
          <w:rFonts w:ascii="Times New Roman" w:hAnsi="Times New Roman" w:eastAsia="Times New Roman" w:cs="Times New Roman"/>
          <w:color w:val="auto"/>
          <w:spacing w:val="-2"/>
          <w:sz w:val="24"/>
          <w:szCs w:val="24"/>
        </w:rPr>
        <w:t>6.3-</w:t>
      </w:r>
      <w:r>
        <w:rPr>
          <w:rFonts w:hint="eastAsia" w:ascii="Times New Roman" w:hAnsi="Times New Roman" w:eastAsia="宋体" w:cs="Times New Roman"/>
          <w:color w:val="auto"/>
          <w:spacing w:val="-2"/>
          <w:sz w:val="24"/>
          <w:szCs w:val="24"/>
          <w:lang w:val="en-US" w:eastAsia="zh-CN"/>
        </w:rPr>
        <w:t>24</w:t>
      </w:r>
      <w:r>
        <w:rPr>
          <w:rFonts w:ascii="宋体" w:hAnsi="宋体" w:eastAsia="宋体" w:cs="宋体"/>
          <w:color w:val="auto"/>
          <w:spacing w:val="-2"/>
          <w:sz w:val="24"/>
          <w:szCs w:val="24"/>
        </w:rPr>
        <w:t>至</w:t>
      </w:r>
      <w:r>
        <w:rPr>
          <w:rFonts w:ascii="Times New Roman" w:hAnsi="Times New Roman" w:eastAsia="Times New Roman" w:cs="Times New Roman"/>
          <w:color w:val="auto"/>
          <w:spacing w:val="-2"/>
          <w:sz w:val="24"/>
          <w:szCs w:val="24"/>
        </w:rPr>
        <w:t>6.3-</w:t>
      </w:r>
      <w:r>
        <w:rPr>
          <w:rFonts w:hint="eastAsia" w:ascii="Times New Roman" w:hAnsi="Times New Roman" w:eastAsia="宋体" w:cs="Times New Roman"/>
          <w:color w:val="auto"/>
          <w:spacing w:val="-2"/>
          <w:sz w:val="24"/>
          <w:szCs w:val="24"/>
          <w:lang w:val="en-US" w:eastAsia="zh-CN"/>
        </w:rPr>
        <w:t>26</w:t>
      </w:r>
      <w:r>
        <w:rPr>
          <w:rFonts w:ascii="宋体" w:hAnsi="宋体" w:eastAsia="宋体" w:cs="宋体"/>
          <w:color w:val="auto"/>
          <w:spacing w:val="-2"/>
          <w:sz w:val="24"/>
          <w:szCs w:val="24"/>
        </w:rPr>
        <w:t>。</w:t>
      </w:r>
    </w:p>
    <w:p w14:paraId="239597D8">
      <w:pPr>
        <w:spacing w:before="183" w:line="352" w:lineRule="auto"/>
        <w:ind w:left="237" w:right="226" w:firstLine="494"/>
        <w:rPr>
          <w:rFonts w:ascii="宋体" w:hAnsi="宋体" w:eastAsia="宋体" w:cs="宋体"/>
          <w:color w:val="auto"/>
          <w:sz w:val="24"/>
          <w:szCs w:val="24"/>
          <w:highlight w:val="yellow"/>
        </w:rPr>
      </w:pPr>
    </w:p>
    <w:p w14:paraId="432F692A">
      <w:pPr>
        <w:spacing w:line="352" w:lineRule="auto"/>
        <w:rPr>
          <w:rFonts w:ascii="宋体" w:hAnsi="宋体" w:eastAsia="宋体" w:cs="宋体"/>
          <w:color w:val="auto"/>
          <w:sz w:val="24"/>
          <w:szCs w:val="24"/>
        </w:rPr>
        <w:sectPr>
          <w:headerReference r:id="rId28" w:type="default"/>
          <w:footerReference r:id="rId29" w:type="default"/>
          <w:pgSz w:w="11907" w:h="16839"/>
          <w:pgMar w:top="1175" w:right="1570" w:bottom="1622" w:left="1572" w:header="862" w:footer="1445" w:gutter="0"/>
          <w:pgBorders>
            <w:top w:val="none" w:sz="0" w:space="0"/>
            <w:left w:val="none" w:sz="0" w:space="0"/>
            <w:bottom w:val="none" w:sz="0" w:space="0"/>
            <w:right w:val="none" w:sz="0" w:space="0"/>
          </w:pgBorders>
          <w:pgNumType w:fmt="decimal"/>
          <w:cols w:space="720" w:num="1"/>
        </w:sectPr>
      </w:pPr>
    </w:p>
    <w:p w14:paraId="1427F534">
      <w:pPr>
        <w:keepNext w:val="0"/>
        <w:keepLines w:val="0"/>
        <w:pageBreakBefore w:val="0"/>
        <w:widowControl/>
        <w:kinsoku w:val="0"/>
        <w:wordWrap/>
        <w:overflowPunct/>
        <w:topLinePunct w:val="0"/>
        <w:autoSpaceDE w:val="0"/>
        <w:autoSpaceDN w:val="0"/>
        <w:bidi w:val="0"/>
        <w:adjustRightInd w:val="0"/>
        <w:snapToGrid w:val="0"/>
        <w:spacing w:before="78" w:line="240" w:lineRule="auto"/>
        <w:ind w:left="5471"/>
        <w:textAlignment w:val="baseline"/>
        <w:rPr>
          <w:rFonts w:ascii="宋体" w:hAnsi="宋体" w:eastAsia="宋体" w:cs="宋体"/>
          <w:color w:val="auto"/>
          <w:sz w:val="24"/>
          <w:szCs w:val="24"/>
        </w:rPr>
      </w:pPr>
      <w:r>
        <w:rPr>
          <w:rFonts w:ascii="宋体" w:hAnsi="宋体" w:eastAsia="宋体" w:cs="宋体"/>
          <w:b/>
          <w:bCs/>
          <w:color w:val="auto"/>
          <w:spacing w:val="-2"/>
          <w:sz w:val="24"/>
          <w:szCs w:val="24"/>
        </w:rPr>
        <w:t>表</w:t>
      </w:r>
      <w:r>
        <w:rPr>
          <w:rFonts w:ascii="Times New Roman" w:hAnsi="Times New Roman" w:eastAsia="Times New Roman" w:cs="Times New Roman"/>
          <w:b/>
          <w:bCs/>
          <w:color w:val="auto"/>
          <w:spacing w:val="-2"/>
          <w:sz w:val="24"/>
          <w:szCs w:val="24"/>
        </w:rPr>
        <w:t>6.3-</w:t>
      </w:r>
      <w:r>
        <w:rPr>
          <w:rFonts w:hint="eastAsia" w:ascii="Times New Roman" w:hAnsi="Times New Roman" w:eastAsia="宋体" w:cs="Times New Roman"/>
          <w:b/>
          <w:bCs/>
          <w:color w:val="auto"/>
          <w:spacing w:val="-2"/>
          <w:sz w:val="24"/>
          <w:szCs w:val="24"/>
          <w:lang w:val="en-US" w:eastAsia="zh-CN"/>
        </w:rPr>
        <w:t xml:space="preserve">24  </w:t>
      </w:r>
      <w:r>
        <w:rPr>
          <w:rFonts w:ascii="宋体" w:hAnsi="宋体" w:eastAsia="宋体" w:cs="宋体"/>
          <w:b/>
          <w:bCs/>
          <w:color w:val="auto"/>
          <w:spacing w:val="-2"/>
          <w:sz w:val="24"/>
          <w:szCs w:val="24"/>
        </w:rPr>
        <w:t>土壤环境监测结果</w:t>
      </w:r>
      <w:bookmarkStart w:id="1715" w:name="pindex10456"/>
      <w:bookmarkEnd w:id="1715"/>
    </w:p>
    <w:tbl>
      <w:tblPr>
        <w:tblStyle w:val="26"/>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53"/>
        <w:gridCol w:w="767"/>
        <w:gridCol w:w="715"/>
        <w:gridCol w:w="715"/>
        <w:gridCol w:w="715"/>
        <w:gridCol w:w="715"/>
        <w:gridCol w:w="715"/>
        <w:gridCol w:w="715"/>
        <w:gridCol w:w="717"/>
        <w:gridCol w:w="713"/>
        <w:gridCol w:w="715"/>
        <w:gridCol w:w="715"/>
        <w:gridCol w:w="715"/>
        <w:gridCol w:w="715"/>
        <w:gridCol w:w="715"/>
        <w:gridCol w:w="722"/>
        <w:gridCol w:w="609"/>
        <w:gridCol w:w="665"/>
        <w:gridCol w:w="701"/>
      </w:tblGrid>
      <w:tr w14:paraId="1284C3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447" w:type="pct"/>
            <w:vMerge w:val="restart"/>
            <w:tcBorders>
              <w:top w:val="single" w:color="000000" w:sz="10" w:space="0"/>
              <w:left w:val="nil"/>
              <w:bottom w:val="nil"/>
            </w:tcBorders>
            <w:vAlign w:val="center"/>
          </w:tcPr>
          <w:p w14:paraId="4B29207E">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监测点位</w:t>
            </w:r>
          </w:p>
        </w:tc>
        <w:tc>
          <w:tcPr>
            <w:tcW w:w="273" w:type="pct"/>
            <w:vMerge w:val="restart"/>
            <w:tcBorders>
              <w:top w:val="single" w:color="000000" w:sz="10" w:space="0"/>
              <w:bottom w:val="nil"/>
            </w:tcBorders>
            <w:vAlign w:val="center"/>
          </w:tcPr>
          <w:p w14:paraId="7D8B856E">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255" w:type="pct"/>
            <w:tcBorders>
              <w:top w:val="single" w:color="000000" w:sz="10" w:space="0"/>
            </w:tcBorders>
            <w:vAlign w:val="center"/>
          </w:tcPr>
          <w:p w14:paraId="7A3971B7">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T1</w:t>
            </w:r>
          </w:p>
        </w:tc>
        <w:tc>
          <w:tcPr>
            <w:tcW w:w="765" w:type="pct"/>
            <w:gridSpan w:val="3"/>
            <w:tcBorders>
              <w:top w:val="single" w:color="000000" w:sz="10" w:space="0"/>
            </w:tcBorders>
            <w:vAlign w:val="center"/>
          </w:tcPr>
          <w:p w14:paraId="76B32AAE">
            <w:pPr>
              <w:bidi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val="en-US" w:eastAsia="zh-CN"/>
              </w:rPr>
              <w:t>T2</w:t>
            </w:r>
          </w:p>
        </w:tc>
        <w:tc>
          <w:tcPr>
            <w:tcW w:w="766" w:type="pct"/>
            <w:gridSpan w:val="3"/>
            <w:tcBorders>
              <w:top w:val="single" w:color="000000" w:sz="10" w:space="0"/>
            </w:tcBorders>
            <w:vAlign w:val="center"/>
          </w:tcPr>
          <w:p w14:paraId="10B636CD">
            <w:pPr>
              <w:bidi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val="en-US" w:eastAsia="zh-CN"/>
              </w:rPr>
              <w:t>T4</w:t>
            </w:r>
          </w:p>
        </w:tc>
        <w:tc>
          <w:tcPr>
            <w:tcW w:w="254" w:type="pct"/>
            <w:tcBorders>
              <w:top w:val="single" w:color="000000" w:sz="10" w:space="0"/>
            </w:tcBorders>
            <w:vAlign w:val="center"/>
          </w:tcPr>
          <w:p w14:paraId="6AC30EB0">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T5</w:t>
            </w:r>
          </w:p>
        </w:tc>
        <w:tc>
          <w:tcPr>
            <w:tcW w:w="765" w:type="pct"/>
            <w:gridSpan w:val="3"/>
            <w:tcBorders>
              <w:top w:val="single" w:color="000000" w:sz="10" w:space="0"/>
            </w:tcBorders>
            <w:vAlign w:val="center"/>
          </w:tcPr>
          <w:p w14:paraId="10B5CE9B">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T7</w:t>
            </w:r>
          </w:p>
        </w:tc>
        <w:tc>
          <w:tcPr>
            <w:tcW w:w="767" w:type="pct"/>
            <w:gridSpan w:val="3"/>
            <w:tcBorders>
              <w:top w:val="single" w:color="000000" w:sz="10" w:space="0"/>
            </w:tcBorders>
            <w:vAlign w:val="center"/>
          </w:tcPr>
          <w:p w14:paraId="31C68EFE">
            <w:pPr>
              <w:bidi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val="en-US" w:eastAsia="zh-CN"/>
              </w:rPr>
              <w:t>T8</w:t>
            </w:r>
          </w:p>
        </w:tc>
        <w:tc>
          <w:tcPr>
            <w:tcW w:w="454" w:type="pct"/>
            <w:gridSpan w:val="2"/>
            <w:tcBorders>
              <w:top w:val="single" w:color="000000" w:sz="10" w:space="0"/>
            </w:tcBorders>
            <w:vAlign w:val="center"/>
          </w:tcPr>
          <w:p w14:paraId="0E118B21">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标准值mg/kg</w:t>
            </w:r>
          </w:p>
        </w:tc>
        <w:tc>
          <w:tcPr>
            <w:tcW w:w="250" w:type="pct"/>
            <w:vMerge w:val="restart"/>
            <w:tcBorders>
              <w:top w:val="single" w:color="000000" w:sz="10" w:space="0"/>
              <w:bottom w:val="nil"/>
              <w:right w:val="nil"/>
            </w:tcBorders>
            <w:vAlign w:val="center"/>
          </w:tcPr>
          <w:p w14:paraId="354127FC">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14:paraId="7333BC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6" w:hRule="atLeast"/>
        </w:trPr>
        <w:tc>
          <w:tcPr>
            <w:tcW w:w="447" w:type="pct"/>
            <w:vMerge w:val="continue"/>
            <w:tcBorders>
              <w:top w:val="nil"/>
              <w:left w:val="nil"/>
            </w:tcBorders>
            <w:vAlign w:val="center"/>
          </w:tcPr>
          <w:p w14:paraId="0A735F0D">
            <w:pPr>
              <w:bidi w:val="0"/>
              <w:jc w:val="center"/>
              <w:rPr>
                <w:rFonts w:hint="default" w:ascii="Times New Roman" w:hAnsi="Times New Roman" w:eastAsia="宋体" w:cs="Times New Roman"/>
                <w:b/>
                <w:bCs/>
                <w:color w:val="auto"/>
                <w:sz w:val="21"/>
                <w:szCs w:val="21"/>
              </w:rPr>
            </w:pPr>
          </w:p>
        </w:tc>
        <w:tc>
          <w:tcPr>
            <w:tcW w:w="273" w:type="pct"/>
            <w:vMerge w:val="continue"/>
            <w:tcBorders>
              <w:top w:val="nil"/>
            </w:tcBorders>
            <w:vAlign w:val="center"/>
          </w:tcPr>
          <w:p w14:paraId="737AABEB">
            <w:pPr>
              <w:bidi w:val="0"/>
              <w:jc w:val="center"/>
              <w:rPr>
                <w:rFonts w:hint="default" w:ascii="Times New Roman" w:hAnsi="Times New Roman" w:eastAsia="宋体" w:cs="Times New Roman"/>
                <w:b/>
                <w:bCs/>
                <w:color w:val="auto"/>
                <w:sz w:val="21"/>
                <w:szCs w:val="21"/>
              </w:rPr>
            </w:pPr>
          </w:p>
        </w:tc>
        <w:tc>
          <w:tcPr>
            <w:tcW w:w="255" w:type="pct"/>
            <w:vAlign w:val="center"/>
          </w:tcPr>
          <w:p w14:paraId="25838F42">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m</w:t>
            </w:r>
          </w:p>
        </w:tc>
        <w:tc>
          <w:tcPr>
            <w:tcW w:w="255" w:type="pct"/>
            <w:vAlign w:val="center"/>
          </w:tcPr>
          <w:p w14:paraId="398A4D7C">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m</w:t>
            </w:r>
          </w:p>
        </w:tc>
        <w:tc>
          <w:tcPr>
            <w:tcW w:w="255" w:type="pct"/>
            <w:vAlign w:val="center"/>
          </w:tcPr>
          <w:p w14:paraId="424DF25D">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0.5</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1.5m</w:t>
            </w:r>
          </w:p>
        </w:tc>
        <w:tc>
          <w:tcPr>
            <w:tcW w:w="255" w:type="pct"/>
            <w:vAlign w:val="center"/>
          </w:tcPr>
          <w:p w14:paraId="4F4C73BB">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1.5</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3.0m</w:t>
            </w:r>
          </w:p>
        </w:tc>
        <w:tc>
          <w:tcPr>
            <w:tcW w:w="255" w:type="pct"/>
            <w:vAlign w:val="center"/>
          </w:tcPr>
          <w:p w14:paraId="0E9DE9F7">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m</w:t>
            </w:r>
          </w:p>
        </w:tc>
        <w:tc>
          <w:tcPr>
            <w:tcW w:w="255" w:type="pct"/>
            <w:vAlign w:val="center"/>
          </w:tcPr>
          <w:p w14:paraId="25963708">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0.5</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1.5m</w:t>
            </w:r>
          </w:p>
        </w:tc>
        <w:tc>
          <w:tcPr>
            <w:tcW w:w="255" w:type="pct"/>
            <w:vAlign w:val="center"/>
          </w:tcPr>
          <w:p w14:paraId="2A98D98C">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1.5</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3.0m</w:t>
            </w:r>
          </w:p>
        </w:tc>
        <w:tc>
          <w:tcPr>
            <w:tcW w:w="254" w:type="pct"/>
            <w:vAlign w:val="center"/>
          </w:tcPr>
          <w:p w14:paraId="54AF97F0">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m</w:t>
            </w:r>
          </w:p>
        </w:tc>
        <w:tc>
          <w:tcPr>
            <w:tcW w:w="255" w:type="pct"/>
            <w:vAlign w:val="center"/>
          </w:tcPr>
          <w:p w14:paraId="4CD0D3FD">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m</w:t>
            </w:r>
          </w:p>
        </w:tc>
        <w:tc>
          <w:tcPr>
            <w:tcW w:w="255" w:type="pct"/>
            <w:vAlign w:val="center"/>
          </w:tcPr>
          <w:p w14:paraId="5AAD5B6B">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0.5</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1.5m</w:t>
            </w:r>
          </w:p>
        </w:tc>
        <w:tc>
          <w:tcPr>
            <w:tcW w:w="255" w:type="pct"/>
            <w:vAlign w:val="center"/>
          </w:tcPr>
          <w:p w14:paraId="2713DF0C">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1.5</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3.0m</w:t>
            </w:r>
          </w:p>
        </w:tc>
        <w:tc>
          <w:tcPr>
            <w:tcW w:w="255" w:type="pct"/>
            <w:vAlign w:val="center"/>
          </w:tcPr>
          <w:p w14:paraId="5D5FA08B">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m</w:t>
            </w:r>
          </w:p>
        </w:tc>
        <w:tc>
          <w:tcPr>
            <w:tcW w:w="255" w:type="pct"/>
            <w:vAlign w:val="center"/>
          </w:tcPr>
          <w:p w14:paraId="57F36256">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0.5</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1.5m</w:t>
            </w:r>
          </w:p>
        </w:tc>
        <w:tc>
          <w:tcPr>
            <w:tcW w:w="257" w:type="pct"/>
            <w:vAlign w:val="center"/>
          </w:tcPr>
          <w:p w14:paraId="355A372F">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1.5</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3.0m</w:t>
            </w:r>
          </w:p>
        </w:tc>
        <w:tc>
          <w:tcPr>
            <w:tcW w:w="217" w:type="pct"/>
            <w:vAlign w:val="center"/>
          </w:tcPr>
          <w:p w14:paraId="23A26496">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Ⅰ类</w:t>
            </w:r>
          </w:p>
        </w:tc>
        <w:tc>
          <w:tcPr>
            <w:tcW w:w="237" w:type="pct"/>
            <w:vAlign w:val="center"/>
          </w:tcPr>
          <w:p w14:paraId="14E69F46">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Ⅱ类</w:t>
            </w:r>
          </w:p>
        </w:tc>
        <w:tc>
          <w:tcPr>
            <w:tcW w:w="250" w:type="pct"/>
            <w:vMerge w:val="continue"/>
            <w:tcBorders>
              <w:top w:val="nil"/>
              <w:right w:val="nil"/>
            </w:tcBorders>
            <w:vAlign w:val="center"/>
          </w:tcPr>
          <w:p w14:paraId="5D3E8FB8">
            <w:pPr>
              <w:bidi w:val="0"/>
              <w:jc w:val="center"/>
              <w:rPr>
                <w:rFonts w:hint="default" w:ascii="Times New Roman" w:hAnsi="Times New Roman" w:eastAsia="宋体" w:cs="Times New Roman"/>
                <w:b/>
                <w:bCs/>
                <w:color w:val="auto"/>
                <w:sz w:val="21"/>
                <w:szCs w:val="21"/>
              </w:rPr>
            </w:pPr>
          </w:p>
        </w:tc>
      </w:tr>
      <w:tr w14:paraId="785828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447" w:type="pct"/>
            <w:tcBorders>
              <w:left w:val="nil"/>
            </w:tcBorders>
            <w:vAlign w:val="center"/>
          </w:tcPr>
          <w:p w14:paraId="0798E18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pH值</w:t>
            </w:r>
          </w:p>
        </w:tc>
        <w:tc>
          <w:tcPr>
            <w:tcW w:w="273" w:type="pct"/>
            <w:vAlign w:val="center"/>
          </w:tcPr>
          <w:p w14:paraId="4868C35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无量纲</w:t>
            </w:r>
          </w:p>
        </w:tc>
        <w:tc>
          <w:tcPr>
            <w:tcW w:w="255" w:type="pct"/>
            <w:vAlign w:val="center"/>
          </w:tcPr>
          <w:p w14:paraId="4E5517A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7.39</w:t>
            </w:r>
          </w:p>
        </w:tc>
        <w:tc>
          <w:tcPr>
            <w:tcW w:w="255" w:type="pct"/>
            <w:vAlign w:val="center"/>
          </w:tcPr>
          <w:p w14:paraId="6A21495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7.28</w:t>
            </w:r>
          </w:p>
        </w:tc>
        <w:tc>
          <w:tcPr>
            <w:tcW w:w="255" w:type="pct"/>
            <w:vAlign w:val="center"/>
          </w:tcPr>
          <w:p w14:paraId="379F24A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7.19</w:t>
            </w:r>
          </w:p>
        </w:tc>
        <w:tc>
          <w:tcPr>
            <w:tcW w:w="255" w:type="pct"/>
            <w:vAlign w:val="center"/>
          </w:tcPr>
          <w:p w14:paraId="2A06104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7.40</w:t>
            </w:r>
          </w:p>
        </w:tc>
        <w:tc>
          <w:tcPr>
            <w:tcW w:w="255" w:type="pct"/>
            <w:vAlign w:val="center"/>
          </w:tcPr>
          <w:p w14:paraId="4C98E44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6.74</w:t>
            </w:r>
          </w:p>
        </w:tc>
        <w:tc>
          <w:tcPr>
            <w:tcW w:w="255" w:type="pct"/>
            <w:vAlign w:val="center"/>
          </w:tcPr>
          <w:p w14:paraId="72B0177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6.43</w:t>
            </w:r>
          </w:p>
        </w:tc>
        <w:tc>
          <w:tcPr>
            <w:tcW w:w="255" w:type="pct"/>
            <w:vAlign w:val="center"/>
          </w:tcPr>
          <w:p w14:paraId="65EAA02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6.03</w:t>
            </w:r>
          </w:p>
        </w:tc>
        <w:tc>
          <w:tcPr>
            <w:tcW w:w="254" w:type="pct"/>
            <w:vAlign w:val="center"/>
          </w:tcPr>
          <w:p w14:paraId="482889F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7.63</w:t>
            </w:r>
          </w:p>
        </w:tc>
        <w:tc>
          <w:tcPr>
            <w:tcW w:w="255" w:type="pct"/>
            <w:vAlign w:val="center"/>
          </w:tcPr>
          <w:p w14:paraId="004A207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7.59</w:t>
            </w:r>
          </w:p>
        </w:tc>
        <w:tc>
          <w:tcPr>
            <w:tcW w:w="255" w:type="pct"/>
            <w:vAlign w:val="center"/>
          </w:tcPr>
          <w:p w14:paraId="129F90F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7.83</w:t>
            </w:r>
          </w:p>
        </w:tc>
        <w:tc>
          <w:tcPr>
            <w:tcW w:w="255" w:type="pct"/>
            <w:vAlign w:val="center"/>
          </w:tcPr>
          <w:p w14:paraId="4486847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7.92</w:t>
            </w:r>
          </w:p>
        </w:tc>
        <w:tc>
          <w:tcPr>
            <w:tcW w:w="255" w:type="pct"/>
            <w:vAlign w:val="center"/>
          </w:tcPr>
          <w:p w14:paraId="7AD3B5B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8.09</w:t>
            </w:r>
          </w:p>
        </w:tc>
        <w:tc>
          <w:tcPr>
            <w:tcW w:w="255" w:type="pct"/>
            <w:vAlign w:val="center"/>
          </w:tcPr>
          <w:p w14:paraId="291535C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8.24</w:t>
            </w:r>
          </w:p>
        </w:tc>
        <w:tc>
          <w:tcPr>
            <w:tcW w:w="257" w:type="pct"/>
            <w:vAlign w:val="center"/>
          </w:tcPr>
          <w:p w14:paraId="758DCB4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8.25</w:t>
            </w:r>
          </w:p>
        </w:tc>
        <w:tc>
          <w:tcPr>
            <w:tcW w:w="217" w:type="pct"/>
            <w:vAlign w:val="center"/>
          </w:tcPr>
          <w:p w14:paraId="093EE42F">
            <w:pPr>
              <w:bidi w:val="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w:t>
            </w:r>
          </w:p>
        </w:tc>
        <w:tc>
          <w:tcPr>
            <w:tcW w:w="237" w:type="pct"/>
            <w:vAlign w:val="center"/>
          </w:tcPr>
          <w:p w14:paraId="7350A11F">
            <w:pPr>
              <w:bidi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250" w:type="pct"/>
            <w:tcBorders>
              <w:right w:val="nil"/>
            </w:tcBorders>
            <w:vAlign w:val="center"/>
          </w:tcPr>
          <w:p w14:paraId="667E6A1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CF7DA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447" w:type="pct"/>
            <w:tcBorders>
              <w:left w:val="nil"/>
            </w:tcBorders>
            <w:vAlign w:val="center"/>
          </w:tcPr>
          <w:p w14:paraId="0079F8F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汞</w:t>
            </w:r>
          </w:p>
        </w:tc>
        <w:tc>
          <w:tcPr>
            <w:tcW w:w="273" w:type="pct"/>
            <w:vAlign w:val="center"/>
          </w:tcPr>
          <w:p w14:paraId="0967E18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0C0CF56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0.034</w:t>
            </w:r>
          </w:p>
        </w:tc>
        <w:tc>
          <w:tcPr>
            <w:tcW w:w="255" w:type="pct"/>
            <w:vAlign w:val="center"/>
          </w:tcPr>
          <w:p w14:paraId="09651D1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0.025</w:t>
            </w:r>
          </w:p>
        </w:tc>
        <w:tc>
          <w:tcPr>
            <w:tcW w:w="255" w:type="pct"/>
            <w:vAlign w:val="center"/>
          </w:tcPr>
          <w:p w14:paraId="1AB7254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0.027</w:t>
            </w:r>
          </w:p>
        </w:tc>
        <w:tc>
          <w:tcPr>
            <w:tcW w:w="255" w:type="pct"/>
            <w:vAlign w:val="center"/>
          </w:tcPr>
          <w:p w14:paraId="13F0A8A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0.031</w:t>
            </w:r>
          </w:p>
        </w:tc>
        <w:tc>
          <w:tcPr>
            <w:tcW w:w="255" w:type="pct"/>
            <w:vAlign w:val="center"/>
          </w:tcPr>
          <w:p w14:paraId="21BF7D5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0.032</w:t>
            </w:r>
          </w:p>
        </w:tc>
        <w:tc>
          <w:tcPr>
            <w:tcW w:w="255" w:type="pct"/>
            <w:vAlign w:val="center"/>
          </w:tcPr>
          <w:p w14:paraId="5BC8EF6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0.030</w:t>
            </w:r>
          </w:p>
        </w:tc>
        <w:tc>
          <w:tcPr>
            <w:tcW w:w="255" w:type="pct"/>
            <w:vAlign w:val="center"/>
          </w:tcPr>
          <w:p w14:paraId="0F1D298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0.035</w:t>
            </w:r>
          </w:p>
        </w:tc>
        <w:tc>
          <w:tcPr>
            <w:tcW w:w="254" w:type="pct"/>
            <w:vAlign w:val="center"/>
          </w:tcPr>
          <w:p w14:paraId="6D02C67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0.033</w:t>
            </w:r>
          </w:p>
        </w:tc>
        <w:tc>
          <w:tcPr>
            <w:tcW w:w="255" w:type="pct"/>
            <w:vAlign w:val="center"/>
          </w:tcPr>
          <w:p w14:paraId="1CB7170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0.029</w:t>
            </w:r>
          </w:p>
        </w:tc>
        <w:tc>
          <w:tcPr>
            <w:tcW w:w="255" w:type="pct"/>
            <w:vAlign w:val="center"/>
          </w:tcPr>
          <w:p w14:paraId="57A35AB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0.032</w:t>
            </w:r>
          </w:p>
        </w:tc>
        <w:tc>
          <w:tcPr>
            <w:tcW w:w="255" w:type="pct"/>
            <w:vAlign w:val="center"/>
          </w:tcPr>
          <w:p w14:paraId="493F48C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0.026</w:t>
            </w:r>
          </w:p>
        </w:tc>
        <w:tc>
          <w:tcPr>
            <w:tcW w:w="255" w:type="pct"/>
            <w:vAlign w:val="center"/>
          </w:tcPr>
          <w:p w14:paraId="68D01CB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0.031</w:t>
            </w:r>
          </w:p>
        </w:tc>
        <w:tc>
          <w:tcPr>
            <w:tcW w:w="255" w:type="pct"/>
            <w:vAlign w:val="center"/>
          </w:tcPr>
          <w:p w14:paraId="673204B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0.025</w:t>
            </w:r>
          </w:p>
        </w:tc>
        <w:tc>
          <w:tcPr>
            <w:tcW w:w="257" w:type="pct"/>
            <w:vAlign w:val="center"/>
          </w:tcPr>
          <w:p w14:paraId="48FBBB7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0.027</w:t>
            </w:r>
          </w:p>
        </w:tc>
        <w:tc>
          <w:tcPr>
            <w:tcW w:w="217" w:type="pct"/>
            <w:vAlign w:val="center"/>
          </w:tcPr>
          <w:p w14:paraId="5AD8434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237" w:type="pct"/>
            <w:vAlign w:val="center"/>
          </w:tcPr>
          <w:p w14:paraId="730258C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w:t>
            </w:r>
          </w:p>
        </w:tc>
        <w:tc>
          <w:tcPr>
            <w:tcW w:w="250" w:type="pct"/>
            <w:tcBorders>
              <w:right w:val="nil"/>
            </w:tcBorders>
            <w:vAlign w:val="center"/>
          </w:tcPr>
          <w:p w14:paraId="186E8A7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57A3F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47" w:type="pct"/>
            <w:tcBorders>
              <w:left w:val="nil"/>
            </w:tcBorders>
            <w:vAlign w:val="center"/>
          </w:tcPr>
          <w:p w14:paraId="44959CE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w:t>
            </w:r>
          </w:p>
        </w:tc>
        <w:tc>
          <w:tcPr>
            <w:tcW w:w="273" w:type="pct"/>
            <w:vAlign w:val="center"/>
          </w:tcPr>
          <w:p w14:paraId="7DBBB74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44D69DA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4.60</w:t>
            </w:r>
          </w:p>
        </w:tc>
        <w:tc>
          <w:tcPr>
            <w:tcW w:w="255" w:type="pct"/>
            <w:vAlign w:val="center"/>
          </w:tcPr>
          <w:p w14:paraId="325EAAA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5.49</w:t>
            </w:r>
          </w:p>
        </w:tc>
        <w:tc>
          <w:tcPr>
            <w:tcW w:w="255" w:type="pct"/>
            <w:vAlign w:val="center"/>
          </w:tcPr>
          <w:p w14:paraId="5F7F4A2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5.79</w:t>
            </w:r>
          </w:p>
        </w:tc>
        <w:tc>
          <w:tcPr>
            <w:tcW w:w="255" w:type="pct"/>
            <w:vAlign w:val="center"/>
          </w:tcPr>
          <w:p w14:paraId="62F077E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5.51</w:t>
            </w:r>
          </w:p>
        </w:tc>
        <w:tc>
          <w:tcPr>
            <w:tcW w:w="255" w:type="pct"/>
            <w:vAlign w:val="center"/>
          </w:tcPr>
          <w:p w14:paraId="00F7382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6.55</w:t>
            </w:r>
          </w:p>
        </w:tc>
        <w:tc>
          <w:tcPr>
            <w:tcW w:w="255" w:type="pct"/>
            <w:vAlign w:val="center"/>
          </w:tcPr>
          <w:p w14:paraId="1F40FE0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6.06</w:t>
            </w:r>
          </w:p>
        </w:tc>
        <w:tc>
          <w:tcPr>
            <w:tcW w:w="255" w:type="pct"/>
            <w:vAlign w:val="center"/>
          </w:tcPr>
          <w:p w14:paraId="3A99C03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5.74</w:t>
            </w:r>
          </w:p>
        </w:tc>
        <w:tc>
          <w:tcPr>
            <w:tcW w:w="254" w:type="pct"/>
            <w:vAlign w:val="center"/>
          </w:tcPr>
          <w:p w14:paraId="0709CA8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4.45</w:t>
            </w:r>
          </w:p>
        </w:tc>
        <w:tc>
          <w:tcPr>
            <w:tcW w:w="255" w:type="pct"/>
            <w:vAlign w:val="center"/>
          </w:tcPr>
          <w:p w14:paraId="50EDBDC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5.86</w:t>
            </w:r>
          </w:p>
        </w:tc>
        <w:tc>
          <w:tcPr>
            <w:tcW w:w="255" w:type="pct"/>
            <w:vAlign w:val="center"/>
          </w:tcPr>
          <w:p w14:paraId="6AFD7EE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6.16</w:t>
            </w:r>
          </w:p>
        </w:tc>
        <w:tc>
          <w:tcPr>
            <w:tcW w:w="255" w:type="pct"/>
            <w:vAlign w:val="center"/>
          </w:tcPr>
          <w:p w14:paraId="501CA42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6.21</w:t>
            </w:r>
          </w:p>
        </w:tc>
        <w:tc>
          <w:tcPr>
            <w:tcW w:w="255" w:type="pct"/>
            <w:vAlign w:val="center"/>
          </w:tcPr>
          <w:p w14:paraId="2613F35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6.13</w:t>
            </w:r>
          </w:p>
        </w:tc>
        <w:tc>
          <w:tcPr>
            <w:tcW w:w="255" w:type="pct"/>
            <w:vAlign w:val="center"/>
          </w:tcPr>
          <w:p w14:paraId="1DCEF40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6.87</w:t>
            </w:r>
          </w:p>
        </w:tc>
        <w:tc>
          <w:tcPr>
            <w:tcW w:w="257" w:type="pct"/>
            <w:vAlign w:val="center"/>
          </w:tcPr>
          <w:p w14:paraId="745D827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8.34</w:t>
            </w:r>
          </w:p>
        </w:tc>
        <w:tc>
          <w:tcPr>
            <w:tcW w:w="217" w:type="pct"/>
            <w:vAlign w:val="center"/>
          </w:tcPr>
          <w:p w14:paraId="1B3FEF8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237" w:type="pct"/>
            <w:vAlign w:val="center"/>
          </w:tcPr>
          <w:p w14:paraId="0D8515C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250" w:type="pct"/>
            <w:tcBorders>
              <w:right w:val="nil"/>
            </w:tcBorders>
            <w:vAlign w:val="center"/>
          </w:tcPr>
          <w:p w14:paraId="290AAB0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7C7D9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atLeast"/>
        </w:trPr>
        <w:tc>
          <w:tcPr>
            <w:tcW w:w="447" w:type="pct"/>
            <w:tcBorders>
              <w:left w:val="nil"/>
            </w:tcBorders>
            <w:vAlign w:val="center"/>
          </w:tcPr>
          <w:p w14:paraId="75E229F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p>
        </w:tc>
        <w:tc>
          <w:tcPr>
            <w:tcW w:w="273" w:type="pct"/>
            <w:vAlign w:val="center"/>
          </w:tcPr>
          <w:p w14:paraId="2EAF561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04576A8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37.2</w:t>
            </w:r>
          </w:p>
        </w:tc>
        <w:tc>
          <w:tcPr>
            <w:tcW w:w="255" w:type="pct"/>
            <w:vAlign w:val="center"/>
          </w:tcPr>
          <w:p w14:paraId="0BB396E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25.1 </w:t>
            </w:r>
          </w:p>
        </w:tc>
        <w:tc>
          <w:tcPr>
            <w:tcW w:w="255" w:type="pct"/>
            <w:vAlign w:val="center"/>
          </w:tcPr>
          <w:p w14:paraId="798C838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26.6 </w:t>
            </w:r>
          </w:p>
        </w:tc>
        <w:tc>
          <w:tcPr>
            <w:tcW w:w="255" w:type="pct"/>
            <w:vAlign w:val="center"/>
          </w:tcPr>
          <w:p w14:paraId="199B595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31.3 </w:t>
            </w:r>
          </w:p>
        </w:tc>
        <w:tc>
          <w:tcPr>
            <w:tcW w:w="255" w:type="pct"/>
            <w:vAlign w:val="center"/>
          </w:tcPr>
          <w:p w14:paraId="08B10D7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37.1 </w:t>
            </w:r>
          </w:p>
        </w:tc>
        <w:tc>
          <w:tcPr>
            <w:tcW w:w="255" w:type="pct"/>
            <w:vAlign w:val="center"/>
          </w:tcPr>
          <w:p w14:paraId="77A3356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39.9 </w:t>
            </w:r>
          </w:p>
        </w:tc>
        <w:tc>
          <w:tcPr>
            <w:tcW w:w="255" w:type="pct"/>
            <w:vAlign w:val="center"/>
          </w:tcPr>
          <w:p w14:paraId="3888EDF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36.8 </w:t>
            </w:r>
          </w:p>
        </w:tc>
        <w:tc>
          <w:tcPr>
            <w:tcW w:w="254" w:type="pct"/>
            <w:vAlign w:val="center"/>
          </w:tcPr>
          <w:p w14:paraId="3183915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43.3</w:t>
            </w:r>
          </w:p>
        </w:tc>
        <w:tc>
          <w:tcPr>
            <w:tcW w:w="255" w:type="pct"/>
            <w:vAlign w:val="center"/>
          </w:tcPr>
          <w:p w14:paraId="05C7DA2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28.0 </w:t>
            </w:r>
          </w:p>
        </w:tc>
        <w:tc>
          <w:tcPr>
            <w:tcW w:w="255" w:type="pct"/>
            <w:vAlign w:val="center"/>
          </w:tcPr>
          <w:p w14:paraId="0E5CA3F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31.1 </w:t>
            </w:r>
          </w:p>
        </w:tc>
        <w:tc>
          <w:tcPr>
            <w:tcW w:w="255" w:type="pct"/>
            <w:vAlign w:val="center"/>
          </w:tcPr>
          <w:p w14:paraId="22B368A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27.7 </w:t>
            </w:r>
          </w:p>
        </w:tc>
        <w:tc>
          <w:tcPr>
            <w:tcW w:w="255" w:type="pct"/>
            <w:vAlign w:val="center"/>
          </w:tcPr>
          <w:p w14:paraId="56A0B9F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26.4 </w:t>
            </w:r>
          </w:p>
        </w:tc>
        <w:tc>
          <w:tcPr>
            <w:tcW w:w="255" w:type="pct"/>
            <w:vAlign w:val="center"/>
          </w:tcPr>
          <w:p w14:paraId="419A426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25.5 </w:t>
            </w:r>
          </w:p>
        </w:tc>
        <w:tc>
          <w:tcPr>
            <w:tcW w:w="257" w:type="pct"/>
            <w:vAlign w:val="center"/>
          </w:tcPr>
          <w:p w14:paraId="26AECBF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22.8 </w:t>
            </w:r>
          </w:p>
        </w:tc>
        <w:tc>
          <w:tcPr>
            <w:tcW w:w="217" w:type="pct"/>
            <w:vAlign w:val="center"/>
          </w:tcPr>
          <w:p w14:paraId="3646F84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237" w:type="pct"/>
            <w:vAlign w:val="center"/>
          </w:tcPr>
          <w:p w14:paraId="6494A8C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250" w:type="pct"/>
            <w:tcBorders>
              <w:right w:val="nil"/>
            </w:tcBorders>
            <w:vAlign w:val="center"/>
          </w:tcPr>
          <w:p w14:paraId="17BCB55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688A8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447" w:type="pct"/>
            <w:tcBorders>
              <w:left w:val="nil"/>
            </w:tcBorders>
            <w:vAlign w:val="center"/>
          </w:tcPr>
          <w:p w14:paraId="212A4E4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镉</w:t>
            </w:r>
          </w:p>
        </w:tc>
        <w:tc>
          <w:tcPr>
            <w:tcW w:w="273" w:type="pct"/>
            <w:vAlign w:val="center"/>
          </w:tcPr>
          <w:p w14:paraId="6604D8A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48806D6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0.06</w:t>
            </w:r>
          </w:p>
        </w:tc>
        <w:tc>
          <w:tcPr>
            <w:tcW w:w="255" w:type="pct"/>
            <w:vAlign w:val="center"/>
          </w:tcPr>
          <w:p w14:paraId="2112C34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0.07 </w:t>
            </w:r>
          </w:p>
        </w:tc>
        <w:tc>
          <w:tcPr>
            <w:tcW w:w="255" w:type="pct"/>
            <w:vAlign w:val="center"/>
          </w:tcPr>
          <w:p w14:paraId="7F416B7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0.07 </w:t>
            </w:r>
          </w:p>
        </w:tc>
        <w:tc>
          <w:tcPr>
            <w:tcW w:w="255" w:type="pct"/>
            <w:vAlign w:val="center"/>
          </w:tcPr>
          <w:p w14:paraId="465DAC6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 </w:t>
            </w:r>
          </w:p>
        </w:tc>
        <w:tc>
          <w:tcPr>
            <w:tcW w:w="255" w:type="pct"/>
            <w:vAlign w:val="center"/>
          </w:tcPr>
          <w:p w14:paraId="0DC04C7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0.04 </w:t>
            </w:r>
          </w:p>
        </w:tc>
        <w:tc>
          <w:tcPr>
            <w:tcW w:w="255" w:type="pct"/>
            <w:vAlign w:val="center"/>
          </w:tcPr>
          <w:p w14:paraId="18D9B1F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0.04 </w:t>
            </w:r>
          </w:p>
        </w:tc>
        <w:tc>
          <w:tcPr>
            <w:tcW w:w="255" w:type="pct"/>
            <w:vAlign w:val="center"/>
          </w:tcPr>
          <w:p w14:paraId="79AB9DF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0.05 </w:t>
            </w:r>
          </w:p>
        </w:tc>
        <w:tc>
          <w:tcPr>
            <w:tcW w:w="254" w:type="pct"/>
            <w:vAlign w:val="center"/>
          </w:tcPr>
          <w:p w14:paraId="25C05A3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0.05</w:t>
            </w:r>
          </w:p>
        </w:tc>
        <w:tc>
          <w:tcPr>
            <w:tcW w:w="255" w:type="pct"/>
            <w:vAlign w:val="center"/>
          </w:tcPr>
          <w:p w14:paraId="696B87E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0.11 </w:t>
            </w:r>
          </w:p>
        </w:tc>
        <w:tc>
          <w:tcPr>
            <w:tcW w:w="255" w:type="pct"/>
            <w:vAlign w:val="center"/>
          </w:tcPr>
          <w:p w14:paraId="77C3BF2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0.10 </w:t>
            </w:r>
          </w:p>
        </w:tc>
        <w:tc>
          <w:tcPr>
            <w:tcW w:w="255" w:type="pct"/>
            <w:vAlign w:val="center"/>
          </w:tcPr>
          <w:p w14:paraId="3A40AD6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0.10 </w:t>
            </w:r>
          </w:p>
        </w:tc>
        <w:tc>
          <w:tcPr>
            <w:tcW w:w="255" w:type="pct"/>
            <w:vAlign w:val="center"/>
          </w:tcPr>
          <w:p w14:paraId="05EB46E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 </w:t>
            </w:r>
          </w:p>
        </w:tc>
        <w:tc>
          <w:tcPr>
            <w:tcW w:w="255" w:type="pct"/>
            <w:vAlign w:val="center"/>
          </w:tcPr>
          <w:p w14:paraId="39F803E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 </w:t>
            </w:r>
          </w:p>
        </w:tc>
        <w:tc>
          <w:tcPr>
            <w:tcW w:w="257" w:type="pct"/>
            <w:vAlign w:val="center"/>
          </w:tcPr>
          <w:p w14:paraId="57A1EE3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 </w:t>
            </w:r>
          </w:p>
        </w:tc>
        <w:tc>
          <w:tcPr>
            <w:tcW w:w="217" w:type="pct"/>
            <w:vAlign w:val="center"/>
          </w:tcPr>
          <w:p w14:paraId="39499A5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237" w:type="pct"/>
            <w:vAlign w:val="center"/>
          </w:tcPr>
          <w:p w14:paraId="2833A8C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w:t>
            </w:r>
          </w:p>
        </w:tc>
        <w:tc>
          <w:tcPr>
            <w:tcW w:w="250" w:type="pct"/>
            <w:tcBorders>
              <w:right w:val="nil"/>
            </w:tcBorders>
            <w:vAlign w:val="center"/>
          </w:tcPr>
          <w:p w14:paraId="41CDD9F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0C52A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447" w:type="pct"/>
            <w:tcBorders>
              <w:left w:val="nil"/>
            </w:tcBorders>
            <w:vAlign w:val="center"/>
          </w:tcPr>
          <w:p w14:paraId="2980840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铜</w:t>
            </w:r>
          </w:p>
        </w:tc>
        <w:tc>
          <w:tcPr>
            <w:tcW w:w="273" w:type="pct"/>
            <w:vAlign w:val="center"/>
          </w:tcPr>
          <w:p w14:paraId="00DBDCB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767D00C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w:t>
            </w:r>
            <w:r>
              <w:rPr>
                <w:rFonts w:hint="eastAsia" w:ascii="Times New Roman" w:hAnsi="Times New Roman" w:eastAsia="宋体" w:cs="Times New Roman"/>
                <w:i w:val="0"/>
                <w:iCs w:val="0"/>
                <w:color w:val="auto"/>
                <w:kern w:val="0"/>
                <w:sz w:val="21"/>
                <w:szCs w:val="21"/>
                <w:u w:val="none"/>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255" w:type="pct"/>
            <w:vAlign w:val="center"/>
          </w:tcPr>
          <w:p w14:paraId="0D8DF76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w:t>
            </w:r>
          </w:p>
        </w:tc>
        <w:tc>
          <w:tcPr>
            <w:tcW w:w="255" w:type="pct"/>
            <w:vAlign w:val="center"/>
          </w:tcPr>
          <w:p w14:paraId="1A341DE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w:t>
            </w:r>
          </w:p>
        </w:tc>
        <w:tc>
          <w:tcPr>
            <w:tcW w:w="255" w:type="pct"/>
            <w:vAlign w:val="center"/>
          </w:tcPr>
          <w:p w14:paraId="536D98D7">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i w:val="0"/>
                <w:iCs w:val="0"/>
                <w:color w:val="auto"/>
                <w:kern w:val="0"/>
                <w:sz w:val="21"/>
                <w:szCs w:val="21"/>
                <w:u w:val="none"/>
                <w:lang w:val="en-US" w:eastAsia="zh-CN" w:bidi="ar"/>
              </w:rPr>
              <w:t>40</w:t>
            </w:r>
          </w:p>
        </w:tc>
        <w:tc>
          <w:tcPr>
            <w:tcW w:w="255" w:type="pct"/>
            <w:vAlign w:val="center"/>
          </w:tcPr>
          <w:p w14:paraId="7F3EAC0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ascii="Times New Roman" w:hAnsi="Times New Roman" w:eastAsia="宋体" w:cs="Times New Roman"/>
                <w:i w:val="0"/>
                <w:iCs w:val="0"/>
                <w:color w:val="auto"/>
                <w:kern w:val="0"/>
                <w:sz w:val="21"/>
                <w:szCs w:val="21"/>
                <w:u w:val="none"/>
                <w:lang w:val="en-US" w:eastAsia="zh-CN" w:bidi="ar"/>
              </w:rPr>
              <w:t>1</w:t>
            </w:r>
          </w:p>
        </w:tc>
        <w:tc>
          <w:tcPr>
            <w:tcW w:w="255" w:type="pct"/>
            <w:vAlign w:val="center"/>
          </w:tcPr>
          <w:p w14:paraId="2DF3DD9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23</w:t>
            </w:r>
          </w:p>
        </w:tc>
        <w:tc>
          <w:tcPr>
            <w:tcW w:w="255" w:type="pct"/>
            <w:vAlign w:val="center"/>
          </w:tcPr>
          <w:p w14:paraId="765017F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ascii="Times New Roman" w:hAnsi="Times New Roman" w:eastAsia="宋体" w:cs="Times New Roman"/>
                <w:i w:val="0"/>
                <w:iCs w:val="0"/>
                <w:color w:val="auto"/>
                <w:kern w:val="0"/>
                <w:sz w:val="21"/>
                <w:szCs w:val="21"/>
                <w:u w:val="none"/>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254" w:type="pct"/>
            <w:vAlign w:val="center"/>
          </w:tcPr>
          <w:p w14:paraId="1F54C57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w:t>
            </w:r>
            <w:r>
              <w:rPr>
                <w:rFonts w:hint="eastAsia" w:ascii="Times New Roman" w:hAnsi="Times New Roman" w:eastAsia="宋体" w:cs="Times New Roman"/>
                <w:i w:val="0"/>
                <w:iCs w:val="0"/>
                <w:color w:val="auto"/>
                <w:kern w:val="0"/>
                <w:sz w:val="21"/>
                <w:szCs w:val="21"/>
                <w:u w:val="none"/>
                <w:lang w:val="en-US" w:eastAsia="zh-CN" w:bidi="ar"/>
              </w:rPr>
              <w:t>6</w:t>
            </w:r>
          </w:p>
        </w:tc>
        <w:tc>
          <w:tcPr>
            <w:tcW w:w="255" w:type="pct"/>
            <w:vAlign w:val="center"/>
          </w:tcPr>
          <w:p w14:paraId="795BAD1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37</w:t>
            </w:r>
          </w:p>
        </w:tc>
        <w:tc>
          <w:tcPr>
            <w:tcW w:w="255" w:type="pct"/>
            <w:vAlign w:val="center"/>
          </w:tcPr>
          <w:p w14:paraId="6879F98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39 </w:t>
            </w:r>
          </w:p>
        </w:tc>
        <w:tc>
          <w:tcPr>
            <w:tcW w:w="255" w:type="pct"/>
            <w:vAlign w:val="center"/>
          </w:tcPr>
          <w:p w14:paraId="1B35D03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w:t>
            </w:r>
          </w:p>
        </w:tc>
        <w:tc>
          <w:tcPr>
            <w:tcW w:w="255" w:type="pct"/>
            <w:vAlign w:val="center"/>
          </w:tcPr>
          <w:p w14:paraId="1C6A085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w:t>
            </w:r>
          </w:p>
        </w:tc>
        <w:tc>
          <w:tcPr>
            <w:tcW w:w="255" w:type="pct"/>
            <w:vAlign w:val="center"/>
          </w:tcPr>
          <w:p w14:paraId="47039E0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w:t>
            </w:r>
            <w:r>
              <w:rPr>
                <w:rFonts w:hint="eastAsia"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257" w:type="pct"/>
            <w:vAlign w:val="center"/>
          </w:tcPr>
          <w:p w14:paraId="7380B87D">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i w:val="0"/>
                <w:iCs w:val="0"/>
                <w:color w:val="auto"/>
                <w:kern w:val="0"/>
                <w:sz w:val="21"/>
                <w:szCs w:val="21"/>
                <w:u w:val="none"/>
                <w:lang w:val="en-US" w:eastAsia="zh-CN" w:bidi="ar"/>
              </w:rPr>
              <w:t>30</w:t>
            </w:r>
          </w:p>
        </w:tc>
        <w:tc>
          <w:tcPr>
            <w:tcW w:w="217" w:type="pct"/>
            <w:vAlign w:val="center"/>
          </w:tcPr>
          <w:p w14:paraId="14A444A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237" w:type="pct"/>
            <w:vAlign w:val="center"/>
          </w:tcPr>
          <w:p w14:paraId="6ECE27D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18000</w:t>
            </w:r>
          </w:p>
        </w:tc>
        <w:tc>
          <w:tcPr>
            <w:tcW w:w="250" w:type="pct"/>
            <w:tcBorders>
              <w:right w:val="nil"/>
            </w:tcBorders>
            <w:vAlign w:val="center"/>
          </w:tcPr>
          <w:p w14:paraId="372988A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699E4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atLeast"/>
        </w:trPr>
        <w:tc>
          <w:tcPr>
            <w:tcW w:w="447" w:type="pct"/>
            <w:tcBorders>
              <w:left w:val="nil"/>
            </w:tcBorders>
            <w:vAlign w:val="center"/>
          </w:tcPr>
          <w:p w14:paraId="5F72C0F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镍</w:t>
            </w:r>
          </w:p>
        </w:tc>
        <w:tc>
          <w:tcPr>
            <w:tcW w:w="273" w:type="pct"/>
            <w:vAlign w:val="center"/>
          </w:tcPr>
          <w:p w14:paraId="404FEA5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2180D6D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ascii="Times New Roman" w:hAnsi="Times New Roman" w:eastAsia="宋体" w:cs="Times New Roman"/>
                <w:i w:val="0"/>
                <w:iCs w:val="0"/>
                <w:color w:val="auto"/>
                <w:kern w:val="0"/>
                <w:sz w:val="21"/>
                <w:szCs w:val="21"/>
                <w:u w:val="none"/>
                <w:lang w:val="en-US" w:eastAsia="zh-CN" w:bidi="ar"/>
              </w:rPr>
              <w:t>6</w:t>
            </w:r>
          </w:p>
        </w:tc>
        <w:tc>
          <w:tcPr>
            <w:tcW w:w="255" w:type="pct"/>
            <w:vAlign w:val="center"/>
          </w:tcPr>
          <w:p w14:paraId="25EDA94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21 </w:t>
            </w:r>
          </w:p>
        </w:tc>
        <w:tc>
          <w:tcPr>
            <w:tcW w:w="255" w:type="pct"/>
            <w:vAlign w:val="center"/>
          </w:tcPr>
          <w:p w14:paraId="10DFC6A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ascii="Times New Roman" w:hAnsi="Times New Roman" w:eastAsia="宋体" w:cs="Times New Roman"/>
                <w:i w:val="0"/>
                <w:iCs w:val="0"/>
                <w:color w:val="auto"/>
                <w:kern w:val="0"/>
                <w:sz w:val="21"/>
                <w:szCs w:val="21"/>
                <w:u w:val="none"/>
                <w:lang w:val="en-US" w:eastAsia="zh-CN" w:bidi="ar"/>
              </w:rPr>
              <w:t>2</w:t>
            </w:r>
          </w:p>
        </w:tc>
        <w:tc>
          <w:tcPr>
            <w:tcW w:w="255" w:type="pct"/>
            <w:vAlign w:val="center"/>
          </w:tcPr>
          <w:p w14:paraId="40CF97E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ascii="Times New Roman" w:hAnsi="Times New Roman" w:eastAsia="宋体" w:cs="Times New Roman"/>
                <w:i w:val="0"/>
                <w:iCs w:val="0"/>
                <w:color w:val="auto"/>
                <w:kern w:val="0"/>
                <w:sz w:val="21"/>
                <w:szCs w:val="21"/>
                <w:u w:val="none"/>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255" w:type="pct"/>
            <w:vAlign w:val="center"/>
          </w:tcPr>
          <w:p w14:paraId="5E48B73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18 </w:t>
            </w:r>
          </w:p>
        </w:tc>
        <w:tc>
          <w:tcPr>
            <w:tcW w:w="255" w:type="pct"/>
            <w:vAlign w:val="center"/>
          </w:tcPr>
          <w:p w14:paraId="5B934C3B">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i w:val="0"/>
                <w:iCs w:val="0"/>
                <w:color w:val="auto"/>
                <w:kern w:val="0"/>
                <w:sz w:val="21"/>
                <w:szCs w:val="21"/>
                <w:u w:val="none"/>
                <w:lang w:val="en-US" w:eastAsia="zh-CN" w:bidi="ar"/>
              </w:rPr>
              <w:t>20</w:t>
            </w:r>
          </w:p>
        </w:tc>
        <w:tc>
          <w:tcPr>
            <w:tcW w:w="255" w:type="pct"/>
            <w:vAlign w:val="center"/>
          </w:tcPr>
          <w:p w14:paraId="53E181C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ascii="Times New Roman" w:hAnsi="Times New Roman" w:eastAsia="宋体" w:cs="Times New Roman"/>
                <w:i w:val="0"/>
                <w:iCs w:val="0"/>
                <w:color w:val="auto"/>
                <w:kern w:val="0"/>
                <w:sz w:val="21"/>
                <w:szCs w:val="21"/>
                <w:u w:val="none"/>
                <w:lang w:val="en-US" w:eastAsia="zh-CN" w:bidi="ar"/>
              </w:rPr>
              <w:t>1</w:t>
            </w:r>
          </w:p>
        </w:tc>
        <w:tc>
          <w:tcPr>
            <w:tcW w:w="254" w:type="pct"/>
            <w:vAlign w:val="center"/>
          </w:tcPr>
          <w:p w14:paraId="725F687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28</w:t>
            </w:r>
          </w:p>
        </w:tc>
        <w:tc>
          <w:tcPr>
            <w:tcW w:w="255" w:type="pct"/>
            <w:vAlign w:val="center"/>
          </w:tcPr>
          <w:p w14:paraId="42147B4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32</w:t>
            </w:r>
          </w:p>
        </w:tc>
        <w:tc>
          <w:tcPr>
            <w:tcW w:w="255" w:type="pct"/>
            <w:vAlign w:val="center"/>
          </w:tcPr>
          <w:p w14:paraId="41F55A1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w:t>
            </w:r>
          </w:p>
        </w:tc>
        <w:tc>
          <w:tcPr>
            <w:tcW w:w="255" w:type="pct"/>
            <w:vAlign w:val="center"/>
          </w:tcPr>
          <w:p w14:paraId="56F3DB0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w:t>
            </w:r>
            <w:r>
              <w:rPr>
                <w:rFonts w:hint="eastAsia" w:ascii="Times New Roman" w:hAnsi="Times New Roman" w:eastAsia="宋体" w:cs="Times New Roman"/>
                <w:i w:val="0"/>
                <w:iCs w:val="0"/>
                <w:color w:val="auto"/>
                <w:kern w:val="0"/>
                <w:sz w:val="21"/>
                <w:szCs w:val="21"/>
                <w:u w:val="none"/>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255" w:type="pct"/>
            <w:vAlign w:val="center"/>
          </w:tcPr>
          <w:p w14:paraId="5613869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w:t>
            </w:r>
            <w:r>
              <w:rPr>
                <w:rFonts w:hint="eastAsia" w:ascii="Times New Roman" w:hAnsi="Times New Roman" w:eastAsia="宋体" w:cs="Times New Roman"/>
                <w:i w:val="0"/>
                <w:iCs w:val="0"/>
                <w:color w:val="auto"/>
                <w:kern w:val="0"/>
                <w:sz w:val="21"/>
                <w:szCs w:val="21"/>
                <w:u w:val="none"/>
                <w:lang w:val="en-US" w:eastAsia="zh-CN" w:bidi="ar"/>
              </w:rPr>
              <w:t>3</w:t>
            </w:r>
          </w:p>
        </w:tc>
        <w:tc>
          <w:tcPr>
            <w:tcW w:w="255" w:type="pct"/>
            <w:vAlign w:val="center"/>
          </w:tcPr>
          <w:p w14:paraId="460B8A7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w:t>
            </w:r>
            <w:r>
              <w:rPr>
                <w:rFonts w:hint="eastAsia" w:ascii="Times New Roman" w:hAnsi="Times New Roman" w:eastAsia="宋体" w:cs="Times New Roman"/>
                <w:i w:val="0"/>
                <w:iCs w:val="0"/>
                <w:color w:val="auto"/>
                <w:kern w:val="0"/>
                <w:sz w:val="21"/>
                <w:szCs w:val="21"/>
                <w:u w:val="none"/>
                <w:lang w:val="en-US" w:eastAsia="zh-CN" w:bidi="ar"/>
              </w:rPr>
              <w:t>6</w:t>
            </w:r>
          </w:p>
        </w:tc>
        <w:tc>
          <w:tcPr>
            <w:tcW w:w="257" w:type="pct"/>
            <w:vAlign w:val="center"/>
          </w:tcPr>
          <w:p w14:paraId="24CFE63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w:t>
            </w:r>
          </w:p>
        </w:tc>
        <w:tc>
          <w:tcPr>
            <w:tcW w:w="217" w:type="pct"/>
            <w:vAlign w:val="center"/>
          </w:tcPr>
          <w:p w14:paraId="0B641AA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237" w:type="pct"/>
            <w:vAlign w:val="center"/>
          </w:tcPr>
          <w:p w14:paraId="4A15B7B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250" w:type="pct"/>
            <w:tcBorders>
              <w:right w:val="nil"/>
            </w:tcBorders>
            <w:vAlign w:val="center"/>
          </w:tcPr>
          <w:p w14:paraId="50BDE53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362AE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447" w:type="pct"/>
            <w:tcBorders>
              <w:left w:val="nil"/>
            </w:tcBorders>
            <w:vAlign w:val="center"/>
          </w:tcPr>
          <w:p w14:paraId="6ED3FAE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六价铬</w:t>
            </w:r>
          </w:p>
        </w:tc>
        <w:tc>
          <w:tcPr>
            <w:tcW w:w="273" w:type="pct"/>
            <w:vAlign w:val="center"/>
          </w:tcPr>
          <w:p w14:paraId="2D8C788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20F9DF6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w:t>
            </w:r>
            <w:r>
              <w:rPr>
                <w:rFonts w:hint="eastAsia" w:ascii="Times New Roman" w:hAnsi="Times New Roman" w:eastAsia="宋体" w:cs="Times New Roman"/>
                <w:color w:val="auto"/>
                <w:kern w:val="2"/>
                <w:sz w:val="21"/>
                <w:szCs w:val="21"/>
                <w:highlight w:val="none"/>
                <w:lang w:val="en-US" w:eastAsia="zh-CN" w:bidi="ar-SA"/>
              </w:rPr>
              <w:t>8</w:t>
            </w:r>
          </w:p>
        </w:tc>
        <w:tc>
          <w:tcPr>
            <w:tcW w:w="255" w:type="pct"/>
            <w:vAlign w:val="center"/>
          </w:tcPr>
          <w:p w14:paraId="30A9EBF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2.4</w:t>
            </w:r>
          </w:p>
        </w:tc>
        <w:tc>
          <w:tcPr>
            <w:tcW w:w="255" w:type="pct"/>
            <w:vAlign w:val="center"/>
          </w:tcPr>
          <w:p w14:paraId="6883E4B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2.2</w:t>
            </w:r>
          </w:p>
        </w:tc>
        <w:tc>
          <w:tcPr>
            <w:tcW w:w="255" w:type="pct"/>
            <w:vAlign w:val="center"/>
          </w:tcPr>
          <w:p w14:paraId="71B5C79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2.2</w:t>
            </w:r>
          </w:p>
        </w:tc>
        <w:tc>
          <w:tcPr>
            <w:tcW w:w="255" w:type="pct"/>
            <w:vAlign w:val="center"/>
          </w:tcPr>
          <w:p w14:paraId="2E2754CF">
            <w:pPr>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kern w:val="2"/>
                <w:sz w:val="21"/>
                <w:szCs w:val="21"/>
                <w:highlight w:val="none"/>
                <w:lang w:val="en-US" w:eastAsia="zh-CN" w:bidi="ar-SA"/>
              </w:rPr>
              <w:t>2.0</w:t>
            </w:r>
          </w:p>
        </w:tc>
        <w:tc>
          <w:tcPr>
            <w:tcW w:w="255" w:type="pct"/>
            <w:vAlign w:val="center"/>
          </w:tcPr>
          <w:p w14:paraId="50211D8E">
            <w:pPr>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kern w:val="2"/>
                <w:sz w:val="21"/>
                <w:szCs w:val="21"/>
                <w:highlight w:val="none"/>
                <w:lang w:val="en-US" w:eastAsia="zh-CN" w:bidi="ar-SA"/>
              </w:rPr>
              <w:t>2.0</w:t>
            </w:r>
          </w:p>
        </w:tc>
        <w:tc>
          <w:tcPr>
            <w:tcW w:w="255" w:type="pct"/>
            <w:vAlign w:val="center"/>
          </w:tcPr>
          <w:p w14:paraId="58F8978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w:t>
            </w:r>
            <w:r>
              <w:rPr>
                <w:rFonts w:hint="eastAsia" w:ascii="Times New Roman" w:hAnsi="Times New Roman" w:eastAsia="宋体" w:cs="Times New Roman"/>
                <w:color w:val="auto"/>
                <w:kern w:val="2"/>
                <w:sz w:val="21"/>
                <w:szCs w:val="21"/>
                <w:highlight w:val="none"/>
                <w:lang w:val="en-US" w:eastAsia="zh-CN" w:bidi="ar-SA"/>
              </w:rPr>
              <w:t>8</w:t>
            </w:r>
          </w:p>
        </w:tc>
        <w:tc>
          <w:tcPr>
            <w:tcW w:w="254" w:type="pct"/>
            <w:vAlign w:val="center"/>
          </w:tcPr>
          <w:p w14:paraId="4C57176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w:t>
            </w:r>
            <w:r>
              <w:rPr>
                <w:rFonts w:hint="eastAsia" w:ascii="Times New Roman" w:hAnsi="Times New Roman" w:eastAsia="宋体" w:cs="Times New Roman"/>
                <w:color w:val="auto"/>
                <w:kern w:val="2"/>
                <w:sz w:val="21"/>
                <w:szCs w:val="21"/>
                <w:highlight w:val="none"/>
                <w:lang w:val="en-US" w:eastAsia="zh-CN" w:bidi="ar-SA"/>
              </w:rPr>
              <w:t>8</w:t>
            </w:r>
          </w:p>
        </w:tc>
        <w:tc>
          <w:tcPr>
            <w:tcW w:w="255" w:type="pct"/>
            <w:vAlign w:val="center"/>
          </w:tcPr>
          <w:p w14:paraId="477C448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w:t>
            </w:r>
            <w:r>
              <w:rPr>
                <w:rFonts w:hint="eastAsia" w:ascii="Times New Roman" w:hAnsi="Times New Roman" w:eastAsia="宋体" w:cs="Times New Roman"/>
                <w:color w:val="auto"/>
                <w:kern w:val="2"/>
                <w:sz w:val="21"/>
                <w:szCs w:val="21"/>
                <w:highlight w:val="none"/>
                <w:lang w:val="en-US" w:eastAsia="zh-CN" w:bidi="ar-SA"/>
              </w:rPr>
              <w:t>8</w:t>
            </w:r>
          </w:p>
        </w:tc>
        <w:tc>
          <w:tcPr>
            <w:tcW w:w="255" w:type="pct"/>
            <w:vAlign w:val="center"/>
          </w:tcPr>
          <w:p w14:paraId="147E2B74">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255" w:type="pct"/>
            <w:vAlign w:val="center"/>
          </w:tcPr>
          <w:p w14:paraId="7379578A">
            <w:pPr>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kern w:val="2"/>
                <w:sz w:val="21"/>
                <w:szCs w:val="21"/>
                <w:highlight w:val="none"/>
                <w:lang w:val="en-US" w:eastAsia="zh-CN" w:bidi="ar-SA"/>
              </w:rPr>
              <w:t>2.0</w:t>
            </w:r>
          </w:p>
        </w:tc>
        <w:tc>
          <w:tcPr>
            <w:tcW w:w="255" w:type="pct"/>
            <w:vAlign w:val="center"/>
          </w:tcPr>
          <w:p w14:paraId="18A7804B">
            <w:pPr>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kern w:val="2"/>
                <w:sz w:val="21"/>
                <w:szCs w:val="21"/>
                <w:highlight w:val="none"/>
                <w:lang w:val="en-US" w:eastAsia="zh-CN" w:bidi="ar-SA"/>
              </w:rPr>
              <w:t>2.</w:t>
            </w:r>
            <w:r>
              <w:rPr>
                <w:rFonts w:hint="eastAsia" w:ascii="Times New Roman" w:hAnsi="Times New Roman" w:eastAsia="宋体" w:cs="Times New Roman"/>
                <w:color w:val="auto"/>
                <w:kern w:val="2"/>
                <w:sz w:val="21"/>
                <w:szCs w:val="21"/>
                <w:highlight w:val="none"/>
                <w:lang w:val="en-US" w:eastAsia="zh-CN" w:bidi="ar-SA"/>
              </w:rPr>
              <w:t>9</w:t>
            </w:r>
          </w:p>
        </w:tc>
        <w:tc>
          <w:tcPr>
            <w:tcW w:w="255" w:type="pct"/>
            <w:vAlign w:val="center"/>
          </w:tcPr>
          <w:p w14:paraId="2AF9F6B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w:t>
            </w:r>
            <w:r>
              <w:rPr>
                <w:rFonts w:hint="eastAsia" w:ascii="Times New Roman" w:hAnsi="Times New Roman" w:eastAsia="宋体" w:cs="Times New Roman"/>
                <w:color w:val="auto"/>
                <w:kern w:val="2"/>
                <w:sz w:val="21"/>
                <w:szCs w:val="21"/>
                <w:highlight w:val="none"/>
                <w:lang w:val="en-US" w:eastAsia="zh-CN" w:bidi="ar-SA"/>
              </w:rPr>
              <w:t>9</w:t>
            </w:r>
          </w:p>
        </w:tc>
        <w:tc>
          <w:tcPr>
            <w:tcW w:w="257" w:type="pct"/>
            <w:vAlign w:val="center"/>
          </w:tcPr>
          <w:p w14:paraId="5DA56FC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2.6</w:t>
            </w:r>
          </w:p>
        </w:tc>
        <w:tc>
          <w:tcPr>
            <w:tcW w:w="217" w:type="pct"/>
            <w:vAlign w:val="center"/>
          </w:tcPr>
          <w:p w14:paraId="3E15F66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37" w:type="pct"/>
            <w:vAlign w:val="center"/>
          </w:tcPr>
          <w:p w14:paraId="537278E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w:t>
            </w:r>
          </w:p>
        </w:tc>
        <w:tc>
          <w:tcPr>
            <w:tcW w:w="250" w:type="pct"/>
            <w:tcBorders>
              <w:right w:val="nil"/>
            </w:tcBorders>
            <w:vAlign w:val="center"/>
          </w:tcPr>
          <w:p w14:paraId="2AC090B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6D3A5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atLeast"/>
        </w:trPr>
        <w:tc>
          <w:tcPr>
            <w:tcW w:w="447" w:type="pct"/>
            <w:tcBorders>
              <w:left w:val="nil"/>
            </w:tcBorders>
            <w:vAlign w:val="center"/>
          </w:tcPr>
          <w:p w14:paraId="2DE87048">
            <w:pPr>
              <w:bidi w:val="0"/>
              <w:jc w:val="center"/>
              <w:rPr>
                <w:rFonts w:hint="default" w:ascii="Times New Roman" w:hAnsi="Times New Roman" w:eastAsia="宋体" w:cs="Times New Roman"/>
                <w:color w:val="auto"/>
                <w:sz w:val="21"/>
                <w:szCs w:val="21"/>
              </w:rPr>
            </w:pPr>
            <w:bookmarkStart w:id="1716" w:name="OLE_LINK894" w:colFirst="3" w:colLast="5"/>
            <w:bookmarkStart w:id="1717" w:name="OLE_LINK896" w:colFirst="10" w:colLast="12"/>
            <w:bookmarkStart w:id="1718" w:name="OLE_LINK895" w:colFirst="6" w:colLast="8"/>
            <w:r>
              <w:rPr>
                <w:rFonts w:hint="default" w:ascii="Times New Roman" w:hAnsi="Times New Roman" w:eastAsia="宋体" w:cs="Times New Roman"/>
                <w:color w:val="auto"/>
                <w:sz w:val="21"/>
                <w:szCs w:val="21"/>
              </w:rPr>
              <w:t>石油烃</w:t>
            </w:r>
          </w:p>
          <w:p w14:paraId="166FF31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rPr>
              <w:t>~C</w:t>
            </w:r>
            <w:r>
              <w:rPr>
                <w:rFonts w:hint="default" w:ascii="Times New Roman" w:hAnsi="Times New Roman" w:eastAsia="宋体" w:cs="Times New Roman"/>
                <w:color w:val="auto"/>
                <w:sz w:val="21"/>
                <w:szCs w:val="21"/>
                <w:vertAlign w:val="subscript"/>
              </w:rPr>
              <w:t>40</w:t>
            </w:r>
            <w:r>
              <w:rPr>
                <w:rFonts w:hint="default" w:ascii="Times New Roman" w:hAnsi="Times New Roman" w:eastAsia="宋体" w:cs="Times New Roman"/>
                <w:color w:val="auto"/>
                <w:sz w:val="21"/>
                <w:szCs w:val="21"/>
              </w:rPr>
              <w:t>）</w:t>
            </w:r>
          </w:p>
        </w:tc>
        <w:tc>
          <w:tcPr>
            <w:tcW w:w="273" w:type="pct"/>
            <w:vAlign w:val="center"/>
          </w:tcPr>
          <w:p w14:paraId="292D042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2963212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w:t>
            </w:r>
          </w:p>
        </w:tc>
        <w:tc>
          <w:tcPr>
            <w:tcW w:w="255" w:type="pct"/>
            <w:vAlign w:val="center"/>
          </w:tcPr>
          <w:p w14:paraId="70CE1A1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w:t>
            </w:r>
          </w:p>
        </w:tc>
        <w:tc>
          <w:tcPr>
            <w:tcW w:w="255" w:type="pct"/>
            <w:vAlign w:val="center"/>
          </w:tcPr>
          <w:p w14:paraId="6D74759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24</w:t>
            </w:r>
          </w:p>
        </w:tc>
        <w:tc>
          <w:tcPr>
            <w:tcW w:w="255" w:type="pct"/>
            <w:vAlign w:val="center"/>
          </w:tcPr>
          <w:p w14:paraId="36621DE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36</w:t>
            </w:r>
          </w:p>
        </w:tc>
        <w:tc>
          <w:tcPr>
            <w:tcW w:w="255" w:type="pct"/>
            <w:vAlign w:val="center"/>
          </w:tcPr>
          <w:p w14:paraId="7E4113D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w:t>
            </w:r>
          </w:p>
        </w:tc>
        <w:tc>
          <w:tcPr>
            <w:tcW w:w="255" w:type="pct"/>
            <w:vAlign w:val="center"/>
          </w:tcPr>
          <w:p w14:paraId="4A54E97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w:t>
            </w:r>
          </w:p>
        </w:tc>
        <w:tc>
          <w:tcPr>
            <w:tcW w:w="255" w:type="pct"/>
            <w:vAlign w:val="center"/>
          </w:tcPr>
          <w:p w14:paraId="54C1532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w:t>
            </w:r>
          </w:p>
        </w:tc>
        <w:tc>
          <w:tcPr>
            <w:tcW w:w="254" w:type="pct"/>
            <w:vAlign w:val="center"/>
          </w:tcPr>
          <w:p w14:paraId="2150253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w:t>
            </w:r>
          </w:p>
        </w:tc>
        <w:tc>
          <w:tcPr>
            <w:tcW w:w="255" w:type="pct"/>
            <w:vAlign w:val="center"/>
          </w:tcPr>
          <w:p w14:paraId="302FB5D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w:t>
            </w:r>
          </w:p>
        </w:tc>
        <w:tc>
          <w:tcPr>
            <w:tcW w:w="255" w:type="pct"/>
            <w:vAlign w:val="center"/>
          </w:tcPr>
          <w:p w14:paraId="3C96A7F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w:t>
            </w:r>
          </w:p>
        </w:tc>
        <w:tc>
          <w:tcPr>
            <w:tcW w:w="255" w:type="pct"/>
            <w:vAlign w:val="center"/>
          </w:tcPr>
          <w:p w14:paraId="39EE091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w:t>
            </w:r>
          </w:p>
        </w:tc>
        <w:tc>
          <w:tcPr>
            <w:tcW w:w="255" w:type="pct"/>
            <w:vAlign w:val="center"/>
          </w:tcPr>
          <w:p w14:paraId="08D2048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w:t>
            </w:r>
          </w:p>
        </w:tc>
        <w:tc>
          <w:tcPr>
            <w:tcW w:w="255" w:type="pct"/>
            <w:vAlign w:val="center"/>
          </w:tcPr>
          <w:p w14:paraId="1FE3910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w:t>
            </w:r>
          </w:p>
        </w:tc>
        <w:tc>
          <w:tcPr>
            <w:tcW w:w="257" w:type="pct"/>
            <w:vAlign w:val="center"/>
          </w:tcPr>
          <w:p w14:paraId="542516B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24</w:t>
            </w:r>
          </w:p>
        </w:tc>
        <w:tc>
          <w:tcPr>
            <w:tcW w:w="217" w:type="pct"/>
            <w:vAlign w:val="center"/>
          </w:tcPr>
          <w:p w14:paraId="41B0D15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826</w:t>
            </w:r>
          </w:p>
        </w:tc>
        <w:tc>
          <w:tcPr>
            <w:tcW w:w="237" w:type="pct"/>
            <w:vAlign w:val="center"/>
          </w:tcPr>
          <w:p w14:paraId="7C492D5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4500</w:t>
            </w:r>
          </w:p>
        </w:tc>
        <w:tc>
          <w:tcPr>
            <w:tcW w:w="250" w:type="pct"/>
            <w:tcBorders>
              <w:right w:val="nil"/>
            </w:tcBorders>
            <w:vAlign w:val="center"/>
          </w:tcPr>
          <w:p w14:paraId="0523213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bookmarkEnd w:id="1716"/>
      <w:bookmarkEnd w:id="1717"/>
      <w:bookmarkEnd w:id="1718"/>
      <w:tr w14:paraId="5F1847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60C0623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氯甲烷</w:t>
            </w:r>
          </w:p>
        </w:tc>
        <w:tc>
          <w:tcPr>
            <w:tcW w:w="273" w:type="pct"/>
            <w:vAlign w:val="center"/>
          </w:tcPr>
          <w:p w14:paraId="73FE01D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7D2FC39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A0C229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BE5160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33C9A6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686C73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92DE45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CA4B46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03BB4EF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F45613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E63F12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C4F868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B683C6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8A30F5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7F29187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38B8274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12</w:t>
            </w:r>
          </w:p>
        </w:tc>
        <w:tc>
          <w:tcPr>
            <w:tcW w:w="237" w:type="pct"/>
            <w:vAlign w:val="center"/>
          </w:tcPr>
          <w:p w14:paraId="6E3D38C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w:t>
            </w:r>
          </w:p>
        </w:tc>
        <w:tc>
          <w:tcPr>
            <w:tcW w:w="250" w:type="pct"/>
            <w:tcBorders>
              <w:right w:val="nil"/>
            </w:tcBorders>
            <w:vAlign w:val="center"/>
          </w:tcPr>
          <w:p w14:paraId="09B42EE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1075D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2F0CB76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氯乙烯</w:t>
            </w:r>
          </w:p>
        </w:tc>
        <w:tc>
          <w:tcPr>
            <w:tcW w:w="273" w:type="pct"/>
            <w:vAlign w:val="center"/>
          </w:tcPr>
          <w:p w14:paraId="200D38B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2A80CC7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1.5</w:t>
            </w:r>
          </w:p>
        </w:tc>
        <w:tc>
          <w:tcPr>
            <w:tcW w:w="255" w:type="pct"/>
            <w:vAlign w:val="center"/>
          </w:tcPr>
          <w:p w14:paraId="257230F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highlight w:val="none"/>
                <w:lang w:val="en-US" w:eastAsia="zh-CN" w:bidi="ar-SA"/>
              </w:rPr>
              <w:t>1.4</w:t>
            </w:r>
          </w:p>
        </w:tc>
        <w:tc>
          <w:tcPr>
            <w:tcW w:w="255" w:type="pct"/>
            <w:vAlign w:val="center"/>
          </w:tcPr>
          <w:p w14:paraId="24DC5D3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highlight w:val="none"/>
                <w:lang w:val="en-US" w:eastAsia="zh-CN" w:bidi="ar-SA"/>
              </w:rPr>
              <w:t>1.4</w:t>
            </w:r>
          </w:p>
        </w:tc>
        <w:tc>
          <w:tcPr>
            <w:tcW w:w="255" w:type="pct"/>
            <w:vAlign w:val="center"/>
          </w:tcPr>
          <w:p w14:paraId="53BB7CA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highlight w:val="none"/>
                <w:lang w:val="en-US" w:eastAsia="zh-CN" w:bidi="ar-SA"/>
              </w:rPr>
              <w:t>1.5</w:t>
            </w:r>
          </w:p>
        </w:tc>
        <w:tc>
          <w:tcPr>
            <w:tcW w:w="255" w:type="pct"/>
            <w:vAlign w:val="center"/>
          </w:tcPr>
          <w:p w14:paraId="38F23FD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highlight w:val="none"/>
                <w:lang w:val="en-US" w:eastAsia="zh-CN" w:bidi="ar-SA"/>
              </w:rPr>
              <w:t>1.5</w:t>
            </w:r>
          </w:p>
        </w:tc>
        <w:tc>
          <w:tcPr>
            <w:tcW w:w="255" w:type="pct"/>
            <w:vAlign w:val="center"/>
          </w:tcPr>
          <w:p w14:paraId="1B856D1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highlight w:val="none"/>
                <w:lang w:val="en-US" w:eastAsia="zh-CN" w:bidi="ar-SA"/>
              </w:rPr>
              <w:t>1.4</w:t>
            </w:r>
          </w:p>
        </w:tc>
        <w:tc>
          <w:tcPr>
            <w:tcW w:w="255" w:type="pct"/>
            <w:vAlign w:val="center"/>
          </w:tcPr>
          <w:p w14:paraId="160996A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highlight w:val="none"/>
                <w:lang w:val="en-US" w:eastAsia="zh-CN" w:bidi="ar-SA"/>
              </w:rPr>
              <w:t>1.3</w:t>
            </w:r>
          </w:p>
        </w:tc>
        <w:tc>
          <w:tcPr>
            <w:tcW w:w="254" w:type="pct"/>
            <w:vAlign w:val="center"/>
          </w:tcPr>
          <w:p w14:paraId="22FDA6D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1.4</w:t>
            </w:r>
          </w:p>
        </w:tc>
        <w:tc>
          <w:tcPr>
            <w:tcW w:w="255" w:type="pct"/>
            <w:vAlign w:val="center"/>
          </w:tcPr>
          <w:p w14:paraId="243952B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1.4</w:t>
            </w:r>
          </w:p>
        </w:tc>
        <w:tc>
          <w:tcPr>
            <w:tcW w:w="255" w:type="pct"/>
            <w:vAlign w:val="center"/>
          </w:tcPr>
          <w:p w14:paraId="67E4FF4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1.4</w:t>
            </w:r>
          </w:p>
        </w:tc>
        <w:tc>
          <w:tcPr>
            <w:tcW w:w="255" w:type="pct"/>
            <w:vAlign w:val="center"/>
          </w:tcPr>
          <w:p w14:paraId="7244BDE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1.4</w:t>
            </w:r>
          </w:p>
        </w:tc>
        <w:tc>
          <w:tcPr>
            <w:tcW w:w="255" w:type="pct"/>
            <w:vAlign w:val="center"/>
          </w:tcPr>
          <w:p w14:paraId="587509D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1.5</w:t>
            </w:r>
          </w:p>
        </w:tc>
        <w:tc>
          <w:tcPr>
            <w:tcW w:w="255" w:type="pct"/>
            <w:vAlign w:val="center"/>
          </w:tcPr>
          <w:p w14:paraId="7DEE202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1.4</w:t>
            </w:r>
          </w:p>
        </w:tc>
        <w:tc>
          <w:tcPr>
            <w:tcW w:w="257" w:type="pct"/>
            <w:vAlign w:val="center"/>
          </w:tcPr>
          <w:p w14:paraId="4A1474C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1.3</w:t>
            </w:r>
          </w:p>
        </w:tc>
        <w:tc>
          <w:tcPr>
            <w:tcW w:w="217" w:type="pct"/>
            <w:vAlign w:val="center"/>
          </w:tcPr>
          <w:p w14:paraId="32AC6E3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0.12</w:t>
            </w:r>
          </w:p>
        </w:tc>
        <w:tc>
          <w:tcPr>
            <w:tcW w:w="237" w:type="pct"/>
            <w:vAlign w:val="center"/>
          </w:tcPr>
          <w:p w14:paraId="3BEC32A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0.43</w:t>
            </w:r>
          </w:p>
        </w:tc>
        <w:tc>
          <w:tcPr>
            <w:tcW w:w="250" w:type="pct"/>
            <w:tcBorders>
              <w:right w:val="nil"/>
            </w:tcBorders>
            <w:vAlign w:val="center"/>
          </w:tcPr>
          <w:p w14:paraId="286464D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268E05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25DDA1A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1,1-二氯乙烯</w:t>
            </w:r>
          </w:p>
        </w:tc>
        <w:tc>
          <w:tcPr>
            <w:tcW w:w="273" w:type="pct"/>
            <w:vAlign w:val="center"/>
          </w:tcPr>
          <w:p w14:paraId="32C6C94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745DCCE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662E61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C56D41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ACC62E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364D87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5C9916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12EFA3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554DC16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E94C3A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A02AF5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FDF494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B67A4F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4B416A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766A7DA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58F42AB3">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237" w:type="pct"/>
            <w:vAlign w:val="center"/>
          </w:tcPr>
          <w:p w14:paraId="49ABCD6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66</w:t>
            </w:r>
          </w:p>
        </w:tc>
        <w:tc>
          <w:tcPr>
            <w:tcW w:w="250" w:type="pct"/>
            <w:tcBorders>
              <w:right w:val="nil"/>
            </w:tcBorders>
            <w:vAlign w:val="center"/>
          </w:tcPr>
          <w:p w14:paraId="63B4A67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98B10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305E77D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二氯甲烷</w:t>
            </w:r>
          </w:p>
        </w:tc>
        <w:tc>
          <w:tcPr>
            <w:tcW w:w="273" w:type="pct"/>
            <w:vAlign w:val="center"/>
          </w:tcPr>
          <w:p w14:paraId="522CEB2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23B74F1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AD8E1F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F1FDAB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BEF81E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23E2B8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C478AF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4208AB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0A00D60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78B8D1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D970EC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1F1223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FBB632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4920C4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387A0D0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7F3FEC1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94</w:t>
            </w:r>
          </w:p>
        </w:tc>
        <w:tc>
          <w:tcPr>
            <w:tcW w:w="237" w:type="pct"/>
            <w:vAlign w:val="center"/>
          </w:tcPr>
          <w:p w14:paraId="69460A0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616</w:t>
            </w:r>
          </w:p>
        </w:tc>
        <w:tc>
          <w:tcPr>
            <w:tcW w:w="250" w:type="pct"/>
            <w:tcBorders>
              <w:right w:val="nil"/>
            </w:tcBorders>
            <w:vAlign w:val="center"/>
          </w:tcPr>
          <w:p w14:paraId="1F21AD5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84F5A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47" w:type="pct"/>
            <w:tcBorders>
              <w:left w:val="nil"/>
            </w:tcBorders>
            <w:vAlign w:val="center"/>
          </w:tcPr>
          <w:p w14:paraId="5B5B23D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反-1,2-二氯乙烯</w:t>
            </w:r>
          </w:p>
        </w:tc>
        <w:tc>
          <w:tcPr>
            <w:tcW w:w="273" w:type="pct"/>
            <w:vAlign w:val="center"/>
          </w:tcPr>
          <w:p w14:paraId="141E270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1815255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E151BA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5FB207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7D8DC0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F5F0A3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0744B1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998C00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773DB86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2FC17A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0DD2F1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FAF81A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005D79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5FE23C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0423BE9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6EB1209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237" w:type="pct"/>
            <w:vAlign w:val="center"/>
          </w:tcPr>
          <w:p w14:paraId="0E3DED5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54</w:t>
            </w:r>
          </w:p>
        </w:tc>
        <w:tc>
          <w:tcPr>
            <w:tcW w:w="250" w:type="pct"/>
            <w:tcBorders>
              <w:right w:val="nil"/>
            </w:tcBorders>
            <w:vAlign w:val="center"/>
          </w:tcPr>
          <w:p w14:paraId="4A597A7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E241D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6B77D4D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1,1-二氯乙烷</w:t>
            </w:r>
          </w:p>
        </w:tc>
        <w:tc>
          <w:tcPr>
            <w:tcW w:w="273" w:type="pct"/>
            <w:vAlign w:val="center"/>
          </w:tcPr>
          <w:p w14:paraId="5ACCF0F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0C87FF6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369562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90E97B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B4DE3A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947EBD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1541A1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D8205C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191C488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A4C40B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7699FD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34738F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E03890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7F401B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6D441A1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0FF471D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37" w:type="pct"/>
            <w:vAlign w:val="center"/>
          </w:tcPr>
          <w:p w14:paraId="65FC3B9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250" w:type="pct"/>
            <w:tcBorders>
              <w:right w:val="nil"/>
            </w:tcBorders>
            <w:vAlign w:val="center"/>
          </w:tcPr>
          <w:p w14:paraId="2AB04F7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54AD2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6F4621A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顺-1,2-二氯乙烯</w:t>
            </w:r>
          </w:p>
        </w:tc>
        <w:tc>
          <w:tcPr>
            <w:tcW w:w="273" w:type="pct"/>
            <w:vAlign w:val="center"/>
          </w:tcPr>
          <w:p w14:paraId="072CE62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1BAE18E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95B3B7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22A85E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95F8A2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CA7EAA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148B2C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57C409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3E34682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4DFFBA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4A308B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6D3D42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62BF09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22204F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019DCCD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385CEFE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66</w:t>
            </w:r>
          </w:p>
        </w:tc>
        <w:tc>
          <w:tcPr>
            <w:tcW w:w="237" w:type="pct"/>
            <w:vAlign w:val="center"/>
          </w:tcPr>
          <w:p w14:paraId="7277EF7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596</w:t>
            </w:r>
          </w:p>
        </w:tc>
        <w:tc>
          <w:tcPr>
            <w:tcW w:w="250" w:type="pct"/>
            <w:tcBorders>
              <w:right w:val="nil"/>
            </w:tcBorders>
            <w:vAlign w:val="center"/>
          </w:tcPr>
          <w:p w14:paraId="7DCFA51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F27A5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7" w:type="pct"/>
            <w:tcBorders>
              <w:left w:val="nil"/>
              <w:bottom w:val="single" w:color="000000" w:sz="10" w:space="0"/>
            </w:tcBorders>
            <w:vAlign w:val="center"/>
          </w:tcPr>
          <w:p w14:paraId="6C41493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氯仿</w:t>
            </w:r>
          </w:p>
        </w:tc>
        <w:tc>
          <w:tcPr>
            <w:tcW w:w="273" w:type="pct"/>
            <w:tcBorders>
              <w:bottom w:val="single" w:color="000000" w:sz="10" w:space="0"/>
            </w:tcBorders>
            <w:vAlign w:val="center"/>
          </w:tcPr>
          <w:p w14:paraId="220E88A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tcBorders>
              <w:bottom w:val="single" w:color="000000" w:sz="10" w:space="0"/>
            </w:tcBorders>
            <w:vAlign w:val="center"/>
          </w:tcPr>
          <w:p w14:paraId="4139E4A2">
            <w:pPr>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5.7</w:t>
            </w:r>
          </w:p>
        </w:tc>
        <w:tc>
          <w:tcPr>
            <w:tcW w:w="255" w:type="pct"/>
            <w:tcBorders>
              <w:bottom w:val="single" w:color="000000" w:sz="10" w:space="0"/>
            </w:tcBorders>
            <w:vAlign w:val="center"/>
          </w:tcPr>
          <w:p w14:paraId="7601CCE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1D31093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kern w:val="2"/>
                <w:sz w:val="21"/>
                <w:szCs w:val="21"/>
                <w:highlight w:val="none"/>
                <w:lang w:val="en-US" w:eastAsia="zh-CN" w:bidi="ar-SA"/>
              </w:rPr>
              <w:t>3.9</w:t>
            </w:r>
          </w:p>
        </w:tc>
        <w:tc>
          <w:tcPr>
            <w:tcW w:w="255" w:type="pct"/>
            <w:tcBorders>
              <w:bottom w:val="single" w:color="000000" w:sz="10" w:space="0"/>
            </w:tcBorders>
            <w:vAlign w:val="center"/>
          </w:tcPr>
          <w:p w14:paraId="6DEC932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4E37520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kern w:val="2"/>
                <w:sz w:val="21"/>
                <w:szCs w:val="21"/>
                <w:highlight w:val="none"/>
                <w:lang w:val="en-US" w:eastAsia="zh-CN" w:bidi="ar-SA"/>
              </w:rPr>
              <w:t>3.0</w:t>
            </w:r>
          </w:p>
        </w:tc>
        <w:tc>
          <w:tcPr>
            <w:tcW w:w="255" w:type="pct"/>
            <w:tcBorders>
              <w:bottom w:val="single" w:color="000000" w:sz="10" w:space="0"/>
            </w:tcBorders>
            <w:vAlign w:val="center"/>
          </w:tcPr>
          <w:p w14:paraId="5E99CDE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kern w:val="2"/>
                <w:sz w:val="21"/>
                <w:szCs w:val="21"/>
                <w:highlight w:val="none"/>
                <w:lang w:val="en-US" w:eastAsia="zh-CN" w:bidi="ar-SA"/>
              </w:rPr>
              <w:t>9.0</w:t>
            </w:r>
          </w:p>
        </w:tc>
        <w:tc>
          <w:tcPr>
            <w:tcW w:w="255" w:type="pct"/>
            <w:tcBorders>
              <w:bottom w:val="single" w:color="000000" w:sz="10" w:space="0"/>
            </w:tcBorders>
            <w:vAlign w:val="center"/>
          </w:tcPr>
          <w:p w14:paraId="27974C9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ND</w:t>
            </w:r>
          </w:p>
        </w:tc>
        <w:tc>
          <w:tcPr>
            <w:tcW w:w="254" w:type="pct"/>
            <w:tcBorders>
              <w:bottom w:val="single" w:color="000000" w:sz="10" w:space="0"/>
            </w:tcBorders>
            <w:vAlign w:val="center"/>
          </w:tcPr>
          <w:p w14:paraId="0018A0CE">
            <w:pPr>
              <w:bidi w:val="0"/>
              <w:jc w:val="center"/>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ND</w:t>
            </w:r>
          </w:p>
        </w:tc>
        <w:tc>
          <w:tcPr>
            <w:tcW w:w="255" w:type="pct"/>
            <w:tcBorders>
              <w:bottom w:val="single" w:color="000000" w:sz="10" w:space="0"/>
            </w:tcBorders>
            <w:vAlign w:val="center"/>
          </w:tcPr>
          <w:p w14:paraId="61A004B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36F93C00">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13F7C07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280B6E0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4.9</w:t>
            </w:r>
          </w:p>
        </w:tc>
        <w:tc>
          <w:tcPr>
            <w:tcW w:w="255" w:type="pct"/>
            <w:tcBorders>
              <w:bottom w:val="single" w:color="000000" w:sz="10" w:space="0"/>
            </w:tcBorders>
            <w:vAlign w:val="center"/>
          </w:tcPr>
          <w:p w14:paraId="2460A9D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ND</w:t>
            </w:r>
          </w:p>
        </w:tc>
        <w:tc>
          <w:tcPr>
            <w:tcW w:w="257" w:type="pct"/>
            <w:tcBorders>
              <w:bottom w:val="single" w:color="000000" w:sz="10" w:space="0"/>
            </w:tcBorders>
            <w:vAlign w:val="center"/>
          </w:tcPr>
          <w:p w14:paraId="204131D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ND</w:t>
            </w:r>
          </w:p>
        </w:tc>
        <w:tc>
          <w:tcPr>
            <w:tcW w:w="217" w:type="pct"/>
            <w:tcBorders>
              <w:bottom w:val="single" w:color="000000" w:sz="10" w:space="0"/>
            </w:tcBorders>
            <w:vAlign w:val="center"/>
          </w:tcPr>
          <w:p w14:paraId="3E544FD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w:t>
            </w:r>
          </w:p>
        </w:tc>
        <w:tc>
          <w:tcPr>
            <w:tcW w:w="237" w:type="pct"/>
            <w:tcBorders>
              <w:bottom w:val="single" w:color="000000" w:sz="10" w:space="0"/>
            </w:tcBorders>
            <w:vAlign w:val="center"/>
          </w:tcPr>
          <w:p w14:paraId="3069CA4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w:t>
            </w:r>
          </w:p>
        </w:tc>
        <w:tc>
          <w:tcPr>
            <w:tcW w:w="250" w:type="pct"/>
            <w:tcBorders>
              <w:bottom w:val="single" w:color="000000" w:sz="10" w:space="0"/>
              <w:right w:val="nil"/>
            </w:tcBorders>
            <w:vAlign w:val="center"/>
          </w:tcPr>
          <w:p w14:paraId="2AD6285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EF35E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346FDB8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1,1,1-三氯乙烷</w:t>
            </w:r>
          </w:p>
        </w:tc>
        <w:tc>
          <w:tcPr>
            <w:tcW w:w="273" w:type="pct"/>
            <w:vAlign w:val="center"/>
          </w:tcPr>
          <w:p w14:paraId="5CD1DFB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μg/kg</w:t>
            </w:r>
          </w:p>
        </w:tc>
        <w:tc>
          <w:tcPr>
            <w:tcW w:w="255" w:type="pct"/>
            <w:vAlign w:val="center"/>
          </w:tcPr>
          <w:p w14:paraId="221965E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77CBE2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693774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2B793C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B9101A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90E42E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91965A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746F9EA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5DC2A7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F7150B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4752D4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EBF28F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A70F14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17F64AE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19A9CF5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701</w:t>
            </w:r>
          </w:p>
        </w:tc>
        <w:tc>
          <w:tcPr>
            <w:tcW w:w="237" w:type="pct"/>
            <w:vAlign w:val="center"/>
          </w:tcPr>
          <w:p w14:paraId="3CE8136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840</w:t>
            </w:r>
          </w:p>
        </w:tc>
        <w:tc>
          <w:tcPr>
            <w:tcW w:w="250" w:type="pct"/>
            <w:tcBorders>
              <w:right w:val="nil"/>
            </w:tcBorders>
            <w:vAlign w:val="center"/>
          </w:tcPr>
          <w:p w14:paraId="603E44A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达标</w:t>
            </w:r>
          </w:p>
        </w:tc>
      </w:tr>
      <w:tr w14:paraId="243594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08C84A0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1,2-二氯乙烷</w:t>
            </w:r>
          </w:p>
        </w:tc>
        <w:tc>
          <w:tcPr>
            <w:tcW w:w="273" w:type="pct"/>
            <w:vAlign w:val="center"/>
          </w:tcPr>
          <w:p w14:paraId="3F3EDE1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774E545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379453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7D496F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8C18AD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B5BDAB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EB5268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945C31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41EE019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4658EB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FB3072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273EED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C148B5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3E3FB3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7096C18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7FE3250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0.52</w:t>
            </w:r>
          </w:p>
        </w:tc>
        <w:tc>
          <w:tcPr>
            <w:tcW w:w="237" w:type="pct"/>
            <w:vAlign w:val="center"/>
          </w:tcPr>
          <w:p w14:paraId="0532451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50" w:type="pct"/>
            <w:tcBorders>
              <w:right w:val="nil"/>
            </w:tcBorders>
            <w:vAlign w:val="center"/>
          </w:tcPr>
          <w:p w14:paraId="52CDDB7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27094E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6" w:hRule="atLeast"/>
        </w:trPr>
        <w:tc>
          <w:tcPr>
            <w:tcW w:w="447" w:type="pct"/>
            <w:tcBorders>
              <w:left w:val="nil"/>
            </w:tcBorders>
            <w:vAlign w:val="center"/>
          </w:tcPr>
          <w:p w14:paraId="0AC7663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四氯化碳</w:t>
            </w:r>
          </w:p>
        </w:tc>
        <w:tc>
          <w:tcPr>
            <w:tcW w:w="273" w:type="pct"/>
            <w:vAlign w:val="center"/>
          </w:tcPr>
          <w:p w14:paraId="2301609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4A682B3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4BF7DC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ED39C7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71B33E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7E9AB0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36F90E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7D2409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23ADB5B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49F439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D144F5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C6138E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8725D4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59F7AB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32C7829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7DA4571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w:t>
            </w:r>
          </w:p>
        </w:tc>
        <w:tc>
          <w:tcPr>
            <w:tcW w:w="237" w:type="pct"/>
            <w:vAlign w:val="center"/>
          </w:tcPr>
          <w:p w14:paraId="6BCD5D3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250" w:type="pct"/>
            <w:tcBorders>
              <w:right w:val="nil"/>
            </w:tcBorders>
            <w:vAlign w:val="center"/>
          </w:tcPr>
          <w:p w14:paraId="3C09498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04369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4CB5310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w:t>
            </w:r>
          </w:p>
        </w:tc>
        <w:tc>
          <w:tcPr>
            <w:tcW w:w="273" w:type="pct"/>
            <w:vAlign w:val="center"/>
          </w:tcPr>
          <w:p w14:paraId="21D1A92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1E389D6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A43F62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F119BC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3BECA1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0D642C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E4947B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711A7E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61129B6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207A9B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D5DC16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8CCCA4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413C64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186FD6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4FE7F52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4B680C0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37" w:type="pct"/>
            <w:vAlign w:val="center"/>
          </w:tcPr>
          <w:p w14:paraId="72C5916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4</w:t>
            </w:r>
          </w:p>
        </w:tc>
        <w:tc>
          <w:tcPr>
            <w:tcW w:w="250" w:type="pct"/>
            <w:tcBorders>
              <w:right w:val="nil"/>
            </w:tcBorders>
            <w:vAlign w:val="center"/>
          </w:tcPr>
          <w:p w14:paraId="69AC1C0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达标</w:t>
            </w:r>
          </w:p>
        </w:tc>
      </w:tr>
      <w:tr w14:paraId="6446D9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6288064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三氯乙烯</w:t>
            </w:r>
          </w:p>
        </w:tc>
        <w:tc>
          <w:tcPr>
            <w:tcW w:w="273" w:type="pct"/>
            <w:vAlign w:val="center"/>
          </w:tcPr>
          <w:p w14:paraId="0F904E1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072F714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9E2396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AB53E3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BC601E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6743F6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930FC1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5C9180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3187AB9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C1F1AF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4589A3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62A7AE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312B8D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34BAD8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63CF9A5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5793149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w:t>
            </w:r>
          </w:p>
        </w:tc>
        <w:tc>
          <w:tcPr>
            <w:tcW w:w="237" w:type="pct"/>
            <w:vAlign w:val="center"/>
          </w:tcPr>
          <w:p w14:paraId="6FFF45C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250" w:type="pct"/>
            <w:tcBorders>
              <w:right w:val="nil"/>
            </w:tcBorders>
            <w:vAlign w:val="center"/>
          </w:tcPr>
          <w:p w14:paraId="3114591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达标</w:t>
            </w:r>
          </w:p>
        </w:tc>
      </w:tr>
      <w:tr w14:paraId="56BCDA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5D9A427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1,2-二氯丙烷</w:t>
            </w:r>
          </w:p>
        </w:tc>
        <w:tc>
          <w:tcPr>
            <w:tcW w:w="273" w:type="pct"/>
            <w:vAlign w:val="center"/>
          </w:tcPr>
          <w:p w14:paraId="7C3F350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7279B3D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F27235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2440E3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FFDEF8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FB9061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862109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C54623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1201C9B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EB4008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4C4BA2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95D96E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9769FB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1A1E6C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1329521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1C1BA9A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37" w:type="pct"/>
            <w:vAlign w:val="center"/>
          </w:tcPr>
          <w:p w14:paraId="059CCB8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50" w:type="pct"/>
            <w:tcBorders>
              <w:right w:val="nil"/>
            </w:tcBorders>
            <w:vAlign w:val="center"/>
          </w:tcPr>
          <w:p w14:paraId="4432EF6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1E3612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53818B3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甲苯</w:t>
            </w:r>
          </w:p>
        </w:tc>
        <w:tc>
          <w:tcPr>
            <w:tcW w:w="273" w:type="pct"/>
            <w:vAlign w:val="center"/>
          </w:tcPr>
          <w:p w14:paraId="4A94399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6401ED5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62A462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44CC3E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F82FDE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BD549E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DD6E5F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6AA3CE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0DCFEAD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503B06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1F6F5B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9A733A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71264B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4B2E25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2DF954D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184A854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1200</w:t>
            </w:r>
          </w:p>
        </w:tc>
        <w:tc>
          <w:tcPr>
            <w:tcW w:w="237" w:type="pct"/>
            <w:vAlign w:val="center"/>
          </w:tcPr>
          <w:p w14:paraId="55871A9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1200</w:t>
            </w:r>
          </w:p>
        </w:tc>
        <w:tc>
          <w:tcPr>
            <w:tcW w:w="250" w:type="pct"/>
            <w:tcBorders>
              <w:right w:val="nil"/>
            </w:tcBorders>
            <w:vAlign w:val="center"/>
          </w:tcPr>
          <w:p w14:paraId="4555C05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23C7A8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0AE56D5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1,1,2-三氯乙烷</w:t>
            </w:r>
          </w:p>
        </w:tc>
        <w:tc>
          <w:tcPr>
            <w:tcW w:w="273" w:type="pct"/>
            <w:vAlign w:val="center"/>
          </w:tcPr>
          <w:p w14:paraId="54D2AB4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0921A06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A73889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BD4F30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8A1C75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A91848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401651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764113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118CB63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9C2830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673FC8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0EA47B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4DD793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498817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43A4F18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76F4509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237" w:type="pct"/>
            <w:vAlign w:val="center"/>
          </w:tcPr>
          <w:p w14:paraId="32A0027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250" w:type="pct"/>
            <w:tcBorders>
              <w:right w:val="nil"/>
            </w:tcBorders>
            <w:vAlign w:val="center"/>
          </w:tcPr>
          <w:p w14:paraId="57076CB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83163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6" w:hRule="atLeast"/>
        </w:trPr>
        <w:tc>
          <w:tcPr>
            <w:tcW w:w="447" w:type="pct"/>
            <w:tcBorders>
              <w:left w:val="nil"/>
            </w:tcBorders>
            <w:vAlign w:val="center"/>
          </w:tcPr>
          <w:p w14:paraId="72AAA00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四氯乙烯</w:t>
            </w:r>
          </w:p>
        </w:tc>
        <w:tc>
          <w:tcPr>
            <w:tcW w:w="273" w:type="pct"/>
            <w:vAlign w:val="center"/>
          </w:tcPr>
          <w:p w14:paraId="7BCE4E3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556B7B6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33.9</w:t>
            </w:r>
          </w:p>
        </w:tc>
        <w:tc>
          <w:tcPr>
            <w:tcW w:w="255" w:type="pct"/>
            <w:vAlign w:val="center"/>
          </w:tcPr>
          <w:p w14:paraId="4E4992B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highlight w:val="none"/>
                <w:lang w:val="en-US" w:eastAsia="zh-CN" w:bidi="ar-SA"/>
              </w:rPr>
              <w:t>21.6</w:t>
            </w:r>
          </w:p>
        </w:tc>
        <w:tc>
          <w:tcPr>
            <w:tcW w:w="255" w:type="pct"/>
            <w:vAlign w:val="center"/>
          </w:tcPr>
          <w:p w14:paraId="2BC6E46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highlight w:val="none"/>
                <w:lang w:val="en-US" w:eastAsia="zh-CN" w:bidi="ar-SA"/>
              </w:rPr>
              <w:t>31.8</w:t>
            </w:r>
          </w:p>
        </w:tc>
        <w:tc>
          <w:tcPr>
            <w:tcW w:w="255" w:type="pct"/>
            <w:vAlign w:val="center"/>
          </w:tcPr>
          <w:p w14:paraId="1939518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highlight w:val="none"/>
                <w:lang w:val="en-US" w:eastAsia="zh-CN" w:bidi="ar-SA"/>
              </w:rPr>
              <w:t>25.7</w:t>
            </w:r>
          </w:p>
        </w:tc>
        <w:tc>
          <w:tcPr>
            <w:tcW w:w="255" w:type="pct"/>
            <w:vAlign w:val="center"/>
          </w:tcPr>
          <w:p w14:paraId="549BCAC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highlight w:val="none"/>
                <w:lang w:val="en-US" w:eastAsia="zh-CN" w:bidi="ar-SA"/>
              </w:rPr>
              <w:t>39.7</w:t>
            </w:r>
          </w:p>
        </w:tc>
        <w:tc>
          <w:tcPr>
            <w:tcW w:w="255" w:type="pct"/>
            <w:vAlign w:val="center"/>
          </w:tcPr>
          <w:p w14:paraId="78071D0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highlight w:val="none"/>
                <w:lang w:val="en-US" w:eastAsia="zh-CN" w:bidi="ar-SA"/>
              </w:rPr>
              <w:t>44.6</w:t>
            </w:r>
          </w:p>
        </w:tc>
        <w:tc>
          <w:tcPr>
            <w:tcW w:w="255" w:type="pct"/>
            <w:vAlign w:val="center"/>
          </w:tcPr>
          <w:p w14:paraId="683C3BB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highlight w:val="none"/>
                <w:lang w:val="en-US" w:eastAsia="zh-CN" w:bidi="ar-SA"/>
              </w:rPr>
              <w:t>12.6</w:t>
            </w:r>
          </w:p>
        </w:tc>
        <w:tc>
          <w:tcPr>
            <w:tcW w:w="254" w:type="pct"/>
            <w:vAlign w:val="center"/>
          </w:tcPr>
          <w:p w14:paraId="64B0876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20.0</w:t>
            </w:r>
          </w:p>
        </w:tc>
        <w:tc>
          <w:tcPr>
            <w:tcW w:w="255" w:type="pct"/>
            <w:vAlign w:val="center"/>
          </w:tcPr>
          <w:p w14:paraId="6465CEF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23.1</w:t>
            </w:r>
          </w:p>
        </w:tc>
        <w:tc>
          <w:tcPr>
            <w:tcW w:w="255" w:type="pct"/>
            <w:vAlign w:val="center"/>
          </w:tcPr>
          <w:p w14:paraId="5A5BE02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20.5</w:t>
            </w:r>
          </w:p>
        </w:tc>
        <w:tc>
          <w:tcPr>
            <w:tcW w:w="255" w:type="pct"/>
            <w:vAlign w:val="center"/>
          </w:tcPr>
          <w:p w14:paraId="7E57249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31.2</w:t>
            </w:r>
          </w:p>
        </w:tc>
        <w:tc>
          <w:tcPr>
            <w:tcW w:w="255" w:type="pct"/>
            <w:vAlign w:val="center"/>
          </w:tcPr>
          <w:p w14:paraId="6D88AD7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30.4</w:t>
            </w:r>
          </w:p>
        </w:tc>
        <w:tc>
          <w:tcPr>
            <w:tcW w:w="255" w:type="pct"/>
            <w:vAlign w:val="center"/>
          </w:tcPr>
          <w:p w14:paraId="499536E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6.7</w:t>
            </w:r>
          </w:p>
        </w:tc>
        <w:tc>
          <w:tcPr>
            <w:tcW w:w="257" w:type="pct"/>
            <w:vAlign w:val="center"/>
          </w:tcPr>
          <w:p w14:paraId="759211D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5.1</w:t>
            </w:r>
          </w:p>
        </w:tc>
        <w:tc>
          <w:tcPr>
            <w:tcW w:w="217" w:type="pct"/>
            <w:vAlign w:val="center"/>
          </w:tcPr>
          <w:p w14:paraId="4A9D81E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237" w:type="pct"/>
            <w:vAlign w:val="center"/>
          </w:tcPr>
          <w:p w14:paraId="6EA0F89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w:t>
            </w:r>
          </w:p>
        </w:tc>
        <w:tc>
          <w:tcPr>
            <w:tcW w:w="250" w:type="pct"/>
            <w:tcBorders>
              <w:right w:val="nil"/>
            </w:tcBorders>
            <w:vAlign w:val="center"/>
          </w:tcPr>
          <w:p w14:paraId="1ADDD73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33DF7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56A33FC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1,1,1,2-四氯乙烷</w:t>
            </w:r>
          </w:p>
        </w:tc>
        <w:tc>
          <w:tcPr>
            <w:tcW w:w="273" w:type="pct"/>
            <w:vAlign w:val="center"/>
          </w:tcPr>
          <w:p w14:paraId="7F0BC87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2F92F66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946AA6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8BB4DE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29B8E4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612B82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F0B053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8D39DC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5016446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665B90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46D1A7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BF0791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351B53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9387F3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5090841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3D0EE94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w:t>
            </w:r>
          </w:p>
        </w:tc>
        <w:tc>
          <w:tcPr>
            <w:tcW w:w="237" w:type="pct"/>
            <w:vAlign w:val="center"/>
          </w:tcPr>
          <w:p w14:paraId="6282685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250" w:type="pct"/>
            <w:tcBorders>
              <w:right w:val="nil"/>
            </w:tcBorders>
            <w:vAlign w:val="center"/>
          </w:tcPr>
          <w:p w14:paraId="7B08A46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DCD1D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6988BD2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氯苯</w:t>
            </w:r>
          </w:p>
        </w:tc>
        <w:tc>
          <w:tcPr>
            <w:tcW w:w="273" w:type="pct"/>
            <w:vAlign w:val="center"/>
          </w:tcPr>
          <w:p w14:paraId="69516D6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4D6E2F7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A87EF0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E65BC3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E5D8D4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DD24DF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FCF108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7E2B3B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205A1A0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647D66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38FACE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9E4039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E5A1FB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28925C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35AFCA2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46C4333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68</w:t>
            </w:r>
          </w:p>
        </w:tc>
        <w:tc>
          <w:tcPr>
            <w:tcW w:w="237" w:type="pct"/>
            <w:vAlign w:val="center"/>
          </w:tcPr>
          <w:p w14:paraId="7AFF015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270</w:t>
            </w:r>
          </w:p>
        </w:tc>
        <w:tc>
          <w:tcPr>
            <w:tcW w:w="250" w:type="pct"/>
            <w:tcBorders>
              <w:right w:val="nil"/>
            </w:tcBorders>
            <w:vAlign w:val="center"/>
          </w:tcPr>
          <w:p w14:paraId="1AD0225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C01DE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53050CB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乙苯</w:t>
            </w:r>
          </w:p>
        </w:tc>
        <w:tc>
          <w:tcPr>
            <w:tcW w:w="273" w:type="pct"/>
            <w:vAlign w:val="center"/>
          </w:tcPr>
          <w:p w14:paraId="213C8A3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3309582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80193C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B05EC1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FFF638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D200AA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3E6403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112792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3E64A12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207913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D72A52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E42909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813BEC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944C87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008B7F7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4A6344C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7.2</w:t>
            </w:r>
          </w:p>
        </w:tc>
        <w:tc>
          <w:tcPr>
            <w:tcW w:w="237" w:type="pct"/>
            <w:vAlign w:val="center"/>
          </w:tcPr>
          <w:p w14:paraId="3025601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250" w:type="pct"/>
            <w:tcBorders>
              <w:right w:val="nil"/>
            </w:tcBorders>
            <w:vAlign w:val="center"/>
          </w:tcPr>
          <w:p w14:paraId="33F5C06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DC6F2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447" w:type="pct"/>
            <w:tcBorders>
              <w:left w:val="nil"/>
            </w:tcBorders>
            <w:vAlign w:val="center"/>
          </w:tcPr>
          <w:p w14:paraId="4E527C3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对（间）二甲苯</w:t>
            </w:r>
          </w:p>
        </w:tc>
        <w:tc>
          <w:tcPr>
            <w:tcW w:w="273" w:type="pct"/>
            <w:vAlign w:val="center"/>
          </w:tcPr>
          <w:p w14:paraId="168FCF1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423D71F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282BE0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1A97F2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1CE848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2EA857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713B9D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EA6E8B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76A2BCF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9C8B6E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532BE9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B5E4ED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27B6F6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D3C16B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3AF74E2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6A932A9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163</w:t>
            </w:r>
          </w:p>
        </w:tc>
        <w:tc>
          <w:tcPr>
            <w:tcW w:w="237" w:type="pct"/>
            <w:vAlign w:val="center"/>
          </w:tcPr>
          <w:p w14:paraId="34F4A08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570</w:t>
            </w:r>
          </w:p>
        </w:tc>
        <w:tc>
          <w:tcPr>
            <w:tcW w:w="250" w:type="pct"/>
            <w:tcBorders>
              <w:right w:val="nil"/>
            </w:tcBorders>
            <w:vAlign w:val="center"/>
          </w:tcPr>
          <w:p w14:paraId="176F485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4BA2D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32D4718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苯乙烯</w:t>
            </w:r>
          </w:p>
        </w:tc>
        <w:tc>
          <w:tcPr>
            <w:tcW w:w="273" w:type="pct"/>
            <w:vAlign w:val="center"/>
          </w:tcPr>
          <w:p w14:paraId="21C777A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07FC57C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9E0645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1CBB0D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62A95B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DB3291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8132D7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B13361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0015F07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9543BB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F26041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E0FC90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BBCA59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C2438C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24C4BA6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211CFC3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1290</w:t>
            </w:r>
          </w:p>
        </w:tc>
        <w:tc>
          <w:tcPr>
            <w:tcW w:w="237" w:type="pct"/>
            <w:vAlign w:val="center"/>
          </w:tcPr>
          <w:p w14:paraId="40C210E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1290</w:t>
            </w:r>
          </w:p>
        </w:tc>
        <w:tc>
          <w:tcPr>
            <w:tcW w:w="250" w:type="pct"/>
            <w:tcBorders>
              <w:right w:val="nil"/>
            </w:tcBorders>
            <w:vAlign w:val="center"/>
          </w:tcPr>
          <w:p w14:paraId="49FA27F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8666F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6" w:hRule="atLeast"/>
        </w:trPr>
        <w:tc>
          <w:tcPr>
            <w:tcW w:w="447" w:type="pct"/>
            <w:tcBorders>
              <w:left w:val="nil"/>
            </w:tcBorders>
            <w:vAlign w:val="center"/>
          </w:tcPr>
          <w:p w14:paraId="552D4D0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1,1,2,2-四氯乙烷</w:t>
            </w:r>
          </w:p>
        </w:tc>
        <w:tc>
          <w:tcPr>
            <w:tcW w:w="273" w:type="pct"/>
            <w:vAlign w:val="center"/>
          </w:tcPr>
          <w:p w14:paraId="038AA5A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351C494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1DE8BB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5018AF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DC8C08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DF807F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1DE4D2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EA4C66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373287A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EC2F51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A0409B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F3924B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DE3729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3E9E3D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5D303A0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29B647F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1.6</w:t>
            </w:r>
          </w:p>
        </w:tc>
        <w:tc>
          <w:tcPr>
            <w:tcW w:w="237" w:type="pct"/>
            <w:vAlign w:val="center"/>
          </w:tcPr>
          <w:p w14:paraId="13BE28F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6.8</w:t>
            </w:r>
          </w:p>
        </w:tc>
        <w:tc>
          <w:tcPr>
            <w:tcW w:w="250" w:type="pct"/>
            <w:tcBorders>
              <w:right w:val="nil"/>
            </w:tcBorders>
            <w:vAlign w:val="center"/>
          </w:tcPr>
          <w:p w14:paraId="1FB4A5F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达标</w:t>
            </w:r>
          </w:p>
        </w:tc>
      </w:tr>
      <w:tr w14:paraId="1AFCEE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2443806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邻二甲苯</w:t>
            </w:r>
          </w:p>
        </w:tc>
        <w:tc>
          <w:tcPr>
            <w:tcW w:w="273" w:type="pct"/>
            <w:vAlign w:val="center"/>
          </w:tcPr>
          <w:p w14:paraId="7E4C2CC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22DCE1A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1F7D42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835FE3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76764D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E9DCB6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B958C8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16E55F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1187A6B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1E24E4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3FE8BC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E6280C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B30F36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146226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292EA09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55C77B3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222</w:t>
            </w:r>
          </w:p>
        </w:tc>
        <w:tc>
          <w:tcPr>
            <w:tcW w:w="237" w:type="pct"/>
            <w:vAlign w:val="center"/>
          </w:tcPr>
          <w:p w14:paraId="644E587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640</w:t>
            </w:r>
          </w:p>
        </w:tc>
        <w:tc>
          <w:tcPr>
            <w:tcW w:w="250" w:type="pct"/>
            <w:tcBorders>
              <w:right w:val="nil"/>
            </w:tcBorders>
            <w:vAlign w:val="center"/>
          </w:tcPr>
          <w:p w14:paraId="7EA848E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A948B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0B1EE50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1,2,3-三氯丙烷</w:t>
            </w:r>
          </w:p>
        </w:tc>
        <w:tc>
          <w:tcPr>
            <w:tcW w:w="273" w:type="pct"/>
            <w:vAlign w:val="center"/>
          </w:tcPr>
          <w:p w14:paraId="2DDD899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1927772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BA746B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37EA94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BEF5A5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AC5865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0DD12D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A38D4A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69DB8F6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F6AA5D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F79061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67389C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B90C26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E24203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45DF0D6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78C1FFC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237" w:type="pct"/>
            <w:vAlign w:val="center"/>
          </w:tcPr>
          <w:p w14:paraId="0E62CA8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250" w:type="pct"/>
            <w:tcBorders>
              <w:right w:val="nil"/>
            </w:tcBorders>
            <w:vAlign w:val="center"/>
          </w:tcPr>
          <w:p w14:paraId="07F6E60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926A5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4CECBD7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1,4-二氯苯</w:t>
            </w:r>
          </w:p>
        </w:tc>
        <w:tc>
          <w:tcPr>
            <w:tcW w:w="273" w:type="pct"/>
            <w:vAlign w:val="center"/>
          </w:tcPr>
          <w:p w14:paraId="3B68B0E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vAlign w:val="center"/>
          </w:tcPr>
          <w:p w14:paraId="660DFD8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1D2204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D2A865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FC7D11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927242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5D7890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8A9F93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2DB3CA6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DB4F19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0172E8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7CF273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D76080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7298D7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0241AFD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0018BDA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w:t>
            </w:r>
          </w:p>
        </w:tc>
        <w:tc>
          <w:tcPr>
            <w:tcW w:w="237" w:type="pct"/>
            <w:vAlign w:val="center"/>
          </w:tcPr>
          <w:p w14:paraId="2FB5678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250" w:type="pct"/>
            <w:tcBorders>
              <w:right w:val="nil"/>
            </w:tcBorders>
            <w:vAlign w:val="center"/>
          </w:tcPr>
          <w:p w14:paraId="704C158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CE11E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7" w:type="pct"/>
            <w:tcBorders>
              <w:left w:val="nil"/>
              <w:bottom w:val="single" w:color="000000" w:sz="10" w:space="0"/>
            </w:tcBorders>
            <w:vAlign w:val="center"/>
          </w:tcPr>
          <w:p w14:paraId="5F519C7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1,2-二氯苯</w:t>
            </w:r>
          </w:p>
        </w:tc>
        <w:tc>
          <w:tcPr>
            <w:tcW w:w="273" w:type="pct"/>
            <w:tcBorders>
              <w:bottom w:val="single" w:color="000000" w:sz="10" w:space="0"/>
            </w:tcBorders>
            <w:vAlign w:val="center"/>
          </w:tcPr>
          <w:p w14:paraId="4812C12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255" w:type="pct"/>
            <w:tcBorders>
              <w:bottom w:val="single" w:color="000000" w:sz="10" w:space="0"/>
            </w:tcBorders>
            <w:vAlign w:val="center"/>
          </w:tcPr>
          <w:p w14:paraId="09CB5A7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4F4D845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1144C70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4C93E2B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7AAE833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26BB4AC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5594176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tcBorders>
              <w:bottom w:val="single" w:color="000000" w:sz="10" w:space="0"/>
            </w:tcBorders>
            <w:vAlign w:val="center"/>
          </w:tcPr>
          <w:p w14:paraId="114236B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3E31BE6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27B7960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50DF49B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02816FA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4743CDD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tcBorders>
              <w:bottom w:val="single" w:color="000000" w:sz="10" w:space="0"/>
            </w:tcBorders>
            <w:vAlign w:val="center"/>
          </w:tcPr>
          <w:p w14:paraId="741F3A0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tcBorders>
              <w:bottom w:val="single" w:color="000000" w:sz="10" w:space="0"/>
            </w:tcBorders>
            <w:vAlign w:val="center"/>
          </w:tcPr>
          <w:p w14:paraId="2B89641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560</w:t>
            </w:r>
          </w:p>
        </w:tc>
        <w:tc>
          <w:tcPr>
            <w:tcW w:w="237" w:type="pct"/>
            <w:tcBorders>
              <w:bottom w:val="single" w:color="000000" w:sz="10" w:space="0"/>
            </w:tcBorders>
            <w:vAlign w:val="center"/>
          </w:tcPr>
          <w:p w14:paraId="3C6895F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560</w:t>
            </w:r>
          </w:p>
        </w:tc>
        <w:tc>
          <w:tcPr>
            <w:tcW w:w="250" w:type="pct"/>
            <w:tcBorders>
              <w:bottom w:val="single" w:color="000000" w:sz="10" w:space="0"/>
              <w:right w:val="nil"/>
            </w:tcBorders>
            <w:vAlign w:val="center"/>
          </w:tcPr>
          <w:p w14:paraId="2F29747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046AC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447" w:type="pct"/>
            <w:tcBorders>
              <w:left w:val="nil"/>
            </w:tcBorders>
            <w:vAlign w:val="center"/>
          </w:tcPr>
          <w:p w14:paraId="284237A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萘</w:t>
            </w:r>
          </w:p>
        </w:tc>
        <w:tc>
          <w:tcPr>
            <w:tcW w:w="273" w:type="pct"/>
            <w:vAlign w:val="center"/>
          </w:tcPr>
          <w:p w14:paraId="5FFEF82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0EE50DE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680B87E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1EE45DF4">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19393E6E">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7E7956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21A8D3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B65D7F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45BE2E5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34164C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9D3EF0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58FA9E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1E82FF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6BA09F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4282B44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3DB27FB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237" w:type="pct"/>
            <w:vAlign w:val="center"/>
          </w:tcPr>
          <w:p w14:paraId="12BA4A7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250" w:type="pct"/>
            <w:tcBorders>
              <w:right w:val="nil"/>
            </w:tcBorders>
            <w:vAlign w:val="center"/>
          </w:tcPr>
          <w:p w14:paraId="5F5C0DE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D181D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447" w:type="pct"/>
            <w:tcBorders>
              <w:left w:val="nil"/>
            </w:tcBorders>
            <w:vAlign w:val="center"/>
          </w:tcPr>
          <w:p w14:paraId="5A4CB02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硝基苯</w:t>
            </w:r>
          </w:p>
        </w:tc>
        <w:tc>
          <w:tcPr>
            <w:tcW w:w="273" w:type="pct"/>
            <w:vAlign w:val="center"/>
          </w:tcPr>
          <w:p w14:paraId="7506260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0B51397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802C6A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1CDD3C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7A3FE5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C46E97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D3C5B7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F1F5F3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1084C4E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D1DC4C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FF22C7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122682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9E444C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735463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1F8EC2B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2DC0545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237" w:type="pct"/>
            <w:vAlign w:val="center"/>
          </w:tcPr>
          <w:p w14:paraId="452709E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76</w:t>
            </w:r>
          </w:p>
        </w:tc>
        <w:tc>
          <w:tcPr>
            <w:tcW w:w="250" w:type="pct"/>
            <w:tcBorders>
              <w:right w:val="nil"/>
            </w:tcBorders>
            <w:vAlign w:val="center"/>
          </w:tcPr>
          <w:p w14:paraId="5C873DB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58C40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3270DF2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苯胺</w:t>
            </w:r>
          </w:p>
        </w:tc>
        <w:tc>
          <w:tcPr>
            <w:tcW w:w="273" w:type="pct"/>
            <w:vAlign w:val="center"/>
          </w:tcPr>
          <w:p w14:paraId="603C92F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6C7FF44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26E010F4">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7517C343">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0DD4ABED">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30BCF7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0B16FB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36D07B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7DEE847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A3BAA6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B9F72A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91CBB6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AE5860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B2197A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12B2373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28FDDB0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92</w:t>
            </w:r>
          </w:p>
        </w:tc>
        <w:tc>
          <w:tcPr>
            <w:tcW w:w="237" w:type="pct"/>
            <w:vAlign w:val="center"/>
          </w:tcPr>
          <w:p w14:paraId="073D269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250" w:type="pct"/>
            <w:tcBorders>
              <w:right w:val="nil"/>
            </w:tcBorders>
            <w:vAlign w:val="center"/>
          </w:tcPr>
          <w:p w14:paraId="06632A8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DD990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447" w:type="pct"/>
            <w:tcBorders>
              <w:left w:val="nil"/>
            </w:tcBorders>
            <w:vAlign w:val="center"/>
          </w:tcPr>
          <w:p w14:paraId="4F66B99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2-氯酚</w:t>
            </w:r>
          </w:p>
        </w:tc>
        <w:tc>
          <w:tcPr>
            <w:tcW w:w="273" w:type="pct"/>
            <w:vAlign w:val="center"/>
          </w:tcPr>
          <w:p w14:paraId="51E2203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38B20F1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4E05B5F9">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62189B63">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214217D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BCD590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B0638F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124D0A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6561671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C62D4C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793FAB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7BF786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C25916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D81BCB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4030891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630351F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237" w:type="pct"/>
            <w:vAlign w:val="center"/>
          </w:tcPr>
          <w:p w14:paraId="3187CB5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2256</w:t>
            </w:r>
          </w:p>
        </w:tc>
        <w:tc>
          <w:tcPr>
            <w:tcW w:w="250" w:type="pct"/>
            <w:tcBorders>
              <w:right w:val="nil"/>
            </w:tcBorders>
            <w:vAlign w:val="center"/>
          </w:tcPr>
          <w:p w14:paraId="35CA63C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AA61F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447" w:type="pct"/>
            <w:tcBorders>
              <w:left w:val="nil"/>
            </w:tcBorders>
            <w:vAlign w:val="center"/>
          </w:tcPr>
          <w:p w14:paraId="22A11B0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苯并〔a〕蒽</w:t>
            </w:r>
          </w:p>
        </w:tc>
        <w:tc>
          <w:tcPr>
            <w:tcW w:w="273" w:type="pct"/>
            <w:vAlign w:val="center"/>
          </w:tcPr>
          <w:p w14:paraId="7DC667F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213C372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32E582C0">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33F78171">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77D4E904">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82868C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91E33A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BDEF40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2EB74D2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0A646E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44E47A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E0501E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AFAEA8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3A859A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05DD874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7C920EA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237" w:type="pct"/>
            <w:vAlign w:val="center"/>
          </w:tcPr>
          <w:p w14:paraId="3CCC46A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250" w:type="pct"/>
            <w:tcBorders>
              <w:right w:val="nil"/>
            </w:tcBorders>
            <w:vAlign w:val="center"/>
          </w:tcPr>
          <w:p w14:paraId="1056788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95382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447" w:type="pct"/>
            <w:tcBorders>
              <w:left w:val="nil"/>
            </w:tcBorders>
            <w:vAlign w:val="center"/>
          </w:tcPr>
          <w:p w14:paraId="336436A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苯并〔a〕芘</w:t>
            </w:r>
          </w:p>
        </w:tc>
        <w:tc>
          <w:tcPr>
            <w:tcW w:w="273" w:type="pct"/>
            <w:vAlign w:val="center"/>
          </w:tcPr>
          <w:p w14:paraId="720566C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47E08AF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0BB0887E">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2155D7A0">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01B72216">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8E1CA6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05BF12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7DF279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4DEC13A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ACD3F3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3259D7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CCEC0D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547DFB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658E53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6158F46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21E9FA9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0.55</w:t>
            </w:r>
          </w:p>
        </w:tc>
        <w:tc>
          <w:tcPr>
            <w:tcW w:w="237" w:type="pct"/>
            <w:vAlign w:val="center"/>
          </w:tcPr>
          <w:p w14:paraId="15DBC4D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250" w:type="pct"/>
            <w:tcBorders>
              <w:right w:val="nil"/>
            </w:tcBorders>
            <w:vAlign w:val="center"/>
          </w:tcPr>
          <w:p w14:paraId="2FD412A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130DA1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01BB1EA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苯并〔b〕荧蒽</w:t>
            </w:r>
          </w:p>
        </w:tc>
        <w:tc>
          <w:tcPr>
            <w:tcW w:w="273" w:type="pct"/>
            <w:vAlign w:val="center"/>
          </w:tcPr>
          <w:p w14:paraId="40C84E8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75FFB06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31936FBC">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645767F8">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791EF7CD">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4F48B6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C74185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00D18C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2B1595E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F03C8A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57B99C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04E55F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0D99BE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B99300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05C2714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38AB8FA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237" w:type="pct"/>
            <w:vAlign w:val="center"/>
          </w:tcPr>
          <w:p w14:paraId="00E9B16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250" w:type="pct"/>
            <w:tcBorders>
              <w:right w:val="nil"/>
            </w:tcBorders>
            <w:vAlign w:val="center"/>
          </w:tcPr>
          <w:p w14:paraId="1C89D38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114BC9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2B3FBEE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苯并〔k〕荧蒽</w:t>
            </w:r>
          </w:p>
        </w:tc>
        <w:tc>
          <w:tcPr>
            <w:tcW w:w="273" w:type="pct"/>
            <w:vAlign w:val="center"/>
          </w:tcPr>
          <w:p w14:paraId="2F8CCED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6558B99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044A009A">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5BEC288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3D10F3AE">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FFA64A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1E2F34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5BB816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16F67A9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BB00BF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25AB00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567E8D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414E5E7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E769DC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7B3093C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6ACE6EA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237" w:type="pct"/>
            <w:vAlign w:val="center"/>
          </w:tcPr>
          <w:p w14:paraId="6A53371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151</w:t>
            </w:r>
          </w:p>
        </w:tc>
        <w:tc>
          <w:tcPr>
            <w:tcW w:w="250" w:type="pct"/>
            <w:tcBorders>
              <w:right w:val="nil"/>
            </w:tcBorders>
            <w:vAlign w:val="center"/>
          </w:tcPr>
          <w:p w14:paraId="1FE9E48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C61C9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2C1063A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䓛</w:t>
            </w:r>
          </w:p>
        </w:tc>
        <w:tc>
          <w:tcPr>
            <w:tcW w:w="273" w:type="pct"/>
            <w:vAlign w:val="center"/>
          </w:tcPr>
          <w:p w14:paraId="6FD8B8D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54BF8CE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2D6602F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1D0F6288">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49992E83">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20F05C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5EE934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C6D438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29CFDBF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A137AC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9C0831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278F8B7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3E7DE6E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287D52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45F6D15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59911DF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490</w:t>
            </w:r>
          </w:p>
        </w:tc>
        <w:tc>
          <w:tcPr>
            <w:tcW w:w="237" w:type="pct"/>
            <w:vAlign w:val="center"/>
          </w:tcPr>
          <w:p w14:paraId="4D37D9C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1293</w:t>
            </w:r>
          </w:p>
        </w:tc>
        <w:tc>
          <w:tcPr>
            <w:tcW w:w="250" w:type="pct"/>
            <w:tcBorders>
              <w:right w:val="nil"/>
            </w:tcBorders>
            <w:vAlign w:val="center"/>
          </w:tcPr>
          <w:p w14:paraId="4DDAB55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46DE6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447" w:type="pct"/>
            <w:tcBorders>
              <w:left w:val="nil"/>
            </w:tcBorders>
            <w:vAlign w:val="center"/>
          </w:tcPr>
          <w:p w14:paraId="4052292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二苯并〔a，h〕蒽</w:t>
            </w:r>
          </w:p>
        </w:tc>
        <w:tc>
          <w:tcPr>
            <w:tcW w:w="273" w:type="pct"/>
            <w:vAlign w:val="center"/>
          </w:tcPr>
          <w:p w14:paraId="54BBD76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vAlign w:val="center"/>
          </w:tcPr>
          <w:p w14:paraId="2D4E351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13E6B13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0623855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shd w:val="clear" w:color="auto" w:fill="auto"/>
            <w:vAlign w:val="center"/>
          </w:tcPr>
          <w:p w14:paraId="7E12E35C">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1184DDA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41B7E9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54F97DF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vAlign w:val="center"/>
          </w:tcPr>
          <w:p w14:paraId="0C1EBF7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0B91603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02CDC8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7B354FD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71E601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vAlign w:val="center"/>
          </w:tcPr>
          <w:p w14:paraId="61A715F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vAlign w:val="center"/>
          </w:tcPr>
          <w:p w14:paraId="07D9EB9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vAlign w:val="center"/>
          </w:tcPr>
          <w:p w14:paraId="600458A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0.55</w:t>
            </w:r>
          </w:p>
        </w:tc>
        <w:tc>
          <w:tcPr>
            <w:tcW w:w="237" w:type="pct"/>
            <w:vAlign w:val="center"/>
          </w:tcPr>
          <w:p w14:paraId="22FA85C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250" w:type="pct"/>
            <w:tcBorders>
              <w:right w:val="nil"/>
            </w:tcBorders>
            <w:vAlign w:val="center"/>
          </w:tcPr>
          <w:p w14:paraId="19B7695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23C403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trPr>
        <w:tc>
          <w:tcPr>
            <w:tcW w:w="447" w:type="pct"/>
            <w:tcBorders>
              <w:left w:val="nil"/>
              <w:bottom w:val="single" w:color="000000" w:sz="10" w:space="0"/>
            </w:tcBorders>
            <w:vAlign w:val="center"/>
          </w:tcPr>
          <w:p w14:paraId="3E16B4B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茚并〔1,2,3-cd〕芘</w:t>
            </w:r>
          </w:p>
        </w:tc>
        <w:tc>
          <w:tcPr>
            <w:tcW w:w="273" w:type="pct"/>
            <w:tcBorders>
              <w:bottom w:val="single" w:color="000000" w:sz="10" w:space="0"/>
            </w:tcBorders>
            <w:vAlign w:val="center"/>
          </w:tcPr>
          <w:p w14:paraId="41D76AB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255" w:type="pct"/>
            <w:tcBorders>
              <w:bottom w:val="single" w:color="000000" w:sz="10" w:space="0"/>
            </w:tcBorders>
            <w:vAlign w:val="center"/>
          </w:tcPr>
          <w:p w14:paraId="5B46A84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shd w:val="clear" w:color="auto" w:fill="auto"/>
            <w:vAlign w:val="center"/>
          </w:tcPr>
          <w:p w14:paraId="7DAAB9E9">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shd w:val="clear" w:color="auto" w:fill="auto"/>
            <w:vAlign w:val="center"/>
          </w:tcPr>
          <w:p w14:paraId="53FB1734">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shd w:val="clear" w:color="auto" w:fill="auto"/>
            <w:vAlign w:val="center"/>
          </w:tcPr>
          <w:p w14:paraId="259A8E7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7C37E48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1DC18A2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0B79BA9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4" w:type="pct"/>
            <w:tcBorders>
              <w:bottom w:val="single" w:color="000000" w:sz="10" w:space="0"/>
            </w:tcBorders>
            <w:vAlign w:val="center"/>
          </w:tcPr>
          <w:p w14:paraId="4BA75A9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0A0A122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1634E79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11703AE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1E1A5AD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5" w:type="pct"/>
            <w:tcBorders>
              <w:bottom w:val="single" w:color="000000" w:sz="10" w:space="0"/>
            </w:tcBorders>
            <w:vAlign w:val="center"/>
          </w:tcPr>
          <w:p w14:paraId="5296100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57" w:type="pct"/>
            <w:tcBorders>
              <w:bottom w:val="single" w:color="000000" w:sz="10" w:space="0"/>
            </w:tcBorders>
            <w:vAlign w:val="center"/>
          </w:tcPr>
          <w:p w14:paraId="4756453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217" w:type="pct"/>
            <w:tcBorders>
              <w:bottom w:val="single" w:color="000000" w:sz="10" w:space="0"/>
            </w:tcBorders>
            <w:vAlign w:val="center"/>
          </w:tcPr>
          <w:p w14:paraId="05634EE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237" w:type="pct"/>
            <w:tcBorders>
              <w:bottom w:val="single" w:color="000000" w:sz="10" w:space="0"/>
            </w:tcBorders>
            <w:vAlign w:val="center"/>
          </w:tcPr>
          <w:p w14:paraId="6E2907E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250" w:type="pct"/>
            <w:tcBorders>
              <w:bottom w:val="single" w:color="000000" w:sz="10" w:space="0"/>
              <w:right w:val="nil"/>
            </w:tcBorders>
            <w:vAlign w:val="center"/>
          </w:tcPr>
          <w:p w14:paraId="10252F4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bl>
    <w:p w14:paraId="254C23A5">
      <w:pPr>
        <w:keepNext w:val="0"/>
        <w:keepLines w:val="0"/>
        <w:pageBreakBefore w:val="0"/>
        <w:widowControl/>
        <w:kinsoku w:val="0"/>
        <w:wordWrap/>
        <w:overflowPunct/>
        <w:topLinePunct w:val="0"/>
        <w:autoSpaceDE w:val="0"/>
        <w:autoSpaceDN w:val="0"/>
        <w:bidi w:val="0"/>
        <w:adjustRightInd w:val="0"/>
        <w:snapToGrid w:val="0"/>
        <w:spacing w:before="180" w:line="240" w:lineRule="auto"/>
        <w:ind w:left="5471"/>
        <w:textAlignment w:val="baseline"/>
        <w:rPr>
          <w:rFonts w:ascii="宋体" w:hAnsi="宋体" w:eastAsia="宋体" w:cs="宋体"/>
          <w:color w:val="auto"/>
          <w:sz w:val="24"/>
          <w:szCs w:val="24"/>
        </w:rPr>
      </w:pPr>
      <w:r>
        <w:rPr>
          <w:rFonts w:ascii="宋体" w:hAnsi="宋体" w:eastAsia="宋体" w:cs="宋体"/>
          <w:b/>
          <w:bCs/>
          <w:color w:val="auto"/>
          <w:spacing w:val="-2"/>
          <w:sz w:val="24"/>
          <w:szCs w:val="24"/>
        </w:rPr>
        <w:t>表</w:t>
      </w:r>
      <w:r>
        <w:rPr>
          <w:rFonts w:ascii="Times New Roman" w:hAnsi="Times New Roman" w:eastAsia="Times New Roman" w:cs="Times New Roman"/>
          <w:b/>
          <w:bCs/>
          <w:color w:val="auto"/>
          <w:spacing w:val="-2"/>
          <w:sz w:val="24"/>
          <w:szCs w:val="24"/>
        </w:rPr>
        <w:t>6.3-</w:t>
      </w:r>
      <w:r>
        <w:rPr>
          <w:rFonts w:hint="eastAsia" w:ascii="Times New Roman" w:hAnsi="Times New Roman" w:eastAsia="宋体" w:cs="Times New Roman"/>
          <w:b/>
          <w:bCs/>
          <w:color w:val="auto"/>
          <w:spacing w:val="-2"/>
          <w:sz w:val="24"/>
          <w:szCs w:val="24"/>
          <w:lang w:val="en-US" w:eastAsia="zh-CN"/>
        </w:rPr>
        <w:t xml:space="preserve">25  </w:t>
      </w:r>
      <w:r>
        <w:rPr>
          <w:rFonts w:ascii="宋体" w:hAnsi="宋体" w:eastAsia="宋体" w:cs="宋体"/>
          <w:b/>
          <w:bCs/>
          <w:color w:val="auto"/>
          <w:spacing w:val="-2"/>
          <w:sz w:val="24"/>
          <w:szCs w:val="24"/>
        </w:rPr>
        <w:t>土壤环境监测结果</w:t>
      </w:r>
      <w:bookmarkStart w:id="1719" w:name="pindex11380"/>
      <w:bookmarkEnd w:id="1719"/>
    </w:p>
    <w:tbl>
      <w:tblPr>
        <w:tblStyle w:val="26"/>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835"/>
        <w:gridCol w:w="1122"/>
        <w:gridCol w:w="1047"/>
        <w:gridCol w:w="1047"/>
        <w:gridCol w:w="1055"/>
        <w:gridCol w:w="1047"/>
        <w:gridCol w:w="1047"/>
        <w:gridCol w:w="1058"/>
        <w:gridCol w:w="1866"/>
        <w:gridCol w:w="892"/>
        <w:gridCol w:w="974"/>
        <w:gridCol w:w="1024"/>
      </w:tblGrid>
      <w:tr w14:paraId="20A68F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9" w:hRule="atLeast"/>
        </w:trPr>
        <w:tc>
          <w:tcPr>
            <w:tcW w:w="654" w:type="pct"/>
            <w:vMerge w:val="restart"/>
            <w:tcBorders>
              <w:top w:val="single" w:color="000000" w:sz="10" w:space="0"/>
              <w:left w:val="nil"/>
              <w:bottom w:val="nil"/>
            </w:tcBorders>
            <w:vAlign w:val="center"/>
          </w:tcPr>
          <w:p w14:paraId="525D4EC8">
            <w:pPr>
              <w:bidi w:val="0"/>
              <w:jc w:val="center"/>
              <w:rPr>
                <w:rFonts w:hint="default" w:ascii="Times New Roman" w:hAnsi="Times New Roman" w:eastAsia="宋体" w:cs="Times New Roman"/>
                <w:b/>
                <w:bCs/>
                <w:color w:val="auto"/>
                <w:sz w:val="21"/>
                <w:szCs w:val="21"/>
              </w:rPr>
            </w:pPr>
            <w:bookmarkStart w:id="1720" w:name="OLE_LINK568" w:colFirst="4" w:colLast="8"/>
            <w:r>
              <w:rPr>
                <w:rFonts w:hint="default" w:ascii="Times New Roman" w:hAnsi="Times New Roman" w:eastAsia="宋体" w:cs="Times New Roman"/>
                <w:b/>
                <w:bCs/>
                <w:color w:val="auto"/>
                <w:sz w:val="21"/>
                <w:szCs w:val="21"/>
              </w:rPr>
              <w:t>监测点位</w:t>
            </w:r>
          </w:p>
        </w:tc>
        <w:tc>
          <w:tcPr>
            <w:tcW w:w="400" w:type="pct"/>
            <w:vMerge w:val="restart"/>
            <w:tcBorders>
              <w:top w:val="single" w:color="000000" w:sz="10" w:space="0"/>
              <w:bottom w:val="nil"/>
            </w:tcBorders>
            <w:vAlign w:val="center"/>
          </w:tcPr>
          <w:p w14:paraId="2D1D9247">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1122" w:type="pct"/>
            <w:gridSpan w:val="3"/>
            <w:tcBorders>
              <w:top w:val="single" w:color="000000" w:sz="10" w:space="0"/>
            </w:tcBorders>
            <w:vAlign w:val="center"/>
          </w:tcPr>
          <w:p w14:paraId="1F148C35">
            <w:pPr>
              <w:bidi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val="en-US" w:eastAsia="zh-CN"/>
              </w:rPr>
              <w:t>T9</w:t>
            </w:r>
          </w:p>
        </w:tc>
        <w:tc>
          <w:tcPr>
            <w:tcW w:w="1123" w:type="pct"/>
            <w:gridSpan w:val="3"/>
            <w:tcBorders>
              <w:top w:val="single" w:color="000000" w:sz="10" w:space="0"/>
            </w:tcBorders>
            <w:vAlign w:val="center"/>
          </w:tcPr>
          <w:p w14:paraId="5340A7B0">
            <w:pPr>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T10</w:t>
            </w:r>
          </w:p>
        </w:tc>
        <w:tc>
          <w:tcPr>
            <w:tcW w:w="665" w:type="pct"/>
            <w:tcBorders>
              <w:top w:val="single" w:color="000000" w:sz="10" w:space="0"/>
            </w:tcBorders>
            <w:vAlign w:val="center"/>
          </w:tcPr>
          <w:p w14:paraId="1D073664">
            <w:pPr>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T6</w:t>
            </w:r>
          </w:p>
        </w:tc>
        <w:tc>
          <w:tcPr>
            <w:tcW w:w="665" w:type="pct"/>
            <w:gridSpan w:val="2"/>
            <w:tcBorders>
              <w:top w:val="single" w:color="000000" w:sz="10" w:space="0"/>
            </w:tcBorders>
            <w:vAlign w:val="center"/>
          </w:tcPr>
          <w:p w14:paraId="7ACD8CA2">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标准值mg/kg</w:t>
            </w:r>
          </w:p>
        </w:tc>
        <w:tc>
          <w:tcPr>
            <w:tcW w:w="365" w:type="pct"/>
            <w:vMerge w:val="restart"/>
            <w:tcBorders>
              <w:top w:val="single" w:color="000000" w:sz="10" w:space="0"/>
              <w:bottom w:val="nil"/>
              <w:right w:val="nil"/>
            </w:tcBorders>
            <w:vAlign w:val="center"/>
          </w:tcPr>
          <w:p w14:paraId="34869B28">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14:paraId="4EBFB5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54" w:type="pct"/>
            <w:vMerge w:val="continue"/>
            <w:tcBorders>
              <w:top w:val="nil"/>
              <w:left w:val="nil"/>
            </w:tcBorders>
            <w:vAlign w:val="center"/>
          </w:tcPr>
          <w:p w14:paraId="1CF07D89">
            <w:pPr>
              <w:bidi w:val="0"/>
              <w:jc w:val="center"/>
              <w:rPr>
                <w:rFonts w:hint="default" w:ascii="Times New Roman" w:hAnsi="Times New Roman" w:eastAsia="宋体" w:cs="Times New Roman"/>
                <w:b/>
                <w:bCs/>
                <w:color w:val="auto"/>
                <w:sz w:val="21"/>
                <w:szCs w:val="21"/>
              </w:rPr>
            </w:pPr>
          </w:p>
        </w:tc>
        <w:tc>
          <w:tcPr>
            <w:tcW w:w="400" w:type="pct"/>
            <w:vMerge w:val="continue"/>
            <w:tcBorders>
              <w:top w:val="nil"/>
            </w:tcBorders>
            <w:vAlign w:val="center"/>
          </w:tcPr>
          <w:p w14:paraId="52A4E482">
            <w:pPr>
              <w:bidi w:val="0"/>
              <w:jc w:val="center"/>
              <w:rPr>
                <w:rFonts w:hint="default" w:ascii="Times New Roman" w:hAnsi="Times New Roman" w:eastAsia="宋体" w:cs="Times New Roman"/>
                <w:b/>
                <w:bCs/>
                <w:color w:val="auto"/>
                <w:sz w:val="21"/>
                <w:szCs w:val="21"/>
              </w:rPr>
            </w:pPr>
          </w:p>
        </w:tc>
        <w:tc>
          <w:tcPr>
            <w:tcW w:w="373" w:type="pct"/>
            <w:vAlign w:val="center"/>
          </w:tcPr>
          <w:p w14:paraId="76A04437">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m</w:t>
            </w:r>
          </w:p>
        </w:tc>
        <w:tc>
          <w:tcPr>
            <w:tcW w:w="373" w:type="pct"/>
            <w:vAlign w:val="center"/>
          </w:tcPr>
          <w:p w14:paraId="576B3D75">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0.5</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1.5m</w:t>
            </w:r>
          </w:p>
        </w:tc>
        <w:tc>
          <w:tcPr>
            <w:tcW w:w="375" w:type="pct"/>
            <w:vAlign w:val="center"/>
          </w:tcPr>
          <w:p w14:paraId="43B6A7D3">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1.5</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3.0m</w:t>
            </w:r>
          </w:p>
        </w:tc>
        <w:tc>
          <w:tcPr>
            <w:tcW w:w="373" w:type="pct"/>
            <w:vAlign w:val="center"/>
          </w:tcPr>
          <w:p w14:paraId="1CD90109">
            <w:pPr>
              <w:bidi w:val="0"/>
              <w:jc w:val="center"/>
              <w:rPr>
                <w:rFonts w:hint="default" w:ascii="Times New Roman" w:hAnsi="Times New Roman" w:eastAsia="宋体" w:cs="Times New Roman"/>
                <w:b/>
                <w:bCs/>
                <w:color w:val="auto"/>
                <w:sz w:val="21"/>
                <w:szCs w:val="21"/>
              </w:rPr>
            </w:pPr>
            <w:bookmarkStart w:id="1721" w:name="OLE_LINK567"/>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m</w:t>
            </w:r>
            <w:bookmarkEnd w:id="1721"/>
          </w:p>
        </w:tc>
        <w:tc>
          <w:tcPr>
            <w:tcW w:w="373" w:type="pct"/>
            <w:vAlign w:val="center"/>
          </w:tcPr>
          <w:p w14:paraId="0C6C26EF">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0.5</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1.5m</w:t>
            </w:r>
          </w:p>
        </w:tc>
        <w:tc>
          <w:tcPr>
            <w:tcW w:w="376" w:type="pct"/>
            <w:vAlign w:val="center"/>
          </w:tcPr>
          <w:p w14:paraId="0C72F0DF">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1.5</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3.0m</w:t>
            </w:r>
          </w:p>
        </w:tc>
        <w:tc>
          <w:tcPr>
            <w:tcW w:w="665" w:type="pct"/>
            <w:vAlign w:val="center"/>
          </w:tcPr>
          <w:p w14:paraId="6B4EA37D">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m</w:t>
            </w:r>
          </w:p>
        </w:tc>
        <w:tc>
          <w:tcPr>
            <w:tcW w:w="318" w:type="pct"/>
            <w:vAlign w:val="center"/>
          </w:tcPr>
          <w:p w14:paraId="49AA97AD">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Ⅰ类</w:t>
            </w:r>
          </w:p>
        </w:tc>
        <w:tc>
          <w:tcPr>
            <w:tcW w:w="347" w:type="pct"/>
            <w:vAlign w:val="center"/>
          </w:tcPr>
          <w:p w14:paraId="2134D02B">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Ⅱ类</w:t>
            </w:r>
          </w:p>
        </w:tc>
        <w:tc>
          <w:tcPr>
            <w:tcW w:w="365" w:type="pct"/>
            <w:vMerge w:val="continue"/>
            <w:tcBorders>
              <w:top w:val="nil"/>
              <w:right w:val="nil"/>
            </w:tcBorders>
            <w:vAlign w:val="center"/>
          </w:tcPr>
          <w:p w14:paraId="312A5254">
            <w:pPr>
              <w:bidi w:val="0"/>
              <w:jc w:val="center"/>
              <w:rPr>
                <w:rFonts w:hint="default" w:ascii="Times New Roman" w:hAnsi="Times New Roman" w:eastAsia="宋体" w:cs="Times New Roman"/>
                <w:b/>
                <w:bCs/>
                <w:color w:val="auto"/>
                <w:sz w:val="21"/>
                <w:szCs w:val="21"/>
              </w:rPr>
            </w:pPr>
          </w:p>
        </w:tc>
      </w:tr>
      <w:bookmarkEnd w:id="1720"/>
      <w:tr w14:paraId="25AB55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654" w:type="pct"/>
            <w:tcBorders>
              <w:left w:val="nil"/>
            </w:tcBorders>
            <w:vAlign w:val="center"/>
          </w:tcPr>
          <w:p w14:paraId="51EE7B2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pH值</w:t>
            </w:r>
          </w:p>
        </w:tc>
        <w:tc>
          <w:tcPr>
            <w:tcW w:w="400" w:type="pct"/>
            <w:vAlign w:val="center"/>
          </w:tcPr>
          <w:p w14:paraId="2505C2C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无量纲</w:t>
            </w:r>
          </w:p>
        </w:tc>
        <w:tc>
          <w:tcPr>
            <w:tcW w:w="373" w:type="pct"/>
            <w:vAlign w:val="center"/>
          </w:tcPr>
          <w:p w14:paraId="7C8092F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8.16</w:t>
            </w:r>
          </w:p>
        </w:tc>
        <w:tc>
          <w:tcPr>
            <w:tcW w:w="373" w:type="pct"/>
            <w:vAlign w:val="center"/>
          </w:tcPr>
          <w:p w14:paraId="643425D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8.27</w:t>
            </w:r>
          </w:p>
        </w:tc>
        <w:tc>
          <w:tcPr>
            <w:tcW w:w="375" w:type="pct"/>
            <w:vAlign w:val="center"/>
          </w:tcPr>
          <w:p w14:paraId="1FF251F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8.28</w:t>
            </w:r>
          </w:p>
        </w:tc>
        <w:tc>
          <w:tcPr>
            <w:tcW w:w="373" w:type="pct"/>
            <w:vAlign w:val="center"/>
          </w:tcPr>
          <w:p w14:paraId="5EE2ED3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7.74</w:t>
            </w:r>
          </w:p>
        </w:tc>
        <w:tc>
          <w:tcPr>
            <w:tcW w:w="373" w:type="pct"/>
            <w:vAlign w:val="center"/>
          </w:tcPr>
          <w:p w14:paraId="33E9CC7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6.96</w:t>
            </w:r>
          </w:p>
        </w:tc>
        <w:tc>
          <w:tcPr>
            <w:tcW w:w="376" w:type="pct"/>
            <w:vAlign w:val="center"/>
          </w:tcPr>
          <w:p w14:paraId="7B7BDE1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7.55</w:t>
            </w:r>
          </w:p>
        </w:tc>
        <w:tc>
          <w:tcPr>
            <w:tcW w:w="665" w:type="pct"/>
            <w:vAlign w:val="center"/>
          </w:tcPr>
          <w:p w14:paraId="749BDB92">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7.73</w:t>
            </w:r>
          </w:p>
        </w:tc>
        <w:tc>
          <w:tcPr>
            <w:tcW w:w="318" w:type="pct"/>
            <w:vAlign w:val="center"/>
          </w:tcPr>
          <w:p w14:paraId="6C3B4F2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347" w:type="pct"/>
            <w:vAlign w:val="center"/>
          </w:tcPr>
          <w:p w14:paraId="2CDE8BF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365" w:type="pct"/>
            <w:tcBorders>
              <w:right w:val="nil"/>
            </w:tcBorders>
            <w:vAlign w:val="center"/>
          </w:tcPr>
          <w:p w14:paraId="0590E9D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9BECC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654" w:type="pct"/>
            <w:tcBorders>
              <w:left w:val="nil"/>
            </w:tcBorders>
            <w:vAlign w:val="center"/>
          </w:tcPr>
          <w:p w14:paraId="6DA7576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汞</w:t>
            </w:r>
          </w:p>
        </w:tc>
        <w:tc>
          <w:tcPr>
            <w:tcW w:w="400" w:type="pct"/>
            <w:vAlign w:val="center"/>
          </w:tcPr>
          <w:p w14:paraId="77610C9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vAlign w:val="center"/>
          </w:tcPr>
          <w:p w14:paraId="7683AFB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0.027</w:t>
            </w:r>
          </w:p>
        </w:tc>
        <w:tc>
          <w:tcPr>
            <w:tcW w:w="373" w:type="pct"/>
            <w:vAlign w:val="center"/>
          </w:tcPr>
          <w:p w14:paraId="302B779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0.025</w:t>
            </w:r>
          </w:p>
        </w:tc>
        <w:tc>
          <w:tcPr>
            <w:tcW w:w="375" w:type="pct"/>
            <w:vAlign w:val="center"/>
          </w:tcPr>
          <w:p w14:paraId="4AC033D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0.032</w:t>
            </w:r>
          </w:p>
        </w:tc>
        <w:tc>
          <w:tcPr>
            <w:tcW w:w="373" w:type="pct"/>
            <w:vAlign w:val="center"/>
          </w:tcPr>
          <w:p w14:paraId="32DE815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0.031</w:t>
            </w:r>
          </w:p>
        </w:tc>
        <w:tc>
          <w:tcPr>
            <w:tcW w:w="373" w:type="pct"/>
            <w:vAlign w:val="center"/>
          </w:tcPr>
          <w:p w14:paraId="3E1C480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0.028</w:t>
            </w:r>
          </w:p>
        </w:tc>
        <w:tc>
          <w:tcPr>
            <w:tcW w:w="376" w:type="pct"/>
            <w:vAlign w:val="center"/>
          </w:tcPr>
          <w:p w14:paraId="67147F4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0.030</w:t>
            </w:r>
          </w:p>
        </w:tc>
        <w:tc>
          <w:tcPr>
            <w:tcW w:w="665" w:type="pct"/>
            <w:vAlign w:val="center"/>
          </w:tcPr>
          <w:p w14:paraId="356A87C3">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0.114</w:t>
            </w:r>
          </w:p>
        </w:tc>
        <w:tc>
          <w:tcPr>
            <w:tcW w:w="318" w:type="pct"/>
            <w:vAlign w:val="center"/>
          </w:tcPr>
          <w:p w14:paraId="4CB7154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347" w:type="pct"/>
            <w:vAlign w:val="center"/>
          </w:tcPr>
          <w:p w14:paraId="6D7172E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w:t>
            </w:r>
          </w:p>
        </w:tc>
        <w:tc>
          <w:tcPr>
            <w:tcW w:w="365" w:type="pct"/>
            <w:tcBorders>
              <w:right w:val="nil"/>
            </w:tcBorders>
            <w:vAlign w:val="center"/>
          </w:tcPr>
          <w:p w14:paraId="04066BD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D12A9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3AA097D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w:t>
            </w:r>
          </w:p>
        </w:tc>
        <w:tc>
          <w:tcPr>
            <w:tcW w:w="400" w:type="pct"/>
            <w:vAlign w:val="center"/>
          </w:tcPr>
          <w:p w14:paraId="286BDC8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vAlign w:val="center"/>
          </w:tcPr>
          <w:p w14:paraId="6A26936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7.57</w:t>
            </w:r>
          </w:p>
        </w:tc>
        <w:tc>
          <w:tcPr>
            <w:tcW w:w="373" w:type="pct"/>
            <w:vAlign w:val="center"/>
          </w:tcPr>
          <w:p w14:paraId="52ABEA1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6.51</w:t>
            </w:r>
          </w:p>
        </w:tc>
        <w:tc>
          <w:tcPr>
            <w:tcW w:w="375" w:type="pct"/>
            <w:vAlign w:val="center"/>
          </w:tcPr>
          <w:p w14:paraId="23A846F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7.16</w:t>
            </w:r>
          </w:p>
        </w:tc>
        <w:tc>
          <w:tcPr>
            <w:tcW w:w="373" w:type="pct"/>
            <w:vAlign w:val="center"/>
          </w:tcPr>
          <w:p w14:paraId="6DB20CE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6.49</w:t>
            </w:r>
          </w:p>
        </w:tc>
        <w:tc>
          <w:tcPr>
            <w:tcW w:w="373" w:type="pct"/>
            <w:vAlign w:val="center"/>
          </w:tcPr>
          <w:p w14:paraId="30CAC75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7.16</w:t>
            </w:r>
          </w:p>
        </w:tc>
        <w:tc>
          <w:tcPr>
            <w:tcW w:w="376" w:type="pct"/>
            <w:vAlign w:val="center"/>
          </w:tcPr>
          <w:p w14:paraId="705A7F5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6.95</w:t>
            </w:r>
          </w:p>
        </w:tc>
        <w:tc>
          <w:tcPr>
            <w:tcW w:w="665" w:type="pct"/>
            <w:vAlign w:val="center"/>
          </w:tcPr>
          <w:p w14:paraId="125BF337">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19.9</w:t>
            </w:r>
          </w:p>
        </w:tc>
        <w:tc>
          <w:tcPr>
            <w:tcW w:w="318" w:type="pct"/>
            <w:vAlign w:val="center"/>
          </w:tcPr>
          <w:p w14:paraId="5E0D673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347" w:type="pct"/>
            <w:vAlign w:val="center"/>
          </w:tcPr>
          <w:p w14:paraId="754D6E9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365" w:type="pct"/>
            <w:tcBorders>
              <w:right w:val="nil"/>
            </w:tcBorders>
            <w:vAlign w:val="center"/>
          </w:tcPr>
          <w:p w14:paraId="0FB4787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29A54D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atLeast"/>
        </w:trPr>
        <w:tc>
          <w:tcPr>
            <w:tcW w:w="654" w:type="pct"/>
            <w:tcBorders>
              <w:left w:val="nil"/>
            </w:tcBorders>
            <w:vAlign w:val="center"/>
          </w:tcPr>
          <w:p w14:paraId="1CE8101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p>
        </w:tc>
        <w:tc>
          <w:tcPr>
            <w:tcW w:w="400" w:type="pct"/>
            <w:vAlign w:val="center"/>
          </w:tcPr>
          <w:p w14:paraId="281D7FC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vAlign w:val="center"/>
          </w:tcPr>
          <w:p w14:paraId="0D9FFD6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25.9 </w:t>
            </w:r>
          </w:p>
        </w:tc>
        <w:tc>
          <w:tcPr>
            <w:tcW w:w="373" w:type="pct"/>
            <w:vAlign w:val="center"/>
          </w:tcPr>
          <w:p w14:paraId="19FB844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22.7 </w:t>
            </w:r>
          </w:p>
        </w:tc>
        <w:tc>
          <w:tcPr>
            <w:tcW w:w="375" w:type="pct"/>
            <w:vAlign w:val="center"/>
          </w:tcPr>
          <w:p w14:paraId="7FE412D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25.2 </w:t>
            </w:r>
          </w:p>
        </w:tc>
        <w:tc>
          <w:tcPr>
            <w:tcW w:w="373" w:type="pct"/>
            <w:vAlign w:val="center"/>
          </w:tcPr>
          <w:p w14:paraId="19D72A3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26.0 </w:t>
            </w:r>
          </w:p>
        </w:tc>
        <w:tc>
          <w:tcPr>
            <w:tcW w:w="373" w:type="pct"/>
            <w:vAlign w:val="center"/>
          </w:tcPr>
          <w:p w14:paraId="4E5F77F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25.7 </w:t>
            </w:r>
          </w:p>
        </w:tc>
        <w:tc>
          <w:tcPr>
            <w:tcW w:w="376" w:type="pct"/>
            <w:vAlign w:val="center"/>
          </w:tcPr>
          <w:p w14:paraId="36C34AF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28.4 </w:t>
            </w:r>
          </w:p>
        </w:tc>
        <w:tc>
          <w:tcPr>
            <w:tcW w:w="665" w:type="pct"/>
            <w:vAlign w:val="center"/>
          </w:tcPr>
          <w:p w14:paraId="4418B025">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13.1</w:t>
            </w:r>
          </w:p>
        </w:tc>
        <w:tc>
          <w:tcPr>
            <w:tcW w:w="318" w:type="pct"/>
            <w:vAlign w:val="center"/>
          </w:tcPr>
          <w:p w14:paraId="5742515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347" w:type="pct"/>
            <w:vAlign w:val="center"/>
          </w:tcPr>
          <w:p w14:paraId="5706FDB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800</w:t>
            </w:r>
          </w:p>
        </w:tc>
        <w:tc>
          <w:tcPr>
            <w:tcW w:w="365" w:type="pct"/>
            <w:tcBorders>
              <w:right w:val="nil"/>
            </w:tcBorders>
            <w:vAlign w:val="center"/>
          </w:tcPr>
          <w:p w14:paraId="67B8789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F37A2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654" w:type="pct"/>
            <w:tcBorders>
              <w:left w:val="nil"/>
            </w:tcBorders>
            <w:vAlign w:val="center"/>
          </w:tcPr>
          <w:p w14:paraId="07178FD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镉</w:t>
            </w:r>
          </w:p>
        </w:tc>
        <w:tc>
          <w:tcPr>
            <w:tcW w:w="400" w:type="pct"/>
            <w:vAlign w:val="center"/>
          </w:tcPr>
          <w:p w14:paraId="7AE872A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vAlign w:val="center"/>
          </w:tcPr>
          <w:p w14:paraId="31A34F3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 </w:t>
            </w:r>
          </w:p>
        </w:tc>
        <w:tc>
          <w:tcPr>
            <w:tcW w:w="373" w:type="pct"/>
            <w:vAlign w:val="center"/>
          </w:tcPr>
          <w:p w14:paraId="415621F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 </w:t>
            </w:r>
          </w:p>
        </w:tc>
        <w:tc>
          <w:tcPr>
            <w:tcW w:w="375" w:type="pct"/>
            <w:vAlign w:val="center"/>
          </w:tcPr>
          <w:p w14:paraId="482D79F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 </w:t>
            </w:r>
          </w:p>
        </w:tc>
        <w:tc>
          <w:tcPr>
            <w:tcW w:w="373" w:type="pct"/>
            <w:vAlign w:val="center"/>
          </w:tcPr>
          <w:p w14:paraId="4BBA76F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0.05 </w:t>
            </w:r>
          </w:p>
        </w:tc>
        <w:tc>
          <w:tcPr>
            <w:tcW w:w="373" w:type="pct"/>
            <w:vAlign w:val="center"/>
          </w:tcPr>
          <w:p w14:paraId="2CF2BC3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 </w:t>
            </w:r>
          </w:p>
        </w:tc>
        <w:tc>
          <w:tcPr>
            <w:tcW w:w="376" w:type="pct"/>
            <w:vAlign w:val="center"/>
          </w:tcPr>
          <w:p w14:paraId="3979921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0.06 </w:t>
            </w:r>
          </w:p>
        </w:tc>
        <w:tc>
          <w:tcPr>
            <w:tcW w:w="665" w:type="pct"/>
            <w:vAlign w:val="center"/>
          </w:tcPr>
          <w:p w14:paraId="24B8AA41">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w:t>
            </w:r>
          </w:p>
        </w:tc>
        <w:tc>
          <w:tcPr>
            <w:tcW w:w="318" w:type="pct"/>
            <w:vAlign w:val="center"/>
          </w:tcPr>
          <w:p w14:paraId="6157731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347" w:type="pct"/>
            <w:vAlign w:val="center"/>
          </w:tcPr>
          <w:p w14:paraId="7FFBE52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w:t>
            </w:r>
          </w:p>
        </w:tc>
        <w:tc>
          <w:tcPr>
            <w:tcW w:w="365" w:type="pct"/>
            <w:tcBorders>
              <w:right w:val="nil"/>
            </w:tcBorders>
            <w:vAlign w:val="center"/>
          </w:tcPr>
          <w:p w14:paraId="1C3C53A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E13C0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654" w:type="pct"/>
            <w:tcBorders>
              <w:left w:val="nil"/>
            </w:tcBorders>
            <w:vAlign w:val="center"/>
          </w:tcPr>
          <w:p w14:paraId="708FFAC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铜</w:t>
            </w:r>
          </w:p>
        </w:tc>
        <w:tc>
          <w:tcPr>
            <w:tcW w:w="400" w:type="pct"/>
            <w:vAlign w:val="center"/>
          </w:tcPr>
          <w:p w14:paraId="0A03BB5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vAlign w:val="center"/>
          </w:tcPr>
          <w:p w14:paraId="543CD14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ascii="Times New Roman" w:hAnsi="Times New Roman" w:eastAsia="宋体" w:cs="Times New Roman"/>
                <w:i w:val="0"/>
                <w:iCs w:val="0"/>
                <w:color w:val="auto"/>
                <w:kern w:val="0"/>
                <w:sz w:val="21"/>
                <w:szCs w:val="21"/>
                <w:u w:val="none"/>
                <w:lang w:val="en-US" w:eastAsia="zh-CN" w:bidi="ar"/>
              </w:rPr>
              <w:t>8</w:t>
            </w:r>
          </w:p>
        </w:tc>
        <w:tc>
          <w:tcPr>
            <w:tcW w:w="373" w:type="pct"/>
            <w:vAlign w:val="center"/>
          </w:tcPr>
          <w:p w14:paraId="5753C1F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28</w:t>
            </w:r>
          </w:p>
        </w:tc>
        <w:tc>
          <w:tcPr>
            <w:tcW w:w="375" w:type="pct"/>
            <w:vAlign w:val="center"/>
          </w:tcPr>
          <w:p w14:paraId="63A63BD6">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i w:val="0"/>
                <w:iCs w:val="0"/>
                <w:color w:val="auto"/>
                <w:kern w:val="0"/>
                <w:sz w:val="21"/>
                <w:szCs w:val="21"/>
                <w:u w:val="none"/>
                <w:lang w:val="en-US" w:eastAsia="zh-CN" w:bidi="ar"/>
              </w:rPr>
              <w:t>30</w:t>
            </w:r>
          </w:p>
        </w:tc>
        <w:tc>
          <w:tcPr>
            <w:tcW w:w="373" w:type="pct"/>
            <w:vAlign w:val="center"/>
          </w:tcPr>
          <w:p w14:paraId="1855F31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w:t>
            </w:r>
            <w:r>
              <w:rPr>
                <w:rFonts w:hint="eastAsia" w:ascii="Times New Roman" w:hAnsi="Times New Roman" w:eastAsia="宋体" w:cs="Times New Roman"/>
                <w:i w:val="0"/>
                <w:iCs w:val="0"/>
                <w:color w:val="auto"/>
                <w:kern w:val="0"/>
                <w:sz w:val="21"/>
                <w:szCs w:val="21"/>
                <w:u w:val="none"/>
                <w:lang w:val="en-US" w:eastAsia="zh-CN" w:bidi="ar"/>
              </w:rPr>
              <w:t>3</w:t>
            </w:r>
          </w:p>
        </w:tc>
        <w:tc>
          <w:tcPr>
            <w:tcW w:w="373" w:type="pct"/>
            <w:vAlign w:val="center"/>
          </w:tcPr>
          <w:p w14:paraId="788971A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w:t>
            </w:r>
            <w:r>
              <w:rPr>
                <w:rFonts w:hint="eastAsia" w:ascii="Times New Roman" w:hAnsi="Times New Roman" w:eastAsia="宋体" w:cs="Times New Roman"/>
                <w:i w:val="0"/>
                <w:iCs w:val="0"/>
                <w:color w:val="auto"/>
                <w:kern w:val="0"/>
                <w:sz w:val="21"/>
                <w:szCs w:val="21"/>
                <w:u w:val="none"/>
                <w:lang w:val="en-US" w:eastAsia="zh-CN" w:bidi="ar"/>
              </w:rPr>
              <w:t>6</w:t>
            </w:r>
          </w:p>
        </w:tc>
        <w:tc>
          <w:tcPr>
            <w:tcW w:w="376" w:type="pct"/>
            <w:vAlign w:val="center"/>
          </w:tcPr>
          <w:p w14:paraId="581D220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w:t>
            </w:r>
          </w:p>
        </w:tc>
        <w:tc>
          <w:tcPr>
            <w:tcW w:w="665" w:type="pct"/>
            <w:vAlign w:val="center"/>
          </w:tcPr>
          <w:p w14:paraId="55716ACB">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w:t>
            </w:r>
          </w:p>
        </w:tc>
        <w:tc>
          <w:tcPr>
            <w:tcW w:w="318" w:type="pct"/>
            <w:vAlign w:val="center"/>
          </w:tcPr>
          <w:p w14:paraId="71C3793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347" w:type="pct"/>
            <w:vAlign w:val="center"/>
          </w:tcPr>
          <w:p w14:paraId="174A3E4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18000</w:t>
            </w:r>
          </w:p>
        </w:tc>
        <w:tc>
          <w:tcPr>
            <w:tcW w:w="365" w:type="pct"/>
            <w:tcBorders>
              <w:right w:val="nil"/>
            </w:tcBorders>
            <w:vAlign w:val="center"/>
          </w:tcPr>
          <w:p w14:paraId="49A29A6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DF83A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atLeast"/>
        </w:trPr>
        <w:tc>
          <w:tcPr>
            <w:tcW w:w="654" w:type="pct"/>
            <w:tcBorders>
              <w:left w:val="nil"/>
            </w:tcBorders>
            <w:vAlign w:val="center"/>
          </w:tcPr>
          <w:p w14:paraId="40F7746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镍</w:t>
            </w:r>
          </w:p>
        </w:tc>
        <w:tc>
          <w:tcPr>
            <w:tcW w:w="400" w:type="pct"/>
            <w:vAlign w:val="center"/>
          </w:tcPr>
          <w:p w14:paraId="24FACB6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vAlign w:val="center"/>
          </w:tcPr>
          <w:p w14:paraId="1FC52E0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w:t>
            </w:r>
            <w:r>
              <w:rPr>
                <w:rFonts w:hint="eastAsia" w:ascii="Times New Roman" w:hAnsi="Times New Roman" w:eastAsia="宋体" w:cs="Times New Roman"/>
                <w:i w:val="0"/>
                <w:iCs w:val="0"/>
                <w:color w:val="auto"/>
                <w:kern w:val="0"/>
                <w:sz w:val="21"/>
                <w:szCs w:val="21"/>
                <w:u w:val="none"/>
                <w:lang w:val="en-US" w:eastAsia="zh-CN" w:bidi="ar"/>
              </w:rPr>
              <w:t>8</w:t>
            </w:r>
          </w:p>
        </w:tc>
        <w:tc>
          <w:tcPr>
            <w:tcW w:w="373" w:type="pct"/>
            <w:vAlign w:val="center"/>
          </w:tcPr>
          <w:p w14:paraId="49E81B0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w:t>
            </w:r>
            <w:r>
              <w:rPr>
                <w:rFonts w:hint="eastAsia" w:ascii="Times New Roman" w:hAnsi="Times New Roman" w:eastAsia="宋体" w:cs="Times New Roman"/>
                <w:i w:val="0"/>
                <w:iCs w:val="0"/>
                <w:color w:val="auto"/>
                <w:kern w:val="0"/>
                <w:sz w:val="21"/>
                <w:szCs w:val="21"/>
                <w:u w:val="none"/>
                <w:lang w:val="en-US" w:eastAsia="zh-CN" w:bidi="ar"/>
              </w:rPr>
              <w:t>9</w:t>
            </w:r>
          </w:p>
        </w:tc>
        <w:tc>
          <w:tcPr>
            <w:tcW w:w="375" w:type="pct"/>
            <w:vAlign w:val="center"/>
          </w:tcPr>
          <w:p w14:paraId="57BD81DA">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i w:val="0"/>
                <w:iCs w:val="0"/>
                <w:color w:val="auto"/>
                <w:kern w:val="0"/>
                <w:sz w:val="21"/>
                <w:szCs w:val="21"/>
                <w:u w:val="none"/>
                <w:lang w:val="en-US" w:eastAsia="zh-CN" w:bidi="ar"/>
              </w:rPr>
              <w:t>38</w:t>
            </w:r>
          </w:p>
        </w:tc>
        <w:tc>
          <w:tcPr>
            <w:tcW w:w="373" w:type="pct"/>
            <w:vAlign w:val="center"/>
          </w:tcPr>
          <w:p w14:paraId="26A1497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27</w:t>
            </w:r>
          </w:p>
        </w:tc>
        <w:tc>
          <w:tcPr>
            <w:tcW w:w="373" w:type="pct"/>
            <w:vAlign w:val="center"/>
          </w:tcPr>
          <w:p w14:paraId="480C68F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28</w:t>
            </w:r>
          </w:p>
        </w:tc>
        <w:tc>
          <w:tcPr>
            <w:tcW w:w="376" w:type="pct"/>
            <w:vAlign w:val="center"/>
          </w:tcPr>
          <w:p w14:paraId="3CA437D6">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ascii="Times New Roman" w:hAnsi="Times New Roman" w:eastAsia="宋体" w:cs="Times New Roman"/>
                <w:i w:val="0"/>
                <w:iCs w:val="0"/>
                <w:color w:val="auto"/>
                <w:kern w:val="0"/>
                <w:sz w:val="21"/>
                <w:szCs w:val="21"/>
                <w:u w:val="none"/>
                <w:lang w:val="en-US" w:eastAsia="zh-CN" w:bidi="ar"/>
              </w:rPr>
              <w:t>9</w:t>
            </w:r>
          </w:p>
        </w:tc>
        <w:tc>
          <w:tcPr>
            <w:tcW w:w="665" w:type="pct"/>
            <w:vAlign w:val="center"/>
          </w:tcPr>
          <w:p w14:paraId="3B897BBF">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w:t>
            </w:r>
          </w:p>
        </w:tc>
        <w:tc>
          <w:tcPr>
            <w:tcW w:w="318" w:type="pct"/>
            <w:vAlign w:val="center"/>
          </w:tcPr>
          <w:p w14:paraId="260255B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347" w:type="pct"/>
            <w:vAlign w:val="center"/>
          </w:tcPr>
          <w:p w14:paraId="715ADF4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w:t>
            </w:r>
          </w:p>
        </w:tc>
        <w:tc>
          <w:tcPr>
            <w:tcW w:w="365" w:type="pct"/>
            <w:tcBorders>
              <w:right w:val="nil"/>
            </w:tcBorders>
            <w:vAlign w:val="center"/>
          </w:tcPr>
          <w:p w14:paraId="56F77F0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2E707B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654" w:type="pct"/>
            <w:tcBorders>
              <w:left w:val="nil"/>
            </w:tcBorders>
            <w:vAlign w:val="center"/>
          </w:tcPr>
          <w:p w14:paraId="0746F6C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六价铬</w:t>
            </w:r>
          </w:p>
        </w:tc>
        <w:tc>
          <w:tcPr>
            <w:tcW w:w="400" w:type="pct"/>
            <w:vAlign w:val="center"/>
          </w:tcPr>
          <w:p w14:paraId="0F41BD8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vAlign w:val="center"/>
          </w:tcPr>
          <w:p w14:paraId="68C6F45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2.4</w:t>
            </w:r>
          </w:p>
        </w:tc>
        <w:tc>
          <w:tcPr>
            <w:tcW w:w="373" w:type="pct"/>
            <w:vAlign w:val="center"/>
          </w:tcPr>
          <w:p w14:paraId="7DC083A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2.2</w:t>
            </w:r>
          </w:p>
        </w:tc>
        <w:tc>
          <w:tcPr>
            <w:tcW w:w="375" w:type="pct"/>
            <w:vAlign w:val="center"/>
          </w:tcPr>
          <w:p w14:paraId="6C90538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2.2</w:t>
            </w:r>
          </w:p>
        </w:tc>
        <w:tc>
          <w:tcPr>
            <w:tcW w:w="373" w:type="pct"/>
            <w:vAlign w:val="center"/>
          </w:tcPr>
          <w:p w14:paraId="514E1007">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373" w:type="pct"/>
            <w:vAlign w:val="center"/>
          </w:tcPr>
          <w:p w14:paraId="7CB30D3D">
            <w:pPr>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kern w:val="2"/>
                <w:sz w:val="21"/>
                <w:szCs w:val="21"/>
                <w:highlight w:val="none"/>
                <w:lang w:val="en-US" w:eastAsia="zh-CN" w:bidi="ar-SA"/>
              </w:rPr>
              <w:t>2.0</w:t>
            </w:r>
          </w:p>
        </w:tc>
        <w:tc>
          <w:tcPr>
            <w:tcW w:w="376" w:type="pct"/>
            <w:vAlign w:val="center"/>
          </w:tcPr>
          <w:p w14:paraId="6DE49CF5">
            <w:pPr>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kern w:val="2"/>
                <w:sz w:val="21"/>
                <w:szCs w:val="21"/>
                <w:highlight w:val="none"/>
                <w:lang w:val="en-US" w:eastAsia="zh-CN" w:bidi="ar-SA"/>
              </w:rPr>
              <w:t>2.0</w:t>
            </w:r>
          </w:p>
        </w:tc>
        <w:tc>
          <w:tcPr>
            <w:tcW w:w="665" w:type="pct"/>
            <w:vAlign w:val="center"/>
          </w:tcPr>
          <w:p w14:paraId="021B2CE8">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318" w:type="pct"/>
            <w:vAlign w:val="center"/>
          </w:tcPr>
          <w:p w14:paraId="58449CF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347" w:type="pct"/>
            <w:vAlign w:val="center"/>
          </w:tcPr>
          <w:p w14:paraId="2FB737C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w:t>
            </w:r>
          </w:p>
        </w:tc>
        <w:tc>
          <w:tcPr>
            <w:tcW w:w="365" w:type="pct"/>
            <w:tcBorders>
              <w:right w:val="nil"/>
            </w:tcBorders>
            <w:vAlign w:val="center"/>
          </w:tcPr>
          <w:p w14:paraId="19B7148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73A9F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atLeast"/>
        </w:trPr>
        <w:tc>
          <w:tcPr>
            <w:tcW w:w="654" w:type="pct"/>
            <w:tcBorders>
              <w:left w:val="nil"/>
            </w:tcBorders>
            <w:vAlign w:val="center"/>
          </w:tcPr>
          <w:p w14:paraId="477B6658">
            <w:pPr>
              <w:bidi w:val="0"/>
              <w:jc w:val="center"/>
              <w:rPr>
                <w:rFonts w:hint="default" w:ascii="Times New Roman" w:hAnsi="Times New Roman" w:eastAsia="宋体" w:cs="Times New Roman"/>
                <w:color w:val="auto"/>
                <w:sz w:val="21"/>
                <w:szCs w:val="21"/>
              </w:rPr>
            </w:pPr>
            <w:bookmarkStart w:id="1722" w:name="OLE_LINK897" w:colFirst="2" w:colLast="4"/>
            <w:bookmarkStart w:id="1723" w:name="OLE_LINK898" w:colFirst="5" w:colLast="7"/>
            <w:r>
              <w:rPr>
                <w:rFonts w:hint="default" w:ascii="Times New Roman" w:hAnsi="Times New Roman" w:eastAsia="宋体" w:cs="Times New Roman"/>
                <w:color w:val="auto"/>
                <w:sz w:val="21"/>
                <w:szCs w:val="21"/>
              </w:rPr>
              <w:t>石油烃</w:t>
            </w:r>
          </w:p>
          <w:p w14:paraId="3EC6470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rPr>
              <w:t>~C</w:t>
            </w:r>
            <w:r>
              <w:rPr>
                <w:rFonts w:hint="default" w:ascii="Times New Roman" w:hAnsi="Times New Roman" w:eastAsia="宋体" w:cs="Times New Roman"/>
                <w:color w:val="auto"/>
                <w:sz w:val="21"/>
                <w:szCs w:val="21"/>
                <w:vertAlign w:val="subscript"/>
              </w:rPr>
              <w:t>40</w:t>
            </w:r>
            <w:r>
              <w:rPr>
                <w:rFonts w:hint="default" w:ascii="Times New Roman" w:hAnsi="Times New Roman" w:eastAsia="宋体" w:cs="Times New Roman"/>
                <w:color w:val="auto"/>
                <w:sz w:val="21"/>
                <w:szCs w:val="21"/>
              </w:rPr>
              <w:t>）</w:t>
            </w:r>
          </w:p>
        </w:tc>
        <w:tc>
          <w:tcPr>
            <w:tcW w:w="400" w:type="pct"/>
            <w:vAlign w:val="center"/>
          </w:tcPr>
          <w:p w14:paraId="390490A7">
            <w:pPr>
              <w:bidi w:val="0"/>
              <w:jc w:val="center"/>
              <w:rPr>
                <w:rFonts w:hint="default" w:ascii="Times New Roman" w:hAnsi="Times New Roman" w:eastAsia="宋体" w:cs="Times New Roman"/>
                <w:color w:val="auto"/>
                <w:sz w:val="21"/>
                <w:szCs w:val="21"/>
              </w:rPr>
            </w:pPr>
            <w:bookmarkStart w:id="1724" w:name="OLE_LINK573"/>
            <w:r>
              <w:rPr>
                <w:rFonts w:hint="default" w:ascii="Times New Roman" w:hAnsi="Times New Roman" w:eastAsia="宋体" w:cs="Times New Roman"/>
                <w:color w:val="auto"/>
                <w:sz w:val="21"/>
                <w:szCs w:val="21"/>
              </w:rPr>
              <w:t>mg/kg</w:t>
            </w:r>
            <w:bookmarkEnd w:id="1724"/>
          </w:p>
        </w:tc>
        <w:tc>
          <w:tcPr>
            <w:tcW w:w="373" w:type="pct"/>
            <w:vAlign w:val="center"/>
          </w:tcPr>
          <w:p w14:paraId="2B035A0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w:t>
            </w:r>
          </w:p>
        </w:tc>
        <w:tc>
          <w:tcPr>
            <w:tcW w:w="373" w:type="pct"/>
            <w:vAlign w:val="center"/>
          </w:tcPr>
          <w:p w14:paraId="1FFCDF1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38</w:t>
            </w:r>
          </w:p>
        </w:tc>
        <w:tc>
          <w:tcPr>
            <w:tcW w:w="375" w:type="pct"/>
            <w:vAlign w:val="center"/>
          </w:tcPr>
          <w:p w14:paraId="734347A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31</w:t>
            </w:r>
          </w:p>
        </w:tc>
        <w:tc>
          <w:tcPr>
            <w:tcW w:w="373" w:type="pct"/>
            <w:vAlign w:val="center"/>
          </w:tcPr>
          <w:p w14:paraId="0C65EDC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26</w:t>
            </w:r>
          </w:p>
        </w:tc>
        <w:tc>
          <w:tcPr>
            <w:tcW w:w="373" w:type="pct"/>
            <w:vAlign w:val="center"/>
          </w:tcPr>
          <w:p w14:paraId="5E6096C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w:t>
            </w:r>
          </w:p>
        </w:tc>
        <w:tc>
          <w:tcPr>
            <w:tcW w:w="376" w:type="pct"/>
            <w:vAlign w:val="center"/>
          </w:tcPr>
          <w:p w14:paraId="1B79895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28</w:t>
            </w:r>
          </w:p>
        </w:tc>
        <w:tc>
          <w:tcPr>
            <w:tcW w:w="665" w:type="pct"/>
            <w:vAlign w:val="center"/>
          </w:tcPr>
          <w:p w14:paraId="4F5B1169">
            <w:pPr>
              <w:bidi w:val="0"/>
              <w:jc w:val="center"/>
              <w:rPr>
                <w:rFonts w:hint="eastAsia" w:ascii="Times New Roman" w:hAnsi="Times New Roman" w:eastAsia="宋体" w:cs="Times New Roman"/>
                <w:color w:val="auto"/>
                <w:sz w:val="21"/>
                <w:szCs w:val="21"/>
                <w:lang w:eastAsia="zh-CN"/>
              </w:rPr>
            </w:pPr>
            <w:sdt>
              <w:sdtPr>
                <w:rPr>
                  <w:color w:val="auto"/>
                </w:rPr>
                <w:alias w:val="标点符号检查"/>
                <w:tag w:val="auto"/>
                <w:id w:val="1183042"/>
              </w:sdtPr>
              <w:sdtEndPr>
                <w:rPr>
                  <w:color w:val="auto"/>
                </w:rPr>
              </w:sdtEndPr>
              <w:sdtContent>
                <w:bookmarkStart w:id="1725" w:name="bkReivew1183042"/>
                <w:r>
                  <w:rPr>
                    <w:rFonts w:hint="eastAsia" w:ascii="Times New Roman" w:hAnsi="Times New Roman" w:eastAsia="宋体" w:cs="Times New Roman"/>
                    <w:color w:val="auto"/>
                    <w:sz w:val="21"/>
                    <w:szCs w:val="21"/>
                    <w:lang w:val="en-US" w:eastAsia="zh-CN"/>
                  </w:rPr>
                  <w:t>-</w:t>
                </w:r>
                <w:bookmarkEnd w:id="1725"/>
              </w:sdtContent>
            </w:sdt>
          </w:p>
        </w:tc>
        <w:tc>
          <w:tcPr>
            <w:tcW w:w="318" w:type="pct"/>
            <w:vAlign w:val="center"/>
          </w:tcPr>
          <w:p w14:paraId="5C52CBC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826</w:t>
            </w:r>
          </w:p>
        </w:tc>
        <w:tc>
          <w:tcPr>
            <w:tcW w:w="347" w:type="pct"/>
            <w:vAlign w:val="center"/>
          </w:tcPr>
          <w:p w14:paraId="45C4A6C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4500</w:t>
            </w:r>
          </w:p>
        </w:tc>
        <w:tc>
          <w:tcPr>
            <w:tcW w:w="365" w:type="pct"/>
            <w:tcBorders>
              <w:right w:val="nil"/>
            </w:tcBorders>
            <w:vAlign w:val="center"/>
          </w:tcPr>
          <w:p w14:paraId="6898E24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bookmarkEnd w:id="1722"/>
      <w:bookmarkEnd w:id="1723"/>
      <w:tr w14:paraId="2B3846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4710EE6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氯甲烷</w:t>
            </w:r>
          </w:p>
        </w:tc>
        <w:tc>
          <w:tcPr>
            <w:tcW w:w="400" w:type="pct"/>
            <w:vAlign w:val="center"/>
          </w:tcPr>
          <w:p w14:paraId="105A552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613E51F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F9DACE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3309569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28228DC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C4C45A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2B227664">
            <w:pPr>
              <w:bidi w:val="0"/>
              <w:jc w:val="center"/>
              <w:rPr>
                <w:rFonts w:hint="default" w:ascii="Times New Roman" w:hAnsi="Times New Roman" w:eastAsia="宋体" w:cs="Times New Roman"/>
                <w:color w:val="auto"/>
                <w:sz w:val="21"/>
                <w:szCs w:val="21"/>
              </w:rPr>
            </w:pPr>
            <w:bookmarkStart w:id="1726" w:name="OLE_LINK569"/>
            <w:r>
              <w:rPr>
                <w:rFonts w:hint="default" w:ascii="Times New Roman" w:hAnsi="Times New Roman" w:cs="Times New Roman"/>
                <w:color w:val="auto"/>
                <w:sz w:val="21"/>
                <w:szCs w:val="21"/>
                <w:highlight w:val="none"/>
                <w:lang w:val="en-US" w:eastAsia="zh-CN"/>
              </w:rPr>
              <w:t>ND</w:t>
            </w:r>
            <w:bookmarkEnd w:id="1726"/>
          </w:p>
        </w:tc>
        <w:tc>
          <w:tcPr>
            <w:tcW w:w="665" w:type="pct"/>
            <w:vAlign w:val="center"/>
          </w:tcPr>
          <w:p w14:paraId="62F1169A">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3.8</w:t>
            </w:r>
          </w:p>
        </w:tc>
        <w:tc>
          <w:tcPr>
            <w:tcW w:w="318" w:type="pct"/>
            <w:vAlign w:val="center"/>
          </w:tcPr>
          <w:p w14:paraId="2C29080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347" w:type="pct"/>
            <w:vAlign w:val="center"/>
          </w:tcPr>
          <w:p w14:paraId="01DBCE4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w:t>
            </w:r>
          </w:p>
        </w:tc>
        <w:tc>
          <w:tcPr>
            <w:tcW w:w="365" w:type="pct"/>
            <w:tcBorders>
              <w:right w:val="nil"/>
            </w:tcBorders>
            <w:vAlign w:val="center"/>
          </w:tcPr>
          <w:p w14:paraId="2AFF390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5D2A3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3E136A6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氯乙烯</w:t>
            </w:r>
          </w:p>
        </w:tc>
        <w:tc>
          <w:tcPr>
            <w:tcW w:w="400" w:type="pct"/>
            <w:vAlign w:val="center"/>
          </w:tcPr>
          <w:p w14:paraId="30B7B4E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5BD1368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2.7</w:t>
            </w:r>
          </w:p>
        </w:tc>
        <w:tc>
          <w:tcPr>
            <w:tcW w:w="373" w:type="pct"/>
            <w:vAlign w:val="center"/>
          </w:tcPr>
          <w:p w14:paraId="3356547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1.5</w:t>
            </w:r>
          </w:p>
        </w:tc>
        <w:tc>
          <w:tcPr>
            <w:tcW w:w="375" w:type="pct"/>
            <w:vAlign w:val="center"/>
          </w:tcPr>
          <w:p w14:paraId="777E805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1.4</w:t>
            </w:r>
          </w:p>
        </w:tc>
        <w:tc>
          <w:tcPr>
            <w:tcW w:w="373" w:type="pct"/>
            <w:vAlign w:val="center"/>
          </w:tcPr>
          <w:p w14:paraId="4747A69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1.4</w:t>
            </w:r>
          </w:p>
        </w:tc>
        <w:tc>
          <w:tcPr>
            <w:tcW w:w="373" w:type="pct"/>
            <w:vAlign w:val="center"/>
          </w:tcPr>
          <w:p w14:paraId="17CEDE3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1.4</w:t>
            </w:r>
          </w:p>
        </w:tc>
        <w:tc>
          <w:tcPr>
            <w:tcW w:w="376" w:type="pct"/>
            <w:vAlign w:val="center"/>
          </w:tcPr>
          <w:p w14:paraId="70C52CF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1.6</w:t>
            </w:r>
          </w:p>
        </w:tc>
        <w:tc>
          <w:tcPr>
            <w:tcW w:w="665" w:type="pct"/>
            <w:vAlign w:val="center"/>
          </w:tcPr>
          <w:p w14:paraId="0875FB1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7D3D56E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0.12</w:t>
            </w:r>
          </w:p>
        </w:tc>
        <w:tc>
          <w:tcPr>
            <w:tcW w:w="347" w:type="pct"/>
            <w:vAlign w:val="center"/>
          </w:tcPr>
          <w:p w14:paraId="1EB08C6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0.43</w:t>
            </w:r>
          </w:p>
        </w:tc>
        <w:tc>
          <w:tcPr>
            <w:tcW w:w="365" w:type="pct"/>
            <w:tcBorders>
              <w:right w:val="nil"/>
            </w:tcBorders>
            <w:vAlign w:val="center"/>
          </w:tcPr>
          <w:p w14:paraId="4128480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34396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0594510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1,1-二氯乙烯</w:t>
            </w:r>
          </w:p>
        </w:tc>
        <w:tc>
          <w:tcPr>
            <w:tcW w:w="400" w:type="pct"/>
            <w:vAlign w:val="center"/>
          </w:tcPr>
          <w:p w14:paraId="742C715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69F939C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05DAFC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2D43B21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38A44FE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DA828B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6997E9F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53E373E7">
            <w:pPr>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0272C56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w:t>
            </w:r>
          </w:p>
        </w:tc>
        <w:tc>
          <w:tcPr>
            <w:tcW w:w="347" w:type="pct"/>
            <w:vAlign w:val="center"/>
          </w:tcPr>
          <w:p w14:paraId="11C94DC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66</w:t>
            </w:r>
          </w:p>
        </w:tc>
        <w:tc>
          <w:tcPr>
            <w:tcW w:w="365" w:type="pct"/>
            <w:tcBorders>
              <w:right w:val="nil"/>
            </w:tcBorders>
            <w:vAlign w:val="center"/>
          </w:tcPr>
          <w:p w14:paraId="20B4488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101CB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21718B0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二氯甲烷</w:t>
            </w:r>
          </w:p>
        </w:tc>
        <w:tc>
          <w:tcPr>
            <w:tcW w:w="400" w:type="pct"/>
            <w:vAlign w:val="center"/>
          </w:tcPr>
          <w:p w14:paraId="5F1A128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71270DA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35D60FC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6002F1A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6F9154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BD52D8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693187C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34CEC33C">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10.8</w:t>
            </w:r>
          </w:p>
        </w:tc>
        <w:tc>
          <w:tcPr>
            <w:tcW w:w="318" w:type="pct"/>
            <w:vAlign w:val="center"/>
          </w:tcPr>
          <w:p w14:paraId="7FDC71E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94</w:t>
            </w:r>
          </w:p>
        </w:tc>
        <w:tc>
          <w:tcPr>
            <w:tcW w:w="347" w:type="pct"/>
            <w:vAlign w:val="center"/>
          </w:tcPr>
          <w:p w14:paraId="1FB8365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616</w:t>
            </w:r>
          </w:p>
        </w:tc>
        <w:tc>
          <w:tcPr>
            <w:tcW w:w="365" w:type="pct"/>
            <w:tcBorders>
              <w:right w:val="nil"/>
            </w:tcBorders>
            <w:vAlign w:val="center"/>
          </w:tcPr>
          <w:p w14:paraId="441575C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AB03C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654" w:type="pct"/>
            <w:tcBorders>
              <w:left w:val="nil"/>
            </w:tcBorders>
            <w:vAlign w:val="center"/>
          </w:tcPr>
          <w:p w14:paraId="5B000E9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反-1,2-二氯乙烯</w:t>
            </w:r>
          </w:p>
        </w:tc>
        <w:tc>
          <w:tcPr>
            <w:tcW w:w="400" w:type="pct"/>
            <w:vAlign w:val="center"/>
          </w:tcPr>
          <w:p w14:paraId="26B6D09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11140AD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DDAACB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5495E66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C936E0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632A016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7447B2F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0350CB7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11D4121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347" w:type="pct"/>
            <w:vAlign w:val="center"/>
          </w:tcPr>
          <w:p w14:paraId="5E9D5D7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54</w:t>
            </w:r>
          </w:p>
        </w:tc>
        <w:tc>
          <w:tcPr>
            <w:tcW w:w="365" w:type="pct"/>
            <w:tcBorders>
              <w:right w:val="nil"/>
            </w:tcBorders>
            <w:vAlign w:val="center"/>
          </w:tcPr>
          <w:p w14:paraId="66AB76D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A4464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329C442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1,1-二氯乙烷</w:t>
            </w:r>
          </w:p>
        </w:tc>
        <w:tc>
          <w:tcPr>
            <w:tcW w:w="400" w:type="pct"/>
            <w:vAlign w:val="center"/>
          </w:tcPr>
          <w:p w14:paraId="24BF978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79880E3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2B7793D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342A18C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0038B9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C6AB06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7D51F94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3B4F33F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165FD24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347" w:type="pct"/>
            <w:vAlign w:val="center"/>
          </w:tcPr>
          <w:p w14:paraId="69DD055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365" w:type="pct"/>
            <w:tcBorders>
              <w:right w:val="nil"/>
            </w:tcBorders>
            <w:vAlign w:val="center"/>
          </w:tcPr>
          <w:p w14:paraId="3E7CE1D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B0F8D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1932327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顺-1,2-二氯乙烯</w:t>
            </w:r>
          </w:p>
        </w:tc>
        <w:tc>
          <w:tcPr>
            <w:tcW w:w="400" w:type="pct"/>
            <w:vAlign w:val="center"/>
          </w:tcPr>
          <w:p w14:paraId="6640A8D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7F3AD77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7107E97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2A004F9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3DEB786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7D3D512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1D81208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6CCCCBF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3E84C68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66</w:t>
            </w:r>
          </w:p>
        </w:tc>
        <w:tc>
          <w:tcPr>
            <w:tcW w:w="347" w:type="pct"/>
            <w:vAlign w:val="center"/>
          </w:tcPr>
          <w:p w14:paraId="0460692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596</w:t>
            </w:r>
          </w:p>
        </w:tc>
        <w:tc>
          <w:tcPr>
            <w:tcW w:w="365" w:type="pct"/>
            <w:tcBorders>
              <w:right w:val="nil"/>
            </w:tcBorders>
            <w:vAlign w:val="center"/>
          </w:tcPr>
          <w:p w14:paraId="2C38F3C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126B4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54" w:type="pct"/>
            <w:tcBorders>
              <w:left w:val="nil"/>
              <w:bottom w:val="single" w:color="000000" w:sz="10" w:space="0"/>
            </w:tcBorders>
            <w:vAlign w:val="center"/>
          </w:tcPr>
          <w:p w14:paraId="26DF070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氯仿</w:t>
            </w:r>
          </w:p>
        </w:tc>
        <w:tc>
          <w:tcPr>
            <w:tcW w:w="400" w:type="pct"/>
            <w:tcBorders>
              <w:bottom w:val="single" w:color="000000" w:sz="10" w:space="0"/>
            </w:tcBorders>
            <w:vAlign w:val="center"/>
          </w:tcPr>
          <w:p w14:paraId="63140CA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tcBorders>
              <w:bottom w:val="single" w:color="000000" w:sz="10" w:space="0"/>
            </w:tcBorders>
            <w:vAlign w:val="center"/>
          </w:tcPr>
          <w:p w14:paraId="6F67631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6.9</w:t>
            </w:r>
          </w:p>
        </w:tc>
        <w:tc>
          <w:tcPr>
            <w:tcW w:w="373" w:type="pct"/>
            <w:tcBorders>
              <w:bottom w:val="single" w:color="000000" w:sz="10" w:space="0"/>
            </w:tcBorders>
            <w:vAlign w:val="center"/>
          </w:tcPr>
          <w:p w14:paraId="717D99B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9.9</w:t>
            </w:r>
          </w:p>
        </w:tc>
        <w:tc>
          <w:tcPr>
            <w:tcW w:w="375" w:type="pct"/>
            <w:tcBorders>
              <w:bottom w:val="single" w:color="000000" w:sz="10" w:space="0"/>
            </w:tcBorders>
            <w:vAlign w:val="center"/>
          </w:tcPr>
          <w:p w14:paraId="0EBA5C6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tcBorders>
              <w:bottom w:val="single" w:color="000000" w:sz="10" w:space="0"/>
            </w:tcBorders>
            <w:vAlign w:val="center"/>
          </w:tcPr>
          <w:p w14:paraId="6A76910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4.1</w:t>
            </w:r>
          </w:p>
        </w:tc>
        <w:tc>
          <w:tcPr>
            <w:tcW w:w="373" w:type="pct"/>
            <w:tcBorders>
              <w:bottom w:val="single" w:color="000000" w:sz="10" w:space="0"/>
            </w:tcBorders>
            <w:vAlign w:val="center"/>
          </w:tcPr>
          <w:p w14:paraId="7A4BE945">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6.9</w:t>
            </w:r>
          </w:p>
        </w:tc>
        <w:tc>
          <w:tcPr>
            <w:tcW w:w="376" w:type="pct"/>
            <w:tcBorders>
              <w:bottom w:val="single" w:color="000000" w:sz="10" w:space="0"/>
            </w:tcBorders>
            <w:vAlign w:val="center"/>
          </w:tcPr>
          <w:p w14:paraId="2D47D41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11.1</w:t>
            </w:r>
          </w:p>
        </w:tc>
        <w:tc>
          <w:tcPr>
            <w:tcW w:w="665" w:type="pct"/>
            <w:tcBorders>
              <w:bottom w:val="single" w:color="000000" w:sz="10" w:space="0"/>
            </w:tcBorders>
            <w:vAlign w:val="center"/>
          </w:tcPr>
          <w:p w14:paraId="3278398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tcBorders>
              <w:bottom w:val="single" w:color="000000" w:sz="10" w:space="0"/>
            </w:tcBorders>
            <w:vAlign w:val="center"/>
          </w:tcPr>
          <w:p w14:paraId="13B0C3B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w:t>
            </w:r>
          </w:p>
        </w:tc>
        <w:tc>
          <w:tcPr>
            <w:tcW w:w="347" w:type="pct"/>
            <w:tcBorders>
              <w:bottom w:val="single" w:color="000000" w:sz="10" w:space="0"/>
            </w:tcBorders>
            <w:vAlign w:val="center"/>
          </w:tcPr>
          <w:p w14:paraId="52173DD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w:t>
            </w:r>
          </w:p>
        </w:tc>
        <w:tc>
          <w:tcPr>
            <w:tcW w:w="365" w:type="pct"/>
            <w:tcBorders>
              <w:bottom w:val="single" w:color="000000" w:sz="10" w:space="0"/>
              <w:right w:val="nil"/>
            </w:tcBorders>
            <w:vAlign w:val="center"/>
          </w:tcPr>
          <w:p w14:paraId="1A0942F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5A393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48849A3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1,1,1-三氯乙烷</w:t>
            </w:r>
          </w:p>
        </w:tc>
        <w:tc>
          <w:tcPr>
            <w:tcW w:w="400" w:type="pct"/>
            <w:vAlign w:val="center"/>
          </w:tcPr>
          <w:p w14:paraId="43549FC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04D5ADB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6079B4A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40E8DA8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E87085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64E909B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4D25CC2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012893D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503E042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701</w:t>
            </w:r>
          </w:p>
        </w:tc>
        <w:tc>
          <w:tcPr>
            <w:tcW w:w="347" w:type="pct"/>
            <w:vAlign w:val="center"/>
          </w:tcPr>
          <w:p w14:paraId="373C910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840</w:t>
            </w:r>
          </w:p>
        </w:tc>
        <w:tc>
          <w:tcPr>
            <w:tcW w:w="365" w:type="pct"/>
            <w:tcBorders>
              <w:right w:val="nil"/>
            </w:tcBorders>
            <w:vAlign w:val="center"/>
          </w:tcPr>
          <w:p w14:paraId="687A1A3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E00A9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5F9A50D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1,2-二氯乙烷</w:t>
            </w:r>
          </w:p>
        </w:tc>
        <w:tc>
          <w:tcPr>
            <w:tcW w:w="400" w:type="pct"/>
            <w:vAlign w:val="center"/>
          </w:tcPr>
          <w:p w14:paraId="2AF70CD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414873A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2689001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4D28111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4CF51A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57AB81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340E370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4C79B2A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2248DF1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0.52</w:t>
            </w:r>
          </w:p>
        </w:tc>
        <w:tc>
          <w:tcPr>
            <w:tcW w:w="347" w:type="pct"/>
            <w:vAlign w:val="center"/>
          </w:tcPr>
          <w:p w14:paraId="5AFDB80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365" w:type="pct"/>
            <w:tcBorders>
              <w:right w:val="nil"/>
            </w:tcBorders>
            <w:vAlign w:val="center"/>
          </w:tcPr>
          <w:p w14:paraId="17BC4CC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3C62C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5" w:hRule="atLeast"/>
        </w:trPr>
        <w:tc>
          <w:tcPr>
            <w:tcW w:w="654" w:type="pct"/>
            <w:tcBorders>
              <w:left w:val="nil"/>
            </w:tcBorders>
            <w:vAlign w:val="center"/>
          </w:tcPr>
          <w:p w14:paraId="1597C4C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四氯化碳</w:t>
            </w:r>
          </w:p>
        </w:tc>
        <w:tc>
          <w:tcPr>
            <w:tcW w:w="400" w:type="pct"/>
            <w:vAlign w:val="center"/>
          </w:tcPr>
          <w:p w14:paraId="701204B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6A6C778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640693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2551F44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94BF2D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558E31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3DB5E4E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148C159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1459F1F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w:t>
            </w:r>
          </w:p>
        </w:tc>
        <w:tc>
          <w:tcPr>
            <w:tcW w:w="347" w:type="pct"/>
            <w:vAlign w:val="center"/>
          </w:tcPr>
          <w:p w14:paraId="3DC73EA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365" w:type="pct"/>
            <w:tcBorders>
              <w:right w:val="nil"/>
            </w:tcBorders>
            <w:vAlign w:val="center"/>
          </w:tcPr>
          <w:p w14:paraId="79A7462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47A9A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54" w:type="pct"/>
            <w:tcBorders>
              <w:left w:val="nil"/>
            </w:tcBorders>
            <w:vAlign w:val="center"/>
          </w:tcPr>
          <w:p w14:paraId="707B5B4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w:t>
            </w:r>
          </w:p>
        </w:tc>
        <w:tc>
          <w:tcPr>
            <w:tcW w:w="400" w:type="pct"/>
            <w:vAlign w:val="center"/>
          </w:tcPr>
          <w:p w14:paraId="56FE5A8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4E0F874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2E61EDE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5EB6EAA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0506B2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2EC35AE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6C5CF5F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5A7753D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0CF8630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347" w:type="pct"/>
            <w:vAlign w:val="center"/>
          </w:tcPr>
          <w:p w14:paraId="0B23AD6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365" w:type="pct"/>
            <w:tcBorders>
              <w:right w:val="nil"/>
            </w:tcBorders>
            <w:vAlign w:val="center"/>
          </w:tcPr>
          <w:p w14:paraId="66B010E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6A509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5" w:hRule="atLeast"/>
        </w:trPr>
        <w:tc>
          <w:tcPr>
            <w:tcW w:w="654" w:type="pct"/>
            <w:tcBorders>
              <w:left w:val="nil"/>
            </w:tcBorders>
            <w:vAlign w:val="center"/>
          </w:tcPr>
          <w:p w14:paraId="03DBD51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三氯乙烯</w:t>
            </w:r>
          </w:p>
        </w:tc>
        <w:tc>
          <w:tcPr>
            <w:tcW w:w="400" w:type="pct"/>
            <w:vAlign w:val="center"/>
          </w:tcPr>
          <w:p w14:paraId="64C53CF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09405EF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3D4EE29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56AE7CA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28423CB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78554D3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6B1F4A5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2B05D54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51A0363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w:t>
            </w:r>
          </w:p>
        </w:tc>
        <w:tc>
          <w:tcPr>
            <w:tcW w:w="347" w:type="pct"/>
            <w:vAlign w:val="center"/>
          </w:tcPr>
          <w:p w14:paraId="75D049D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365" w:type="pct"/>
            <w:tcBorders>
              <w:right w:val="nil"/>
            </w:tcBorders>
            <w:vAlign w:val="center"/>
          </w:tcPr>
          <w:p w14:paraId="5D1FDA2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A1382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3" w:hRule="atLeast"/>
        </w:trPr>
        <w:tc>
          <w:tcPr>
            <w:tcW w:w="654" w:type="pct"/>
            <w:tcBorders>
              <w:left w:val="nil"/>
            </w:tcBorders>
            <w:vAlign w:val="center"/>
          </w:tcPr>
          <w:p w14:paraId="32F5775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1,2-二氯丙烷</w:t>
            </w:r>
          </w:p>
        </w:tc>
        <w:tc>
          <w:tcPr>
            <w:tcW w:w="400" w:type="pct"/>
            <w:vAlign w:val="center"/>
          </w:tcPr>
          <w:p w14:paraId="4E2F031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3B5EF89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3261A3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2AE710E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7555CF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350422E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06D7AED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79B0FAF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10AFDD5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347" w:type="pct"/>
            <w:vAlign w:val="center"/>
          </w:tcPr>
          <w:p w14:paraId="4477C3F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365" w:type="pct"/>
            <w:tcBorders>
              <w:right w:val="nil"/>
            </w:tcBorders>
            <w:vAlign w:val="center"/>
          </w:tcPr>
          <w:p w14:paraId="78E7756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F561B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2" w:hRule="atLeast"/>
        </w:trPr>
        <w:tc>
          <w:tcPr>
            <w:tcW w:w="654" w:type="pct"/>
            <w:tcBorders>
              <w:left w:val="nil"/>
            </w:tcBorders>
            <w:vAlign w:val="center"/>
          </w:tcPr>
          <w:p w14:paraId="4AF470F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甲苯</w:t>
            </w:r>
          </w:p>
        </w:tc>
        <w:tc>
          <w:tcPr>
            <w:tcW w:w="400" w:type="pct"/>
            <w:vAlign w:val="center"/>
          </w:tcPr>
          <w:p w14:paraId="1D345A1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775A701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A0B4DC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68109B5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CD8BC8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4FF8DE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7C8D69E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36B8A6F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74D9219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1200</w:t>
            </w:r>
          </w:p>
        </w:tc>
        <w:tc>
          <w:tcPr>
            <w:tcW w:w="347" w:type="pct"/>
            <w:vAlign w:val="center"/>
          </w:tcPr>
          <w:p w14:paraId="0731864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1200</w:t>
            </w:r>
          </w:p>
        </w:tc>
        <w:tc>
          <w:tcPr>
            <w:tcW w:w="365" w:type="pct"/>
            <w:tcBorders>
              <w:right w:val="nil"/>
            </w:tcBorders>
            <w:vAlign w:val="center"/>
          </w:tcPr>
          <w:p w14:paraId="02C38B8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1ED277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7" w:hRule="atLeast"/>
        </w:trPr>
        <w:tc>
          <w:tcPr>
            <w:tcW w:w="654" w:type="pct"/>
            <w:tcBorders>
              <w:left w:val="nil"/>
            </w:tcBorders>
            <w:vAlign w:val="center"/>
          </w:tcPr>
          <w:p w14:paraId="05AA1B0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1,1,2-三氯乙烷</w:t>
            </w:r>
          </w:p>
        </w:tc>
        <w:tc>
          <w:tcPr>
            <w:tcW w:w="400" w:type="pct"/>
            <w:vAlign w:val="center"/>
          </w:tcPr>
          <w:p w14:paraId="332AE3F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2C2FD57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31C94C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0ED0C09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E4422E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4C1561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32AA345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6EBA50A2">
            <w:pPr>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w:t>
            </w:r>
          </w:p>
        </w:tc>
        <w:tc>
          <w:tcPr>
            <w:tcW w:w="318" w:type="pct"/>
            <w:vAlign w:val="center"/>
          </w:tcPr>
          <w:p w14:paraId="76CC73B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347" w:type="pct"/>
            <w:vAlign w:val="center"/>
          </w:tcPr>
          <w:p w14:paraId="7AC7548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365" w:type="pct"/>
            <w:tcBorders>
              <w:right w:val="nil"/>
            </w:tcBorders>
            <w:vAlign w:val="center"/>
          </w:tcPr>
          <w:p w14:paraId="5E177A3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223D79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54" w:type="pct"/>
            <w:tcBorders>
              <w:left w:val="nil"/>
            </w:tcBorders>
            <w:vAlign w:val="center"/>
          </w:tcPr>
          <w:p w14:paraId="28DF1D9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四氯乙烯</w:t>
            </w:r>
          </w:p>
        </w:tc>
        <w:tc>
          <w:tcPr>
            <w:tcW w:w="400" w:type="pct"/>
            <w:vAlign w:val="center"/>
          </w:tcPr>
          <w:p w14:paraId="6178790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20302AC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30.8</w:t>
            </w:r>
          </w:p>
        </w:tc>
        <w:tc>
          <w:tcPr>
            <w:tcW w:w="373" w:type="pct"/>
            <w:vAlign w:val="center"/>
          </w:tcPr>
          <w:p w14:paraId="1260835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27.8</w:t>
            </w:r>
          </w:p>
        </w:tc>
        <w:tc>
          <w:tcPr>
            <w:tcW w:w="375" w:type="pct"/>
            <w:vAlign w:val="center"/>
          </w:tcPr>
          <w:p w14:paraId="08CA39C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9.4</w:t>
            </w:r>
          </w:p>
        </w:tc>
        <w:tc>
          <w:tcPr>
            <w:tcW w:w="373" w:type="pct"/>
            <w:vAlign w:val="center"/>
          </w:tcPr>
          <w:p w14:paraId="420DDB4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29.4</w:t>
            </w:r>
          </w:p>
        </w:tc>
        <w:tc>
          <w:tcPr>
            <w:tcW w:w="373" w:type="pct"/>
            <w:vAlign w:val="center"/>
          </w:tcPr>
          <w:p w14:paraId="3710037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26.8</w:t>
            </w:r>
          </w:p>
        </w:tc>
        <w:tc>
          <w:tcPr>
            <w:tcW w:w="376" w:type="pct"/>
            <w:vAlign w:val="center"/>
          </w:tcPr>
          <w:p w14:paraId="7EC2194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31.8</w:t>
            </w:r>
          </w:p>
        </w:tc>
        <w:tc>
          <w:tcPr>
            <w:tcW w:w="665" w:type="pct"/>
            <w:vAlign w:val="center"/>
          </w:tcPr>
          <w:p w14:paraId="6B681CC1">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45.4</w:t>
            </w:r>
          </w:p>
        </w:tc>
        <w:tc>
          <w:tcPr>
            <w:tcW w:w="318" w:type="pct"/>
            <w:vAlign w:val="center"/>
          </w:tcPr>
          <w:p w14:paraId="2CCED00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347" w:type="pct"/>
            <w:vAlign w:val="center"/>
          </w:tcPr>
          <w:p w14:paraId="0DA3187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w:t>
            </w:r>
          </w:p>
        </w:tc>
        <w:tc>
          <w:tcPr>
            <w:tcW w:w="365" w:type="pct"/>
            <w:tcBorders>
              <w:right w:val="nil"/>
            </w:tcBorders>
            <w:vAlign w:val="center"/>
          </w:tcPr>
          <w:p w14:paraId="067AA3F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9BF4B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54" w:type="pct"/>
            <w:tcBorders>
              <w:left w:val="nil"/>
            </w:tcBorders>
            <w:vAlign w:val="center"/>
          </w:tcPr>
          <w:p w14:paraId="1826B53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1,1,1,2-四氯乙烷</w:t>
            </w:r>
          </w:p>
        </w:tc>
        <w:tc>
          <w:tcPr>
            <w:tcW w:w="400" w:type="pct"/>
            <w:vAlign w:val="center"/>
          </w:tcPr>
          <w:p w14:paraId="5195836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1E1BAFF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C790C8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2DE44DC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649E385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19E62D6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4030947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63C1DD42">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17.8</w:t>
            </w:r>
          </w:p>
        </w:tc>
        <w:tc>
          <w:tcPr>
            <w:tcW w:w="318" w:type="pct"/>
            <w:vAlign w:val="center"/>
          </w:tcPr>
          <w:p w14:paraId="2BB31AF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w:t>
            </w:r>
          </w:p>
        </w:tc>
        <w:tc>
          <w:tcPr>
            <w:tcW w:w="347" w:type="pct"/>
            <w:vAlign w:val="center"/>
          </w:tcPr>
          <w:p w14:paraId="6C63661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365" w:type="pct"/>
            <w:tcBorders>
              <w:right w:val="nil"/>
            </w:tcBorders>
            <w:vAlign w:val="center"/>
          </w:tcPr>
          <w:p w14:paraId="7CC1B47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6E1F3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27D412C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氯苯</w:t>
            </w:r>
          </w:p>
        </w:tc>
        <w:tc>
          <w:tcPr>
            <w:tcW w:w="400" w:type="pct"/>
            <w:vAlign w:val="center"/>
          </w:tcPr>
          <w:p w14:paraId="6B6A174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2E7A577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73743AB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7BF3624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6447C4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260E034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5FBA9E5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471EA5D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58AB0C0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68</w:t>
            </w:r>
          </w:p>
        </w:tc>
        <w:tc>
          <w:tcPr>
            <w:tcW w:w="347" w:type="pct"/>
            <w:vAlign w:val="center"/>
          </w:tcPr>
          <w:p w14:paraId="308BA08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270</w:t>
            </w:r>
          </w:p>
        </w:tc>
        <w:tc>
          <w:tcPr>
            <w:tcW w:w="365" w:type="pct"/>
            <w:tcBorders>
              <w:right w:val="nil"/>
            </w:tcBorders>
            <w:vAlign w:val="center"/>
          </w:tcPr>
          <w:p w14:paraId="280360B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7B0E3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6" w:hRule="atLeast"/>
        </w:trPr>
        <w:tc>
          <w:tcPr>
            <w:tcW w:w="654" w:type="pct"/>
            <w:tcBorders>
              <w:left w:val="nil"/>
            </w:tcBorders>
            <w:vAlign w:val="center"/>
          </w:tcPr>
          <w:p w14:paraId="4AF2446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乙苯</w:t>
            </w:r>
          </w:p>
        </w:tc>
        <w:tc>
          <w:tcPr>
            <w:tcW w:w="400" w:type="pct"/>
            <w:vAlign w:val="center"/>
          </w:tcPr>
          <w:p w14:paraId="2AD916F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04A05BE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4F0979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440DF5B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0DB76A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22EFC11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247A4B9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359945E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385624B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7.2</w:t>
            </w:r>
          </w:p>
        </w:tc>
        <w:tc>
          <w:tcPr>
            <w:tcW w:w="347" w:type="pct"/>
            <w:vAlign w:val="center"/>
          </w:tcPr>
          <w:p w14:paraId="3BCB27A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365" w:type="pct"/>
            <w:tcBorders>
              <w:right w:val="nil"/>
            </w:tcBorders>
            <w:vAlign w:val="center"/>
          </w:tcPr>
          <w:p w14:paraId="12F0C7A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79B7A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 w:hRule="atLeast"/>
        </w:trPr>
        <w:tc>
          <w:tcPr>
            <w:tcW w:w="654" w:type="pct"/>
            <w:tcBorders>
              <w:left w:val="nil"/>
            </w:tcBorders>
            <w:vAlign w:val="center"/>
          </w:tcPr>
          <w:p w14:paraId="2B545C0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对（间）二甲苯</w:t>
            </w:r>
          </w:p>
        </w:tc>
        <w:tc>
          <w:tcPr>
            <w:tcW w:w="400" w:type="pct"/>
            <w:vAlign w:val="center"/>
          </w:tcPr>
          <w:p w14:paraId="2EA1F6F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1555270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3AD07A4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0EB5BCF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1EE3673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21FACF9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587FEF0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7E20897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3E35B7F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163</w:t>
            </w:r>
          </w:p>
        </w:tc>
        <w:tc>
          <w:tcPr>
            <w:tcW w:w="347" w:type="pct"/>
            <w:vAlign w:val="center"/>
          </w:tcPr>
          <w:p w14:paraId="245BF79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570</w:t>
            </w:r>
          </w:p>
        </w:tc>
        <w:tc>
          <w:tcPr>
            <w:tcW w:w="365" w:type="pct"/>
            <w:tcBorders>
              <w:right w:val="nil"/>
            </w:tcBorders>
            <w:vAlign w:val="center"/>
          </w:tcPr>
          <w:p w14:paraId="5C12401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35C5C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75" w:hRule="atLeast"/>
        </w:trPr>
        <w:tc>
          <w:tcPr>
            <w:tcW w:w="654" w:type="pct"/>
            <w:tcBorders>
              <w:left w:val="nil"/>
            </w:tcBorders>
            <w:vAlign w:val="center"/>
          </w:tcPr>
          <w:p w14:paraId="160E8FB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苯乙烯</w:t>
            </w:r>
          </w:p>
        </w:tc>
        <w:tc>
          <w:tcPr>
            <w:tcW w:w="400" w:type="pct"/>
            <w:vAlign w:val="center"/>
          </w:tcPr>
          <w:p w14:paraId="16CBD7F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677F04A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456516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14A159B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794BAE4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69BDB52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460BCE4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41B3FD1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75519C2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1290</w:t>
            </w:r>
          </w:p>
        </w:tc>
        <w:tc>
          <w:tcPr>
            <w:tcW w:w="347" w:type="pct"/>
            <w:vAlign w:val="center"/>
          </w:tcPr>
          <w:p w14:paraId="540DFA6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1290</w:t>
            </w:r>
          </w:p>
        </w:tc>
        <w:tc>
          <w:tcPr>
            <w:tcW w:w="365" w:type="pct"/>
            <w:tcBorders>
              <w:right w:val="nil"/>
            </w:tcBorders>
            <w:vAlign w:val="center"/>
          </w:tcPr>
          <w:p w14:paraId="2E03F5D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33359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6" w:hRule="atLeast"/>
        </w:trPr>
        <w:tc>
          <w:tcPr>
            <w:tcW w:w="654" w:type="pct"/>
            <w:tcBorders>
              <w:left w:val="nil"/>
            </w:tcBorders>
            <w:vAlign w:val="center"/>
          </w:tcPr>
          <w:p w14:paraId="01A4BF9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1,1,2,2-四氯乙烷</w:t>
            </w:r>
          </w:p>
        </w:tc>
        <w:tc>
          <w:tcPr>
            <w:tcW w:w="400" w:type="pct"/>
            <w:vAlign w:val="center"/>
          </w:tcPr>
          <w:p w14:paraId="0B60DAA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68E59D5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688341D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7965519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18022C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71050D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4351CFD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294FED8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4B893CA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347" w:type="pct"/>
            <w:vAlign w:val="center"/>
          </w:tcPr>
          <w:p w14:paraId="346F1F7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6.8</w:t>
            </w:r>
          </w:p>
        </w:tc>
        <w:tc>
          <w:tcPr>
            <w:tcW w:w="365" w:type="pct"/>
            <w:tcBorders>
              <w:right w:val="nil"/>
            </w:tcBorders>
            <w:vAlign w:val="center"/>
          </w:tcPr>
          <w:p w14:paraId="230BD12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97AC3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573D5DB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邻二甲苯</w:t>
            </w:r>
          </w:p>
        </w:tc>
        <w:tc>
          <w:tcPr>
            <w:tcW w:w="400" w:type="pct"/>
            <w:vAlign w:val="center"/>
          </w:tcPr>
          <w:p w14:paraId="7C28568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1894FFC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6F2DBB7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5C540D8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999F61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12A7288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4BAD442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3049333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0295FA3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222</w:t>
            </w:r>
          </w:p>
        </w:tc>
        <w:tc>
          <w:tcPr>
            <w:tcW w:w="347" w:type="pct"/>
            <w:vAlign w:val="center"/>
          </w:tcPr>
          <w:p w14:paraId="35F04E1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640</w:t>
            </w:r>
          </w:p>
        </w:tc>
        <w:tc>
          <w:tcPr>
            <w:tcW w:w="365" w:type="pct"/>
            <w:tcBorders>
              <w:right w:val="nil"/>
            </w:tcBorders>
            <w:vAlign w:val="center"/>
          </w:tcPr>
          <w:p w14:paraId="72C2A69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C8604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7D48229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1,2,3-三氯丙烷</w:t>
            </w:r>
          </w:p>
        </w:tc>
        <w:tc>
          <w:tcPr>
            <w:tcW w:w="400" w:type="pct"/>
            <w:vAlign w:val="center"/>
          </w:tcPr>
          <w:p w14:paraId="2AFF0B3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57FEADF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72B1799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1575B96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E5BB07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A841F4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7DE57ED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2DE0692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5C6ED64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347" w:type="pct"/>
            <w:vAlign w:val="center"/>
          </w:tcPr>
          <w:p w14:paraId="7B2136C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365" w:type="pct"/>
            <w:tcBorders>
              <w:right w:val="nil"/>
            </w:tcBorders>
            <w:vAlign w:val="center"/>
          </w:tcPr>
          <w:p w14:paraId="35C88E8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1F2C08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7F7EC57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1,4-二氯苯</w:t>
            </w:r>
          </w:p>
        </w:tc>
        <w:tc>
          <w:tcPr>
            <w:tcW w:w="400" w:type="pct"/>
            <w:vAlign w:val="center"/>
          </w:tcPr>
          <w:p w14:paraId="3F781D8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vAlign w:val="center"/>
          </w:tcPr>
          <w:p w14:paraId="6402F56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DE7FE0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616154C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6DC6F74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20480EA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5CBE98B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63EDFAB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5C8238D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w:t>
            </w:r>
          </w:p>
        </w:tc>
        <w:tc>
          <w:tcPr>
            <w:tcW w:w="347" w:type="pct"/>
            <w:vAlign w:val="center"/>
          </w:tcPr>
          <w:p w14:paraId="5B471FD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365" w:type="pct"/>
            <w:tcBorders>
              <w:right w:val="nil"/>
            </w:tcBorders>
            <w:vAlign w:val="center"/>
          </w:tcPr>
          <w:p w14:paraId="340DA37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BD2F3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54" w:type="pct"/>
            <w:tcBorders>
              <w:left w:val="nil"/>
              <w:bottom w:val="single" w:color="000000" w:sz="10" w:space="0"/>
            </w:tcBorders>
            <w:vAlign w:val="center"/>
          </w:tcPr>
          <w:p w14:paraId="7E4DA91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1,2-二氯苯</w:t>
            </w:r>
          </w:p>
        </w:tc>
        <w:tc>
          <w:tcPr>
            <w:tcW w:w="400" w:type="pct"/>
            <w:tcBorders>
              <w:bottom w:val="single" w:color="000000" w:sz="10" w:space="0"/>
            </w:tcBorders>
            <w:vAlign w:val="center"/>
          </w:tcPr>
          <w:p w14:paraId="5E0888E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μg/kg</w:t>
            </w:r>
          </w:p>
        </w:tc>
        <w:tc>
          <w:tcPr>
            <w:tcW w:w="373" w:type="pct"/>
            <w:tcBorders>
              <w:bottom w:val="single" w:color="000000" w:sz="10" w:space="0"/>
            </w:tcBorders>
            <w:vAlign w:val="center"/>
          </w:tcPr>
          <w:p w14:paraId="7F806F3B">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tcBorders>
              <w:bottom w:val="single" w:color="000000" w:sz="10" w:space="0"/>
            </w:tcBorders>
            <w:vAlign w:val="center"/>
          </w:tcPr>
          <w:p w14:paraId="0F961CA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tcBorders>
              <w:bottom w:val="single" w:color="000000" w:sz="10" w:space="0"/>
            </w:tcBorders>
            <w:vAlign w:val="center"/>
          </w:tcPr>
          <w:p w14:paraId="0171FA9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tcBorders>
              <w:bottom w:val="single" w:color="000000" w:sz="10" w:space="0"/>
            </w:tcBorders>
            <w:vAlign w:val="center"/>
          </w:tcPr>
          <w:p w14:paraId="76F9C13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tcBorders>
              <w:bottom w:val="single" w:color="000000" w:sz="10" w:space="0"/>
            </w:tcBorders>
            <w:vAlign w:val="center"/>
          </w:tcPr>
          <w:p w14:paraId="74EA004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tcBorders>
              <w:bottom w:val="single" w:color="000000" w:sz="10" w:space="0"/>
            </w:tcBorders>
            <w:vAlign w:val="center"/>
          </w:tcPr>
          <w:p w14:paraId="6D2EB6D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tcBorders>
              <w:bottom w:val="single" w:color="000000" w:sz="10" w:space="0"/>
            </w:tcBorders>
            <w:vAlign w:val="center"/>
          </w:tcPr>
          <w:p w14:paraId="56AE597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tcBorders>
              <w:bottom w:val="single" w:color="000000" w:sz="10" w:space="0"/>
            </w:tcBorders>
            <w:vAlign w:val="center"/>
          </w:tcPr>
          <w:p w14:paraId="743D19C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560</w:t>
            </w:r>
          </w:p>
        </w:tc>
        <w:tc>
          <w:tcPr>
            <w:tcW w:w="347" w:type="pct"/>
            <w:tcBorders>
              <w:bottom w:val="single" w:color="000000" w:sz="10" w:space="0"/>
            </w:tcBorders>
            <w:vAlign w:val="center"/>
          </w:tcPr>
          <w:p w14:paraId="34DD8FE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560</w:t>
            </w:r>
          </w:p>
        </w:tc>
        <w:tc>
          <w:tcPr>
            <w:tcW w:w="365" w:type="pct"/>
            <w:tcBorders>
              <w:bottom w:val="single" w:color="000000" w:sz="10" w:space="0"/>
              <w:right w:val="nil"/>
            </w:tcBorders>
            <w:vAlign w:val="center"/>
          </w:tcPr>
          <w:p w14:paraId="0F6F838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F9B1A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654" w:type="pct"/>
            <w:tcBorders>
              <w:left w:val="nil"/>
            </w:tcBorders>
            <w:vAlign w:val="center"/>
          </w:tcPr>
          <w:p w14:paraId="4EB818C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萘</w:t>
            </w:r>
          </w:p>
        </w:tc>
        <w:tc>
          <w:tcPr>
            <w:tcW w:w="400" w:type="pct"/>
            <w:vAlign w:val="center"/>
          </w:tcPr>
          <w:p w14:paraId="3F8D6E0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shd w:val="clear" w:color="auto" w:fill="auto"/>
            <w:vAlign w:val="center"/>
          </w:tcPr>
          <w:p w14:paraId="261E245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shd w:val="clear" w:color="auto" w:fill="auto"/>
            <w:vAlign w:val="center"/>
          </w:tcPr>
          <w:p w14:paraId="5048BA55">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5" w:type="pct"/>
            <w:shd w:val="clear" w:color="auto" w:fill="auto"/>
            <w:vAlign w:val="center"/>
          </w:tcPr>
          <w:p w14:paraId="5CA8F2B8">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21F71C5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BB5AD6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58127C0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2828635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5D569E5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347" w:type="pct"/>
            <w:vAlign w:val="center"/>
          </w:tcPr>
          <w:p w14:paraId="0030AE0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365" w:type="pct"/>
            <w:tcBorders>
              <w:right w:val="nil"/>
            </w:tcBorders>
            <w:vAlign w:val="center"/>
          </w:tcPr>
          <w:p w14:paraId="0E58AA8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2CFA0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654" w:type="pct"/>
            <w:tcBorders>
              <w:left w:val="nil"/>
            </w:tcBorders>
            <w:vAlign w:val="center"/>
          </w:tcPr>
          <w:p w14:paraId="141D722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硝基苯</w:t>
            </w:r>
          </w:p>
        </w:tc>
        <w:tc>
          <w:tcPr>
            <w:tcW w:w="400" w:type="pct"/>
            <w:vAlign w:val="center"/>
          </w:tcPr>
          <w:p w14:paraId="5B65F3B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vAlign w:val="center"/>
          </w:tcPr>
          <w:p w14:paraId="00F62035">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18E2812F">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5" w:type="pct"/>
            <w:vAlign w:val="center"/>
          </w:tcPr>
          <w:p w14:paraId="1A9C8A1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877BDA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68B091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3184994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7EC0169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1DAAC28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347" w:type="pct"/>
            <w:vAlign w:val="center"/>
          </w:tcPr>
          <w:p w14:paraId="2F010BE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76</w:t>
            </w:r>
          </w:p>
        </w:tc>
        <w:tc>
          <w:tcPr>
            <w:tcW w:w="365" w:type="pct"/>
            <w:tcBorders>
              <w:right w:val="nil"/>
            </w:tcBorders>
            <w:vAlign w:val="center"/>
          </w:tcPr>
          <w:p w14:paraId="1D95D4E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4E15A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3397CBF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苯胺</w:t>
            </w:r>
          </w:p>
        </w:tc>
        <w:tc>
          <w:tcPr>
            <w:tcW w:w="400" w:type="pct"/>
            <w:vAlign w:val="center"/>
          </w:tcPr>
          <w:p w14:paraId="5F3DE42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shd w:val="clear" w:color="auto" w:fill="auto"/>
            <w:vAlign w:val="center"/>
          </w:tcPr>
          <w:p w14:paraId="228C98A3">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shd w:val="clear" w:color="auto" w:fill="auto"/>
            <w:vAlign w:val="center"/>
          </w:tcPr>
          <w:p w14:paraId="3A93CDE9">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5" w:type="pct"/>
            <w:shd w:val="clear" w:color="auto" w:fill="auto"/>
            <w:vAlign w:val="center"/>
          </w:tcPr>
          <w:p w14:paraId="68993071">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1398AA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888067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7CAA3C4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7DB4D32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4195F6F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92</w:t>
            </w:r>
          </w:p>
        </w:tc>
        <w:tc>
          <w:tcPr>
            <w:tcW w:w="347" w:type="pct"/>
            <w:vAlign w:val="center"/>
          </w:tcPr>
          <w:p w14:paraId="5F3B543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365" w:type="pct"/>
            <w:tcBorders>
              <w:right w:val="nil"/>
            </w:tcBorders>
            <w:vAlign w:val="center"/>
          </w:tcPr>
          <w:p w14:paraId="422E620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CF5CE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654" w:type="pct"/>
            <w:tcBorders>
              <w:left w:val="nil"/>
            </w:tcBorders>
            <w:vAlign w:val="center"/>
          </w:tcPr>
          <w:p w14:paraId="130242F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2-氯酚</w:t>
            </w:r>
          </w:p>
        </w:tc>
        <w:tc>
          <w:tcPr>
            <w:tcW w:w="400" w:type="pct"/>
            <w:vAlign w:val="center"/>
          </w:tcPr>
          <w:p w14:paraId="454E38F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shd w:val="clear" w:color="auto" w:fill="auto"/>
            <w:vAlign w:val="center"/>
          </w:tcPr>
          <w:p w14:paraId="632FC6DD">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shd w:val="clear" w:color="auto" w:fill="auto"/>
            <w:vAlign w:val="center"/>
          </w:tcPr>
          <w:p w14:paraId="313F765F">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5" w:type="pct"/>
            <w:shd w:val="clear" w:color="auto" w:fill="auto"/>
            <w:vAlign w:val="center"/>
          </w:tcPr>
          <w:p w14:paraId="5DE672C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42FCCE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ED85EA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20A69D6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331CD72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2EBDD46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347" w:type="pct"/>
            <w:vAlign w:val="center"/>
          </w:tcPr>
          <w:p w14:paraId="3213C32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2256</w:t>
            </w:r>
          </w:p>
        </w:tc>
        <w:tc>
          <w:tcPr>
            <w:tcW w:w="365" w:type="pct"/>
            <w:tcBorders>
              <w:right w:val="nil"/>
            </w:tcBorders>
            <w:vAlign w:val="center"/>
          </w:tcPr>
          <w:p w14:paraId="4DB106A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5B117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654" w:type="pct"/>
            <w:tcBorders>
              <w:left w:val="nil"/>
            </w:tcBorders>
            <w:vAlign w:val="center"/>
          </w:tcPr>
          <w:p w14:paraId="67CEA4A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苯并〔a〕蒽</w:t>
            </w:r>
          </w:p>
        </w:tc>
        <w:tc>
          <w:tcPr>
            <w:tcW w:w="400" w:type="pct"/>
            <w:vAlign w:val="center"/>
          </w:tcPr>
          <w:p w14:paraId="1BD9B3B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shd w:val="clear" w:color="auto" w:fill="auto"/>
            <w:vAlign w:val="center"/>
          </w:tcPr>
          <w:p w14:paraId="774CE6C2">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shd w:val="clear" w:color="auto" w:fill="auto"/>
            <w:vAlign w:val="center"/>
          </w:tcPr>
          <w:p w14:paraId="16F7346C">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5" w:type="pct"/>
            <w:shd w:val="clear" w:color="auto" w:fill="auto"/>
            <w:vAlign w:val="center"/>
          </w:tcPr>
          <w:p w14:paraId="58590F3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2E21FC2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31ACE69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59391F7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22A308B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7E6B87E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347" w:type="pct"/>
            <w:vAlign w:val="center"/>
          </w:tcPr>
          <w:p w14:paraId="437C410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65" w:type="pct"/>
            <w:tcBorders>
              <w:right w:val="nil"/>
            </w:tcBorders>
            <w:vAlign w:val="center"/>
          </w:tcPr>
          <w:p w14:paraId="1ADB746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16E78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654" w:type="pct"/>
            <w:tcBorders>
              <w:left w:val="nil"/>
            </w:tcBorders>
            <w:vAlign w:val="center"/>
          </w:tcPr>
          <w:p w14:paraId="4ABA853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苯并〔a〕芘</w:t>
            </w:r>
          </w:p>
        </w:tc>
        <w:tc>
          <w:tcPr>
            <w:tcW w:w="400" w:type="pct"/>
            <w:vAlign w:val="center"/>
          </w:tcPr>
          <w:p w14:paraId="704964A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shd w:val="clear" w:color="auto" w:fill="auto"/>
            <w:vAlign w:val="center"/>
          </w:tcPr>
          <w:p w14:paraId="03CF191D">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shd w:val="clear" w:color="auto" w:fill="auto"/>
            <w:vAlign w:val="center"/>
          </w:tcPr>
          <w:p w14:paraId="5FEB965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5" w:type="pct"/>
            <w:shd w:val="clear" w:color="auto" w:fill="auto"/>
            <w:vAlign w:val="center"/>
          </w:tcPr>
          <w:p w14:paraId="62937957">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660C757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667F08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1324EFBA">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40611FA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114A801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0.55</w:t>
            </w:r>
          </w:p>
        </w:tc>
        <w:tc>
          <w:tcPr>
            <w:tcW w:w="347" w:type="pct"/>
            <w:vAlign w:val="center"/>
          </w:tcPr>
          <w:p w14:paraId="58A341D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65" w:type="pct"/>
            <w:tcBorders>
              <w:right w:val="nil"/>
            </w:tcBorders>
            <w:vAlign w:val="center"/>
          </w:tcPr>
          <w:p w14:paraId="7BB420C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D6789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1E2F859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苯并〔b〕荧蒽</w:t>
            </w:r>
          </w:p>
        </w:tc>
        <w:tc>
          <w:tcPr>
            <w:tcW w:w="400" w:type="pct"/>
            <w:vAlign w:val="center"/>
          </w:tcPr>
          <w:p w14:paraId="5D2268C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shd w:val="clear" w:color="auto" w:fill="auto"/>
            <w:vAlign w:val="center"/>
          </w:tcPr>
          <w:p w14:paraId="5207921A">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shd w:val="clear" w:color="auto" w:fill="auto"/>
            <w:vAlign w:val="center"/>
          </w:tcPr>
          <w:p w14:paraId="4F5F657C">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5" w:type="pct"/>
            <w:shd w:val="clear" w:color="auto" w:fill="auto"/>
            <w:vAlign w:val="center"/>
          </w:tcPr>
          <w:p w14:paraId="35941BF5">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8B9983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79155EB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0B4A5DF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080667C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2314CE1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347" w:type="pct"/>
            <w:vAlign w:val="center"/>
          </w:tcPr>
          <w:p w14:paraId="2B7F22C0">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65" w:type="pct"/>
            <w:tcBorders>
              <w:right w:val="nil"/>
            </w:tcBorders>
            <w:vAlign w:val="center"/>
          </w:tcPr>
          <w:p w14:paraId="3C5FD22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0F900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67C0CD3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苯并〔k〕荧蒽</w:t>
            </w:r>
          </w:p>
        </w:tc>
        <w:tc>
          <w:tcPr>
            <w:tcW w:w="400" w:type="pct"/>
            <w:vAlign w:val="center"/>
          </w:tcPr>
          <w:p w14:paraId="6FEB7079">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shd w:val="clear" w:color="auto" w:fill="auto"/>
            <w:vAlign w:val="center"/>
          </w:tcPr>
          <w:p w14:paraId="2BC9A323">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shd w:val="clear" w:color="auto" w:fill="auto"/>
            <w:vAlign w:val="center"/>
          </w:tcPr>
          <w:p w14:paraId="4A791E6A">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5" w:type="pct"/>
            <w:shd w:val="clear" w:color="auto" w:fill="auto"/>
            <w:vAlign w:val="center"/>
          </w:tcPr>
          <w:p w14:paraId="094F427D">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31656891">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04C4B9BC">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02AFEEB6">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10CA7AC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472147F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347" w:type="pct"/>
            <w:vAlign w:val="center"/>
          </w:tcPr>
          <w:p w14:paraId="0BFFD92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151</w:t>
            </w:r>
          </w:p>
        </w:tc>
        <w:tc>
          <w:tcPr>
            <w:tcW w:w="365" w:type="pct"/>
            <w:tcBorders>
              <w:right w:val="nil"/>
            </w:tcBorders>
            <w:vAlign w:val="center"/>
          </w:tcPr>
          <w:p w14:paraId="3A3947C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C30B8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06359BD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䓛</w:t>
            </w:r>
          </w:p>
        </w:tc>
        <w:tc>
          <w:tcPr>
            <w:tcW w:w="400" w:type="pct"/>
            <w:vAlign w:val="center"/>
          </w:tcPr>
          <w:p w14:paraId="06D5BB8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shd w:val="clear" w:color="auto" w:fill="auto"/>
            <w:vAlign w:val="center"/>
          </w:tcPr>
          <w:p w14:paraId="2F6A5AB0">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shd w:val="clear" w:color="auto" w:fill="auto"/>
            <w:vAlign w:val="center"/>
          </w:tcPr>
          <w:p w14:paraId="0C694A61">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5" w:type="pct"/>
            <w:shd w:val="clear" w:color="auto" w:fill="auto"/>
            <w:vAlign w:val="center"/>
          </w:tcPr>
          <w:p w14:paraId="1EC4E42F">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78263F4">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49087DC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42F4593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7BAFCE5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31F0CFC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490</w:t>
            </w:r>
          </w:p>
        </w:tc>
        <w:tc>
          <w:tcPr>
            <w:tcW w:w="347" w:type="pct"/>
            <w:vAlign w:val="center"/>
          </w:tcPr>
          <w:p w14:paraId="41598BB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1293</w:t>
            </w:r>
          </w:p>
        </w:tc>
        <w:tc>
          <w:tcPr>
            <w:tcW w:w="365" w:type="pct"/>
            <w:tcBorders>
              <w:right w:val="nil"/>
            </w:tcBorders>
            <w:vAlign w:val="center"/>
          </w:tcPr>
          <w:p w14:paraId="558B3CC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F3314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654" w:type="pct"/>
            <w:tcBorders>
              <w:left w:val="nil"/>
            </w:tcBorders>
            <w:vAlign w:val="center"/>
          </w:tcPr>
          <w:p w14:paraId="78CA254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二苯并〔a，h〕蒽</w:t>
            </w:r>
          </w:p>
        </w:tc>
        <w:tc>
          <w:tcPr>
            <w:tcW w:w="400" w:type="pct"/>
            <w:vAlign w:val="center"/>
          </w:tcPr>
          <w:p w14:paraId="566F1E4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shd w:val="clear" w:color="auto" w:fill="auto"/>
            <w:vAlign w:val="center"/>
          </w:tcPr>
          <w:p w14:paraId="5749FCAB">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shd w:val="clear" w:color="auto" w:fill="auto"/>
            <w:vAlign w:val="center"/>
          </w:tcPr>
          <w:p w14:paraId="7257DFB2">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5" w:type="pct"/>
            <w:shd w:val="clear" w:color="auto" w:fill="auto"/>
            <w:vAlign w:val="center"/>
          </w:tcPr>
          <w:p w14:paraId="628BF8BD">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56595250">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vAlign w:val="center"/>
          </w:tcPr>
          <w:p w14:paraId="3DB1D7A3">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vAlign w:val="center"/>
          </w:tcPr>
          <w:p w14:paraId="2672D562">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vAlign w:val="center"/>
          </w:tcPr>
          <w:p w14:paraId="0F5DB257">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vAlign w:val="center"/>
          </w:tcPr>
          <w:p w14:paraId="54BE5C6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0.55</w:t>
            </w:r>
          </w:p>
        </w:tc>
        <w:tc>
          <w:tcPr>
            <w:tcW w:w="347" w:type="pct"/>
            <w:vAlign w:val="center"/>
          </w:tcPr>
          <w:p w14:paraId="7E12664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65" w:type="pct"/>
            <w:tcBorders>
              <w:right w:val="nil"/>
            </w:tcBorders>
            <w:vAlign w:val="center"/>
          </w:tcPr>
          <w:p w14:paraId="66527B0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9073E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trPr>
        <w:tc>
          <w:tcPr>
            <w:tcW w:w="654" w:type="pct"/>
            <w:tcBorders>
              <w:left w:val="nil"/>
              <w:bottom w:val="single" w:color="000000" w:sz="10" w:space="0"/>
            </w:tcBorders>
            <w:vAlign w:val="center"/>
          </w:tcPr>
          <w:p w14:paraId="08F03BE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茚并〔1,2,3-cd〕芘</w:t>
            </w:r>
          </w:p>
        </w:tc>
        <w:tc>
          <w:tcPr>
            <w:tcW w:w="400" w:type="pct"/>
            <w:tcBorders>
              <w:bottom w:val="single" w:color="000000" w:sz="10" w:space="0"/>
            </w:tcBorders>
            <w:vAlign w:val="center"/>
          </w:tcPr>
          <w:p w14:paraId="1FCEED2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373" w:type="pct"/>
            <w:tcBorders>
              <w:bottom w:val="single" w:color="000000" w:sz="10" w:space="0"/>
            </w:tcBorders>
            <w:shd w:val="clear" w:color="auto" w:fill="auto"/>
            <w:vAlign w:val="center"/>
          </w:tcPr>
          <w:p w14:paraId="23877DE9">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tcBorders>
              <w:bottom w:val="single" w:color="000000" w:sz="10" w:space="0"/>
            </w:tcBorders>
            <w:shd w:val="clear" w:color="auto" w:fill="auto"/>
            <w:vAlign w:val="center"/>
          </w:tcPr>
          <w:p w14:paraId="3FB55BC2">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5" w:type="pct"/>
            <w:tcBorders>
              <w:bottom w:val="single" w:color="000000" w:sz="10" w:space="0"/>
            </w:tcBorders>
            <w:shd w:val="clear" w:color="auto" w:fill="auto"/>
            <w:vAlign w:val="center"/>
          </w:tcPr>
          <w:p w14:paraId="4694C451">
            <w:pPr>
              <w:bidi w:val="0"/>
              <w:jc w:val="center"/>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cs="Times New Roman"/>
                <w:color w:val="auto"/>
                <w:sz w:val="21"/>
                <w:szCs w:val="21"/>
                <w:highlight w:val="none"/>
                <w:lang w:val="en-US" w:eastAsia="zh-CN"/>
              </w:rPr>
              <w:t>ND</w:t>
            </w:r>
          </w:p>
        </w:tc>
        <w:tc>
          <w:tcPr>
            <w:tcW w:w="373" w:type="pct"/>
            <w:tcBorders>
              <w:bottom w:val="single" w:color="000000" w:sz="10" w:space="0"/>
            </w:tcBorders>
            <w:vAlign w:val="center"/>
          </w:tcPr>
          <w:p w14:paraId="5E50120E">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3" w:type="pct"/>
            <w:tcBorders>
              <w:bottom w:val="single" w:color="000000" w:sz="10" w:space="0"/>
            </w:tcBorders>
            <w:vAlign w:val="center"/>
          </w:tcPr>
          <w:p w14:paraId="72669C49">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76" w:type="pct"/>
            <w:tcBorders>
              <w:bottom w:val="single" w:color="000000" w:sz="10" w:space="0"/>
            </w:tcBorders>
            <w:vAlign w:val="center"/>
          </w:tcPr>
          <w:p w14:paraId="3BC84B18">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665" w:type="pct"/>
            <w:tcBorders>
              <w:bottom w:val="single" w:color="000000" w:sz="10" w:space="0"/>
            </w:tcBorders>
            <w:vAlign w:val="center"/>
          </w:tcPr>
          <w:p w14:paraId="531AB76D">
            <w:pPr>
              <w:bidi w:val="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ND</w:t>
            </w:r>
          </w:p>
        </w:tc>
        <w:tc>
          <w:tcPr>
            <w:tcW w:w="318" w:type="pct"/>
            <w:tcBorders>
              <w:bottom w:val="single" w:color="000000" w:sz="10" w:space="0"/>
            </w:tcBorders>
            <w:vAlign w:val="center"/>
          </w:tcPr>
          <w:p w14:paraId="5649905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w:t>
            </w:r>
          </w:p>
        </w:tc>
        <w:tc>
          <w:tcPr>
            <w:tcW w:w="347" w:type="pct"/>
            <w:tcBorders>
              <w:bottom w:val="single" w:color="000000" w:sz="10" w:space="0"/>
            </w:tcBorders>
            <w:vAlign w:val="center"/>
          </w:tcPr>
          <w:p w14:paraId="2FA2621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65" w:type="pct"/>
            <w:tcBorders>
              <w:bottom w:val="single" w:color="000000" w:sz="10" w:space="0"/>
              <w:right w:val="nil"/>
            </w:tcBorders>
            <w:vAlign w:val="center"/>
          </w:tcPr>
          <w:p w14:paraId="0BB9A31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bl>
    <w:p w14:paraId="35DC3420">
      <w:pPr>
        <w:keepNext w:val="0"/>
        <w:keepLines w:val="0"/>
        <w:pageBreakBefore w:val="0"/>
        <w:widowControl/>
        <w:kinsoku w:val="0"/>
        <w:wordWrap/>
        <w:overflowPunct/>
        <w:topLinePunct w:val="0"/>
        <w:autoSpaceDE w:val="0"/>
        <w:autoSpaceDN w:val="0"/>
        <w:bidi w:val="0"/>
        <w:adjustRightInd w:val="0"/>
        <w:snapToGrid w:val="0"/>
        <w:spacing w:before="180" w:line="240" w:lineRule="auto"/>
        <w:ind w:left="5471"/>
        <w:textAlignment w:val="baseline"/>
        <w:rPr>
          <w:rFonts w:ascii="宋体" w:hAnsi="宋体" w:eastAsia="宋体" w:cs="宋体"/>
          <w:color w:val="auto"/>
          <w:sz w:val="24"/>
          <w:szCs w:val="24"/>
        </w:rPr>
      </w:pPr>
      <w:r>
        <w:rPr>
          <w:rFonts w:ascii="宋体" w:hAnsi="宋体" w:eastAsia="宋体" w:cs="宋体"/>
          <w:b/>
          <w:bCs/>
          <w:color w:val="auto"/>
          <w:spacing w:val="-2"/>
          <w:sz w:val="24"/>
          <w:szCs w:val="24"/>
        </w:rPr>
        <w:t>表</w:t>
      </w:r>
      <w:r>
        <w:rPr>
          <w:rFonts w:ascii="Times New Roman" w:hAnsi="Times New Roman" w:eastAsia="Times New Roman" w:cs="Times New Roman"/>
          <w:b/>
          <w:bCs/>
          <w:color w:val="auto"/>
          <w:spacing w:val="-2"/>
          <w:sz w:val="24"/>
          <w:szCs w:val="24"/>
        </w:rPr>
        <w:t>6.3-</w:t>
      </w:r>
      <w:r>
        <w:rPr>
          <w:rFonts w:hint="eastAsia" w:ascii="Times New Roman" w:hAnsi="Times New Roman" w:eastAsia="宋体" w:cs="Times New Roman"/>
          <w:b/>
          <w:bCs/>
          <w:color w:val="auto"/>
          <w:spacing w:val="-2"/>
          <w:sz w:val="24"/>
          <w:szCs w:val="24"/>
          <w:lang w:val="en-US" w:eastAsia="zh-CN"/>
        </w:rPr>
        <w:t xml:space="preserve">26  </w:t>
      </w:r>
      <w:r>
        <w:rPr>
          <w:rFonts w:ascii="宋体" w:hAnsi="宋体" w:eastAsia="宋体" w:cs="宋体"/>
          <w:b/>
          <w:bCs/>
          <w:color w:val="auto"/>
          <w:spacing w:val="-2"/>
          <w:sz w:val="24"/>
          <w:szCs w:val="24"/>
        </w:rPr>
        <w:t>土壤环境监测结果</w:t>
      </w:r>
      <w:bookmarkStart w:id="1727" w:name="pindex11965"/>
      <w:bookmarkEnd w:id="1727"/>
    </w:p>
    <w:tbl>
      <w:tblPr>
        <w:tblStyle w:val="26"/>
        <w:tblW w:w="494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168"/>
        <w:gridCol w:w="1944"/>
        <w:gridCol w:w="5450"/>
        <w:gridCol w:w="1541"/>
        <w:gridCol w:w="1774"/>
      </w:tblGrid>
      <w:tr w14:paraId="33C427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 w:hRule="atLeast"/>
        </w:trPr>
        <w:tc>
          <w:tcPr>
            <w:tcW w:w="1141" w:type="pct"/>
            <w:vMerge w:val="restart"/>
            <w:tcBorders>
              <w:top w:val="single" w:color="000000" w:sz="10" w:space="0"/>
              <w:left w:val="nil"/>
              <w:bottom w:val="nil"/>
            </w:tcBorders>
            <w:vAlign w:val="center"/>
          </w:tcPr>
          <w:p w14:paraId="51FBF13A">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监测点位</w:t>
            </w:r>
          </w:p>
        </w:tc>
        <w:tc>
          <w:tcPr>
            <w:tcW w:w="700" w:type="pct"/>
            <w:vMerge w:val="restart"/>
            <w:tcBorders>
              <w:top w:val="single" w:color="000000" w:sz="10" w:space="0"/>
              <w:bottom w:val="nil"/>
            </w:tcBorders>
            <w:vAlign w:val="center"/>
          </w:tcPr>
          <w:p w14:paraId="5880BF1C">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1963" w:type="pct"/>
            <w:tcBorders>
              <w:top w:val="single" w:color="000000" w:sz="10" w:space="0"/>
            </w:tcBorders>
            <w:vAlign w:val="center"/>
          </w:tcPr>
          <w:p w14:paraId="728DB52C">
            <w:pPr>
              <w:bidi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val="en-US" w:eastAsia="zh-CN"/>
              </w:rPr>
              <w:t>T3</w:t>
            </w:r>
            <w:r>
              <w:rPr>
                <w:rFonts w:hint="eastAsia" w:ascii="Times New Roman" w:hAnsi="Times New Roman" w:eastAsia="宋体" w:cs="Times New Roman"/>
                <w:b/>
                <w:bCs/>
                <w:color w:val="auto"/>
                <w:sz w:val="21"/>
                <w:szCs w:val="21"/>
                <w:lang w:val="en-US" w:eastAsia="zh-CN"/>
              </w:rPr>
              <w:t>（农用地）</w:t>
            </w:r>
          </w:p>
        </w:tc>
        <w:tc>
          <w:tcPr>
            <w:tcW w:w="555" w:type="pct"/>
            <w:vMerge w:val="restart"/>
            <w:tcBorders>
              <w:top w:val="single" w:color="000000" w:sz="10" w:space="0"/>
            </w:tcBorders>
            <w:vAlign w:val="center"/>
          </w:tcPr>
          <w:p w14:paraId="2A92627E">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标准值mg/kg</w:t>
            </w:r>
          </w:p>
        </w:tc>
        <w:tc>
          <w:tcPr>
            <w:tcW w:w="639" w:type="pct"/>
            <w:vMerge w:val="restart"/>
            <w:tcBorders>
              <w:top w:val="single" w:color="000000" w:sz="10" w:space="0"/>
              <w:bottom w:val="nil"/>
              <w:right w:val="nil"/>
            </w:tcBorders>
            <w:vAlign w:val="center"/>
          </w:tcPr>
          <w:p w14:paraId="3123EFF3">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达标情况</w:t>
            </w:r>
          </w:p>
        </w:tc>
      </w:tr>
      <w:tr w14:paraId="638F0D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 w:hRule="atLeast"/>
        </w:trPr>
        <w:tc>
          <w:tcPr>
            <w:tcW w:w="1141" w:type="pct"/>
            <w:vMerge w:val="continue"/>
            <w:tcBorders>
              <w:top w:val="nil"/>
              <w:left w:val="nil"/>
            </w:tcBorders>
            <w:vAlign w:val="center"/>
          </w:tcPr>
          <w:p w14:paraId="0C53C3AE">
            <w:pPr>
              <w:bidi w:val="0"/>
              <w:jc w:val="center"/>
              <w:rPr>
                <w:rFonts w:hint="default" w:ascii="Times New Roman" w:hAnsi="Times New Roman" w:eastAsia="宋体" w:cs="Times New Roman"/>
                <w:b/>
                <w:bCs/>
                <w:color w:val="auto"/>
                <w:sz w:val="21"/>
                <w:szCs w:val="21"/>
              </w:rPr>
            </w:pPr>
          </w:p>
        </w:tc>
        <w:tc>
          <w:tcPr>
            <w:tcW w:w="700" w:type="pct"/>
            <w:vMerge w:val="continue"/>
            <w:tcBorders>
              <w:top w:val="nil"/>
            </w:tcBorders>
            <w:vAlign w:val="center"/>
          </w:tcPr>
          <w:p w14:paraId="4327611E">
            <w:pPr>
              <w:bidi w:val="0"/>
              <w:jc w:val="center"/>
              <w:rPr>
                <w:rFonts w:hint="default" w:ascii="Times New Roman" w:hAnsi="Times New Roman" w:eastAsia="宋体" w:cs="Times New Roman"/>
                <w:b/>
                <w:bCs/>
                <w:color w:val="auto"/>
                <w:sz w:val="21"/>
                <w:szCs w:val="21"/>
              </w:rPr>
            </w:pPr>
          </w:p>
        </w:tc>
        <w:tc>
          <w:tcPr>
            <w:tcW w:w="1963" w:type="pct"/>
            <w:vAlign w:val="center"/>
          </w:tcPr>
          <w:p w14:paraId="248C13D1">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rPr>
              <w:t>0.</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m</w:t>
            </w:r>
          </w:p>
        </w:tc>
        <w:tc>
          <w:tcPr>
            <w:tcW w:w="555" w:type="pct"/>
            <w:vMerge w:val="continue"/>
            <w:vAlign w:val="center"/>
          </w:tcPr>
          <w:p w14:paraId="6866D162">
            <w:pPr>
              <w:bidi w:val="0"/>
              <w:jc w:val="center"/>
              <w:rPr>
                <w:rFonts w:hint="default" w:ascii="Times New Roman" w:hAnsi="Times New Roman" w:eastAsia="宋体" w:cs="Times New Roman"/>
                <w:b/>
                <w:bCs/>
                <w:color w:val="auto"/>
                <w:sz w:val="21"/>
                <w:szCs w:val="21"/>
                <w:highlight w:val="yellow"/>
              </w:rPr>
            </w:pPr>
          </w:p>
        </w:tc>
        <w:tc>
          <w:tcPr>
            <w:tcW w:w="639" w:type="pct"/>
            <w:vMerge w:val="continue"/>
            <w:tcBorders>
              <w:top w:val="nil"/>
              <w:right w:val="nil"/>
            </w:tcBorders>
            <w:vAlign w:val="center"/>
          </w:tcPr>
          <w:p w14:paraId="17D0C6DF">
            <w:pPr>
              <w:bidi w:val="0"/>
              <w:jc w:val="center"/>
              <w:rPr>
                <w:rFonts w:hint="default" w:ascii="Times New Roman" w:hAnsi="Times New Roman" w:eastAsia="宋体" w:cs="Times New Roman"/>
                <w:b/>
                <w:bCs/>
                <w:color w:val="auto"/>
                <w:sz w:val="21"/>
                <w:szCs w:val="21"/>
                <w:highlight w:val="yellow"/>
              </w:rPr>
            </w:pPr>
          </w:p>
        </w:tc>
      </w:tr>
      <w:tr w14:paraId="43C761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1141" w:type="pct"/>
            <w:tcBorders>
              <w:left w:val="nil"/>
            </w:tcBorders>
            <w:vAlign w:val="center"/>
          </w:tcPr>
          <w:p w14:paraId="5DF58FC3">
            <w:pPr>
              <w:bidi w:val="0"/>
              <w:jc w:val="center"/>
              <w:rPr>
                <w:rFonts w:hint="default" w:ascii="Times New Roman" w:hAnsi="Times New Roman" w:eastAsia="宋体" w:cs="Times New Roman"/>
                <w:color w:val="auto"/>
                <w:sz w:val="21"/>
                <w:szCs w:val="21"/>
              </w:rPr>
            </w:pPr>
            <w:bookmarkStart w:id="1728" w:name="OLE_LINK899" w:colFirst="2" w:colLast="2"/>
            <w:r>
              <w:rPr>
                <w:rFonts w:hint="default" w:ascii="Times New Roman" w:hAnsi="Times New Roman" w:eastAsia="宋体" w:cs="Times New Roman"/>
                <w:color w:val="auto"/>
                <w:sz w:val="21"/>
                <w:szCs w:val="21"/>
              </w:rPr>
              <w:t>pH值</w:t>
            </w:r>
          </w:p>
        </w:tc>
        <w:tc>
          <w:tcPr>
            <w:tcW w:w="700" w:type="pct"/>
            <w:vAlign w:val="center"/>
          </w:tcPr>
          <w:p w14:paraId="19A5578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无量纲</w:t>
            </w:r>
          </w:p>
        </w:tc>
        <w:tc>
          <w:tcPr>
            <w:tcW w:w="1963" w:type="pct"/>
            <w:vAlign w:val="center"/>
          </w:tcPr>
          <w:p w14:paraId="5553A8C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8.29</w:t>
            </w:r>
          </w:p>
        </w:tc>
        <w:tc>
          <w:tcPr>
            <w:tcW w:w="555" w:type="pct"/>
            <w:vAlign w:val="center"/>
          </w:tcPr>
          <w:p w14:paraId="58BA9F34">
            <w:pPr>
              <w:bidi w:val="0"/>
              <w:jc w:val="center"/>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rPr>
              <w:t>≥7.5</w:t>
            </w:r>
          </w:p>
        </w:tc>
        <w:tc>
          <w:tcPr>
            <w:tcW w:w="639" w:type="pct"/>
            <w:tcBorders>
              <w:right w:val="nil"/>
            </w:tcBorders>
            <w:vAlign w:val="center"/>
          </w:tcPr>
          <w:p w14:paraId="2BC71E84">
            <w:pPr>
              <w:bidi w:val="0"/>
              <w:jc w:val="center"/>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highlight w:val="none"/>
              </w:rPr>
              <w:t>/</w:t>
            </w:r>
          </w:p>
        </w:tc>
      </w:tr>
      <w:tr w14:paraId="0958AF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1141" w:type="pct"/>
            <w:tcBorders>
              <w:left w:val="nil"/>
            </w:tcBorders>
            <w:vAlign w:val="center"/>
          </w:tcPr>
          <w:p w14:paraId="6F6BD2C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汞</w:t>
            </w:r>
          </w:p>
        </w:tc>
        <w:tc>
          <w:tcPr>
            <w:tcW w:w="700" w:type="pct"/>
            <w:vAlign w:val="center"/>
          </w:tcPr>
          <w:p w14:paraId="5340CBF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1963" w:type="pct"/>
            <w:vAlign w:val="center"/>
          </w:tcPr>
          <w:p w14:paraId="36DF707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0.030</w:t>
            </w:r>
          </w:p>
        </w:tc>
        <w:tc>
          <w:tcPr>
            <w:tcW w:w="555" w:type="pct"/>
            <w:vAlign w:val="center"/>
          </w:tcPr>
          <w:p w14:paraId="3178EF7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3.4</w:t>
            </w:r>
          </w:p>
        </w:tc>
        <w:tc>
          <w:tcPr>
            <w:tcW w:w="639" w:type="pct"/>
            <w:tcBorders>
              <w:right w:val="nil"/>
            </w:tcBorders>
            <w:vAlign w:val="center"/>
          </w:tcPr>
          <w:p w14:paraId="00C4B00D">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490B02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1" w:hRule="atLeast"/>
        </w:trPr>
        <w:tc>
          <w:tcPr>
            <w:tcW w:w="1141" w:type="pct"/>
            <w:tcBorders>
              <w:left w:val="nil"/>
            </w:tcBorders>
            <w:vAlign w:val="center"/>
          </w:tcPr>
          <w:p w14:paraId="2A0F7C9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w:t>
            </w:r>
          </w:p>
        </w:tc>
        <w:tc>
          <w:tcPr>
            <w:tcW w:w="700" w:type="pct"/>
            <w:vAlign w:val="center"/>
          </w:tcPr>
          <w:p w14:paraId="06B98C0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1963" w:type="pct"/>
            <w:vAlign w:val="center"/>
          </w:tcPr>
          <w:p w14:paraId="5E50985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6.06</w:t>
            </w:r>
          </w:p>
        </w:tc>
        <w:tc>
          <w:tcPr>
            <w:tcW w:w="555" w:type="pct"/>
            <w:vAlign w:val="center"/>
          </w:tcPr>
          <w:p w14:paraId="25E7FB91">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c>
          <w:tcPr>
            <w:tcW w:w="639" w:type="pct"/>
            <w:tcBorders>
              <w:right w:val="nil"/>
            </w:tcBorders>
            <w:vAlign w:val="center"/>
          </w:tcPr>
          <w:p w14:paraId="35EF801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492482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2" w:hRule="atLeast"/>
        </w:trPr>
        <w:tc>
          <w:tcPr>
            <w:tcW w:w="1141" w:type="pct"/>
            <w:tcBorders>
              <w:left w:val="nil"/>
            </w:tcBorders>
            <w:vAlign w:val="center"/>
          </w:tcPr>
          <w:p w14:paraId="5E7EC7CE">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p>
        </w:tc>
        <w:tc>
          <w:tcPr>
            <w:tcW w:w="700" w:type="pct"/>
            <w:vAlign w:val="center"/>
          </w:tcPr>
          <w:p w14:paraId="6D6042E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1963" w:type="pct"/>
            <w:vAlign w:val="center"/>
          </w:tcPr>
          <w:p w14:paraId="6130AAA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24.2 </w:t>
            </w:r>
          </w:p>
        </w:tc>
        <w:tc>
          <w:tcPr>
            <w:tcW w:w="555" w:type="pct"/>
            <w:vAlign w:val="center"/>
          </w:tcPr>
          <w:p w14:paraId="57CBB818">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170</w:t>
            </w:r>
          </w:p>
        </w:tc>
        <w:tc>
          <w:tcPr>
            <w:tcW w:w="639" w:type="pct"/>
            <w:tcBorders>
              <w:right w:val="nil"/>
            </w:tcBorders>
            <w:vAlign w:val="center"/>
          </w:tcPr>
          <w:p w14:paraId="66822568">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777939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1141" w:type="pct"/>
            <w:tcBorders>
              <w:left w:val="nil"/>
            </w:tcBorders>
            <w:vAlign w:val="center"/>
          </w:tcPr>
          <w:p w14:paraId="2ACA7BD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镉</w:t>
            </w:r>
          </w:p>
        </w:tc>
        <w:tc>
          <w:tcPr>
            <w:tcW w:w="700" w:type="pct"/>
            <w:vAlign w:val="center"/>
          </w:tcPr>
          <w:p w14:paraId="3AA3670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1963" w:type="pct"/>
            <w:vAlign w:val="center"/>
          </w:tcPr>
          <w:p w14:paraId="6105F5D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0.06</w:t>
            </w:r>
          </w:p>
        </w:tc>
        <w:tc>
          <w:tcPr>
            <w:tcW w:w="555" w:type="pct"/>
            <w:vAlign w:val="center"/>
          </w:tcPr>
          <w:p w14:paraId="717CE787">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0.6</w:t>
            </w:r>
          </w:p>
        </w:tc>
        <w:tc>
          <w:tcPr>
            <w:tcW w:w="639" w:type="pct"/>
            <w:tcBorders>
              <w:right w:val="nil"/>
            </w:tcBorders>
            <w:vAlign w:val="center"/>
          </w:tcPr>
          <w:p w14:paraId="17C254F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21398C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1141" w:type="pct"/>
            <w:tcBorders>
              <w:left w:val="nil"/>
            </w:tcBorders>
            <w:vAlign w:val="center"/>
          </w:tcPr>
          <w:p w14:paraId="67F86ED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铜</w:t>
            </w:r>
          </w:p>
        </w:tc>
        <w:tc>
          <w:tcPr>
            <w:tcW w:w="700" w:type="pct"/>
            <w:vAlign w:val="center"/>
          </w:tcPr>
          <w:p w14:paraId="5C902B8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1963" w:type="pct"/>
            <w:vAlign w:val="center"/>
          </w:tcPr>
          <w:p w14:paraId="718B93E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ascii="Times New Roman" w:hAnsi="Times New Roman" w:eastAsia="宋体" w:cs="Times New Roman"/>
                <w:i w:val="0"/>
                <w:iCs w:val="0"/>
                <w:color w:val="auto"/>
                <w:kern w:val="0"/>
                <w:sz w:val="21"/>
                <w:szCs w:val="21"/>
                <w:u w:val="none"/>
                <w:lang w:val="en-US" w:eastAsia="zh-CN" w:bidi="ar"/>
              </w:rPr>
              <w:t>9</w:t>
            </w:r>
          </w:p>
        </w:tc>
        <w:tc>
          <w:tcPr>
            <w:tcW w:w="555" w:type="pct"/>
            <w:vAlign w:val="center"/>
          </w:tcPr>
          <w:p w14:paraId="2696E18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w:t>
            </w:r>
          </w:p>
        </w:tc>
        <w:tc>
          <w:tcPr>
            <w:tcW w:w="639" w:type="pct"/>
            <w:tcBorders>
              <w:right w:val="nil"/>
            </w:tcBorders>
            <w:vAlign w:val="center"/>
          </w:tcPr>
          <w:p w14:paraId="3B97998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10D7B7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2" w:hRule="atLeast"/>
        </w:trPr>
        <w:tc>
          <w:tcPr>
            <w:tcW w:w="1141" w:type="pct"/>
            <w:tcBorders>
              <w:left w:val="nil"/>
            </w:tcBorders>
            <w:vAlign w:val="center"/>
          </w:tcPr>
          <w:p w14:paraId="56950BFF">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镍</w:t>
            </w:r>
          </w:p>
        </w:tc>
        <w:tc>
          <w:tcPr>
            <w:tcW w:w="700" w:type="pct"/>
            <w:vAlign w:val="center"/>
          </w:tcPr>
          <w:p w14:paraId="346D7DDD">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1963" w:type="pct"/>
            <w:vAlign w:val="center"/>
          </w:tcPr>
          <w:p w14:paraId="0081654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32</w:t>
            </w:r>
          </w:p>
        </w:tc>
        <w:tc>
          <w:tcPr>
            <w:tcW w:w="555" w:type="pct"/>
            <w:vAlign w:val="center"/>
          </w:tcPr>
          <w:p w14:paraId="526BDBF3">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190</w:t>
            </w:r>
          </w:p>
        </w:tc>
        <w:tc>
          <w:tcPr>
            <w:tcW w:w="639" w:type="pct"/>
            <w:tcBorders>
              <w:right w:val="nil"/>
            </w:tcBorders>
            <w:vAlign w:val="center"/>
          </w:tcPr>
          <w:p w14:paraId="014C4CE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348593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2" w:hRule="atLeast"/>
        </w:trPr>
        <w:tc>
          <w:tcPr>
            <w:tcW w:w="1141" w:type="pct"/>
            <w:tcBorders>
              <w:left w:val="nil"/>
            </w:tcBorders>
            <w:vAlign w:val="center"/>
          </w:tcPr>
          <w:p w14:paraId="6770BB0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锌</w:t>
            </w:r>
          </w:p>
        </w:tc>
        <w:tc>
          <w:tcPr>
            <w:tcW w:w="700" w:type="pct"/>
            <w:vAlign w:val="center"/>
          </w:tcPr>
          <w:p w14:paraId="05DD4B4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1963" w:type="pct"/>
            <w:vAlign w:val="center"/>
          </w:tcPr>
          <w:p w14:paraId="1487D8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81</w:t>
            </w:r>
          </w:p>
        </w:tc>
        <w:tc>
          <w:tcPr>
            <w:tcW w:w="555" w:type="pct"/>
            <w:vAlign w:val="center"/>
          </w:tcPr>
          <w:p w14:paraId="4BBC5268">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300</w:t>
            </w:r>
          </w:p>
        </w:tc>
        <w:tc>
          <w:tcPr>
            <w:tcW w:w="639" w:type="pct"/>
            <w:tcBorders>
              <w:right w:val="nil"/>
            </w:tcBorders>
            <w:vAlign w:val="center"/>
          </w:tcPr>
          <w:p w14:paraId="71F18FD6">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20ECF8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141" w:type="pct"/>
            <w:tcBorders>
              <w:left w:val="nil"/>
            </w:tcBorders>
            <w:vAlign w:val="center"/>
          </w:tcPr>
          <w:p w14:paraId="6EC75BE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铬</w:t>
            </w:r>
          </w:p>
        </w:tc>
        <w:tc>
          <w:tcPr>
            <w:tcW w:w="700" w:type="pct"/>
            <w:vAlign w:val="center"/>
          </w:tcPr>
          <w:p w14:paraId="7822EE3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mg/kg</w:t>
            </w:r>
          </w:p>
        </w:tc>
        <w:tc>
          <w:tcPr>
            <w:tcW w:w="1963" w:type="pct"/>
            <w:vAlign w:val="center"/>
          </w:tcPr>
          <w:p w14:paraId="4A9FEA6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highlight w:val="none"/>
                <w:lang w:val="en-US" w:eastAsia="zh-CN" w:bidi="ar-SA"/>
              </w:rPr>
              <w:t>63</w:t>
            </w:r>
          </w:p>
        </w:tc>
        <w:tc>
          <w:tcPr>
            <w:tcW w:w="555" w:type="pct"/>
            <w:shd w:val="clear" w:color="auto" w:fill="auto"/>
            <w:vAlign w:val="center"/>
          </w:tcPr>
          <w:p w14:paraId="4C8911B3">
            <w:pPr>
              <w:bidi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250</w:t>
            </w:r>
          </w:p>
        </w:tc>
        <w:tc>
          <w:tcPr>
            <w:tcW w:w="639" w:type="pct"/>
            <w:tcBorders>
              <w:right w:val="nil"/>
            </w:tcBorders>
            <w:shd w:val="clear" w:color="auto" w:fill="auto"/>
            <w:vAlign w:val="center"/>
          </w:tcPr>
          <w:p w14:paraId="79A72219">
            <w:pPr>
              <w:bidi w:val="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达标</w:t>
            </w:r>
          </w:p>
        </w:tc>
      </w:tr>
      <w:bookmarkEnd w:id="1728"/>
    </w:tbl>
    <w:p w14:paraId="7E64D98B">
      <w:pPr>
        <w:keepNext w:val="0"/>
        <w:keepLines w:val="0"/>
        <w:pageBreakBefore w:val="0"/>
        <w:widowControl/>
        <w:kinsoku w:val="0"/>
        <w:wordWrap/>
        <w:overflowPunct/>
        <w:topLinePunct w:val="0"/>
        <w:autoSpaceDE w:val="0"/>
        <w:autoSpaceDN w:val="0"/>
        <w:bidi w:val="0"/>
        <w:adjustRightInd w:val="0"/>
        <w:snapToGrid w:val="0"/>
        <w:spacing w:line="360" w:lineRule="auto"/>
        <w:ind w:firstLine="460" w:firstLineChars="200"/>
        <w:textAlignment w:val="baseline"/>
        <w:rPr>
          <w:rFonts w:ascii="宋体" w:hAnsi="宋体" w:eastAsia="宋体" w:cs="宋体"/>
          <w:color w:val="auto"/>
          <w:sz w:val="24"/>
          <w:szCs w:val="24"/>
        </w:rPr>
        <w:sectPr>
          <w:headerReference r:id="rId30" w:type="default"/>
          <w:footerReference r:id="rId31" w:type="default"/>
          <w:pgSz w:w="16839" w:h="11907"/>
          <w:pgMar w:top="1043" w:right="1408" w:bottom="1351" w:left="1411" w:header="730" w:footer="1174" w:gutter="0"/>
          <w:pgBorders>
            <w:top w:val="none" w:sz="0" w:space="0"/>
            <w:left w:val="none" w:sz="0" w:space="0"/>
            <w:bottom w:val="none" w:sz="0" w:space="0"/>
            <w:right w:val="none" w:sz="0" w:space="0"/>
          </w:pgBorders>
          <w:pgNumType w:fmt="decimal"/>
          <w:cols w:space="720" w:num="1"/>
        </w:sectPr>
      </w:pPr>
      <w:r>
        <w:rPr>
          <w:rFonts w:ascii="宋体" w:hAnsi="宋体" w:eastAsia="宋体" w:cs="宋体"/>
          <w:color w:val="auto"/>
          <w:spacing w:val="-5"/>
          <w:sz w:val="24"/>
          <w:szCs w:val="24"/>
        </w:rPr>
        <w:t>监测结果表明，</w:t>
      </w:r>
      <w:r>
        <w:rPr>
          <w:rFonts w:ascii="宋体" w:hAnsi="宋体" w:eastAsia="宋体" w:cs="宋体"/>
          <w:color w:val="auto"/>
          <w:spacing w:val="-5"/>
          <w:sz w:val="24"/>
          <w:szCs w:val="24"/>
          <w:highlight w:val="none"/>
        </w:rPr>
        <w:t>监测点位</w:t>
      </w:r>
      <w:r>
        <w:rPr>
          <w:rFonts w:hint="eastAsia" w:ascii="Times New Roman" w:hAnsi="Times New Roman" w:eastAsia="宋体" w:cs="Times New Roman"/>
          <w:color w:val="auto"/>
          <w:spacing w:val="-5"/>
          <w:sz w:val="24"/>
          <w:szCs w:val="24"/>
          <w:highlight w:val="none"/>
          <w:lang w:val="en-US" w:eastAsia="zh-CN"/>
        </w:rPr>
        <w:t>T1、T2、T4、T5、T7</w:t>
      </w:r>
      <w:r>
        <w:rPr>
          <w:rFonts w:ascii="宋体" w:hAnsi="宋体" w:eastAsia="宋体" w:cs="宋体"/>
          <w:color w:val="auto"/>
          <w:spacing w:val="-6"/>
          <w:sz w:val="24"/>
          <w:szCs w:val="24"/>
          <w:highlight w:val="none"/>
        </w:rPr>
        <w:t>监测浓度满足</w:t>
      </w:r>
      <w:r>
        <w:rPr>
          <w:rFonts w:ascii="宋体" w:hAnsi="宋体" w:eastAsia="宋体" w:cs="宋体"/>
          <w:color w:val="auto"/>
          <w:spacing w:val="-5"/>
          <w:sz w:val="24"/>
          <w:szCs w:val="24"/>
          <w:highlight w:val="none"/>
        </w:rPr>
        <w:t>《土壤环境质量</w:t>
      </w:r>
      <w:r>
        <w:rPr>
          <w:rFonts w:hint="eastAsia" w:ascii="宋体" w:hAnsi="宋体" w:eastAsia="宋体" w:cs="宋体"/>
          <w:color w:val="auto"/>
          <w:spacing w:val="-5"/>
          <w:sz w:val="24"/>
          <w:szCs w:val="24"/>
          <w:highlight w:val="none"/>
          <w:lang w:val="en-US" w:eastAsia="zh-CN"/>
        </w:rPr>
        <w:t xml:space="preserve"> </w:t>
      </w:r>
      <w:r>
        <w:rPr>
          <w:rFonts w:ascii="宋体" w:hAnsi="宋体" w:eastAsia="宋体" w:cs="宋体"/>
          <w:color w:val="auto"/>
          <w:spacing w:val="-5"/>
          <w:sz w:val="24"/>
          <w:szCs w:val="24"/>
          <w:highlight w:val="none"/>
        </w:rPr>
        <w:t>建设用地土壤污染</w:t>
      </w:r>
      <w:r>
        <w:rPr>
          <w:rFonts w:ascii="宋体" w:hAnsi="宋体" w:eastAsia="宋体" w:cs="宋体"/>
          <w:color w:val="auto"/>
          <w:spacing w:val="-4"/>
          <w:sz w:val="24"/>
          <w:szCs w:val="24"/>
          <w:highlight w:val="none"/>
        </w:rPr>
        <w:t>风险管控标准》（试行</w:t>
      </w:r>
      <w:r>
        <w:rPr>
          <w:rFonts w:ascii="宋体" w:hAnsi="宋体" w:eastAsia="宋体" w:cs="宋体"/>
          <w:color w:val="auto"/>
          <w:spacing w:val="1"/>
          <w:sz w:val="24"/>
          <w:szCs w:val="24"/>
          <w:highlight w:val="none"/>
        </w:rPr>
        <w:t>）（</w:t>
      </w:r>
      <w:r>
        <w:rPr>
          <w:rFonts w:ascii="Times New Roman" w:hAnsi="Times New Roman" w:eastAsia="Times New Roman" w:cs="Times New Roman"/>
          <w:color w:val="auto"/>
          <w:spacing w:val="-4"/>
          <w:sz w:val="24"/>
          <w:szCs w:val="24"/>
          <w:highlight w:val="none"/>
        </w:rPr>
        <w:t>GB36600-2018</w:t>
      </w:r>
      <w:r>
        <w:rPr>
          <w:rFonts w:ascii="宋体" w:hAnsi="宋体" w:eastAsia="宋体" w:cs="宋体"/>
          <w:color w:val="auto"/>
          <w:spacing w:val="-4"/>
          <w:sz w:val="24"/>
          <w:szCs w:val="24"/>
          <w:highlight w:val="none"/>
        </w:rPr>
        <w:t>）第一类用地标准，其余监测点位</w:t>
      </w:r>
      <w:r>
        <w:rPr>
          <w:rFonts w:ascii="宋体" w:hAnsi="宋体" w:eastAsia="宋体" w:cs="宋体"/>
          <w:color w:val="auto"/>
          <w:spacing w:val="-1"/>
          <w:sz w:val="24"/>
          <w:szCs w:val="24"/>
          <w:highlight w:val="none"/>
        </w:rPr>
        <w:t>监测浓度满足</w:t>
      </w:r>
      <w:r>
        <w:rPr>
          <w:rFonts w:ascii="宋体" w:hAnsi="宋体" w:eastAsia="宋体" w:cs="宋体"/>
          <w:color w:val="auto"/>
          <w:spacing w:val="-6"/>
          <w:sz w:val="24"/>
          <w:szCs w:val="24"/>
          <w:highlight w:val="none"/>
        </w:rPr>
        <w:t>《土壤环境质量</w:t>
      </w:r>
      <w:r>
        <w:rPr>
          <w:rFonts w:hint="eastAsia" w:ascii="宋体" w:hAnsi="宋体" w:eastAsia="宋体" w:cs="宋体"/>
          <w:color w:val="auto"/>
          <w:spacing w:val="-6"/>
          <w:sz w:val="24"/>
          <w:szCs w:val="24"/>
          <w:highlight w:val="none"/>
          <w:lang w:val="en-US" w:eastAsia="zh-CN"/>
        </w:rPr>
        <w:t xml:space="preserve"> </w:t>
      </w:r>
      <w:r>
        <w:rPr>
          <w:rFonts w:ascii="宋体" w:hAnsi="宋体" w:eastAsia="宋体" w:cs="宋体"/>
          <w:color w:val="auto"/>
          <w:spacing w:val="-6"/>
          <w:sz w:val="24"/>
          <w:szCs w:val="24"/>
          <w:highlight w:val="none"/>
        </w:rPr>
        <w:t>建设用地土壤污染风险管控标准》（试行</w:t>
      </w:r>
      <w:r>
        <w:rPr>
          <w:rFonts w:ascii="宋体" w:hAnsi="宋体" w:eastAsia="宋体" w:cs="宋体"/>
          <w:color w:val="auto"/>
          <w:spacing w:val="-16"/>
          <w:sz w:val="24"/>
          <w:szCs w:val="24"/>
          <w:highlight w:val="none"/>
        </w:rPr>
        <w:t>）（</w:t>
      </w:r>
      <w:r>
        <w:rPr>
          <w:rFonts w:ascii="Times New Roman" w:hAnsi="Times New Roman" w:eastAsia="Times New Roman" w:cs="Times New Roman"/>
          <w:color w:val="auto"/>
          <w:spacing w:val="-6"/>
          <w:sz w:val="24"/>
          <w:szCs w:val="24"/>
          <w:highlight w:val="none"/>
        </w:rPr>
        <w:t>GB36600-2</w:t>
      </w:r>
      <w:r>
        <w:rPr>
          <w:rFonts w:ascii="Times New Roman" w:hAnsi="Times New Roman" w:eastAsia="Times New Roman" w:cs="Times New Roman"/>
          <w:color w:val="auto"/>
          <w:spacing w:val="-7"/>
          <w:sz w:val="24"/>
          <w:szCs w:val="24"/>
          <w:highlight w:val="none"/>
        </w:rPr>
        <w:t>018</w:t>
      </w:r>
      <w:r>
        <w:rPr>
          <w:rFonts w:ascii="宋体" w:hAnsi="宋体" w:eastAsia="宋体" w:cs="宋体"/>
          <w:color w:val="auto"/>
          <w:spacing w:val="-7"/>
          <w:sz w:val="24"/>
          <w:szCs w:val="24"/>
          <w:highlight w:val="none"/>
        </w:rPr>
        <w:t>）</w:t>
      </w:r>
      <w:r>
        <w:rPr>
          <w:rFonts w:ascii="宋体" w:hAnsi="宋体" w:eastAsia="宋体" w:cs="宋体"/>
          <w:color w:val="auto"/>
          <w:spacing w:val="-5"/>
          <w:sz w:val="24"/>
          <w:szCs w:val="24"/>
          <w:highlight w:val="none"/>
        </w:rPr>
        <w:t>第二类用地标准</w:t>
      </w:r>
      <w:r>
        <w:rPr>
          <w:rFonts w:hint="eastAsia" w:ascii="宋体" w:hAnsi="宋体" w:eastAsia="宋体" w:cs="宋体"/>
          <w:color w:val="auto"/>
          <w:spacing w:val="-5"/>
          <w:sz w:val="24"/>
          <w:szCs w:val="24"/>
          <w:highlight w:val="none"/>
          <w:lang w:eastAsia="zh-CN"/>
        </w:rPr>
        <w:t>，</w:t>
      </w:r>
      <w:r>
        <w:rPr>
          <w:rFonts w:hint="default" w:ascii="Times New Roman" w:hAnsi="Times New Roman" w:eastAsia="宋体" w:cs="Times New Roman"/>
          <w:color w:val="auto"/>
          <w:spacing w:val="-5"/>
          <w:sz w:val="24"/>
          <w:szCs w:val="24"/>
          <w:highlight w:val="none"/>
          <w:lang w:val="en-US" w:eastAsia="zh-CN"/>
        </w:rPr>
        <w:t>T3</w:t>
      </w:r>
      <w:r>
        <w:rPr>
          <w:rFonts w:ascii="宋体" w:hAnsi="宋体" w:eastAsia="宋体" w:cs="宋体"/>
          <w:color w:val="auto"/>
          <w:spacing w:val="-6"/>
          <w:sz w:val="24"/>
          <w:szCs w:val="24"/>
          <w:highlight w:val="none"/>
        </w:rPr>
        <w:t>监测浓度满足</w:t>
      </w:r>
      <w:r>
        <w:rPr>
          <w:rFonts w:hint="default" w:ascii="宋体" w:hAnsi="宋体" w:eastAsia="宋体" w:cs="宋体"/>
          <w:color w:val="auto"/>
          <w:spacing w:val="-6"/>
          <w:sz w:val="24"/>
          <w:szCs w:val="24"/>
          <w:highlight w:val="none"/>
        </w:rPr>
        <w:t>《土壤环境质量</w:t>
      </w:r>
      <w:r>
        <w:rPr>
          <w:rFonts w:hint="eastAsia" w:ascii="宋体" w:hAnsi="宋体" w:eastAsia="宋体" w:cs="宋体"/>
          <w:color w:val="auto"/>
          <w:spacing w:val="-6"/>
          <w:sz w:val="24"/>
          <w:szCs w:val="24"/>
          <w:highlight w:val="none"/>
          <w:lang w:val="en-US" w:eastAsia="zh-CN"/>
        </w:rPr>
        <w:t xml:space="preserve"> </w:t>
      </w:r>
      <w:r>
        <w:rPr>
          <w:rFonts w:hint="default" w:ascii="宋体" w:hAnsi="宋体" w:eastAsia="宋体" w:cs="宋体"/>
          <w:color w:val="auto"/>
          <w:spacing w:val="-6"/>
          <w:sz w:val="24"/>
          <w:szCs w:val="24"/>
          <w:highlight w:val="none"/>
        </w:rPr>
        <w:t>农用地土壤污染风险管控标准（试行）》</w:t>
      </w:r>
      <w:r>
        <w:rPr>
          <w:rFonts w:hint="default" w:ascii="Times New Roman" w:hAnsi="Times New Roman" w:eastAsia="宋体" w:cs="Times New Roman"/>
          <w:color w:val="auto"/>
          <w:spacing w:val="-6"/>
          <w:sz w:val="24"/>
          <w:szCs w:val="24"/>
          <w:highlight w:val="none"/>
        </w:rPr>
        <w:t>（GB15618-2018）</w:t>
      </w:r>
      <w:r>
        <w:rPr>
          <w:rFonts w:hint="eastAsia" w:ascii="Times New Roman" w:hAnsi="Times New Roman" w:eastAsia="宋体" w:cs="Times New Roman"/>
          <w:color w:val="auto"/>
          <w:spacing w:val="-6"/>
          <w:sz w:val="24"/>
          <w:szCs w:val="24"/>
          <w:highlight w:val="none"/>
          <w:lang w:val="en-US" w:eastAsia="zh-CN"/>
        </w:rPr>
        <w:t>风险筛选值标准</w:t>
      </w:r>
      <w:r>
        <w:rPr>
          <w:rFonts w:ascii="宋体" w:hAnsi="宋体" w:eastAsia="宋体" w:cs="宋体"/>
          <w:color w:val="auto"/>
          <w:spacing w:val="-5"/>
          <w:sz w:val="24"/>
          <w:szCs w:val="24"/>
          <w:highlight w:val="none"/>
        </w:rPr>
        <w:t>。</w:t>
      </w:r>
    </w:p>
    <w:p w14:paraId="684D2607">
      <w:pPr>
        <w:spacing w:before="300" w:line="220" w:lineRule="auto"/>
        <w:ind w:left="44"/>
        <w:outlineLvl w:val="2"/>
        <w:rPr>
          <w:rFonts w:ascii="宋体" w:hAnsi="宋体" w:eastAsia="宋体" w:cs="宋体"/>
          <w:color w:val="auto"/>
          <w:sz w:val="24"/>
          <w:szCs w:val="24"/>
          <w:highlight w:val="none"/>
        </w:rPr>
      </w:pPr>
      <w:bookmarkStart w:id="1729" w:name="_Toc12026"/>
      <w:r>
        <w:rPr>
          <w:rFonts w:ascii="Times New Roman" w:hAnsi="Times New Roman" w:eastAsia="Times New Roman" w:cs="Times New Roman"/>
          <w:b/>
          <w:bCs/>
          <w:color w:val="auto"/>
          <w:spacing w:val="-2"/>
          <w:sz w:val="24"/>
          <w:szCs w:val="24"/>
        </w:rPr>
        <w:t>6.3.6</w:t>
      </w:r>
      <w:r>
        <w:rPr>
          <w:rFonts w:ascii="宋体" w:hAnsi="宋体" w:eastAsia="宋体" w:cs="宋体"/>
          <w:b/>
          <w:bCs/>
          <w:color w:val="auto"/>
          <w:spacing w:val="-2"/>
          <w:sz w:val="24"/>
          <w:szCs w:val="24"/>
          <w:highlight w:val="none"/>
        </w:rPr>
        <w:t>底泥环境质量现状监测</w:t>
      </w:r>
      <w:bookmarkEnd w:id="1729"/>
      <w:bookmarkStart w:id="1730" w:name="pindex12022"/>
      <w:bookmarkEnd w:id="1730"/>
    </w:p>
    <w:p w14:paraId="1982AB3C">
      <w:pPr>
        <w:spacing w:before="182" w:line="345" w:lineRule="auto"/>
        <w:ind w:left="41" w:right="30" w:firstLine="485"/>
        <w:rPr>
          <w:rFonts w:ascii="宋体" w:hAnsi="宋体" w:eastAsia="宋体" w:cs="宋体"/>
          <w:color w:val="auto"/>
          <w:sz w:val="24"/>
          <w:szCs w:val="24"/>
          <w:highlight w:val="none"/>
        </w:rPr>
      </w:pPr>
      <w:bookmarkStart w:id="1731" w:name="sys12023043"/>
      <w:r>
        <w:rPr>
          <w:rFonts w:hint="eastAsia" w:ascii="宋体" w:hAnsi="宋体" w:eastAsia="宋体" w:cs="宋体"/>
          <w:color w:val="auto"/>
          <w:spacing w:val="-3"/>
          <w:sz w:val="24"/>
          <w:szCs w:val="24"/>
          <w:highlight w:val="none"/>
          <w:lang w:val="en-US" w:eastAsia="zh-CN"/>
        </w:rPr>
        <w:t>底泥</w:t>
      </w:r>
      <w:r>
        <w:rPr>
          <w:rFonts w:ascii="宋体" w:hAnsi="宋体" w:eastAsia="宋体" w:cs="宋体"/>
          <w:color w:val="auto"/>
          <w:spacing w:val="-3"/>
          <w:sz w:val="24"/>
          <w:szCs w:val="24"/>
          <w:highlight w:val="none"/>
        </w:rPr>
        <w:t>环境质量现状委托</w:t>
      </w:r>
      <w:r>
        <w:rPr>
          <w:rFonts w:hint="default" w:ascii="宋体" w:hAnsi="宋体" w:eastAsia="宋体" w:cs="宋体"/>
          <w:color w:val="auto"/>
          <w:spacing w:val="-3"/>
          <w:sz w:val="24"/>
          <w:szCs w:val="24"/>
          <w:highlight w:val="none"/>
        </w:rPr>
        <w:t>南京</w:t>
      </w:r>
      <w:r>
        <w:rPr>
          <w:rFonts w:hint="default" w:ascii="宋体" w:hAnsi="宋体" w:eastAsia="宋体" w:cs="宋体"/>
          <w:color w:val="auto"/>
          <w:spacing w:val="-3"/>
          <w:sz w:val="24"/>
          <w:szCs w:val="24"/>
          <w:highlight w:val="none"/>
          <w:lang w:val="en-US" w:eastAsia="zh-CN"/>
        </w:rPr>
        <w:t>学府环境安全</w:t>
      </w:r>
      <w:r>
        <w:rPr>
          <w:rFonts w:hint="eastAsia" w:ascii="宋体" w:hAnsi="宋体" w:eastAsia="宋体" w:cs="宋体"/>
          <w:color w:val="auto"/>
          <w:spacing w:val="-3"/>
          <w:sz w:val="24"/>
          <w:szCs w:val="24"/>
          <w:highlight w:val="none"/>
          <w:lang w:val="en-US" w:eastAsia="zh-CN"/>
        </w:rPr>
        <w:t>科技</w:t>
      </w:r>
      <w:r>
        <w:rPr>
          <w:rFonts w:hint="default" w:ascii="宋体" w:hAnsi="宋体" w:eastAsia="宋体" w:cs="宋体"/>
          <w:color w:val="auto"/>
          <w:spacing w:val="-3"/>
          <w:sz w:val="24"/>
          <w:szCs w:val="24"/>
          <w:highlight w:val="none"/>
        </w:rPr>
        <w:t>有限公司</w:t>
      </w:r>
      <w:r>
        <w:rPr>
          <w:rFonts w:ascii="宋体" w:hAnsi="宋体" w:eastAsia="宋体" w:cs="宋体"/>
          <w:color w:val="auto"/>
          <w:spacing w:val="-3"/>
          <w:sz w:val="24"/>
          <w:szCs w:val="24"/>
          <w:highlight w:val="none"/>
        </w:rPr>
        <w:t>进行实</w:t>
      </w:r>
      <w:r>
        <w:rPr>
          <w:rFonts w:ascii="宋体" w:hAnsi="宋体" w:eastAsia="宋体" w:cs="宋体"/>
          <w:color w:val="auto"/>
          <w:spacing w:val="-4"/>
          <w:sz w:val="24"/>
          <w:szCs w:val="24"/>
          <w:highlight w:val="none"/>
        </w:rPr>
        <w:t>测，监测时间</w:t>
      </w:r>
      <w:r>
        <w:rPr>
          <w:rFonts w:ascii="Times New Roman" w:hAnsi="Times New Roman" w:eastAsia="Times New Roman" w:cs="Times New Roman"/>
          <w:color w:val="auto"/>
          <w:spacing w:val="-9"/>
          <w:sz w:val="24"/>
          <w:szCs w:val="24"/>
          <w:highlight w:val="none"/>
        </w:rPr>
        <w:t>202</w:t>
      </w:r>
      <w:r>
        <w:rPr>
          <w:rFonts w:hint="eastAsia" w:ascii="Times New Roman" w:hAnsi="Times New Roman" w:eastAsia="宋体" w:cs="Times New Roman"/>
          <w:color w:val="auto"/>
          <w:spacing w:val="-9"/>
          <w:sz w:val="24"/>
          <w:szCs w:val="24"/>
          <w:highlight w:val="none"/>
          <w:lang w:val="en-US" w:eastAsia="zh-CN"/>
        </w:rPr>
        <w:t>4</w:t>
      </w:r>
      <w:r>
        <w:rPr>
          <w:rFonts w:ascii="宋体" w:hAnsi="宋体" w:eastAsia="宋体" w:cs="宋体"/>
          <w:color w:val="auto"/>
          <w:spacing w:val="-9"/>
          <w:sz w:val="24"/>
          <w:szCs w:val="24"/>
          <w:highlight w:val="none"/>
        </w:rPr>
        <w:t>年</w:t>
      </w:r>
      <w:r>
        <w:rPr>
          <w:rFonts w:ascii="Times New Roman" w:hAnsi="Times New Roman" w:eastAsia="Times New Roman" w:cs="Times New Roman"/>
          <w:color w:val="auto"/>
          <w:spacing w:val="-9"/>
          <w:sz w:val="24"/>
          <w:szCs w:val="24"/>
          <w:highlight w:val="none"/>
        </w:rPr>
        <w:t>8</w:t>
      </w:r>
      <w:r>
        <w:rPr>
          <w:rFonts w:ascii="宋体" w:hAnsi="宋体" w:eastAsia="宋体" w:cs="宋体"/>
          <w:color w:val="auto"/>
          <w:spacing w:val="-9"/>
          <w:sz w:val="24"/>
          <w:szCs w:val="24"/>
          <w:highlight w:val="none"/>
        </w:rPr>
        <w:t>月</w:t>
      </w:r>
      <w:r>
        <w:rPr>
          <w:rFonts w:hint="eastAsia" w:ascii="Times New Roman" w:hAnsi="Times New Roman" w:eastAsia="宋体" w:cs="Times New Roman"/>
          <w:color w:val="auto"/>
          <w:spacing w:val="-9"/>
          <w:sz w:val="24"/>
          <w:szCs w:val="24"/>
          <w:highlight w:val="none"/>
          <w:lang w:val="en-US" w:eastAsia="zh-CN"/>
        </w:rPr>
        <w:t>7</w:t>
      </w:r>
      <w:r>
        <w:rPr>
          <w:rFonts w:ascii="宋体" w:hAnsi="宋体" w:eastAsia="宋体" w:cs="宋体"/>
          <w:color w:val="auto"/>
          <w:spacing w:val="-9"/>
          <w:sz w:val="24"/>
          <w:szCs w:val="24"/>
          <w:highlight w:val="none"/>
        </w:rPr>
        <w:t>日。</w:t>
      </w:r>
      <w:bookmarkEnd w:id="1731"/>
    </w:p>
    <w:p w14:paraId="2804FAAA">
      <w:pPr>
        <w:spacing w:before="37" w:line="345" w:lineRule="auto"/>
        <w:ind w:left="531" w:right="2300" w:hanging="4"/>
        <w:rPr>
          <w:rFonts w:ascii="宋体" w:hAnsi="宋体" w:eastAsia="宋体" w:cs="宋体"/>
          <w:color w:val="auto"/>
          <w:spacing w:val="-9"/>
          <w:sz w:val="24"/>
          <w:szCs w:val="24"/>
          <w:highlight w:val="none"/>
        </w:rPr>
      </w:pPr>
      <w:r>
        <w:rPr>
          <w:rFonts w:ascii="宋体" w:hAnsi="宋体" w:eastAsia="宋体" w:cs="宋体"/>
          <w:color w:val="auto"/>
          <w:spacing w:val="-9"/>
          <w:sz w:val="24"/>
          <w:szCs w:val="24"/>
          <w:highlight w:val="none"/>
        </w:rPr>
        <w:t>数据有效期为</w:t>
      </w:r>
      <w:r>
        <w:rPr>
          <w:rFonts w:ascii="Times New Roman" w:hAnsi="Times New Roman" w:eastAsia="Times New Roman" w:cs="Times New Roman"/>
          <w:color w:val="auto"/>
          <w:spacing w:val="-9"/>
          <w:sz w:val="24"/>
          <w:szCs w:val="24"/>
          <w:highlight w:val="none"/>
        </w:rPr>
        <w:t>202</w:t>
      </w:r>
      <w:r>
        <w:rPr>
          <w:rFonts w:hint="eastAsia" w:ascii="Times New Roman" w:hAnsi="Times New Roman" w:eastAsia="宋体" w:cs="Times New Roman"/>
          <w:color w:val="auto"/>
          <w:spacing w:val="-9"/>
          <w:sz w:val="24"/>
          <w:szCs w:val="24"/>
          <w:highlight w:val="none"/>
          <w:lang w:val="en-US" w:eastAsia="zh-CN"/>
        </w:rPr>
        <w:t>4</w:t>
      </w:r>
      <w:r>
        <w:rPr>
          <w:rFonts w:ascii="宋体" w:hAnsi="宋体" w:eastAsia="宋体" w:cs="宋体"/>
          <w:color w:val="auto"/>
          <w:spacing w:val="-9"/>
          <w:sz w:val="24"/>
          <w:szCs w:val="24"/>
          <w:highlight w:val="none"/>
        </w:rPr>
        <w:t>年</w:t>
      </w:r>
      <w:r>
        <w:rPr>
          <w:rFonts w:ascii="Times New Roman" w:hAnsi="Times New Roman" w:eastAsia="Times New Roman" w:cs="Times New Roman"/>
          <w:color w:val="auto"/>
          <w:spacing w:val="-9"/>
          <w:sz w:val="24"/>
          <w:szCs w:val="24"/>
          <w:highlight w:val="none"/>
        </w:rPr>
        <w:t>8</w:t>
      </w:r>
      <w:r>
        <w:rPr>
          <w:rFonts w:ascii="宋体" w:hAnsi="宋体" w:eastAsia="宋体" w:cs="宋体"/>
          <w:color w:val="auto"/>
          <w:spacing w:val="-9"/>
          <w:sz w:val="24"/>
          <w:szCs w:val="24"/>
          <w:highlight w:val="none"/>
        </w:rPr>
        <w:t>月</w:t>
      </w:r>
      <w:r>
        <w:rPr>
          <w:rFonts w:hint="eastAsia" w:ascii="Times New Roman" w:hAnsi="Times New Roman" w:eastAsia="宋体" w:cs="Times New Roman"/>
          <w:color w:val="auto"/>
          <w:spacing w:val="-9"/>
          <w:sz w:val="24"/>
          <w:szCs w:val="24"/>
          <w:highlight w:val="none"/>
          <w:lang w:val="en-US" w:eastAsia="zh-CN"/>
        </w:rPr>
        <w:t>7</w:t>
      </w:r>
      <w:r>
        <w:rPr>
          <w:rFonts w:ascii="宋体" w:hAnsi="宋体" w:eastAsia="宋体" w:cs="宋体"/>
          <w:color w:val="auto"/>
          <w:spacing w:val="-9"/>
          <w:sz w:val="24"/>
          <w:szCs w:val="24"/>
          <w:highlight w:val="none"/>
        </w:rPr>
        <w:t>日</w:t>
      </w:r>
      <w:r>
        <w:rPr>
          <w:rFonts w:hint="eastAsia" w:ascii="Times New Roman" w:hAnsi="Times New Roman" w:eastAsia="宋体" w:cs="Times New Roman"/>
          <w:color w:val="auto"/>
          <w:spacing w:val="-9"/>
          <w:sz w:val="24"/>
          <w:szCs w:val="24"/>
          <w:highlight w:val="none"/>
          <w:lang w:val="en-US" w:eastAsia="zh-CN"/>
        </w:rPr>
        <w:t>-</w:t>
      </w:r>
      <w:r>
        <w:rPr>
          <w:rFonts w:ascii="Times New Roman" w:hAnsi="Times New Roman" w:eastAsia="Times New Roman" w:cs="Times New Roman"/>
          <w:color w:val="auto"/>
          <w:spacing w:val="-9"/>
          <w:sz w:val="24"/>
          <w:szCs w:val="24"/>
          <w:highlight w:val="none"/>
        </w:rPr>
        <w:t>202</w:t>
      </w:r>
      <w:r>
        <w:rPr>
          <w:rFonts w:hint="eastAsia" w:ascii="Times New Roman" w:hAnsi="Times New Roman" w:eastAsia="宋体" w:cs="Times New Roman"/>
          <w:color w:val="auto"/>
          <w:spacing w:val="-9"/>
          <w:sz w:val="24"/>
          <w:szCs w:val="24"/>
          <w:highlight w:val="none"/>
          <w:lang w:val="en-US" w:eastAsia="zh-CN"/>
        </w:rPr>
        <w:t>7</w:t>
      </w:r>
      <w:r>
        <w:rPr>
          <w:rFonts w:ascii="宋体" w:hAnsi="宋体" w:eastAsia="宋体" w:cs="宋体"/>
          <w:color w:val="auto"/>
          <w:spacing w:val="-9"/>
          <w:sz w:val="24"/>
          <w:szCs w:val="24"/>
          <w:highlight w:val="none"/>
        </w:rPr>
        <w:t>年</w:t>
      </w:r>
      <w:r>
        <w:rPr>
          <w:rFonts w:ascii="Times New Roman" w:hAnsi="Times New Roman" w:eastAsia="Times New Roman" w:cs="Times New Roman"/>
          <w:color w:val="auto"/>
          <w:spacing w:val="-9"/>
          <w:sz w:val="24"/>
          <w:szCs w:val="24"/>
          <w:highlight w:val="none"/>
        </w:rPr>
        <w:t>8</w:t>
      </w:r>
      <w:r>
        <w:rPr>
          <w:rFonts w:ascii="宋体" w:hAnsi="宋体" w:eastAsia="宋体" w:cs="宋体"/>
          <w:color w:val="auto"/>
          <w:spacing w:val="-9"/>
          <w:sz w:val="24"/>
          <w:szCs w:val="24"/>
          <w:highlight w:val="none"/>
        </w:rPr>
        <w:t>月</w:t>
      </w:r>
      <w:r>
        <w:rPr>
          <w:rFonts w:hint="eastAsia" w:ascii="Times New Roman" w:hAnsi="Times New Roman" w:eastAsia="宋体" w:cs="Times New Roman"/>
          <w:color w:val="auto"/>
          <w:spacing w:val="-9"/>
          <w:sz w:val="24"/>
          <w:szCs w:val="24"/>
          <w:highlight w:val="none"/>
          <w:lang w:val="en-US" w:eastAsia="zh-CN"/>
        </w:rPr>
        <w:t>6</w:t>
      </w:r>
      <w:r>
        <w:rPr>
          <w:rFonts w:ascii="宋体" w:hAnsi="宋体" w:eastAsia="宋体" w:cs="宋体"/>
          <w:color w:val="auto"/>
          <w:spacing w:val="-9"/>
          <w:sz w:val="24"/>
          <w:szCs w:val="24"/>
          <w:highlight w:val="none"/>
        </w:rPr>
        <w:t>日。</w:t>
      </w:r>
    </w:p>
    <w:p w14:paraId="0A28B125">
      <w:pPr>
        <w:keepNext w:val="0"/>
        <w:keepLines w:val="0"/>
        <w:pageBreakBefore w:val="0"/>
        <w:widowControl/>
        <w:kinsoku w:val="0"/>
        <w:wordWrap/>
        <w:overflowPunct/>
        <w:topLinePunct w:val="0"/>
        <w:autoSpaceDE w:val="0"/>
        <w:autoSpaceDN w:val="0"/>
        <w:bidi w:val="0"/>
        <w:adjustRightInd w:val="0"/>
        <w:snapToGrid w:val="0"/>
        <w:spacing w:before="37" w:line="360" w:lineRule="auto"/>
        <w:ind w:left="531" w:right="2300" w:hanging="4"/>
        <w:textAlignment w:val="baseline"/>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w:t>
      </w:r>
      <w:r>
        <w:rPr>
          <w:rFonts w:ascii="Times New Roman" w:hAnsi="Times New Roman" w:eastAsia="Times New Roman" w:cs="Times New Roman"/>
          <w:color w:val="auto"/>
          <w:spacing w:val="-4"/>
          <w:sz w:val="24"/>
          <w:szCs w:val="24"/>
          <w:highlight w:val="none"/>
        </w:rPr>
        <w:t>1</w:t>
      </w:r>
      <w:r>
        <w:rPr>
          <w:rFonts w:ascii="宋体" w:hAnsi="宋体" w:eastAsia="宋体" w:cs="宋体"/>
          <w:color w:val="auto"/>
          <w:spacing w:val="-4"/>
          <w:sz w:val="24"/>
          <w:szCs w:val="24"/>
          <w:highlight w:val="none"/>
        </w:rPr>
        <w:t>）</w:t>
      </w:r>
      <w:sdt>
        <w:sdtPr>
          <w:rPr>
            <w:color w:val="auto"/>
            <w:highlight w:val="none"/>
          </w:rPr>
          <w:alias w:val="易错词检查"/>
          <w:tag w:val="auto"/>
          <w:id w:val="2070236"/>
        </w:sdtPr>
        <w:sdtEndPr>
          <w:rPr>
            <w:color w:val="auto"/>
            <w:highlight w:val="none"/>
          </w:rPr>
        </w:sdtEndPr>
        <w:sdtContent>
          <w:bookmarkStart w:id="1732" w:name="bkReivew2070236"/>
          <w:r>
            <w:rPr>
              <w:rFonts w:ascii="宋体" w:hAnsi="宋体" w:eastAsia="宋体" w:cs="宋体"/>
              <w:color w:val="auto"/>
              <w:spacing w:val="-4"/>
              <w:sz w:val="24"/>
              <w:szCs w:val="24"/>
              <w:highlight w:val="none"/>
            </w:rPr>
            <w:t>监测</w:t>
          </w:r>
          <w:bookmarkEnd w:id="1732"/>
        </w:sdtContent>
      </w:sdt>
      <w:r>
        <w:rPr>
          <w:rFonts w:ascii="宋体" w:hAnsi="宋体" w:eastAsia="宋体" w:cs="宋体"/>
          <w:color w:val="auto"/>
          <w:spacing w:val="-4"/>
          <w:sz w:val="24"/>
          <w:szCs w:val="24"/>
          <w:highlight w:val="none"/>
        </w:rPr>
        <w:t>因子</w:t>
      </w:r>
      <w:bookmarkStart w:id="1733" w:name="pindex12025"/>
      <w:bookmarkEnd w:id="1733"/>
    </w:p>
    <w:p w14:paraId="2655C71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textAlignment w:val="baseline"/>
        <w:rPr>
          <w:rFonts w:ascii="宋体" w:hAnsi="宋体" w:eastAsia="宋体" w:cs="宋体"/>
          <w:color w:val="auto"/>
          <w:spacing w:val="-1"/>
          <w:sz w:val="24"/>
          <w:szCs w:val="24"/>
          <w:highlight w:val="none"/>
        </w:rPr>
      </w:pPr>
      <w:r>
        <w:rPr>
          <w:rFonts w:ascii="Times New Roman" w:hAnsi="Times New Roman" w:eastAsia="Times New Roman" w:cs="Times New Roman"/>
          <w:color w:val="auto"/>
          <w:spacing w:val="-1"/>
          <w:sz w:val="24"/>
          <w:szCs w:val="24"/>
          <w:highlight w:val="none"/>
        </w:rPr>
        <w:t>pH</w:t>
      </w:r>
      <w:r>
        <w:rPr>
          <w:rFonts w:ascii="宋体" w:hAnsi="宋体" w:eastAsia="宋体" w:cs="宋体"/>
          <w:color w:val="auto"/>
          <w:spacing w:val="-1"/>
          <w:sz w:val="24"/>
          <w:szCs w:val="24"/>
          <w:highlight w:val="none"/>
        </w:rPr>
        <w:t>、铜、锌、铅、镉、镍、</w:t>
      </w:r>
      <w:r>
        <w:rPr>
          <w:rFonts w:hint="eastAsia" w:ascii="宋体" w:hAnsi="宋体" w:eastAsia="宋体" w:cs="宋体"/>
          <w:color w:val="auto"/>
          <w:spacing w:val="-1"/>
          <w:sz w:val="24"/>
          <w:szCs w:val="24"/>
          <w:highlight w:val="none"/>
          <w:lang w:val="en-US" w:eastAsia="zh-CN"/>
        </w:rPr>
        <w:t>六价</w:t>
      </w:r>
      <w:r>
        <w:rPr>
          <w:rFonts w:ascii="宋体" w:hAnsi="宋体" w:eastAsia="宋体" w:cs="宋体"/>
          <w:color w:val="auto"/>
          <w:spacing w:val="-1"/>
          <w:sz w:val="24"/>
          <w:szCs w:val="24"/>
          <w:highlight w:val="none"/>
        </w:rPr>
        <w:t>铬、砷、汞</w:t>
      </w:r>
    </w:p>
    <w:p w14:paraId="6C4D702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4" w:firstLineChars="200"/>
        <w:textAlignment w:val="baseline"/>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w:t>
      </w:r>
      <w:r>
        <w:rPr>
          <w:rFonts w:ascii="Times New Roman" w:hAnsi="Times New Roman" w:eastAsia="Times New Roman" w:cs="Times New Roman"/>
          <w:color w:val="auto"/>
          <w:spacing w:val="-4"/>
          <w:sz w:val="24"/>
          <w:szCs w:val="24"/>
          <w:highlight w:val="none"/>
        </w:rPr>
        <w:t>2</w:t>
      </w:r>
      <w:r>
        <w:rPr>
          <w:rFonts w:ascii="宋体" w:hAnsi="宋体" w:eastAsia="宋体" w:cs="宋体"/>
          <w:color w:val="auto"/>
          <w:spacing w:val="-4"/>
          <w:sz w:val="24"/>
          <w:szCs w:val="24"/>
          <w:highlight w:val="none"/>
        </w:rPr>
        <w:t>）</w:t>
      </w:r>
      <w:sdt>
        <w:sdtPr>
          <w:rPr>
            <w:color w:val="auto"/>
            <w:highlight w:val="none"/>
          </w:rPr>
          <w:alias w:val="易错词检查"/>
          <w:tag w:val="auto"/>
          <w:id w:val="2022833"/>
        </w:sdtPr>
        <w:sdtEndPr>
          <w:rPr>
            <w:color w:val="auto"/>
            <w:highlight w:val="none"/>
          </w:rPr>
        </w:sdtEndPr>
        <w:sdtContent>
          <w:bookmarkStart w:id="1734" w:name="bkReivew2022833"/>
          <w:r>
            <w:rPr>
              <w:rFonts w:ascii="宋体" w:hAnsi="宋体" w:eastAsia="宋体" w:cs="宋体"/>
              <w:color w:val="auto"/>
              <w:spacing w:val="-4"/>
              <w:sz w:val="24"/>
              <w:szCs w:val="24"/>
              <w:highlight w:val="none"/>
            </w:rPr>
            <w:t>监测</w:t>
          </w:r>
          <w:bookmarkEnd w:id="1734"/>
        </w:sdtContent>
      </w:sdt>
      <w:r>
        <w:rPr>
          <w:rFonts w:ascii="宋体" w:hAnsi="宋体" w:eastAsia="宋体" w:cs="宋体"/>
          <w:color w:val="auto"/>
          <w:spacing w:val="-4"/>
          <w:sz w:val="24"/>
          <w:szCs w:val="24"/>
          <w:highlight w:val="none"/>
        </w:rPr>
        <w:t>点位</w:t>
      </w:r>
      <w:bookmarkStart w:id="1735" w:name="pindex12027"/>
      <w:bookmarkEnd w:id="1735"/>
    </w:p>
    <w:p w14:paraId="6153E27E">
      <w:pPr>
        <w:keepNext w:val="0"/>
        <w:keepLines w:val="0"/>
        <w:pageBreakBefore w:val="0"/>
        <w:widowControl/>
        <w:kinsoku w:val="0"/>
        <w:wordWrap/>
        <w:overflowPunct/>
        <w:topLinePunct w:val="0"/>
        <w:autoSpaceDE w:val="0"/>
        <w:autoSpaceDN w:val="0"/>
        <w:bidi w:val="0"/>
        <w:adjustRightInd w:val="0"/>
        <w:snapToGrid w:val="0"/>
        <w:spacing w:before="65" w:line="360" w:lineRule="auto"/>
        <w:ind w:left="529"/>
        <w:textAlignment w:val="baseline"/>
        <w:rPr>
          <w:rFonts w:ascii="宋体" w:hAnsi="宋体" w:eastAsia="宋体" w:cs="宋体"/>
          <w:color w:val="auto"/>
          <w:spacing w:val="-3"/>
          <w:sz w:val="24"/>
          <w:szCs w:val="24"/>
          <w:highlight w:val="none"/>
        </w:rPr>
      </w:pPr>
      <w:r>
        <w:rPr>
          <w:rFonts w:ascii="宋体" w:hAnsi="宋体" w:eastAsia="宋体" w:cs="宋体"/>
          <w:color w:val="auto"/>
          <w:spacing w:val="-3"/>
          <w:sz w:val="24"/>
          <w:szCs w:val="24"/>
          <w:highlight w:val="none"/>
        </w:rPr>
        <w:t>设</w:t>
      </w:r>
      <w:r>
        <w:rPr>
          <w:rFonts w:hint="eastAsia" w:ascii="Times New Roman" w:hAnsi="Times New Roman" w:eastAsia="宋体" w:cs="Times New Roman"/>
          <w:color w:val="auto"/>
          <w:spacing w:val="-3"/>
          <w:sz w:val="24"/>
          <w:szCs w:val="24"/>
          <w:highlight w:val="none"/>
          <w:lang w:val="en-US" w:eastAsia="zh-CN"/>
        </w:rPr>
        <w:t>6</w:t>
      </w:r>
      <w:r>
        <w:rPr>
          <w:rFonts w:ascii="宋体" w:hAnsi="宋体" w:eastAsia="宋体" w:cs="宋体"/>
          <w:color w:val="auto"/>
          <w:spacing w:val="-3"/>
          <w:sz w:val="24"/>
          <w:szCs w:val="24"/>
          <w:highlight w:val="none"/>
        </w:rPr>
        <w:t>个监测底泥监测点。监测点位详见附图</w:t>
      </w:r>
      <w:r>
        <w:rPr>
          <w:rFonts w:hint="eastAsia" w:ascii="Times New Roman" w:hAnsi="Times New Roman" w:eastAsia="宋体" w:cs="Times New Roman"/>
          <w:color w:val="auto"/>
          <w:spacing w:val="-3"/>
          <w:sz w:val="24"/>
          <w:szCs w:val="24"/>
          <w:highlight w:val="none"/>
          <w:lang w:val="en-US" w:eastAsia="zh-CN"/>
        </w:rPr>
        <w:t>5</w:t>
      </w:r>
      <w:r>
        <w:rPr>
          <w:rFonts w:ascii="宋体" w:hAnsi="宋体" w:eastAsia="宋体" w:cs="宋体"/>
          <w:color w:val="auto"/>
          <w:spacing w:val="-3"/>
          <w:sz w:val="24"/>
          <w:szCs w:val="24"/>
          <w:highlight w:val="none"/>
        </w:rPr>
        <w:t>和表</w:t>
      </w:r>
      <w:r>
        <w:rPr>
          <w:rFonts w:ascii="Times New Roman" w:hAnsi="Times New Roman" w:eastAsia="Times New Roman" w:cs="Times New Roman"/>
          <w:color w:val="auto"/>
          <w:spacing w:val="-3"/>
          <w:sz w:val="24"/>
          <w:szCs w:val="24"/>
          <w:highlight w:val="none"/>
        </w:rPr>
        <w:t>6.3-</w:t>
      </w:r>
      <w:r>
        <w:rPr>
          <w:rFonts w:hint="eastAsia" w:ascii="Times New Roman" w:hAnsi="Times New Roman" w:eastAsia="宋体" w:cs="Times New Roman"/>
          <w:color w:val="auto"/>
          <w:spacing w:val="-3"/>
          <w:sz w:val="24"/>
          <w:szCs w:val="24"/>
          <w:highlight w:val="none"/>
          <w:lang w:val="en-US" w:eastAsia="zh-CN"/>
        </w:rPr>
        <w:t>27</w:t>
      </w:r>
      <w:r>
        <w:rPr>
          <w:rFonts w:ascii="宋体" w:hAnsi="宋体" w:eastAsia="宋体" w:cs="宋体"/>
          <w:color w:val="auto"/>
          <w:spacing w:val="-3"/>
          <w:sz w:val="24"/>
          <w:szCs w:val="24"/>
          <w:highlight w:val="none"/>
        </w:rPr>
        <w:t>。</w:t>
      </w:r>
    </w:p>
    <w:p w14:paraId="50CD7931">
      <w:pPr>
        <w:keepNext w:val="0"/>
        <w:keepLines w:val="0"/>
        <w:pageBreakBefore w:val="0"/>
        <w:widowControl/>
        <w:kinsoku w:val="0"/>
        <w:wordWrap/>
        <w:overflowPunct/>
        <w:topLinePunct w:val="0"/>
        <w:autoSpaceDE w:val="0"/>
        <w:autoSpaceDN w:val="0"/>
        <w:bidi w:val="0"/>
        <w:adjustRightInd w:val="0"/>
        <w:snapToGrid w:val="0"/>
        <w:spacing w:before="65" w:line="240" w:lineRule="auto"/>
        <w:jc w:val="center"/>
        <w:textAlignment w:val="baseline"/>
        <w:rPr>
          <w:color w:val="auto"/>
          <w:highlight w:val="none"/>
        </w:rPr>
      </w:pPr>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6.3-2</w:t>
      </w:r>
      <w:r>
        <w:rPr>
          <w:rFonts w:hint="eastAsia" w:ascii="Times New Roman" w:hAnsi="Times New Roman" w:eastAsia="宋体" w:cs="Times New Roman"/>
          <w:b/>
          <w:bCs/>
          <w:color w:val="auto"/>
          <w:spacing w:val="-2"/>
          <w:sz w:val="24"/>
          <w:szCs w:val="24"/>
          <w:highlight w:val="none"/>
          <w:lang w:val="en-US" w:eastAsia="zh-CN"/>
        </w:rPr>
        <w:t xml:space="preserve">7  </w:t>
      </w:r>
      <w:r>
        <w:rPr>
          <w:rFonts w:ascii="宋体" w:hAnsi="宋体" w:eastAsia="宋体" w:cs="宋体"/>
          <w:b/>
          <w:bCs/>
          <w:color w:val="auto"/>
          <w:spacing w:val="-2"/>
          <w:sz w:val="24"/>
          <w:szCs w:val="24"/>
          <w:highlight w:val="none"/>
        </w:rPr>
        <w:t>底泥监测点位</w:t>
      </w:r>
      <w:bookmarkStart w:id="1736" w:name="pindex12029"/>
      <w:bookmarkEnd w:id="1736"/>
    </w:p>
    <w:tbl>
      <w:tblPr>
        <w:tblStyle w:val="1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6"/>
        <w:gridCol w:w="2453"/>
        <w:gridCol w:w="1784"/>
        <w:gridCol w:w="3255"/>
      </w:tblGrid>
      <w:tr w14:paraId="4C37B0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blHeader/>
        </w:trPr>
        <w:tc>
          <w:tcPr>
            <w:tcW w:w="673" w:type="pct"/>
            <w:noWrap w:val="0"/>
            <w:vAlign w:val="center"/>
          </w:tcPr>
          <w:p w14:paraId="41DF1199">
            <w:pPr>
              <w:pStyle w:val="30"/>
              <w:keepNext w:val="0"/>
              <w:keepLines w:val="0"/>
              <w:suppressLineNumbers w:val="0"/>
              <w:spacing w:before="0" w:beforeAutospacing="0" w:after="0" w:afterAutospacing="0"/>
              <w:ind w:left="0" w:right="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编号</w:t>
            </w:r>
          </w:p>
        </w:tc>
        <w:tc>
          <w:tcPr>
            <w:tcW w:w="2446" w:type="pct"/>
            <w:gridSpan w:val="2"/>
            <w:noWrap w:val="0"/>
            <w:vAlign w:val="center"/>
          </w:tcPr>
          <w:p w14:paraId="55EA1A03">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highlight w:val="none"/>
                <w:lang w:val="en-US" w:eastAsia="zh-CN"/>
              </w:rPr>
            </w:pPr>
            <w:sdt>
              <w:sdtPr>
                <w:rPr>
                  <w:color w:val="auto"/>
                  <w:highlight w:val="none"/>
                </w:rPr>
                <w:alias w:val="易错词检查"/>
                <w:tag w:val="auto"/>
                <w:id w:val="180633"/>
              </w:sdtPr>
              <w:sdtEndPr>
                <w:rPr>
                  <w:color w:val="auto"/>
                  <w:highlight w:val="none"/>
                </w:rPr>
              </w:sdtEndPr>
              <w:sdtContent>
                <w:bookmarkStart w:id="1737" w:name="bkReivew180633"/>
                <w:r>
                  <w:rPr>
                    <w:rFonts w:hint="default" w:ascii="Times New Roman" w:hAnsi="Times New Roman" w:cs="Times New Roman"/>
                    <w:b/>
                    <w:bCs/>
                    <w:color w:val="auto"/>
                    <w:highlight w:val="none"/>
                    <w:lang w:val="en-US" w:eastAsia="zh-CN"/>
                  </w:rPr>
                  <w:t>监测</w:t>
                </w:r>
                <w:bookmarkEnd w:id="1737"/>
              </w:sdtContent>
            </w:sdt>
            <w:r>
              <w:rPr>
                <w:rFonts w:hint="default" w:ascii="Times New Roman" w:hAnsi="Times New Roman" w:cs="Times New Roman"/>
                <w:b/>
                <w:bCs/>
                <w:color w:val="auto"/>
                <w:highlight w:val="none"/>
                <w:lang w:val="en-US" w:eastAsia="zh-CN"/>
              </w:rPr>
              <w:t>点位名称</w:t>
            </w:r>
          </w:p>
        </w:tc>
        <w:tc>
          <w:tcPr>
            <w:tcW w:w="1879" w:type="pct"/>
            <w:noWrap w:val="0"/>
            <w:vAlign w:val="center"/>
          </w:tcPr>
          <w:p w14:paraId="1AFF7A07">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监测因子</w:t>
            </w:r>
          </w:p>
        </w:tc>
      </w:tr>
      <w:tr w14:paraId="5FCDEA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673" w:type="pct"/>
            <w:noWrap w:val="0"/>
            <w:vAlign w:val="center"/>
          </w:tcPr>
          <w:p w14:paraId="63A629D0">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S1</w:t>
            </w:r>
          </w:p>
        </w:tc>
        <w:tc>
          <w:tcPr>
            <w:tcW w:w="2446" w:type="pct"/>
            <w:gridSpan w:val="2"/>
            <w:noWrap w:val="0"/>
            <w:vAlign w:val="center"/>
          </w:tcPr>
          <w:p w14:paraId="6C68EA1A">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bookmarkStart w:id="1738" w:name="_Hlk25001040"/>
            <w:r>
              <w:rPr>
                <w:rFonts w:hint="default" w:ascii="Times New Roman" w:hAnsi="Times New Roman" w:cs="Times New Roman"/>
                <w:color w:val="auto"/>
                <w:highlight w:val="none"/>
                <w:lang w:val="en-US" w:eastAsia="zh-CN"/>
              </w:rPr>
              <w:t>城北污水处理厂排口</w:t>
            </w:r>
          </w:p>
        </w:tc>
        <w:tc>
          <w:tcPr>
            <w:tcW w:w="1879" w:type="pct"/>
            <w:vMerge w:val="restart"/>
            <w:noWrap w:val="0"/>
            <w:vAlign w:val="center"/>
          </w:tcPr>
          <w:p w14:paraId="3200F33B">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pH、镉、铜、铅、铬、锌、汞、砷、镍</w:t>
            </w:r>
            <w:bookmarkEnd w:id="1738"/>
          </w:p>
        </w:tc>
      </w:tr>
      <w:tr w14:paraId="046142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673" w:type="pct"/>
            <w:noWrap w:val="0"/>
            <w:vAlign w:val="center"/>
          </w:tcPr>
          <w:p w14:paraId="791A5838">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S2</w:t>
            </w:r>
          </w:p>
        </w:tc>
        <w:tc>
          <w:tcPr>
            <w:tcW w:w="2446" w:type="pct"/>
            <w:gridSpan w:val="2"/>
            <w:noWrap w:val="0"/>
            <w:vAlign w:val="center"/>
          </w:tcPr>
          <w:p w14:paraId="614A751F">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开发区污水处理厂排口</w:t>
            </w:r>
          </w:p>
        </w:tc>
        <w:tc>
          <w:tcPr>
            <w:tcW w:w="1879" w:type="pct"/>
            <w:vMerge w:val="continue"/>
            <w:noWrap w:val="0"/>
            <w:vAlign w:val="center"/>
          </w:tcPr>
          <w:p w14:paraId="151F81F2">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p>
        </w:tc>
      </w:tr>
      <w:tr w14:paraId="72B118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673" w:type="pct"/>
            <w:noWrap w:val="0"/>
            <w:vAlign w:val="center"/>
          </w:tcPr>
          <w:p w14:paraId="002DB571">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S3</w:t>
            </w:r>
          </w:p>
        </w:tc>
        <w:tc>
          <w:tcPr>
            <w:tcW w:w="2446" w:type="pct"/>
            <w:gridSpan w:val="2"/>
            <w:noWrap w:val="0"/>
            <w:vAlign w:val="center"/>
          </w:tcPr>
          <w:p w14:paraId="4C0E85DC">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高新区（科学园）污水处理厂排口</w:t>
            </w:r>
          </w:p>
        </w:tc>
        <w:tc>
          <w:tcPr>
            <w:tcW w:w="1879" w:type="pct"/>
            <w:vMerge w:val="continue"/>
            <w:noWrap w:val="0"/>
            <w:vAlign w:val="center"/>
          </w:tcPr>
          <w:p w14:paraId="0077FF24">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p>
        </w:tc>
      </w:tr>
      <w:tr w14:paraId="293278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673" w:type="pct"/>
            <w:noWrap w:val="0"/>
            <w:vAlign w:val="center"/>
          </w:tcPr>
          <w:p w14:paraId="65A1A31B">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S4</w:t>
            </w:r>
          </w:p>
        </w:tc>
        <w:tc>
          <w:tcPr>
            <w:tcW w:w="1416" w:type="pct"/>
            <w:vMerge w:val="restart"/>
            <w:noWrap w:val="0"/>
            <w:vAlign w:val="center"/>
          </w:tcPr>
          <w:p w14:paraId="0F75A4D2">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南区污水处理厂排口</w:t>
            </w:r>
          </w:p>
        </w:tc>
        <w:tc>
          <w:tcPr>
            <w:tcW w:w="1030" w:type="pct"/>
            <w:noWrap w:val="0"/>
            <w:vAlign w:val="center"/>
          </w:tcPr>
          <w:p w14:paraId="2B526992">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一、二期</w:t>
            </w:r>
          </w:p>
        </w:tc>
        <w:tc>
          <w:tcPr>
            <w:tcW w:w="1879" w:type="pct"/>
            <w:vMerge w:val="continue"/>
            <w:noWrap w:val="0"/>
            <w:vAlign w:val="center"/>
          </w:tcPr>
          <w:p w14:paraId="1F3CF61C">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p>
        </w:tc>
      </w:tr>
      <w:tr w14:paraId="145A58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673" w:type="pct"/>
            <w:noWrap w:val="0"/>
            <w:vAlign w:val="center"/>
          </w:tcPr>
          <w:p w14:paraId="35B0AF24">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S5</w:t>
            </w:r>
          </w:p>
        </w:tc>
        <w:tc>
          <w:tcPr>
            <w:tcW w:w="1416" w:type="pct"/>
            <w:vMerge w:val="continue"/>
            <w:noWrap w:val="0"/>
            <w:vAlign w:val="center"/>
          </w:tcPr>
          <w:p w14:paraId="3BC64712">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p>
        </w:tc>
        <w:tc>
          <w:tcPr>
            <w:tcW w:w="1030" w:type="pct"/>
            <w:noWrap w:val="0"/>
            <w:vAlign w:val="center"/>
          </w:tcPr>
          <w:p w14:paraId="609BDE45">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三期</w:t>
            </w:r>
          </w:p>
        </w:tc>
        <w:tc>
          <w:tcPr>
            <w:tcW w:w="1879" w:type="pct"/>
            <w:vMerge w:val="continue"/>
            <w:noWrap w:val="0"/>
            <w:vAlign w:val="center"/>
          </w:tcPr>
          <w:p w14:paraId="6AD4C908">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p>
        </w:tc>
      </w:tr>
      <w:tr w14:paraId="588343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673" w:type="pct"/>
            <w:noWrap w:val="0"/>
            <w:vAlign w:val="center"/>
          </w:tcPr>
          <w:p w14:paraId="7B8B3EE3">
            <w:pPr>
              <w:pStyle w:val="30"/>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S6</w:t>
            </w:r>
          </w:p>
        </w:tc>
        <w:tc>
          <w:tcPr>
            <w:tcW w:w="2446" w:type="pct"/>
            <w:gridSpan w:val="2"/>
            <w:noWrap w:val="0"/>
            <w:vAlign w:val="center"/>
          </w:tcPr>
          <w:p w14:paraId="02CDEC1D">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空港污水处理厂排口</w:t>
            </w:r>
          </w:p>
        </w:tc>
        <w:tc>
          <w:tcPr>
            <w:tcW w:w="1879" w:type="pct"/>
            <w:vMerge w:val="continue"/>
            <w:noWrap w:val="0"/>
            <w:vAlign w:val="center"/>
          </w:tcPr>
          <w:p w14:paraId="301784AC">
            <w:pPr>
              <w:pStyle w:val="30"/>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p>
        </w:tc>
      </w:tr>
    </w:tbl>
    <w:p w14:paraId="6FC80565">
      <w:pPr>
        <w:spacing w:before="208" w:line="220" w:lineRule="auto"/>
        <w:ind w:left="531"/>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w:t>
      </w:r>
      <w:r>
        <w:rPr>
          <w:rFonts w:ascii="Times New Roman" w:hAnsi="Times New Roman" w:eastAsia="Times New Roman" w:cs="Times New Roman"/>
          <w:color w:val="auto"/>
          <w:spacing w:val="-3"/>
          <w:sz w:val="24"/>
          <w:szCs w:val="24"/>
          <w:highlight w:val="none"/>
        </w:rPr>
        <w:t>3</w:t>
      </w:r>
      <w:r>
        <w:rPr>
          <w:rFonts w:ascii="宋体" w:hAnsi="宋体" w:eastAsia="宋体" w:cs="宋体"/>
          <w:color w:val="auto"/>
          <w:spacing w:val="-3"/>
          <w:sz w:val="24"/>
          <w:szCs w:val="24"/>
          <w:highlight w:val="none"/>
        </w:rPr>
        <w:t>）</w:t>
      </w:r>
      <w:sdt>
        <w:sdtPr>
          <w:rPr>
            <w:color w:val="auto"/>
            <w:highlight w:val="none"/>
          </w:rPr>
          <w:alias w:val="易错词检查"/>
          <w:tag w:val="auto"/>
          <w:id w:val="1102620"/>
        </w:sdtPr>
        <w:sdtEndPr>
          <w:rPr>
            <w:color w:val="auto"/>
            <w:highlight w:val="none"/>
          </w:rPr>
        </w:sdtEndPr>
        <w:sdtContent>
          <w:bookmarkStart w:id="1739" w:name="bkReivew1102620"/>
          <w:r>
            <w:rPr>
              <w:rFonts w:ascii="宋体" w:hAnsi="宋体" w:eastAsia="宋体" w:cs="宋体"/>
              <w:color w:val="auto"/>
              <w:spacing w:val="-3"/>
              <w:sz w:val="24"/>
              <w:szCs w:val="24"/>
              <w:highlight w:val="none"/>
            </w:rPr>
            <w:t>监测</w:t>
          </w:r>
          <w:bookmarkEnd w:id="1739"/>
        </w:sdtContent>
      </w:sdt>
      <w:r>
        <w:rPr>
          <w:rFonts w:ascii="宋体" w:hAnsi="宋体" w:eastAsia="宋体" w:cs="宋体"/>
          <w:color w:val="auto"/>
          <w:spacing w:val="-3"/>
          <w:sz w:val="24"/>
          <w:szCs w:val="24"/>
          <w:highlight w:val="none"/>
        </w:rPr>
        <w:t>时间及频次</w:t>
      </w:r>
      <w:bookmarkStart w:id="1740" w:name="pindex12053"/>
      <w:bookmarkEnd w:id="1740"/>
    </w:p>
    <w:p w14:paraId="6DC8BD8F">
      <w:pPr>
        <w:spacing w:before="180" w:line="220" w:lineRule="auto"/>
        <w:ind w:left="526"/>
        <w:rPr>
          <w:rFonts w:ascii="宋体" w:hAnsi="宋体" w:eastAsia="宋体" w:cs="宋体"/>
          <w:color w:val="auto"/>
          <w:sz w:val="24"/>
          <w:szCs w:val="24"/>
          <w:highlight w:val="none"/>
        </w:rPr>
      </w:pPr>
      <w:r>
        <w:rPr>
          <w:rFonts w:ascii="宋体" w:hAnsi="宋体" w:eastAsia="宋体" w:cs="宋体"/>
          <w:color w:val="auto"/>
          <w:spacing w:val="-8"/>
          <w:sz w:val="24"/>
          <w:szCs w:val="24"/>
          <w:highlight w:val="none"/>
        </w:rPr>
        <w:t>监测时间：监测</w:t>
      </w:r>
      <w:r>
        <w:rPr>
          <w:rFonts w:hint="default" w:ascii="Times New Roman" w:hAnsi="Times New Roman" w:eastAsia="宋体" w:cs="Times New Roman"/>
          <w:color w:val="auto"/>
          <w:sz w:val="24"/>
          <w:szCs w:val="24"/>
          <w:highlight w:val="none"/>
        </w:rPr>
        <w:t>一</w:t>
      </w:r>
      <w:r>
        <w:rPr>
          <w:rFonts w:ascii="宋体" w:hAnsi="宋体" w:eastAsia="宋体" w:cs="宋体"/>
          <w:color w:val="auto"/>
          <w:spacing w:val="-8"/>
          <w:sz w:val="24"/>
          <w:szCs w:val="24"/>
          <w:highlight w:val="none"/>
        </w:rPr>
        <w:t>天，监测</w:t>
      </w:r>
      <w:r>
        <w:rPr>
          <w:rFonts w:hint="default" w:ascii="Times New Roman" w:hAnsi="Times New Roman" w:eastAsia="宋体" w:cs="Times New Roman"/>
          <w:color w:val="auto"/>
          <w:sz w:val="24"/>
          <w:szCs w:val="24"/>
          <w:highlight w:val="none"/>
        </w:rPr>
        <w:t>一</w:t>
      </w:r>
      <w:r>
        <w:rPr>
          <w:rFonts w:ascii="宋体" w:hAnsi="宋体" w:eastAsia="宋体" w:cs="宋体"/>
          <w:color w:val="auto"/>
          <w:spacing w:val="-8"/>
          <w:sz w:val="24"/>
          <w:szCs w:val="24"/>
          <w:highlight w:val="none"/>
        </w:rPr>
        <w:t>次。</w:t>
      </w:r>
    </w:p>
    <w:p w14:paraId="4187C621">
      <w:pPr>
        <w:spacing w:before="182" w:line="220" w:lineRule="auto"/>
        <w:ind w:left="531"/>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w:t>
      </w:r>
      <w:r>
        <w:rPr>
          <w:rFonts w:ascii="Times New Roman" w:hAnsi="Times New Roman" w:eastAsia="Times New Roman" w:cs="Times New Roman"/>
          <w:color w:val="auto"/>
          <w:spacing w:val="-2"/>
          <w:sz w:val="24"/>
          <w:szCs w:val="24"/>
          <w:highlight w:val="none"/>
        </w:rPr>
        <w:t>4</w:t>
      </w:r>
      <w:r>
        <w:rPr>
          <w:rFonts w:ascii="宋体" w:hAnsi="宋体" w:eastAsia="宋体" w:cs="宋体"/>
          <w:color w:val="auto"/>
          <w:spacing w:val="-2"/>
          <w:sz w:val="24"/>
          <w:szCs w:val="24"/>
          <w:highlight w:val="none"/>
        </w:rPr>
        <w:t>）监测方法：国家土壤环境分析、监测相关规范执行。</w:t>
      </w:r>
      <w:bookmarkStart w:id="1741" w:name="pindex12055"/>
      <w:bookmarkEnd w:id="1741"/>
    </w:p>
    <w:p w14:paraId="10C1B557">
      <w:pPr>
        <w:spacing w:before="180" w:line="218" w:lineRule="auto"/>
        <w:ind w:left="531"/>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w:t>
      </w:r>
      <w:r>
        <w:rPr>
          <w:rFonts w:ascii="Times New Roman" w:hAnsi="Times New Roman" w:eastAsia="Times New Roman" w:cs="Times New Roman"/>
          <w:color w:val="auto"/>
          <w:spacing w:val="-2"/>
          <w:sz w:val="24"/>
          <w:szCs w:val="24"/>
          <w:highlight w:val="none"/>
        </w:rPr>
        <w:t>5</w:t>
      </w:r>
      <w:r>
        <w:rPr>
          <w:rFonts w:ascii="宋体" w:hAnsi="宋体" w:eastAsia="宋体" w:cs="宋体"/>
          <w:color w:val="auto"/>
          <w:spacing w:val="-2"/>
          <w:sz w:val="24"/>
          <w:szCs w:val="24"/>
          <w:highlight w:val="none"/>
        </w:rPr>
        <w:t>）监测结果及评价：监测结果见表</w:t>
      </w:r>
      <w:r>
        <w:rPr>
          <w:rFonts w:ascii="Times New Roman" w:hAnsi="Times New Roman" w:eastAsia="Times New Roman" w:cs="Times New Roman"/>
          <w:color w:val="auto"/>
          <w:spacing w:val="-2"/>
          <w:sz w:val="24"/>
          <w:szCs w:val="24"/>
          <w:highlight w:val="none"/>
        </w:rPr>
        <w:t>6.3-2</w:t>
      </w:r>
      <w:r>
        <w:rPr>
          <w:rFonts w:hint="eastAsia" w:ascii="Times New Roman" w:hAnsi="Times New Roman" w:eastAsia="宋体" w:cs="Times New Roman"/>
          <w:color w:val="auto"/>
          <w:spacing w:val="-2"/>
          <w:sz w:val="24"/>
          <w:szCs w:val="24"/>
          <w:highlight w:val="none"/>
          <w:lang w:val="en-US" w:eastAsia="zh-CN"/>
        </w:rPr>
        <w:t>8</w:t>
      </w:r>
      <w:r>
        <w:rPr>
          <w:rFonts w:ascii="宋体" w:hAnsi="宋体" w:eastAsia="宋体" w:cs="宋体"/>
          <w:color w:val="auto"/>
          <w:spacing w:val="-2"/>
          <w:sz w:val="24"/>
          <w:szCs w:val="24"/>
          <w:highlight w:val="none"/>
        </w:rPr>
        <w:t>。</w:t>
      </w:r>
      <w:bookmarkStart w:id="1742" w:name="pindex12056"/>
      <w:bookmarkEnd w:id="1742"/>
    </w:p>
    <w:p w14:paraId="6C0AEC5A">
      <w:pPr>
        <w:keepNext w:val="0"/>
        <w:keepLines w:val="0"/>
        <w:pageBreakBefore w:val="0"/>
        <w:widowControl/>
        <w:kinsoku w:val="0"/>
        <w:wordWrap/>
        <w:overflowPunct/>
        <w:topLinePunct w:val="0"/>
        <w:autoSpaceDE w:val="0"/>
        <w:autoSpaceDN w:val="0"/>
        <w:bidi w:val="0"/>
        <w:adjustRightInd w:val="0"/>
        <w:snapToGrid w:val="0"/>
        <w:spacing w:before="185" w:line="240" w:lineRule="auto"/>
        <w:jc w:val="center"/>
        <w:textAlignment w:val="baseline"/>
        <w:rPr>
          <w:rFonts w:ascii="Times New Roman" w:hAnsi="Times New Roman" w:eastAsia="Times New Roman" w:cs="Times New Roman"/>
          <w:b/>
          <w:bCs/>
          <w:color w:val="auto"/>
          <w:spacing w:val="-2"/>
          <w:sz w:val="24"/>
          <w:szCs w:val="24"/>
          <w:highlight w:val="none"/>
        </w:rPr>
      </w:pPr>
      <w:r>
        <w:rPr>
          <w:rFonts w:ascii="宋体" w:hAnsi="宋体" w:eastAsia="宋体" w:cs="宋体"/>
          <w:b/>
          <w:bCs/>
          <w:color w:val="auto"/>
          <w:spacing w:val="-1"/>
          <w:sz w:val="24"/>
          <w:szCs w:val="24"/>
          <w:highlight w:val="none"/>
        </w:rPr>
        <w:t>表</w:t>
      </w:r>
      <w:r>
        <w:rPr>
          <w:rFonts w:ascii="Times New Roman" w:hAnsi="Times New Roman" w:eastAsia="Times New Roman" w:cs="Times New Roman"/>
          <w:b/>
          <w:bCs/>
          <w:color w:val="auto"/>
          <w:spacing w:val="-1"/>
          <w:sz w:val="24"/>
          <w:szCs w:val="24"/>
          <w:highlight w:val="none"/>
        </w:rPr>
        <w:t>6.3-2</w:t>
      </w:r>
      <w:r>
        <w:rPr>
          <w:rFonts w:hint="eastAsia" w:ascii="Times New Roman" w:hAnsi="Times New Roman" w:eastAsia="宋体" w:cs="Times New Roman"/>
          <w:b/>
          <w:bCs/>
          <w:color w:val="auto"/>
          <w:spacing w:val="-1"/>
          <w:sz w:val="24"/>
          <w:szCs w:val="24"/>
          <w:highlight w:val="none"/>
          <w:lang w:val="en-US" w:eastAsia="zh-CN"/>
        </w:rPr>
        <w:t xml:space="preserve">8  </w:t>
      </w:r>
      <w:r>
        <w:rPr>
          <w:rFonts w:ascii="宋体" w:hAnsi="宋体" w:eastAsia="宋体" w:cs="宋体"/>
          <w:b/>
          <w:bCs/>
          <w:color w:val="auto"/>
          <w:spacing w:val="-1"/>
          <w:sz w:val="24"/>
          <w:szCs w:val="24"/>
          <w:highlight w:val="none"/>
        </w:rPr>
        <w:t>底泥环境监测结果</w:t>
      </w:r>
      <w:r>
        <w:rPr>
          <w:rFonts w:hint="eastAsia" w:ascii="宋体" w:hAnsi="宋体" w:eastAsia="宋体" w:cs="宋体"/>
          <w:b/>
          <w:bCs/>
          <w:color w:val="auto"/>
          <w:spacing w:val="-1"/>
          <w:sz w:val="24"/>
          <w:szCs w:val="24"/>
          <w:highlight w:val="none"/>
          <w:lang w:val="en-US" w:eastAsia="zh-CN"/>
        </w:rPr>
        <w:t xml:space="preserve">  </w:t>
      </w:r>
      <w:r>
        <w:rPr>
          <w:rFonts w:ascii="宋体" w:hAnsi="宋体" w:eastAsia="宋体" w:cs="宋体"/>
          <w:b/>
          <w:bCs/>
          <w:color w:val="auto"/>
          <w:spacing w:val="-1"/>
          <w:sz w:val="24"/>
          <w:szCs w:val="24"/>
          <w:highlight w:val="none"/>
        </w:rPr>
        <w:t>单位：</w:t>
      </w:r>
      <w:r>
        <w:rPr>
          <w:rFonts w:ascii="Times New Roman" w:hAnsi="Times New Roman" w:eastAsia="Times New Roman" w:cs="Times New Roman"/>
          <w:b/>
          <w:bCs/>
          <w:color w:val="auto"/>
          <w:spacing w:val="-1"/>
          <w:sz w:val="24"/>
          <w:szCs w:val="24"/>
          <w:highlight w:val="none"/>
        </w:rPr>
        <w:t>m</w:t>
      </w:r>
      <w:r>
        <w:rPr>
          <w:rFonts w:ascii="Times New Roman" w:hAnsi="Times New Roman" w:eastAsia="Times New Roman" w:cs="Times New Roman"/>
          <w:b/>
          <w:bCs/>
          <w:color w:val="auto"/>
          <w:spacing w:val="-2"/>
          <w:sz w:val="24"/>
          <w:szCs w:val="24"/>
          <w:highlight w:val="none"/>
        </w:rPr>
        <w:t>g/kg</w:t>
      </w:r>
      <w:bookmarkStart w:id="1743" w:name="pindex12057"/>
      <w:bookmarkEnd w:id="1743"/>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9"/>
        <w:gridCol w:w="916"/>
        <w:gridCol w:w="1030"/>
        <w:gridCol w:w="1030"/>
        <w:gridCol w:w="1030"/>
        <w:gridCol w:w="1030"/>
        <w:gridCol w:w="1030"/>
        <w:gridCol w:w="1034"/>
        <w:gridCol w:w="764"/>
      </w:tblGrid>
      <w:tr w14:paraId="7B8C16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799" w:type="dxa"/>
            <w:vMerge w:val="restart"/>
            <w:tcBorders>
              <w:tl2br w:val="nil"/>
              <w:tr2bl w:val="nil"/>
            </w:tcBorders>
            <w:vAlign w:val="center"/>
          </w:tcPr>
          <w:p w14:paraId="16556EBF">
            <w:pPr>
              <w:pStyle w:val="8"/>
              <w:widowControl w:val="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检测项目</w:t>
            </w:r>
          </w:p>
        </w:tc>
        <w:tc>
          <w:tcPr>
            <w:tcW w:w="916" w:type="dxa"/>
            <w:vMerge w:val="restart"/>
            <w:tcBorders>
              <w:tl2br w:val="nil"/>
              <w:tr2bl w:val="nil"/>
            </w:tcBorders>
            <w:vAlign w:val="center"/>
          </w:tcPr>
          <w:p w14:paraId="7280CAFA">
            <w:pPr>
              <w:pStyle w:val="8"/>
              <w:widowControl w:val="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单位</w:t>
            </w:r>
          </w:p>
        </w:tc>
        <w:tc>
          <w:tcPr>
            <w:tcW w:w="6184" w:type="dxa"/>
            <w:gridSpan w:val="6"/>
            <w:tcBorders>
              <w:tl2br w:val="nil"/>
              <w:tr2bl w:val="nil"/>
            </w:tcBorders>
            <w:vAlign w:val="center"/>
          </w:tcPr>
          <w:p w14:paraId="440B4B44">
            <w:pPr>
              <w:pStyle w:val="8"/>
              <w:widowControl w:val="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检测结果</w:t>
            </w:r>
          </w:p>
        </w:tc>
        <w:tc>
          <w:tcPr>
            <w:tcW w:w="764" w:type="dxa"/>
            <w:vMerge w:val="restart"/>
            <w:tcBorders>
              <w:tl2br w:val="nil"/>
              <w:tr2bl w:val="nil"/>
            </w:tcBorders>
            <w:vAlign w:val="center"/>
          </w:tcPr>
          <w:p w14:paraId="0D3759E2">
            <w:pPr>
              <w:pStyle w:val="8"/>
              <w:widowControl w:val="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评价标准</w:t>
            </w:r>
          </w:p>
        </w:tc>
      </w:tr>
      <w:tr w14:paraId="1E2A81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799" w:type="dxa"/>
            <w:vMerge w:val="continue"/>
            <w:tcBorders>
              <w:tl2br w:val="nil"/>
              <w:tr2bl w:val="nil"/>
            </w:tcBorders>
            <w:vAlign w:val="center"/>
          </w:tcPr>
          <w:p w14:paraId="0EDE2AEA">
            <w:pPr>
              <w:pStyle w:val="8"/>
              <w:widowControl w:val="0"/>
              <w:jc w:val="center"/>
              <w:rPr>
                <w:rFonts w:hint="default" w:ascii="Times New Roman" w:hAnsi="Times New Roman" w:eastAsia="宋体" w:cs="Times New Roman"/>
                <w:b/>
                <w:bCs/>
                <w:color w:val="auto"/>
                <w:sz w:val="21"/>
                <w:szCs w:val="21"/>
                <w:highlight w:val="none"/>
                <w:vertAlign w:val="baseline"/>
              </w:rPr>
            </w:pPr>
          </w:p>
        </w:tc>
        <w:tc>
          <w:tcPr>
            <w:tcW w:w="916" w:type="dxa"/>
            <w:vMerge w:val="continue"/>
            <w:tcBorders>
              <w:tl2br w:val="nil"/>
              <w:tr2bl w:val="nil"/>
            </w:tcBorders>
            <w:vAlign w:val="center"/>
          </w:tcPr>
          <w:p w14:paraId="586F49EB">
            <w:pPr>
              <w:pStyle w:val="8"/>
              <w:widowControl w:val="0"/>
              <w:jc w:val="center"/>
              <w:rPr>
                <w:rFonts w:hint="default" w:ascii="Times New Roman" w:hAnsi="Times New Roman" w:eastAsia="宋体" w:cs="Times New Roman"/>
                <w:b/>
                <w:bCs/>
                <w:color w:val="auto"/>
                <w:sz w:val="21"/>
                <w:szCs w:val="21"/>
                <w:highlight w:val="none"/>
                <w:vertAlign w:val="baseline"/>
              </w:rPr>
            </w:pPr>
          </w:p>
        </w:tc>
        <w:tc>
          <w:tcPr>
            <w:tcW w:w="1030" w:type="dxa"/>
            <w:tcBorders>
              <w:tl2br w:val="nil"/>
              <w:tr2bl w:val="nil"/>
            </w:tcBorders>
            <w:vAlign w:val="center"/>
          </w:tcPr>
          <w:p w14:paraId="1D63B998">
            <w:pPr>
              <w:pStyle w:val="8"/>
              <w:widowControl w:val="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S1</w:t>
            </w:r>
          </w:p>
        </w:tc>
        <w:tc>
          <w:tcPr>
            <w:tcW w:w="1030" w:type="dxa"/>
            <w:tcBorders>
              <w:tl2br w:val="nil"/>
              <w:tr2bl w:val="nil"/>
            </w:tcBorders>
            <w:vAlign w:val="center"/>
          </w:tcPr>
          <w:p w14:paraId="19CB3EA4">
            <w:pPr>
              <w:pStyle w:val="8"/>
              <w:widowControl w:val="0"/>
              <w:jc w:val="center"/>
              <w:rPr>
                <w:rFonts w:hint="default" w:ascii="Times New Roman" w:hAnsi="Times New Roman" w:eastAsia="宋体" w:cs="Times New Roman"/>
                <w:b/>
                <w:bCs/>
                <w:color w:val="auto"/>
                <w:sz w:val="21"/>
                <w:szCs w:val="21"/>
                <w:highlight w:val="none"/>
                <w:vertAlign w:val="baseline"/>
                <w:lang w:val="en-US"/>
              </w:rPr>
            </w:pPr>
            <w:r>
              <w:rPr>
                <w:rFonts w:hint="default" w:ascii="Times New Roman" w:hAnsi="Times New Roman" w:eastAsia="宋体" w:cs="Times New Roman"/>
                <w:b/>
                <w:bCs/>
                <w:color w:val="auto"/>
                <w:sz w:val="21"/>
                <w:szCs w:val="21"/>
                <w:highlight w:val="none"/>
                <w:vertAlign w:val="baseline"/>
                <w:lang w:val="en-US" w:eastAsia="zh-CN"/>
              </w:rPr>
              <w:t>S2</w:t>
            </w:r>
          </w:p>
        </w:tc>
        <w:tc>
          <w:tcPr>
            <w:tcW w:w="1030" w:type="dxa"/>
            <w:tcBorders>
              <w:tl2br w:val="nil"/>
              <w:tr2bl w:val="nil"/>
            </w:tcBorders>
            <w:vAlign w:val="center"/>
          </w:tcPr>
          <w:p w14:paraId="4563C5D3">
            <w:pPr>
              <w:pStyle w:val="8"/>
              <w:widowControl w:val="0"/>
              <w:jc w:val="center"/>
              <w:rPr>
                <w:rFonts w:hint="default" w:ascii="Times New Roman" w:hAnsi="Times New Roman" w:eastAsia="宋体" w:cs="Times New Roman"/>
                <w:b/>
                <w:bCs/>
                <w:color w:val="auto"/>
                <w:sz w:val="21"/>
                <w:szCs w:val="21"/>
                <w:highlight w:val="none"/>
                <w:vertAlign w:val="baseline"/>
                <w:lang w:val="en-US"/>
              </w:rPr>
            </w:pPr>
            <w:r>
              <w:rPr>
                <w:rFonts w:hint="default" w:ascii="Times New Roman" w:hAnsi="Times New Roman" w:eastAsia="宋体" w:cs="Times New Roman"/>
                <w:b/>
                <w:bCs/>
                <w:color w:val="auto"/>
                <w:sz w:val="21"/>
                <w:szCs w:val="21"/>
                <w:highlight w:val="none"/>
                <w:vertAlign w:val="baseline"/>
                <w:lang w:val="en-US" w:eastAsia="zh-CN"/>
              </w:rPr>
              <w:t>S3</w:t>
            </w:r>
          </w:p>
        </w:tc>
        <w:tc>
          <w:tcPr>
            <w:tcW w:w="1030" w:type="dxa"/>
            <w:tcBorders>
              <w:tl2br w:val="nil"/>
              <w:tr2bl w:val="nil"/>
            </w:tcBorders>
            <w:vAlign w:val="center"/>
          </w:tcPr>
          <w:p w14:paraId="1B52D96B">
            <w:pPr>
              <w:pStyle w:val="8"/>
              <w:widowControl w:val="0"/>
              <w:jc w:val="center"/>
              <w:rPr>
                <w:rFonts w:hint="default" w:ascii="Times New Roman" w:hAnsi="Times New Roman" w:eastAsia="宋体" w:cs="Times New Roman"/>
                <w:b/>
                <w:bCs/>
                <w:color w:val="auto"/>
                <w:sz w:val="21"/>
                <w:szCs w:val="21"/>
                <w:highlight w:val="none"/>
                <w:vertAlign w:val="baseline"/>
                <w:lang w:val="en-US"/>
              </w:rPr>
            </w:pPr>
            <w:r>
              <w:rPr>
                <w:rFonts w:hint="default" w:ascii="Times New Roman" w:hAnsi="Times New Roman" w:eastAsia="宋体" w:cs="Times New Roman"/>
                <w:b/>
                <w:bCs/>
                <w:color w:val="auto"/>
                <w:sz w:val="21"/>
                <w:szCs w:val="21"/>
                <w:highlight w:val="none"/>
                <w:vertAlign w:val="baseline"/>
                <w:lang w:val="en-US" w:eastAsia="zh-CN"/>
              </w:rPr>
              <w:t>S4</w:t>
            </w:r>
          </w:p>
        </w:tc>
        <w:tc>
          <w:tcPr>
            <w:tcW w:w="1030" w:type="dxa"/>
            <w:tcBorders>
              <w:tl2br w:val="nil"/>
              <w:tr2bl w:val="nil"/>
            </w:tcBorders>
            <w:vAlign w:val="center"/>
          </w:tcPr>
          <w:p w14:paraId="4A23FC2E">
            <w:pPr>
              <w:pStyle w:val="8"/>
              <w:widowControl w:val="0"/>
              <w:jc w:val="center"/>
              <w:rPr>
                <w:rFonts w:hint="default" w:ascii="Times New Roman" w:hAnsi="Times New Roman" w:eastAsia="宋体" w:cs="Times New Roman"/>
                <w:b/>
                <w:bCs/>
                <w:color w:val="auto"/>
                <w:sz w:val="21"/>
                <w:szCs w:val="21"/>
                <w:highlight w:val="none"/>
                <w:vertAlign w:val="baseline"/>
                <w:lang w:val="en-US"/>
              </w:rPr>
            </w:pPr>
            <w:r>
              <w:rPr>
                <w:rFonts w:hint="default" w:ascii="Times New Roman" w:hAnsi="Times New Roman" w:eastAsia="宋体" w:cs="Times New Roman"/>
                <w:b/>
                <w:bCs/>
                <w:color w:val="auto"/>
                <w:sz w:val="21"/>
                <w:szCs w:val="21"/>
                <w:highlight w:val="none"/>
                <w:vertAlign w:val="baseline"/>
                <w:lang w:val="en-US" w:eastAsia="zh-CN"/>
              </w:rPr>
              <w:t>S5</w:t>
            </w:r>
          </w:p>
        </w:tc>
        <w:tc>
          <w:tcPr>
            <w:tcW w:w="1034" w:type="dxa"/>
            <w:tcBorders>
              <w:tl2br w:val="nil"/>
              <w:tr2bl w:val="nil"/>
            </w:tcBorders>
            <w:vAlign w:val="center"/>
          </w:tcPr>
          <w:p w14:paraId="6E70D5B2">
            <w:pPr>
              <w:pStyle w:val="8"/>
              <w:widowControl w:val="0"/>
              <w:jc w:val="center"/>
              <w:rPr>
                <w:rFonts w:hint="default" w:ascii="Times New Roman" w:hAnsi="Times New Roman" w:eastAsia="宋体" w:cs="Times New Roman"/>
                <w:b/>
                <w:bCs/>
                <w:color w:val="auto"/>
                <w:sz w:val="21"/>
                <w:szCs w:val="21"/>
                <w:highlight w:val="none"/>
                <w:vertAlign w:val="baseline"/>
                <w:lang w:val="en-US"/>
              </w:rPr>
            </w:pPr>
            <w:r>
              <w:rPr>
                <w:rFonts w:hint="default" w:ascii="Times New Roman" w:hAnsi="Times New Roman" w:eastAsia="宋体" w:cs="Times New Roman"/>
                <w:b/>
                <w:bCs/>
                <w:color w:val="auto"/>
                <w:sz w:val="21"/>
                <w:szCs w:val="21"/>
                <w:highlight w:val="none"/>
                <w:vertAlign w:val="baseline"/>
                <w:lang w:val="en-US" w:eastAsia="zh-CN"/>
              </w:rPr>
              <w:t>S6</w:t>
            </w:r>
          </w:p>
        </w:tc>
        <w:tc>
          <w:tcPr>
            <w:tcW w:w="764" w:type="dxa"/>
            <w:vMerge w:val="continue"/>
            <w:tcBorders>
              <w:tl2br w:val="nil"/>
              <w:tr2bl w:val="nil"/>
            </w:tcBorders>
            <w:vAlign w:val="center"/>
          </w:tcPr>
          <w:p w14:paraId="1E3D83EB">
            <w:pPr>
              <w:pStyle w:val="8"/>
              <w:widowControl w:val="0"/>
              <w:jc w:val="center"/>
              <w:rPr>
                <w:rFonts w:hint="default" w:ascii="Times New Roman" w:hAnsi="Times New Roman" w:eastAsia="宋体" w:cs="Times New Roman"/>
                <w:b/>
                <w:bCs/>
                <w:color w:val="auto"/>
                <w:sz w:val="21"/>
                <w:szCs w:val="21"/>
                <w:highlight w:val="none"/>
                <w:vertAlign w:val="baseline"/>
                <w:lang w:val="en-US" w:eastAsia="zh-CN"/>
              </w:rPr>
            </w:pPr>
          </w:p>
        </w:tc>
      </w:tr>
      <w:tr w14:paraId="754942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799" w:type="dxa"/>
            <w:tcBorders>
              <w:tl2br w:val="nil"/>
              <w:tr2bl w:val="nil"/>
            </w:tcBorders>
            <w:vAlign w:val="center"/>
          </w:tcPr>
          <w:p w14:paraId="1D8D442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rPr>
            </w:pPr>
            <w:bookmarkStart w:id="1744" w:name="OLE_LINK900" w:colFirst="2" w:colLast="2"/>
            <w:r>
              <w:rPr>
                <w:rFonts w:hint="default" w:ascii="Times New Roman" w:hAnsi="Times New Roman" w:eastAsia="宋体" w:cs="Times New Roman"/>
                <w:color w:val="auto"/>
                <w:sz w:val="21"/>
                <w:szCs w:val="21"/>
                <w:highlight w:val="none"/>
                <w:lang w:val="en-US" w:eastAsia="zh-CN"/>
              </w:rPr>
              <w:t>pH值</w:t>
            </w:r>
          </w:p>
        </w:tc>
        <w:tc>
          <w:tcPr>
            <w:tcW w:w="916" w:type="dxa"/>
            <w:tcBorders>
              <w:tl2br w:val="nil"/>
              <w:tr2bl w:val="nil"/>
            </w:tcBorders>
            <w:vAlign w:val="center"/>
          </w:tcPr>
          <w:p w14:paraId="0BBB07C0">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Cs w:val="21"/>
                <w:highlight w:val="none"/>
                <w:lang w:val="en-US" w:eastAsia="zh-CN"/>
              </w:rPr>
              <w:t>无量纲</w:t>
            </w:r>
          </w:p>
        </w:tc>
        <w:tc>
          <w:tcPr>
            <w:tcW w:w="1030" w:type="dxa"/>
            <w:tcBorders>
              <w:tl2br w:val="nil"/>
              <w:tr2bl w:val="nil"/>
            </w:tcBorders>
            <w:vAlign w:val="center"/>
          </w:tcPr>
          <w:p w14:paraId="736EB65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7.68</w:t>
            </w:r>
          </w:p>
        </w:tc>
        <w:tc>
          <w:tcPr>
            <w:tcW w:w="1030" w:type="dxa"/>
            <w:tcBorders>
              <w:tl2br w:val="nil"/>
              <w:tr2bl w:val="nil"/>
            </w:tcBorders>
            <w:vAlign w:val="center"/>
          </w:tcPr>
          <w:p w14:paraId="76119F0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7.63</w:t>
            </w:r>
          </w:p>
        </w:tc>
        <w:tc>
          <w:tcPr>
            <w:tcW w:w="1030" w:type="dxa"/>
            <w:tcBorders>
              <w:tl2br w:val="nil"/>
              <w:tr2bl w:val="nil"/>
            </w:tcBorders>
            <w:vAlign w:val="center"/>
          </w:tcPr>
          <w:p w14:paraId="0A1EFB7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8.41</w:t>
            </w:r>
          </w:p>
        </w:tc>
        <w:tc>
          <w:tcPr>
            <w:tcW w:w="1030" w:type="dxa"/>
            <w:tcBorders>
              <w:tl2br w:val="nil"/>
              <w:tr2bl w:val="nil"/>
            </w:tcBorders>
            <w:vAlign w:val="center"/>
          </w:tcPr>
          <w:p w14:paraId="6CD18A0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7.68</w:t>
            </w:r>
          </w:p>
        </w:tc>
        <w:tc>
          <w:tcPr>
            <w:tcW w:w="1030" w:type="dxa"/>
            <w:tcBorders>
              <w:tl2br w:val="nil"/>
              <w:tr2bl w:val="nil"/>
            </w:tcBorders>
            <w:vAlign w:val="center"/>
          </w:tcPr>
          <w:p w14:paraId="75017AE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7.63</w:t>
            </w:r>
          </w:p>
        </w:tc>
        <w:tc>
          <w:tcPr>
            <w:tcW w:w="1034" w:type="dxa"/>
            <w:tcBorders>
              <w:tl2br w:val="nil"/>
              <w:tr2bl w:val="nil"/>
            </w:tcBorders>
            <w:vAlign w:val="center"/>
          </w:tcPr>
          <w:p w14:paraId="2516CF8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8.41</w:t>
            </w:r>
          </w:p>
        </w:tc>
        <w:tc>
          <w:tcPr>
            <w:tcW w:w="764" w:type="dxa"/>
            <w:tcBorders>
              <w:tl2br w:val="nil"/>
              <w:tr2bl w:val="nil"/>
            </w:tcBorders>
            <w:vAlign w:val="center"/>
          </w:tcPr>
          <w:p w14:paraId="06FCDF60">
            <w:pPr>
              <w:pStyle w:val="8"/>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rPr>
              <w:t>≥7.5</w:t>
            </w:r>
          </w:p>
        </w:tc>
      </w:tr>
      <w:tr w14:paraId="0E7EEF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799" w:type="dxa"/>
            <w:tcBorders>
              <w:tl2br w:val="nil"/>
              <w:tr2bl w:val="nil"/>
            </w:tcBorders>
            <w:vAlign w:val="center"/>
          </w:tcPr>
          <w:p w14:paraId="61E97E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lang w:val="en-US" w:eastAsia="zh-CN"/>
              </w:rPr>
              <w:t>砷</w:t>
            </w:r>
          </w:p>
        </w:tc>
        <w:tc>
          <w:tcPr>
            <w:tcW w:w="916" w:type="dxa"/>
            <w:tcBorders>
              <w:tl2br w:val="nil"/>
              <w:tr2bl w:val="nil"/>
            </w:tcBorders>
            <w:vAlign w:val="center"/>
          </w:tcPr>
          <w:p w14:paraId="559A469D">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Cs w:val="21"/>
                <w:highlight w:val="none"/>
                <w:lang w:val="en-US" w:eastAsia="zh-CN"/>
              </w:rPr>
              <w:t>mg/kg</w:t>
            </w:r>
          </w:p>
        </w:tc>
        <w:tc>
          <w:tcPr>
            <w:tcW w:w="1030" w:type="dxa"/>
            <w:tcBorders>
              <w:tl2br w:val="nil"/>
              <w:tr2bl w:val="nil"/>
            </w:tcBorders>
            <w:vAlign w:val="center"/>
          </w:tcPr>
          <w:p w14:paraId="5E49E4DA">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6.32</w:t>
            </w:r>
          </w:p>
        </w:tc>
        <w:tc>
          <w:tcPr>
            <w:tcW w:w="1030" w:type="dxa"/>
            <w:tcBorders>
              <w:tl2br w:val="nil"/>
              <w:tr2bl w:val="nil"/>
            </w:tcBorders>
            <w:vAlign w:val="center"/>
          </w:tcPr>
          <w:p w14:paraId="11016DF8">
            <w:pPr>
              <w:widowControl w:val="0"/>
              <w:jc w:val="center"/>
              <w:rPr>
                <w:rFonts w:hint="default" w:ascii="Times New Roman" w:hAnsi="Times New Roman" w:eastAsia="宋体" w:cs="Times New Roman"/>
                <w:color w:val="auto"/>
                <w:sz w:val="21"/>
                <w:szCs w:val="21"/>
                <w:highlight w:val="none"/>
                <w:vertAlign w:val="baseline"/>
                <w:lang w:val="en-US"/>
              </w:rPr>
            </w:pPr>
            <w:r>
              <w:rPr>
                <w:rFonts w:hint="default" w:ascii="Times New Roman" w:hAnsi="Times New Roman" w:eastAsia="宋体" w:cs="Times New Roman"/>
                <w:color w:val="auto"/>
                <w:kern w:val="2"/>
                <w:sz w:val="21"/>
                <w:szCs w:val="21"/>
                <w:highlight w:val="none"/>
                <w:lang w:val="en-US" w:eastAsia="zh-CN" w:bidi="ar-SA"/>
              </w:rPr>
              <w:t>6.2</w:t>
            </w:r>
            <w:r>
              <w:rPr>
                <w:rFonts w:hint="eastAsia" w:ascii="Times New Roman" w:hAnsi="Times New Roman" w:eastAsia="宋体" w:cs="Times New Roman"/>
                <w:color w:val="auto"/>
                <w:kern w:val="2"/>
                <w:sz w:val="21"/>
                <w:szCs w:val="21"/>
                <w:highlight w:val="none"/>
                <w:lang w:val="en-US" w:eastAsia="zh-CN" w:bidi="ar-SA"/>
              </w:rPr>
              <w:t>0</w:t>
            </w:r>
          </w:p>
        </w:tc>
        <w:tc>
          <w:tcPr>
            <w:tcW w:w="1030" w:type="dxa"/>
            <w:tcBorders>
              <w:tl2br w:val="nil"/>
              <w:tr2bl w:val="nil"/>
            </w:tcBorders>
            <w:vAlign w:val="center"/>
          </w:tcPr>
          <w:p w14:paraId="4D8769BB">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5.67</w:t>
            </w:r>
          </w:p>
        </w:tc>
        <w:tc>
          <w:tcPr>
            <w:tcW w:w="1030" w:type="dxa"/>
            <w:tcBorders>
              <w:tl2br w:val="nil"/>
              <w:tr2bl w:val="nil"/>
            </w:tcBorders>
            <w:vAlign w:val="center"/>
          </w:tcPr>
          <w:p w14:paraId="4AE27E74">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5.90</w:t>
            </w:r>
          </w:p>
        </w:tc>
        <w:tc>
          <w:tcPr>
            <w:tcW w:w="1030" w:type="dxa"/>
            <w:tcBorders>
              <w:tl2br w:val="nil"/>
              <w:tr2bl w:val="nil"/>
            </w:tcBorders>
            <w:vAlign w:val="center"/>
          </w:tcPr>
          <w:p w14:paraId="1220A628">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6.72</w:t>
            </w:r>
          </w:p>
        </w:tc>
        <w:tc>
          <w:tcPr>
            <w:tcW w:w="1034" w:type="dxa"/>
            <w:tcBorders>
              <w:tl2br w:val="nil"/>
              <w:tr2bl w:val="nil"/>
            </w:tcBorders>
            <w:vAlign w:val="center"/>
          </w:tcPr>
          <w:p w14:paraId="2E7FF5DA">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7.49</w:t>
            </w:r>
          </w:p>
        </w:tc>
        <w:tc>
          <w:tcPr>
            <w:tcW w:w="764" w:type="dxa"/>
            <w:tcBorders>
              <w:tl2br w:val="nil"/>
              <w:tr2bl w:val="nil"/>
            </w:tcBorders>
            <w:vAlign w:val="center"/>
          </w:tcPr>
          <w:p w14:paraId="4416D606">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25</w:t>
            </w:r>
          </w:p>
        </w:tc>
      </w:tr>
      <w:tr w14:paraId="01A7A7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799" w:type="dxa"/>
            <w:tcBorders>
              <w:tl2br w:val="nil"/>
              <w:tr2bl w:val="nil"/>
            </w:tcBorders>
            <w:vAlign w:val="center"/>
          </w:tcPr>
          <w:p w14:paraId="7E218E9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lang w:val="en-US" w:eastAsia="zh-CN"/>
              </w:rPr>
              <w:t>汞</w:t>
            </w:r>
          </w:p>
        </w:tc>
        <w:tc>
          <w:tcPr>
            <w:tcW w:w="916" w:type="dxa"/>
            <w:tcBorders>
              <w:tl2br w:val="nil"/>
              <w:tr2bl w:val="nil"/>
            </w:tcBorders>
            <w:vAlign w:val="center"/>
          </w:tcPr>
          <w:p w14:paraId="407D6CD4">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Cs w:val="21"/>
                <w:highlight w:val="none"/>
                <w:lang w:val="en-US" w:eastAsia="zh-CN"/>
              </w:rPr>
              <w:t>mg/kg</w:t>
            </w:r>
          </w:p>
        </w:tc>
        <w:tc>
          <w:tcPr>
            <w:tcW w:w="1030" w:type="dxa"/>
            <w:tcBorders>
              <w:tl2br w:val="nil"/>
              <w:tr2bl w:val="nil"/>
            </w:tcBorders>
            <w:vAlign w:val="center"/>
          </w:tcPr>
          <w:p w14:paraId="190EF9F4">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0.041</w:t>
            </w:r>
          </w:p>
        </w:tc>
        <w:tc>
          <w:tcPr>
            <w:tcW w:w="1030" w:type="dxa"/>
            <w:tcBorders>
              <w:tl2br w:val="nil"/>
              <w:tr2bl w:val="nil"/>
            </w:tcBorders>
            <w:vAlign w:val="center"/>
          </w:tcPr>
          <w:p w14:paraId="0E44EC5F">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0.037</w:t>
            </w:r>
          </w:p>
        </w:tc>
        <w:tc>
          <w:tcPr>
            <w:tcW w:w="1030" w:type="dxa"/>
            <w:tcBorders>
              <w:tl2br w:val="nil"/>
              <w:tr2bl w:val="nil"/>
            </w:tcBorders>
            <w:vAlign w:val="center"/>
          </w:tcPr>
          <w:p w14:paraId="4AD0408B">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0.040</w:t>
            </w:r>
          </w:p>
        </w:tc>
        <w:tc>
          <w:tcPr>
            <w:tcW w:w="1030" w:type="dxa"/>
            <w:tcBorders>
              <w:tl2br w:val="nil"/>
              <w:tr2bl w:val="nil"/>
            </w:tcBorders>
            <w:vAlign w:val="center"/>
          </w:tcPr>
          <w:p w14:paraId="0A68FF35">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0.035</w:t>
            </w:r>
          </w:p>
        </w:tc>
        <w:tc>
          <w:tcPr>
            <w:tcW w:w="1030" w:type="dxa"/>
            <w:tcBorders>
              <w:tl2br w:val="nil"/>
              <w:tr2bl w:val="nil"/>
            </w:tcBorders>
            <w:vAlign w:val="center"/>
          </w:tcPr>
          <w:p w14:paraId="746702A3">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0.038</w:t>
            </w:r>
          </w:p>
        </w:tc>
        <w:tc>
          <w:tcPr>
            <w:tcW w:w="1034" w:type="dxa"/>
            <w:tcBorders>
              <w:tl2br w:val="nil"/>
              <w:tr2bl w:val="nil"/>
            </w:tcBorders>
            <w:vAlign w:val="center"/>
          </w:tcPr>
          <w:p w14:paraId="54B738A9">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0.026</w:t>
            </w:r>
          </w:p>
        </w:tc>
        <w:tc>
          <w:tcPr>
            <w:tcW w:w="764" w:type="dxa"/>
            <w:tcBorders>
              <w:tl2br w:val="nil"/>
              <w:tr2bl w:val="nil"/>
            </w:tcBorders>
            <w:vAlign w:val="center"/>
          </w:tcPr>
          <w:p w14:paraId="3723745D">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3.4</w:t>
            </w:r>
          </w:p>
        </w:tc>
      </w:tr>
      <w:tr w14:paraId="7CAAC6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799" w:type="dxa"/>
            <w:tcBorders>
              <w:tl2br w:val="nil"/>
              <w:tr2bl w:val="nil"/>
            </w:tcBorders>
            <w:vAlign w:val="center"/>
          </w:tcPr>
          <w:p w14:paraId="71ED0B2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lang w:val="en-US" w:eastAsia="zh-CN"/>
              </w:rPr>
              <w:t>铜</w:t>
            </w:r>
          </w:p>
        </w:tc>
        <w:tc>
          <w:tcPr>
            <w:tcW w:w="916" w:type="dxa"/>
            <w:tcBorders>
              <w:tl2br w:val="nil"/>
              <w:tr2bl w:val="nil"/>
            </w:tcBorders>
            <w:vAlign w:val="center"/>
          </w:tcPr>
          <w:p w14:paraId="40AC120B">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Cs w:val="21"/>
                <w:highlight w:val="none"/>
                <w:lang w:val="en-US" w:eastAsia="zh-CN"/>
              </w:rPr>
              <w:t>mg/kg</w:t>
            </w:r>
          </w:p>
        </w:tc>
        <w:tc>
          <w:tcPr>
            <w:tcW w:w="1030" w:type="dxa"/>
            <w:tcBorders>
              <w:tl2br w:val="nil"/>
              <w:tr2bl w:val="nil"/>
            </w:tcBorders>
            <w:vAlign w:val="center"/>
          </w:tcPr>
          <w:p w14:paraId="2A5D847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29</w:t>
            </w:r>
          </w:p>
        </w:tc>
        <w:tc>
          <w:tcPr>
            <w:tcW w:w="1030" w:type="dxa"/>
            <w:tcBorders>
              <w:tl2br w:val="nil"/>
              <w:tr2bl w:val="nil"/>
            </w:tcBorders>
            <w:vAlign w:val="center"/>
          </w:tcPr>
          <w:p w14:paraId="5DCE775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1030" w:type="dxa"/>
            <w:tcBorders>
              <w:tl2br w:val="nil"/>
              <w:tr2bl w:val="nil"/>
            </w:tcBorders>
            <w:vAlign w:val="center"/>
          </w:tcPr>
          <w:p w14:paraId="425EFAE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1030" w:type="dxa"/>
            <w:tcBorders>
              <w:tl2br w:val="nil"/>
              <w:tr2bl w:val="nil"/>
            </w:tcBorders>
            <w:vAlign w:val="center"/>
          </w:tcPr>
          <w:p w14:paraId="1E0066E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rPr>
            </w:pPr>
            <w:r>
              <w:rPr>
                <w:rFonts w:hint="eastAsia" w:ascii="Times New Roman" w:hAnsi="Times New Roman" w:eastAsia="宋体" w:cs="Times New Roman"/>
                <w:i w:val="0"/>
                <w:iCs w:val="0"/>
                <w:color w:val="auto"/>
                <w:kern w:val="0"/>
                <w:sz w:val="21"/>
                <w:szCs w:val="21"/>
                <w:highlight w:val="none"/>
                <w:u w:val="none"/>
                <w:lang w:val="en-US" w:eastAsia="zh-CN" w:bidi="ar"/>
              </w:rPr>
              <w:t>37</w:t>
            </w:r>
          </w:p>
        </w:tc>
        <w:tc>
          <w:tcPr>
            <w:tcW w:w="1030" w:type="dxa"/>
            <w:tcBorders>
              <w:tl2br w:val="nil"/>
              <w:tr2bl w:val="nil"/>
            </w:tcBorders>
            <w:vAlign w:val="center"/>
          </w:tcPr>
          <w:p w14:paraId="6775751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rPr>
            </w:pPr>
            <w:r>
              <w:rPr>
                <w:rFonts w:hint="eastAsia" w:ascii="Times New Roman" w:hAnsi="Times New Roman" w:eastAsia="宋体" w:cs="Times New Roman"/>
                <w:i w:val="0"/>
                <w:iCs w:val="0"/>
                <w:color w:val="auto"/>
                <w:kern w:val="0"/>
                <w:sz w:val="21"/>
                <w:szCs w:val="21"/>
                <w:highlight w:val="none"/>
                <w:u w:val="none"/>
                <w:lang w:val="en-US" w:eastAsia="zh-CN" w:bidi="ar"/>
              </w:rPr>
              <w:t>33</w:t>
            </w:r>
          </w:p>
        </w:tc>
        <w:tc>
          <w:tcPr>
            <w:tcW w:w="1034" w:type="dxa"/>
            <w:tcBorders>
              <w:tl2br w:val="nil"/>
              <w:tr2bl w:val="nil"/>
            </w:tcBorders>
            <w:vAlign w:val="center"/>
          </w:tcPr>
          <w:p w14:paraId="4F2A677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ascii="Times New Roman" w:hAnsi="Times New Roman" w:eastAsia="宋体" w:cs="Times New Roman"/>
                <w:i w:val="0"/>
                <w:iCs w:val="0"/>
                <w:color w:val="auto"/>
                <w:kern w:val="0"/>
                <w:sz w:val="21"/>
                <w:szCs w:val="21"/>
                <w:highlight w:val="none"/>
                <w:u w:val="none"/>
                <w:lang w:val="en-US" w:eastAsia="zh-CN" w:bidi="ar"/>
              </w:rPr>
              <w:t>7</w:t>
            </w:r>
          </w:p>
        </w:tc>
        <w:tc>
          <w:tcPr>
            <w:tcW w:w="764" w:type="dxa"/>
            <w:tcBorders>
              <w:tl2br w:val="nil"/>
              <w:tr2bl w:val="nil"/>
            </w:tcBorders>
            <w:vAlign w:val="center"/>
          </w:tcPr>
          <w:p w14:paraId="2142F517">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100</w:t>
            </w:r>
          </w:p>
        </w:tc>
      </w:tr>
      <w:bookmarkEnd w:id="1744"/>
      <w:tr w14:paraId="5C562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799" w:type="dxa"/>
            <w:tcBorders>
              <w:tl2br w:val="nil"/>
              <w:tr2bl w:val="nil"/>
            </w:tcBorders>
            <w:vAlign w:val="center"/>
          </w:tcPr>
          <w:p w14:paraId="5ED3DE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lang w:val="en-US" w:eastAsia="zh-CN"/>
              </w:rPr>
              <w:t>铅</w:t>
            </w:r>
          </w:p>
        </w:tc>
        <w:tc>
          <w:tcPr>
            <w:tcW w:w="916" w:type="dxa"/>
            <w:tcBorders>
              <w:tl2br w:val="nil"/>
              <w:tr2bl w:val="nil"/>
            </w:tcBorders>
            <w:vAlign w:val="center"/>
          </w:tcPr>
          <w:p w14:paraId="1FF70387">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Cs w:val="21"/>
                <w:highlight w:val="none"/>
                <w:lang w:val="en-US" w:eastAsia="zh-CN"/>
              </w:rPr>
              <w:t>mg/kg</w:t>
            </w:r>
          </w:p>
        </w:tc>
        <w:tc>
          <w:tcPr>
            <w:tcW w:w="1030" w:type="dxa"/>
            <w:tcBorders>
              <w:tl2br w:val="nil"/>
              <w:tr2bl w:val="nil"/>
            </w:tcBorders>
            <w:vAlign w:val="center"/>
          </w:tcPr>
          <w:p w14:paraId="7A0CC21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38</w:t>
            </w:r>
          </w:p>
        </w:tc>
        <w:tc>
          <w:tcPr>
            <w:tcW w:w="1030" w:type="dxa"/>
            <w:tcBorders>
              <w:tl2br w:val="nil"/>
              <w:tr2bl w:val="nil"/>
            </w:tcBorders>
            <w:vAlign w:val="center"/>
          </w:tcPr>
          <w:p w14:paraId="338DF56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4</w:t>
            </w:r>
            <w:r>
              <w:rPr>
                <w:rFonts w:hint="eastAsia" w:ascii="Times New Roman" w:hAnsi="Times New Roman" w:eastAsia="宋体" w:cs="Times New Roman"/>
                <w:color w:val="auto"/>
                <w:kern w:val="2"/>
                <w:sz w:val="21"/>
                <w:szCs w:val="21"/>
                <w:highlight w:val="none"/>
                <w:lang w:val="en-US" w:eastAsia="zh-CN" w:bidi="ar-SA"/>
              </w:rPr>
              <w:t>9</w:t>
            </w:r>
          </w:p>
        </w:tc>
        <w:tc>
          <w:tcPr>
            <w:tcW w:w="1030" w:type="dxa"/>
            <w:tcBorders>
              <w:tl2br w:val="nil"/>
              <w:tr2bl w:val="nil"/>
            </w:tcBorders>
            <w:vAlign w:val="center"/>
          </w:tcPr>
          <w:p w14:paraId="1F84593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3</w:t>
            </w:r>
            <w:r>
              <w:rPr>
                <w:rFonts w:hint="eastAsia" w:ascii="Times New Roman" w:hAnsi="Times New Roman" w:eastAsia="宋体" w:cs="Times New Roman"/>
                <w:color w:val="auto"/>
                <w:kern w:val="2"/>
                <w:sz w:val="21"/>
                <w:szCs w:val="21"/>
                <w:highlight w:val="none"/>
                <w:lang w:val="en-US" w:eastAsia="zh-CN" w:bidi="ar-SA"/>
              </w:rPr>
              <w:t>1</w:t>
            </w:r>
          </w:p>
        </w:tc>
        <w:tc>
          <w:tcPr>
            <w:tcW w:w="1030" w:type="dxa"/>
            <w:tcBorders>
              <w:tl2br w:val="nil"/>
              <w:tr2bl w:val="nil"/>
            </w:tcBorders>
            <w:vAlign w:val="center"/>
          </w:tcPr>
          <w:p w14:paraId="217720A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43</w:t>
            </w:r>
          </w:p>
        </w:tc>
        <w:tc>
          <w:tcPr>
            <w:tcW w:w="1030" w:type="dxa"/>
            <w:tcBorders>
              <w:tl2br w:val="nil"/>
              <w:tr2bl w:val="nil"/>
            </w:tcBorders>
            <w:vAlign w:val="center"/>
          </w:tcPr>
          <w:p w14:paraId="54604B4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3</w:t>
            </w:r>
            <w:r>
              <w:rPr>
                <w:rFonts w:hint="eastAsia" w:ascii="Times New Roman" w:hAnsi="Times New Roman" w:eastAsia="宋体" w:cs="Times New Roman"/>
                <w:color w:val="auto"/>
                <w:kern w:val="2"/>
                <w:sz w:val="21"/>
                <w:szCs w:val="21"/>
                <w:highlight w:val="none"/>
                <w:lang w:val="en-US" w:eastAsia="zh-CN" w:bidi="ar-SA"/>
              </w:rPr>
              <w:t>4</w:t>
            </w:r>
          </w:p>
        </w:tc>
        <w:tc>
          <w:tcPr>
            <w:tcW w:w="1034" w:type="dxa"/>
            <w:tcBorders>
              <w:tl2br w:val="nil"/>
              <w:tr2bl w:val="nil"/>
            </w:tcBorders>
            <w:vAlign w:val="center"/>
          </w:tcPr>
          <w:p w14:paraId="0D5A476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57</w:t>
            </w:r>
          </w:p>
        </w:tc>
        <w:tc>
          <w:tcPr>
            <w:tcW w:w="764" w:type="dxa"/>
            <w:tcBorders>
              <w:tl2br w:val="nil"/>
              <w:tr2bl w:val="nil"/>
            </w:tcBorders>
            <w:vAlign w:val="center"/>
          </w:tcPr>
          <w:p w14:paraId="671FABFB">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170</w:t>
            </w:r>
          </w:p>
        </w:tc>
      </w:tr>
      <w:tr w14:paraId="08237A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799" w:type="dxa"/>
            <w:tcBorders>
              <w:tl2br w:val="nil"/>
              <w:tr2bl w:val="nil"/>
            </w:tcBorders>
            <w:vAlign w:val="center"/>
          </w:tcPr>
          <w:p w14:paraId="57828BA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lang w:val="en-US" w:eastAsia="zh-CN"/>
              </w:rPr>
              <w:t>镉</w:t>
            </w:r>
          </w:p>
        </w:tc>
        <w:tc>
          <w:tcPr>
            <w:tcW w:w="916" w:type="dxa"/>
            <w:tcBorders>
              <w:tl2br w:val="nil"/>
              <w:tr2bl w:val="nil"/>
            </w:tcBorders>
            <w:vAlign w:val="center"/>
          </w:tcPr>
          <w:p w14:paraId="7A78292D">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Cs w:val="21"/>
                <w:highlight w:val="none"/>
                <w:lang w:val="en-US" w:eastAsia="zh-CN"/>
              </w:rPr>
              <w:t>mg/kg</w:t>
            </w:r>
          </w:p>
        </w:tc>
        <w:tc>
          <w:tcPr>
            <w:tcW w:w="1030" w:type="dxa"/>
            <w:tcBorders>
              <w:tl2br w:val="nil"/>
              <w:tr2bl w:val="nil"/>
            </w:tcBorders>
            <w:vAlign w:val="center"/>
          </w:tcPr>
          <w:p w14:paraId="1F02F4C3">
            <w:pPr>
              <w:pStyle w:val="8"/>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0.08</w:t>
            </w:r>
          </w:p>
        </w:tc>
        <w:tc>
          <w:tcPr>
            <w:tcW w:w="1030" w:type="dxa"/>
            <w:tcBorders>
              <w:tl2br w:val="nil"/>
              <w:tr2bl w:val="nil"/>
            </w:tcBorders>
            <w:vAlign w:val="center"/>
          </w:tcPr>
          <w:p w14:paraId="4F9DA8D9">
            <w:pPr>
              <w:pStyle w:val="8"/>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0.08</w:t>
            </w:r>
          </w:p>
        </w:tc>
        <w:tc>
          <w:tcPr>
            <w:tcW w:w="1030" w:type="dxa"/>
            <w:tcBorders>
              <w:tl2br w:val="nil"/>
              <w:tr2bl w:val="nil"/>
            </w:tcBorders>
            <w:vAlign w:val="center"/>
          </w:tcPr>
          <w:p w14:paraId="189B3D91">
            <w:pPr>
              <w:pStyle w:val="8"/>
              <w:widowControl w:val="0"/>
              <w:jc w:val="center"/>
              <w:rPr>
                <w:rFonts w:hint="default" w:ascii="Times New Roman" w:hAnsi="Times New Roman" w:eastAsia="宋体" w:cs="Times New Roman"/>
                <w:color w:val="auto"/>
                <w:sz w:val="21"/>
                <w:szCs w:val="21"/>
                <w:highlight w:val="none"/>
                <w:vertAlign w:val="baseli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0.04</w:t>
            </w:r>
          </w:p>
        </w:tc>
        <w:tc>
          <w:tcPr>
            <w:tcW w:w="1030" w:type="dxa"/>
            <w:tcBorders>
              <w:tl2br w:val="nil"/>
              <w:tr2bl w:val="nil"/>
            </w:tcBorders>
            <w:vAlign w:val="center"/>
          </w:tcPr>
          <w:p w14:paraId="760A8D9A">
            <w:pPr>
              <w:pStyle w:val="8"/>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0.08</w:t>
            </w:r>
          </w:p>
        </w:tc>
        <w:tc>
          <w:tcPr>
            <w:tcW w:w="1030" w:type="dxa"/>
            <w:tcBorders>
              <w:tl2br w:val="nil"/>
              <w:tr2bl w:val="nil"/>
            </w:tcBorders>
            <w:vAlign w:val="center"/>
          </w:tcPr>
          <w:p w14:paraId="65E7DF33">
            <w:pPr>
              <w:pStyle w:val="8"/>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0.08</w:t>
            </w:r>
          </w:p>
        </w:tc>
        <w:tc>
          <w:tcPr>
            <w:tcW w:w="1034" w:type="dxa"/>
            <w:tcBorders>
              <w:tl2br w:val="nil"/>
              <w:tr2bl w:val="nil"/>
            </w:tcBorders>
            <w:vAlign w:val="center"/>
          </w:tcPr>
          <w:p w14:paraId="3FC1353B">
            <w:pPr>
              <w:pStyle w:val="8"/>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0.04</w:t>
            </w:r>
          </w:p>
        </w:tc>
        <w:tc>
          <w:tcPr>
            <w:tcW w:w="764" w:type="dxa"/>
            <w:tcBorders>
              <w:tl2br w:val="nil"/>
              <w:tr2bl w:val="nil"/>
            </w:tcBorders>
            <w:vAlign w:val="center"/>
          </w:tcPr>
          <w:p w14:paraId="2B2C065B">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0.6</w:t>
            </w:r>
          </w:p>
        </w:tc>
      </w:tr>
      <w:tr w14:paraId="624ECC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799" w:type="dxa"/>
            <w:tcBorders>
              <w:tl2br w:val="nil"/>
              <w:tr2bl w:val="nil"/>
            </w:tcBorders>
            <w:vAlign w:val="center"/>
          </w:tcPr>
          <w:p w14:paraId="54E640B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lang w:val="en-US" w:eastAsia="zh-CN"/>
              </w:rPr>
              <w:t>镍</w:t>
            </w:r>
          </w:p>
        </w:tc>
        <w:tc>
          <w:tcPr>
            <w:tcW w:w="916" w:type="dxa"/>
            <w:tcBorders>
              <w:tl2br w:val="nil"/>
              <w:tr2bl w:val="nil"/>
            </w:tcBorders>
            <w:vAlign w:val="center"/>
          </w:tcPr>
          <w:p w14:paraId="078AD7EE">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Cs w:val="21"/>
                <w:highlight w:val="none"/>
                <w:lang w:val="en-US" w:eastAsia="zh-CN"/>
              </w:rPr>
              <w:t>mg/kg</w:t>
            </w:r>
          </w:p>
        </w:tc>
        <w:tc>
          <w:tcPr>
            <w:tcW w:w="1030" w:type="dxa"/>
            <w:tcBorders>
              <w:tl2br w:val="nil"/>
              <w:tr2bl w:val="nil"/>
            </w:tcBorders>
            <w:vAlign w:val="center"/>
          </w:tcPr>
          <w:p w14:paraId="2416CF9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1030" w:type="dxa"/>
            <w:tcBorders>
              <w:tl2br w:val="nil"/>
              <w:tr2bl w:val="nil"/>
            </w:tcBorders>
            <w:vAlign w:val="center"/>
          </w:tcPr>
          <w:p w14:paraId="3178461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1030" w:type="dxa"/>
            <w:tcBorders>
              <w:tl2br w:val="nil"/>
              <w:tr2bl w:val="nil"/>
            </w:tcBorders>
            <w:vAlign w:val="center"/>
          </w:tcPr>
          <w:p w14:paraId="607CFD7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1030" w:type="dxa"/>
            <w:tcBorders>
              <w:tl2br w:val="nil"/>
              <w:tr2bl w:val="nil"/>
            </w:tcBorders>
            <w:vAlign w:val="center"/>
          </w:tcPr>
          <w:p w14:paraId="34CD759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rPr>
            </w:pPr>
            <w:r>
              <w:rPr>
                <w:rFonts w:hint="eastAsia" w:ascii="Times New Roman" w:hAnsi="Times New Roman" w:eastAsia="宋体" w:cs="Times New Roman"/>
                <w:i w:val="0"/>
                <w:iCs w:val="0"/>
                <w:color w:val="auto"/>
                <w:kern w:val="0"/>
                <w:sz w:val="21"/>
                <w:szCs w:val="21"/>
                <w:highlight w:val="none"/>
                <w:u w:val="none"/>
                <w:lang w:val="en-US" w:eastAsia="zh-CN" w:bidi="ar"/>
              </w:rPr>
              <w:t>30</w:t>
            </w:r>
          </w:p>
        </w:tc>
        <w:tc>
          <w:tcPr>
            <w:tcW w:w="1030" w:type="dxa"/>
            <w:tcBorders>
              <w:tl2br w:val="nil"/>
              <w:tr2bl w:val="nil"/>
            </w:tcBorders>
            <w:vAlign w:val="center"/>
          </w:tcPr>
          <w:p w14:paraId="20DF35B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ascii="Times New Roman" w:hAnsi="Times New Roman" w:eastAsia="宋体" w:cs="Times New Roman"/>
                <w:i w:val="0"/>
                <w:iCs w:val="0"/>
                <w:color w:val="auto"/>
                <w:kern w:val="0"/>
                <w:sz w:val="21"/>
                <w:szCs w:val="21"/>
                <w:highlight w:val="none"/>
                <w:u w:val="none"/>
                <w:lang w:val="en-US" w:eastAsia="zh-CN" w:bidi="ar"/>
              </w:rPr>
              <w:t>1</w:t>
            </w:r>
          </w:p>
        </w:tc>
        <w:tc>
          <w:tcPr>
            <w:tcW w:w="1034" w:type="dxa"/>
            <w:tcBorders>
              <w:tl2br w:val="nil"/>
              <w:tr2bl w:val="nil"/>
            </w:tcBorders>
            <w:vAlign w:val="center"/>
          </w:tcPr>
          <w:p w14:paraId="22D7D9E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rPr>
            </w:pPr>
            <w:r>
              <w:rPr>
                <w:rFonts w:hint="eastAsia" w:ascii="Times New Roman" w:hAnsi="Times New Roman" w:eastAsia="宋体" w:cs="Times New Roman"/>
                <w:i w:val="0"/>
                <w:iCs w:val="0"/>
                <w:color w:val="auto"/>
                <w:kern w:val="0"/>
                <w:sz w:val="21"/>
                <w:szCs w:val="21"/>
                <w:highlight w:val="none"/>
                <w:u w:val="none"/>
                <w:lang w:val="en-US" w:eastAsia="zh-CN" w:bidi="ar"/>
              </w:rPr>
              <w:t>18</w:t>
            </w:r>
          </w:p>
        </w:tc>
        <w:tc>
          <w:tcPr>
            <w:tcW w:w="764" w:type="dxa"/>
            <w:tcBorders>
              <w:tl2br w:val="nil"/>
              <w:tr2bl w:val="nil"/>
            </w:tcBorders>
            <w:vAlign w:val="center"/>
          </w:tcPr>
          <w:p w14:paraId="4C000BCC">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190</w:t>
            </w:r>
          </w:p>
        </w:tc>
      </w:tr>
      <w:tr w14:paraId="4D1B30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799" w:type="dxa"/>
            <w:tcBorders>
              <w:tl2br w:val="nil"/>
              <w:tr2bl w:val="nil"/>
            </w:tcBorders>
            <w:vAlign w:val="center"/>
          </w:tcPr>
          <w:p w14:paraId="74E37B2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lang w:val="en-US" w:eastAsia="zh-CN"/>
              </w:rPr>
              <w:t>铬</w:t>
            </w:r>
          </w:p>
        </w:tc>
        <w:tc>
          <w:tcPr>
            <w:tcW w:w="916" w:type="dxa"/>
            <w:tcBorders>
              <w:tl2br w:val="nil"/>
              <w:tr2bl w:val="nil"/>
            </w:tcBorders>
            <w:vAlign w:val="center"/>
          </w:tcPr>
          <w:p w14:paraId="267A113B">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Cs w:val="21"/>
                <w:highlight w:val="none"/>
                <w:lang w:val="en-US" w:eastAsia="zh-CN"/>
              </w:rPr>
              <w:t>mg/kg</w:t>
            </w:r>
          </w:p>
        </w:tc>
        <w:tc>
          <w:tcPr>
            <w:tcW w:w="1030" w:type="dxa"/>
            <w:tcBorders>
              <w:tl2br w:val="nil"/>
              <w:tr2bl w:val="nil"/>
            </w:tcBorders>
            <w:vAlign w:val="center"/>
          </w:tcPr>
          <w:p w14:paraId="6BE2DD95">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60</w:t>
            </w:r>
          </w:p>
        </w:tc>
        <w:tc>
          <w:tcPr>
            <w:tcW w:w="1030" w:type="dxa"/>
            <w:tcBorders>
              <w:tl2br w:val="nil"/>
              <w:tr2bl w:val="nil"/>
            </w:tcBorders>
            <w:vAlign w:val="center"/>
          </w:tcPr>
          <w:p w14:paraId="5318D27C">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5</w:t>
            </w:r>
            <w:r>
              <w:rPr>
                <w:rFonts w:hint="eastAsia" w:ascii="Times New Roman" w:hAnsi="Times New Roman" w:eastAsia="宋体" w:cs="Times New Roman"/>
                <w:color w:val="auto"/>
                <w:kern w:val="2"/>
                <w:sz w:val="21"/>
                <w:szCs w:val="21"/>
                <w:highlight w:val="none"/>
                <w:lang w:val="en-US" w:eastAsia="zh-CN" w:bidi="ar-SA"/>
              </w:rPr>
              <w:t>8</w:t>
            </w:r>
          </w:p>
        </w:tc>
        <w:tc>
          <w:tcPr>
            <w:tcW w:w="1030" w:type="dxa"/>
            <w:tcBorders>
              <w:tl2br w:val="nil"/>
              <w:tr2bl w:val="nil"/>
            </w:tcBorders>
            <w:vAlign w:val="center"/>
          </w:tcPr>
          <w:p w14:paraId="5C594793">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7</w:t>
            </w:r>
            <w:r>
              <w:rPr>
                <w:rFonts w:hint="eastAsia" w:ascii="Times New Roman" w:hAnsi="Times New Roman" w:eastAsia="宋体" w:cs="Times New Roman"/>
                <w:color w:val="auto"/>
                <w:kern w:val="2"/>
                <w:sz w:val="21"/>
                <w:szCs w:val="21"/>
                <w:highlight w:val="none"/>
                <w:lang w:val="en-US" w:eastAsia="zh-CN" w:bidi="ar-SA"/>
              </w:rPr>
              <w:t>4</w:t>
            </w:r>
          </w:p>
        </w:tc>
        <w:tc>
          <w:tcPr>
            <w:tcW w:w="1030" w:type="dxa"/>
            <w:tcBorders>
              <w:tl2br w:val="nil"/>
              <w:tr2bl w:val="nil"/>
            </w:tcBorders>
            <w:vAlign w:val="center"/>
          </w:tcPr>
          <w:p w14:paraId="6FB240A1">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75</w:t>
            </w:r>
            <w:bookmarkStart w:id="1745" w:name="OLE_LINK901"/>
            <w:r>
              <w:rPr>
                <w:rFonts w:hint="default" w:ascii="Times New Roman" w:hAnsi="Times New Roman" w:eastAsia="宋体" w:cs="Times New Roman"/>
                <w:color w:val="auto"/>
                <w:kern w:val="2"/>
                <w:sz w:val="21"/>
                <w:szCs w:val="21"/>
                <w:highlight w:val="none"/>
                <w:lang w:val="en-US" w:eastAsia="zh-CN" w:bidi="ar-SA"/>
              </w:rPr>
              <w:t>.1</w:t>
            </w:r>
            <w:bookmarkEnd w:id="1745"/>
          </w:p>
        </w:tc>
        <w:tc>
          <w:tcPr>
            <w:tcW w:w="1030" w:type="dxa"/>
            <w:tcBorders>
              <w:tl2br w:val="nil"/>
              <w:tr2bl w:val="nil"/>
            </w:tcBorders>
            <w:vAlign w:val="center"/>
          </w:tcPr>
          <w:p w14:paraId="6F02FA9D">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73</w:t>
            </w:r>
          </w:p>
        </w:tc>
        <w:tc>
          <w:tcPr>
            <w:tcW w:w="1034" w:type="dxa"/>
            <w:tcBorders>
              <w:tl2br w:val="nil"/>
              <w:tr2bl w:val="nil"/>
            </w:tcBorders>
            <w:vAlign w:val="center"/>
          </w:tcPr>
          <w:p w14:paraId="0EE6E3F1">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en-US" w:eastAsia="zh-CN" w:bidi="ar-SA"/>
              </w:rPr>
              <w:t>55</w:t>
            </w:r>
          </w:p>
        </w:tc>
        <w:tc>
          <w:tcPr>
            <w:tcW w:w="764" w:type="dxa"/>
            <w:tcBorders>
              <w:tl2br w:val="nil"/>
              <w:tr2bl w:val="nil"/>
            </w:tcBorders>
            <w:vAlign w:val="center"/>
          </w:tcPr>
          <w:p w14:paraId="02829C8D">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250</w:t>
            </w:r>
          </w:p>
        </w:tc>
      </w:tr>
      <w:tr w14:paraId="302CF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799" w:type="dxa"/>
            <w:tcBorders>
              <w:tl2br w:val="nil"/>
              <w:tr2bl w:val="nil"/>
            </w:tcBorders>
            <w:vAlign w:val="center"/>
          </w:tcPr>
          <w:p w14:paraId="45F01F7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lang w:val="en-US" w:eastAsia="zh-CN"/>
              </w:rPr>
              <w:t>锌</w:t>
            </w:r>
          </w:p>
        </w:tc>
        <w:tc>
          <w:tcPr>
            <w:tcW w:w="916" w:type="dxa"/>
            <w:tcBorders>
              <w:tl2br w:val="nil"/>
              <w:tr2bl w:val="nil"/>
            </w:tcBorders>
            <w:vAlign w:val="center"/>
          </w:tcPr>
          <w:p w14:paraId="57BDC87C">
            <w:pPr>
              <w:widowControl w:val="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Cs w:val="21"/>
                <w:highlight w:val="none"/>
                <w:lang w:val="en-US" w:eastAsia="zh-CN"/>
              </w:rPr>
              <w:t>mg/kg</w:t>
            </w:r>
          </w:p>
        </w:tc>
        <w:tc>
          <w:tcPr>
            <w:tcW w:w="1030" w:type="dxa"/>
            <w:tcBorders>
              <w:tl2br w:val="nil"/>
              <w:tr2bl w:val="nil"/>
            </w:tcBorders>
            <w:vAlign w:val="center"/>
          </w:tcPr>
          <w:p w14:paraId="79E2EA2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112</w:t>
            </w:r>
          </w:p>
        </w:tc>
        <w:tc>
          <w:tcPr>
            <w:tcW w:w="1030" w:type="dxa"/>
            <w:tcBorders>
              <w:tl2br w:val="nil"/>
              <w:tr2bl w:val="nil"/>
            </w:tcBorders>
            <w:vAlign w:val="center"/>
          </w:tcPr>
          <w:p w14:paraId="3F26716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111</w:t>
            </w:r>
          </w:p>
        </w:tc>
        <w:tc>
          <w:tcPr>
            <w:tcW w:w="1030" w:type="dxa"/>
            <w:tcBorders>
              <w:tl2br w:val="nil"/>
              <w:tr2bl w:val="nil"/>
            </w:tcBorders>
            <w:vAlign w:val="center"/>
          </w:tcPr>
          <w:p w14:paraId="369A31B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82</w:t>
            </w:r>
          </w:p>
        </w:tc>
        <w:tc>
          <w:tcPr>
            <w:tcW w:w="1030" w:type="dxa"/>
            <w:tcBorders>
              <w:tl2br w:val="nil"/>
              <w:tr2bl w:val="nil"/>
            </w:tcBorders>
            <w:vAlign w:val="center"/>
          </w:tcPr>
          <w:p w14:paraId="7CD4EDE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112</w:t>
            </w:r>
          </w:p>
        </w:tc>
        <w:tc>
          <w:tcPr>
            <w:tcW w:w="1030" w:type="dxa"/>
            <w:tcBorders>
              <w:tl2br w:val="nil"/>
              <w:tr2bl w:val="nil"/>
            </w:tcBorders>
            <w:vAlign w:val="center"/>
          </w:tcPr>
          <w:p w14:paraId="63680F7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111</w:t>
            </w:r>
          </w:p>
        </w:tc>
        <w:tc>
          <w:tcPr>
            <w:tcW w:w="1034" w:type="dxa"/>
            <w:tcBorders>
              <w:tl2br w:val="nil"/>
              <w:tr2bl w:val="nil"/>
            </w:tcBorders>
            <w:vAlign w:val="center"/>
          </w:tcPr>
          <w:p w14:paraId="38CB82D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i w:val="0"/>
                <w:iCs w:val="0"/>
                <w:color w:val="auto"/>
                <w:kern w:val="0"/>
                <w:sz w:val="21"/>
                <w:szCs w:val="21"/>
                <w:highlight w:val="none"/>
                <w:u w:val="none"/>
                <w:lang w:val="en-US" w:eastAsia="zh-CN" w:bidi="ar"/>
              </w:rPr>
              <w:t>82</w:t>
            </w:r>
          </w:p>
        </w:tc>
        <w:tc>
          <w:tcPr>
            <w:tcW w:w="764" w:type="dxa"/>
            <w:tcBorders>
              <w:tl2br w:val="nil"/>
              <w:tr2bl w:val="nil"/>
            </w:tcBorders>
            <w:vAlign w:val="center"/>
          </w:tcPr>
          <w:p w14:paraId="7DE960CD">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300</w:t>
            </w:r>
          </w:p>
        </w:tc>
      </w:tr>
    </w:tbl>
    <w:p w14:paraId="3172A3E9">
      <w:pPr>
        <w:keepNext w:val="0"/>
        <w:keepLines w:val="0"/>
        <w:pageBreakBefore w:val="0"/>
        <w:widowControl/>
        <w:kinsoku/>
        <w:wordWrap/>
        <w:overflowPunct/>
        <w:topLinePunct w:val="0"/>
        <w:autoSpaceDE w:val="0"/>
        <w:autoSpaceDN w:val="0"/>
        <w:bidi w:val="0"/>
        <w:adjustRightInd w:val="0"/>
        <w:snapToGrid w:val="0"/>
        <w:spacing w:before="36" w:line="344" w:lineRule="auto"/>
        <w:ind w:left="45" w:right="34" w:firstLine="482"/>
        <w:textAlignment w:val="baseline"/>
        <w:rPr>
          <w:rFonts w:ascii="宋体" w:hAnsi="宋体" w:eastAsia="宋体" w:cs="宋体"/>
          <w:color w:val="auto"/>
          <w:sz w:val="24"/>
          <w:szCs w:val="24"/>
          <w:highlight w:val="none"/>
        </w:rPr>
      </w:pPr>
      <w:bookmarkStart w:id="1746" w:name="sys12152076"/>
      <w:r>
        <w:rPr>
          <w:rFonts w:ascii="宋体" w:hAnsi="宋体" w:eastAsia="宋体" w:cs="宋体"/>
          <w:color w:val="auto"/>
          <w:sz w:val="24"/>
          <w:szCs w:val="24"/>
          <w:highlight w:val="none"/>
        </w:rPr>
        <w:t>结果表明，底泥中各指标均符合《土壤环境质量</w:t>
      </w:r>
      <w:r>
        <w:rPr>
          <w:rFonts w:hint="eastAsia" w:ascii="宋体" w:hAnsi="宋体" w:eastAsia="宋体" w:cs="宋体"/>
          <w:color w:val="auto"/>
          <w:sz w:val="24"/>
          <w:szCs w:val="24"/>
          <w:highlight w:val="none"/>
          <w:lang w:val="en-US" w:eastAsia="zh-CN"/>
        </w:rPr>
        <w:t xml:space="preserve"> </w:t>
      </w:r>
      <w:r>
        <w:rPr>
          <w:rFonts w:ascii="宋体" w:hAnsi="宋体" w:eastAsia="宋体" w:cs="宋体"/>
          <w:color w:val="auto"/>
          <w:sz w:val="24"/>
          <w:szCs w:val="24"/>
          <w:highlight w:val="none"/>
        </w:rPr>
        <w:t>农用地土壤污染风险管控</w:t>
      </w:r>
      <w:r>
        <w:rPr>
          <w:rFonts w:ascii="宋体" w:hAnsi="宋体" w:eastAsia="宋体" w:cs="宋体"/>
          <w:color w:val="auto"/>
          <w:spacing w:val="-8"/>
          <w:sz w:val="24"/>
          <w:szCs w:val="24"/>
          <w:highlight w:val="none"/>
        </w:rPr>
        <w:t>标准（试行）》</w:t>
      </w:r>
      <w:r>
        <w:rPr>
          <w:rFonts w:hint="eastAsia" w:ascii="Times New Roman" w:hAnsi="Times New Roman" w:eastAsia="宋体" w:cs="Times New Roman"/>
          <w:color w:val="auto"/>
          <w:spacing w:val="-8"/>
          <w:sz w:val="24"/>
          <w:szCs w:val="24"/>
          <w:highlight w:val="none"/>
          <w:lang w:eastAsia="zh-CN"/>
        </w:rPr>
        <w:t>（</w:t>
      </w:r>
      <w:r>
        <w:rPr>
          <w:rFonts w:ascii="Times New Roman" w:hAnsi="Times New Roman" w:eastAsia="Times New Roman" w:cs="Times New Roman"/>
          <w:color w:val="auto"/>
          <w:spacing w:val="-8"/>
          <w:sz w:val="24"/>
          <w:szCs w:val="24"/>
          <w:highlight w:val="none"/>
        </w:rPr>
        <w:t>GB15618-2018</w:t>
      </w:r>
      <w:r>
        <w:rPr>
          <w:rFonts w:hint="eastAsia" w:ascii="Times New Roman" w:hAnsi="Times New Roman" w:eastAsia="宋体" w:cs="Times New Roman"/>
          <w:color w:val="auto"/>
          <w:spacing w:val="-8"/>
          <w:sz w:val="24"/>
          <w:szCs w:val="24"/>
          <w:highlight w:val="none"/>
          <w:lang w:eastAsia="zh-CN"/>
        </w:rPr>
        <w:t>）</w:t>
      </w:r>
      <w:r>
        <w:rPr>
          <w:rFonts w:ascii="宋体" w:hAnsi="宋体" w:eastAsia="宋体" w:cs="宋体"/>
          <w:color w:val="auto"/>
          <w:spacing w:val="-8"/>
          <w:sz w:val="24"/>
          <w:szCs w:val="24"/>
          <w:highlight w:val="none"/>
        </w:rPr>
        <w:t>中风险筛选值，表明区内底泥环境质</w:t>
      </w:r>
      <w:r>
        <w:rPr>
          <w:rFonts w:ascii="宋体" w:hAnsi="宋体" w:eastAsia="宋体" w:cs="宋体"/>
          <w:color w:val="auto"/>
          <w:spacing w:val="-9"/>
          <w:sz w:val="24"/>
          <w:szCs w:val="24"/>
          <w:highlight w:val="none"/>
        </w:rPr>
        <w:t>量现状较好。</w:t>
      </w:r>
      <w:bookmarkEnd w:id="1746"/>
    </w:p>
    <w:p w14:paraId="139D1853">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1"/>
        <w:rPr>
          <w:rFonts w:ascii="Times New Roman" w:hAnsi="Times New Roman" w:eastAsia="Times New Roman" w:cs="Times New Roman"/>
          <w:b/>
          <w:bCs/>
          <w:color w:val="auto"/>
          <w:spacing w:val="-3"/>
          <w:sz w:val="24"/>
          <w:szCs w:val="24"/>
          <w:highlight w:val="none"/>
        </w:rPr>
      </w:pPr>
      <w:bookmarkStart w:id="1747" w:name="bookmark59"/>
      <w:bookmarkEnd w:id="1747"/>
      <w:bookmarkStart w:id="1748" w:name="_Toc5257"/>
      <w:r>
        <w:rPr>
          <w:rFonts w:ascii="Times New Roman" w:hAnsi="Times New Roman" w:eastAsia="Times New Roman" w:cs="Times New Roman"/>
          <w:b/>
          <w:bCs/>
          <w:color w:val="auto"/>
          <w:spacing w:val="-3"/>
          <w:sz w:val="24"/>
          <w:szCs w:val="24"/>
          <w:highlight w:val="none"/>
        </w:rPr>
        <w:t>6.4环保基础设施现状</w:t>
      </w:r>
      <w:bookmarkEnd w:id="1748"/>
      <w:bookmarkStart w:id="1749" w:name="pindex12153"/>
      <w:bookmarkEnd w:id="1749"/>
    </w:p>
    <w:p w14:paraId="41DA2D86">
      <w:pPr>
        <w:keepNext w:val="0"/>
        <w:keepLines w:val="0"/>
        <w:pageBreakBefore w:val="0"/>
        <w:widowControl/>
        <w:kinsoku w:val="0"/>
        <w:wordWrap/>
        <w:overflowPunct/>
        <w:topLinePunct w:val="0"/>
        <w:autoSpaceDE w:val="0"/>
        <w:autoSpaceDN w:val="0"/>
        <w:bidi w:val="0"/>
        <w:adjustRightInd w:val="0"/>
        <w:snapToGrid w:val="0"/>
        <w:spacing w:before="36" w:line="360" w:lineRule="auto"/>
        <w:ind w:firstLine="468" w:firstLineChars="200"/>
        <w:textAlignment w:val="baseline"/>
        <w:outlineLvl w:val="9"/>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经过多年建设，开发区污水处理厂、供热、供气、供电、</w:t>
      </w:r>
      <w:r>
        <w:rPr>
          <w:rFonts w:ascii="宋体" w:hAnsi="宋体" w:eastAsia="宋体" w:cs="宋体"/>
          <w:color w:val="auto"/>
          <w:spacing w:val="-4"/>
          <w:sz w:val="24"/>
          <w:szCs w:val="24"/>
          <w:highlight w:val="none"/>
        </w:rPr>
        <w:t>固废处置、给排水</w:t>
      </w:r>
      <w:r>
        <w:rPr>
          <w:rFonts w:ascii="宋体" w:hAnsi="宋体" w:eastAsia="宋体" w:cs="宋体"/>
          <w:color w:val="auto"/>
          <w:spacing w:val="-1"/>
          <w:sz w:val="24"/>
          <w:szCs w:val="24"/>
          <w:highlight w:val="none"/>
        </w:rPr>
        <w:t>管网（含雨水管网）和道路等基础设施较为完善，见表</w:t>
      </w:r>
      <w:r>
        <w:rPr>
          <w:rFonts w:ascii="Times New Roman" w:hAnsi="Times New Roman" w:eastAsia="Times New Roman" w:cs="Times New Roman"/>
          <w:color w:val="auto"/>
          <w:spacing w:val="-1"/>
          <w:sz w:val="24"/>
          <w:szCs w:val="24"/>
          <w:highlight w:val="none"/>
        </w:rPr>
        <w:t>6.4-1</w:t>
      </w:r>
      <w:r>
        <w:rPr>
          <w:rFonts w:ascii="宋体" w:hAnsi="宋体" w:eastAsia="宋体" w:cs="宋体"/>
          <w:color w:val="auto"/>
          <w:spacing w:val="-1"/>
          <w:sz w:val="24"/>
          <w:szCs w:val="24"/>
          <w:highlight w:val="none"/>
        </w:rPr>
        <w:t>。</w:t>
      </w:r>
    </w:p>
    <w:p w14:paraId="376A2DA2">
      <w:pPr>
        <w:keepNext w:val="0"/>
        <w:keepLines w:val="0"/>
        <w:pageBreakBefore w:val="0"/>
        <w:widowControl/>
        <w:kinsoku w:val="0"/>
        <w:wordWrap/>
        <w:overflowPunct/>
        <w:topLinePunct w:val="0"/>
        <w:autoSpaceDE w:val="0"/>
        <w:autoSpaceDN w:val="0"/>
        <w:bidi w:val="0"/>
        <w:adjustRightInd w:val="0"/>
        <w:snapToGrid w:val="0"/>
        <w:spacing w:before="34" w:line="240" w:lineRule="auto"/>
        <w:ind w:left="2353"/>
        <w:textAlignment w:val="baseline"/>
        <w:rPr>
          <w:rFonts w:ascii="宋体" w:hAnsi="宋体" w:eastAsia="宋体" w:cs="宋体"/>
          <w:color w:val="auto"/>
          <w:sz w:val="24"/>
          <w:szCs w:val="24"/>
          <w:highlight w:val="none"/>
        </w:rPr>
      </w:pPr>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6.4-1</w:t>
      </w:r>
      <w:r>
        <w:rPr>
          <w:rFonts w:hint="eastAsia" w:ascii="Times New Roman" w:hAnsi="Times New Roman" w:eastAsia="宋体" w:cs="Times New Roman"/>
          <w:b/>
          <w:bCs/>
          <w:color w:val="auto"/>
          <w:spacing w:val="-2"/>
          <w:sz w:val="24"/>
          <w:szCs w:val="24"/>
          <w:highlight w:val="none"/>
          <w:lang w:val="en-US" w:eastAsia="zh-CN"/>
        </w:rPr>
        <w:t xml:space="preserve">  </w:t>
      </w:r>
      <w:r>
        <w:rPr>
          <w:rFonts w:ascii="宋体" w:hAnsi="宋体" w:eastAsia="宋体" w:cs="宋体"/>
          <w:b/>
          <w:bCs/>
          <w:color w:val="auto"/>
          <w:spacing w:val="-2"/>
          <w:sz w:val="24"/>
          <w:szCs w:val="24"/>
          <w:highlight w:val="none"/>
        </w:rPr>
        <w:t>基础设施建设情况一览表</w:t>
      </w:r>
      <w:bookmarkStart w:id="1750" w:name="pindex12155"/>
      <w:bookmarkEnd w:id="1750"/>
    </w:p>
    <w:tbl>
      <w:tblPr>
        <w:tblStyle w:val="26"/>
        <w:tblW w:w="8216" w:type="dxa"/>
        <w:tblInd w:w="69" w:type="dxa"/>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0" w:type="dxa"/>
          <w:bottom w:w="0" w:type="dxa"/>
          <w:right w:w="0" w:type="dxa"/>
        </w:tblCellMar>
      </w:tblPr>
      <w:tblGrid>
        <w:gridCol w:w="7"/>
        <w:gridCol w:w="771"/>
        <w:gridCol w:w="1395"/>
        <w:gridCol w:w="8"/>
        <w:gridCol w:w="1048"/>
        <w:gridCol w:w="1970"/>
        <w:gridCol w:w="2018"/>
        <w:gridCol w:w="999"/>
      </w:tblGrid>
      <w:tr w14:paraId="4357AC62">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Before w:val="1"/>
          <w:wBefore w:w="7" w:type="dxa"/>
          <w:trHeight w:val="581" w:hRule="atLeast"/>
        </w:trPr>
        <w:tc>
          <w:tcPr>
            <w:tcW w:w="771" w:type="dxa"/>
            <w:tcBorders>
              <w:tl2br w:val="nil"/>
              <w:tr2bl w:val="nil"/>
            </w:tcBorders>
            <w:vAlign w:val="center"/>
          </w:tcPr>
          <w:p w14:paraId="6F85C3E2">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设施名称</w:t>
            </w:r>
          </w:p>
        </w:tc>
        <w:tc>
          <w:tcPr>
            <w:tcW w:w="1403" w:type="dxa"/>
            <w:gridSpan w:val="2"/>
            <w:tcBorders>
              <w:tl2br w:val="nil"/>
              <w:tr2bl w:val="nil"/>
            </w:tcBorders>
            <w:vAlign w:val="center"/>
          </w:tcPr>
          <w:p w14:paraId="729CAB1C">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市政公用工程</w:t>
            </w:r>
          </w:p>
        </w:tc>
        <w:tc>
          <w:tcPr>
            <w:tcW w:w="1048" w:type="dxa"/>
            <w:tcBorders>
              <w:tl2br w:val="nil"/>
              <w:tr2bl w:val="nil"/>
            </w:tcBorders>
            <w:vAlign w:val="center"/>
          </w:tcPr>
          <w:p w14:paraId="33A22084">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位置</w:t>
            </w:r>
          </w:p>
        </w:tc>
        <w:tc>
          <w:tcPr>
            <w:tcW w:w="1970" w:type="dxa"/>
            <w:tcBorders>
              <w:tl2br w:val="nil"/>
              <w:tr2bl w:val="nil"/>
            </w:tcBorders>
            <w:vAlign w:val="center"/>
          </w:tcPr>
          <w:p w14:paraId="77407B82">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现有规模</w:t>
            </w:r>
          </w:p>
        </w:tc>
        <w:tc>
          <w:tcPr>
            <w:tcW w:w="2018" w:type="dxa"/>
            <w:tcBorders>
              <w:tl2br w:val="nil"/>
              <w:tr2bl w:val="nil"/>
            </w:tcBorders>
            <w:vAlign w:val="center"/>
          </w:tcPr>
          <w:p w14:paraId="5680DED7">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服务范围</w:t>
            </w:r>
          </w:p>
        </w:tc>
        <w:tc>
          <w:tcPr>
            <w:tcW w:w="999" w:type="dxa"/>
            <w:tcBorders>
              <w:tl2br w:val="nil"/>
              <w:tr2bl w:val="nil"/>
            </w:tcBorders>
            <w:vAlign w:val="center"/>
          </w:tcPr>
          <w:p w14:paraId="2A712745">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建设进度</w:t>
            </w:r>
          </w:p>
        </w:tc>
      </w:tr>
      <w:tr w14:paraId="097806D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Before w:val="1"/>
          <w:wBefore w:w="7" w:type="dxa"/>
          <w:trHeight w:val="1090" w:hRule="atLeast"/>
        </w:trPr>
        <w:tc>
          <w:tcPr>
            <w:tcW w:w="771" w:type="dxa"/>
            <w:vMerge w:val="restart"/>
            <w:tcBorders>
              <w:tl2br w:val="nil"/>
              <w:tr2bl w:val="nil"/>
            </w:tcBorders>
            <w:vAlign w:val="center"/>
          </w:tcPr>
          <w:p w14:paraId="234C168B">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污水</w:t>
            </w:r>
          </w:p>
        </w:tc>
        <w:tc>
          <w:tcPr>
            <w:tcW w:w="1403" w:type="dxa"/>
            <w:gridSpan w:val="2"/>
            <w:tcBorders>
              <w:tl2br w:val="nil"/>
              <w:tr2bl w:val="nil"/>
            </w:tcBorders>
            <w:vAlign w:val="center"/>
          </w:tcPr>
          <w:p w14:paraId="63F5DF09">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江宁开发区污水处理厂</w:t>
            </w:r>
          </w:p>
        </w:tc>
        <w:tc>
          <w:tcPr>
            <w:tcW w:w="1048" w:type="dxa"/>
            <w:tcBorders>
              <w:tl2br w:val="nil"/>
              <w:tr2bl w:val="nil"/>
            </w:tcBorders>
            <w:vAlign w:val="center"/>
          </w:tcPr>
          <w:p w14:paraId="05F9694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区内</w:t>
            </w:r>
          </w:p>
        </w:tc>
        <w:tc>
          <w:tcPr>
            <w:tcW w:w="1970" w:type="dxa"/>
            <w:tcBorders>
              <w:tl2br w:val="nil"/>
              <w:tr2bl w:val="nil"/>
            </w:tcBorders>
            <w:vAlign w:val="center"/>
          </w:tcPr>
          <w:p w14:paraId="166A0D5C">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污水处理：</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万m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p>
        </w:tc>
        <w:tc>
          <w:tcPr>
            <w:tcW w:w="2018" w:type="dxa"/>
            <w:tcBorders>
              <w:tl2br w:val="nil"/>
              <w:tr2bl w:val="nil"/>
            </w:tcBorders>
            <w:vAlign w:val="center"/>
          </w:tcPr>
          <w:p w14:paraId="479B4399">
            <w:pPr>
              <w:bidi w:val="0"/>
              <w:rPr>
                <w:rFonts w:hint="default" w:ascii="Times New Roman" w:hAnsi="Times New Roman" w:eastAsia="宋体" w:cs="Times New Roman"/>
                <w:color w:val="auto"/>
                <w:sz w:val="21"/>
                <w:szCs w:val="21"/>
                <w:highlight w:val="none"/>
                <w:lang w:val="en-US" w:eastAsia="zh-CN"/>
              </w:rPr>
            </w:pPr>
            <w:bookmarkStart w:id="1751" w:name="sys12166041"/>
            <w:r>
              <w:rPr>
                <w:rFonts w:hint="default" w:ascii="Times New Roman" w:hAnsi="Times New Roman" w:eastAsia="宋体" w:cs="Times New Roman"/>
                <w:i w:val="0"/>
                <w:iCs w:val="0"/>
                <w:color w:val="auto"/>
                <w:kern w:val="0"/>
                <w:sz w:val="21"/>
                <w:szCs w:val="21"/>
                <w:highlight w:val="none"/>
                <w:u w:val="none"/>
                <w:lang w:val="en-US" w:eastAsia="zh-CN" w:bidi="ar"/>
              </w:rPr>
              <w:t>西至将军山、北至秦淮新河、东至秦淮河，南至国检路→机场高速→利源路→百家湖→池田路</w:t>
            </w:r>
            <w:bookmarkEnd w:id="1751"/>
          </w:p>
        </w:tc>
        <w:tc>
          <w:tcPr>
            <w:tcW w:w="999" w:type="dxa"/>
            <w:tcBorders>
              <w:tl2br w:val="nil"/>
              <w:tr2bl w:val="nil"/>
            </w:tcBorders>
            <w:vAlign w:val="center"/>
          </w:tcPr>
          <w:p w14:paraId="40FB4D1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已建</w:t>
            </w:r>
          </w:p>
        </w:tc>
      </w:tr>
      <w:tr w14:paraId="296F8E2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gridBefore w:val="1"/>
          <w:wBefore w:w="7" w:type="dxa"/>
          <w:trHeight w:val="556" w:hRule="atLeast"/>
        </w:trPr>
        <w:tc>
          <w:tcPr>
            <w:tcW w:w="771" w:type="dxa"/>
            <w:vMerge w:val="continue"/>
            <w:tcBorders>
              <w:tl2br w:val="nil"/>
              <w:tr2bl w:val="nil"/>
            </w:tcBorders>
            <w:vAlign w:val="center"/>
          </w:tcPr>
          <w:p w14:paraId="46354D33">
            <w:pPr>
              <w:bidi w:val="0"/>
              <w:jc w:val="center"/>
              <w:rPr>
                <w:rFonts w:hint="default" w:ascii="Times New Roman" w:hAnsi="Times New Roman" w:eastAsia="宋体" w:cs="Times New Roman"/>
                <w:color w:val="auto"/>
                <w:sz w:val="21"/>
                <w:szCs w:val="21"/>
                <w:highlight w:val="none"/>
              </w:rPr>
            </w:pPr>
          </w:p>
        </w:tc>
        <w:tc>
          <w:tcPr>
            <w:tcW w:w="1403" w:type="dxa"/>
            <w:gridSpan w:val="2"/>
            <w:tcBorders>
              <w:tl2br w:val="nil"/>
              <w:tr2bl w:val="nil"/>
            </w:tcBorders>
            <w:vAlign w:val="center"/>
          </w:tcPr>
          <w:p w14:paraId="7DD7A06D">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南区污水处理厂</w:t>
            </w:r>
          </w:p>
        </w:tc>
        <w:tc>
          <w:tcPr>
            <w:tcW w:w="1048" w:type="dxa"/>
            <w:tcBorders>
              <w:tl2br w:val="nil"/>
              <w:tr2bl w:val="nil"/>
            </w:tcBorders>
            <w:vAlign w:val="center"/>
          </w:tcPr>
          <w:p w14:paraId="3ACF7A61">
            <w:pPr>
              <w:bidi w:val="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区</w:t>
            </w:r>
            <w:r>
              <w:rPr>
                <w:rFonts w:hint="eastAsia" w:ascii="Times New Roman" w:hAnsi="Times New Roman" w:eastAsia="宋体" w:cs="Times New Roman"/>
                <w:color w:val="auto"/>
                <w:sz w:val="21"/>
                <w:szCs w:val="21"/>
                <w:highlight w:val="none"/>
                <w:lang w:val="en-US" w:eastAsia="zh-CN"/>
              </w:rPr>
              <w:t>外</w:t>
            </w:r>
          </w:p>
        </w:tc>
        <w:tc>
          <w:tcPr>
            <w:tcW w:w="1970" w:type="dxa"/>
            <w:tcBorders>
              <w:tl2br w:val="nil"/>
              <w:tr2bl w:val="nil"/>
            </w:tcBorders>
            <w:vAlign w:val="center"/>
          </w:tcPr>
          <w:p w14:paraId="2C43DC2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污水处理：</w:t>
            </w:r>
            <w:r>
              <w:rPr>
                <w:rFonts w:hint="eastAsia"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val="en-US" w:eastAsia="zh-CN"/>
              </w:rPr>
              <w:t>万</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p>
        </w:tc>
        <w:tc>
          <w:tcPr>
            <w:tcW w:w="2018" w:type="dxa"/>
            <w:tcBorders>
              <w:tl2br w:val="nil"/>
              <w:tr2bl w:val="nil"/>
            </w:tcBorders>
            <w:vAlign w:val="center"/>
          </w:tcPr>
          <w:p w14:paraId="2892367D">
            <w:pPr>
              <w:bidi w:val="0"/>
              <w:rPr>
                <w:rFonts w:hint="default" w:ascii="Times New Roman" w:hAnsi="Times New Roman" w:eastAsia="宋体" w:cs="Times New Roman"/>
                <w:color w:val="auto"/>
                <w:sz w:val="21"/>
                <w:szCs w:val="21"/>
                <w:highlight w:val="none"/>
                <w:lang w:val="en-US" w:eastAsia="zh-CN"/>
              </w:rPr>
            </w:pPr>
            <w:bookmarkStart w:id="1752" w:name="sys12172037"/>
            <w:r>
              <w:rPr>
                <w:rFonts w:hint="default" w:ascii="Times New Roman" w:hAnsi="Times New Roman" w:eastAsia="宋体" w:cs="Times New Roman"/>
                <w:i w:val="0"/>
                <w:iCs w:val="0"/>
                <w:color w:val="auto"/>
                <w:kern w:val="0"/>
                <w:sz w:val="21"/>
                <w:szCs w:val="21"/>
                <w:highlight w:val="none"/>
                <w:u w:val="none"/>
                <w:lang w:val="en-US" w:eastAsia="zh-CN" w:bidi="ar"/>
              </w:rPr>
              <w:t>北至秣</w:t>
            </w:r>
            <w:sdt>
              <w:sdtPr>
                <w:rPr>
                  <w:color w:val="auto"/>
                  <w:highlight w:val="none"/>
                </w:rPr>
                <w:alias w:val="敏感词检查"/>
                <w:tag w:val="auto"/>
                <w:id w:val="1073601"/>
              </w:sdtPr>
              <w:sdtEndPr>
                <w:rPr>
                  <w:color w:val="auto"/>
                  <w:highlight w:val="none"/>
                </w:rPr>
              </w:sdtEndPr>
              <w:sdtContent>
                <w:bookmarkStart w:id="1753" w:name="bkPolitics1073601"/>
                <w:r>
                  <w:rPr>
                    <w:rFonts w:hint="default" w:ascii="Times New Roman" w:hAnsi="Times New Roman" w:eastAsia="宋体" w:cs="Times New Roman"/>
                    <w:i w:val="0"/>
                    <w:iCs w:val="0"/>
                    <w:color w:val="auto"/>
                    <w:kern w:val="0"/>
                    <w:sz w:val="21"/>
                    <w:szCs w:val="21"/>
                    <w:highlight w:val="none"/>
                    <w:u w:val="none"/>
                    <w:lang w:val="en-US" w:eastAsia="zh-CN" w:bidi="ar"/>
                  </w:rPr>
                  <w:t>周路</w:t>
                </w:r>
                <w:bookmarkEnd w:id="1753"/>
              </w:sdtContent>
            </w:sdt>
            <w:r>
              <w:rPr>
                <w:rFonts w:hint="default" w:ascii="Times New Roman" w:hAnsi="Times New Roman" w:eastAsia="宋体" w:cs="Times New Roman"/>
                <w:i w:val="0"/>
                <w:iCs w:val="0"/>
                <w:color w:val="auto"/>
                <w:kern w:val="0"/>
                <w:sz w:val="21"/>
                <w:szCs w:val="21"/>
                <w:highlight w:val="none"/>
                <w:u w:val="none"/>
                <w:lang w:val="en-US" w:eastAsia="zh-CN" w:bidi="ar"/>
              </w:rPr>
              <w:t>→宁丹路→绕越高速→吉印大道→将军大道→阳山河，南至秣陵四横沟；</w:t>
            </w:r>
            <w:bookmarkEnd w:id="1752"/>
            <w:r>
              <w:rPr>
                <w:rFonts w:hint="default" w:ascii="Times New Roman" w:hAnsi="Times New Roman" w:eastAsia="宋体" w:cs="Times New Roman"/>
                <w:i w:val="0"/>
                <w:iCs w:val="0"/>
                <w:color w:val="auto"/>
                <w:kern w:val="0"/>
                <w:sz w:val="21"/>
                <w:szCs w:val="21"/>
                <w:highlight w:val="none"/>
                <w:u w:val="none"/>
                <w:lang w:val="en-US" w:eastAsia="zh-CN" w:bidi="ar"/>
              </w:rPr>
              <w:t>东至秦淮河；西至吉山→将军大道</w:t>
            </w:r>
          </w:p>
        </w:tc>
        <w:tc>
          <w:tcPr>
            <w:tcW w:w="999" w:type="dxa"/>
            <w:tcBorders>
              <w:tl2br w:val="nil"/>
              <w:tr2bl w:val="nil"/>
            </w:tcBorders>
            <w:vAlign w:val="center"/>
          </w:tcPr>
          <w:p w14:paraId="7395B09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已建</w:t>
            </w:r>
          </w:p>
        </w:tc>
      </w:tr>
      <w:tr w14:paraId="481A5A5C">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090" w:hRule="atLeast"/>
        </w:trPr>
        <w:tc>
          <w:tcPr>
            <w:tcW w:w="778" w:type="dxa"/>
            <w:gridSpan w:val="2"/>
            <w:tcBorders>
              <w:tl2br w:val="nil"/>
              <w:tr2bl w:val="nil"/>
            </w:tcBorders>
            <w:vAlign w:val="center"/>
          </w:tcPr>
          <w:p w14:paraId="3EC7E13D">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供热</w:t>
            </w:r>
          </w:p>
        </w:tc>
        <w:tc>
          <w:tcPr>
            <w:tcW w:w="1395" w:type="dxa"/>
            <w:tcBorders>
              <w:tl2br w:val="nil"/>
              <w:tr2bl w:val="nil"/>
            </w:tcBorders>
            <w:vAlign w:val="center"/>
          </w:tcPr>
          <w:p w14:paraId="06CA0D58">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南京</w:t>
            </w:r>
            <w:bookmarkStart w:id="1754" w:name="OLE_LINK1125"/>
            <w:r>
              <w:rPr>
                <w:rFonts w:hint="default" w:ascii="Times New Roman" w:hAnsi="Times New Roman" w:eastAsia="宋体" w:cs="Times New Roman"/>
                <w:color w:val="auto"/>
                <w:sz w:val="21"/>
                <w:szCs w:val="21"/>
                <w:highlight w:val="none"/>
              </w:rPr>
              <w:t>协鑫燃机热电</w:t>
            </w:r>
            <w:bookmarkEnd w:id="1754"/>
            <w:r>
              <w:rPr>
                <w:rFonts w:hint="default" w:ascii="Times New Roman" w:hAnsi="Times New Roman" w:eastAsia="宋体" w:cs="Times New Roman"/>
                <w:color w:val="auto"/>
                <w:sz w:val="21"/>
                <w:szCs w:val="21"/>
                <w:highlight w:val="none"/>
              </w:rPr>
              <w:t>有限公司</w:t>
            </w:r>
            <w:r>
              <w:rPr>
                <w:rFonts w:hint="default" w:ascii="Times New Roman" w:hAnsi="Times New Roman" w:eastAsia="宋体" w:cs="Times New Roman"/>
                <w:color w:val="auto"/>
                <w:sz w:val="21"/>
                <w:szCs w:val="21"/>
                <w:highlight w:val="none"/>
                <w:lang w:val="en-US" w:eastAsia="zh-CN"/>
              </w:rPr>
              <w:t>南京蓝天燃机热电联产项目</w:t>
            </w:r>
          </w:p>
        </w:tc>
        <w:tc>
          <w:tcPr>
            <w:tcW w:w="1056" w:type="dxa"/>
            <w:gridSpan w:val="2"/>
            <w:tcBorders>
              <w:tl2br w:val="nil"/>
              <w:tr2bl w:val="nil"/>
            </w:tcBorders>
            <w:vAlign w:val="center"/>
          </w:tcPr>
          <w:p w14:paraId="4A7CE170">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区内</w:t>
            </w:r>
          </w:p>
        </w:tc>
        <w:tc>
          <w:tcPr>
            <w:tcW w:w="1970" w:type="dxa"/>
            <w:tcBorders>
              <w:tl2br w:val="nil"/>
              <w:tr2bl w:val="nil"/>
            </w:tcBorders>
            <w:vAlign w:val="center"/>
          </w:tcPr>
          <w:p w14:paraId="34D71AD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台</w:t>
            </w:r>
            <w:r>
              <w:rPr>
                <w:rFonts w:hint="default" w:ascii="Times New Roman" w:hAnsi="Times New Roman" w:eastAsia="宋体" w:cs="Times New Roman"/>
                <w:color w:val="auto"/>
                <w:sz w:val="21"/>
                <w:szCs w:val="21"/>
                <w:highlight w:val="none"/>
                <w:lang w:val="en-US" w:eastAsia="zh-CN"/>
              </w:rPr>
              <w:t>180MW燃气-蒸汽联合循环热</w:t>
            </w:r>
            <w:r>
              <w:rPr>
                <w:rFonts w:hint="eastAsia" w:ascii="Times New Roman" w:hAnsi="Times New Roman" w:eastAsia="宋体" w:cs="Times New Roman"/>
                <w:color w:val="auto"/>
                <w:sz w:val="21"/>
                <w:szCs w:val="21"/>
                <w:highlight w:val="none"/>
                <w:lang w:val="en-US" w:eastAsia="zh-CN"/>
              </w:rPr>
              <w:t>电</w:t>
            </w:r>
            <w:r>
              <w:rPr>
                <w:rFonts w:hint="default" w:ascii="Times New Roman" w:hAnsi="Times New Roman" w:eastAsia="宋体" w:cs="Times New Roman"/>
                <w:color w:val="auto"/>
                <w:sz w:val="21"/>
                <w:szCs w:val="21"/>
                <w:highlight w:val="none"/>
                <w:lang w:val="en-US" w:eastAsia="zh-CN"/>
              </w:rPr>
              <w:t>联产机组</w:t>
            </w:r>
          </w:p>
        </w:tc>
        <w:tc>
          <w:tcPr>
            <w:tcW w:w="2018" w:type="dxa"/>
            <w:tcBorders>
              <w:tl2br w:val="nil"/>
              <w:tr2bl w:val="nil"/>
            </w:tcBorders>
            <w:vAlign w:val="center"/>
          </w:tcPr>
          <w:p w14:paraId="48C359F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协鑫燃机热电主要供应东山、淳化以及秣陵片区</w:t>
            </w:r>
          </w:p>
        </w:tc>
        <w:tc>
          <w:tcPr>
            <w:tcW w:w="999" w:type="dxa"/>
            <w:tcBorders>
              <w:tl2br w:val="nil"/>
              <w:tr2bl w:val="nil"/>
            </w:tcBorders>
            <w:vAlign w:val="center"/>
          </w:tcPr>
          <w:p w14:paraId="7362E722">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已建</w:t>
            </w:r>
          </w:p>
        </w:tc>
      </w:tr>
      <w:tr w14:paraId="5FA2BCD3">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05" w:hRule="atLeast"/>
        </w:trPr>
        <w:tc>
          <w:tcPr>
            <w:tcW w:w="778" w:type="dxa"/>
            <w:gridSpan w:val="2"/>
            <w:vMerge w:val="restart"/>
            <w:tcBorders>
              <w:tl2br w:val="nil"/>
              <w:tr2bl w:val="nil"/>
            </w:tcBorders>
            <w:vAlign w:val="center"/>
          </w:tcPr>
          <w:p w14:paraId="03DC33A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供电</w:t>
            </w:r>
          </w:p>
        </w:tc>
        <w:tc>
          <w:tcPr>
            <w:tcW w:w="1395" w:type="dxa"/>
            <w:tcBorders>
              <w:tl2br w:val="nil"/>
              <w:tr2bl w:val="nil"/>
            </w:tcBorders>
            <w:vAlign w:val="center"/>
          </w:tcPr>
          <w:p w14:paraId="4E0D3683">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东善桥变电站</w:t>
            </w:r>
          </w:p>
        </w:tc>
        <w:tc>
          <w:tcPr>
            <w:tcW w:w="1056" w:type="dxa"/>
            <w:gridSpan w:val="2"/>
            <w:vMerge w:val="restart"/>
            <w:tcBorders>
              <w:tl2br w:val="nil"/>
              <w:tr2bl w:val="nil"/>
            </w:tcBorders>
            <w:vAlign w:val="center"/>
          </w:tcPr>
          <w:p w14:paraId="04F0C951">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970" w:type="dxa"/>
            <w:tcBorders>
              <w:tl2br w:val="nil"/>
              <w:tr2bl w:val="nil"/>
            </w:tcBorders>
            <w:vAlign w:val="center"/>
          </w:tcPr>
          <w:p w14:paraId="28C82382">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500</w:t>
            </w:r>
            <w:r>
              <w:rPr>
                <w:rFonts w:hint="default" w:ascii="Times New Roman" w:hAnsi="Times New Roman" w:eastAsia="宋体" w:cs="Times New Roman"/>
                <w:color w:val="auto"/>
                <w:sz w:val="21"/>
                <w:szCs w:val="21"/>
                <w:highlight w:val="none"/>
              </w:rPr>
              <w:t>KV</w:t>
            </w:r>
          </w:p>
        </w:tc>
        <w:tc>
          <w:tcPr>
            <w:tcW w:w="2018" w:type="dxa"/>
            <w:vMerge w:val="restart"/>
            <w:tcBorders>
              <w:tl2br w:val="nil"/>
              <w:tr2bl w:val="nil"/>
            </w:tcBorders>
            <w:vAlign w:val="center"/>
          </w:tcPr>
          <w:p w14:paraId="0B5C2A7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开发区</w:t>
            </w:r>
          </w:p>
        </w:tc>
        <w:tc>
          <w:tcPr>
            <w:tcW w:w="999" w:type="dxa"/>
            <w:vMerge w:val="restart"/>
            <w:tcBorders>
              <w:tl2br w:val="nil"/>
              <w:tr2bl w:val="nil"/>
            </w:tcBorders>
            <w:vAlign w:val="center"/>
          </w:tcPr>
          <w:p w14:paraId="666B25D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已建</w:t>
            </w:r>
          </w:p>
        </w:tc>
      </w:tr>
      <w:tr w14:paraId="48F5E93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8" w:hRule="atLeast"/>
        </w:trPr>
        <w:tc>
          <w:tcPr>
            <w:tcW w:w="778" w:type="dxa"/>
            <w:gridSpan w:val="2"/>
            <w:vMerge w:val="continue"/>
            <w:tcBorders>
              <w:tl2br w:val="nil"/>
              <w:tr2bl w:val="nil"/>
            </w:tcBorders>
            <w:vAlign w:val="center"/>
          </w:tcPr>
          <w:p w14:paraId="1CC9E306">
            <w:pPr>
              <w:bidi w:val="0"/>
              <w:jc w:val="center"/>
              <w:rPr>
                <w:rFonts w:hint="default" w:ascii="Times New Roman" w:hAnsi="Times New Roman" w:eastAsia="宋体" w:cs="Times New Roman"/>
                <w:color w:val="auto"/>
                <w:sz w:val="21"/>
                <w:szCs w:val="21"/>
                <w:highlight w:val="none"/>
              </w:rPr>
            </w:pPr>
          </w:p>
        </w:tc>
        <w:tc>
          <w:tcPr>
            <w:tcW w:w="1395" w:type="dxa"/>
            <w:tcBorders>
              <w:tl2br w:val="nil"/>
              <w:tr2bl w:val="nil"/>
            </w:tcBorders>
            <w:vAlign w:val="center"/>
          </w:tcPr>
          <w:p w14:paraId="3720D3F1">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殷巷变</w:t>
            </w:r>
          </w:p>
        </w:tc>
        <w:tc>
          <w:tcPr>
            <w:tcW w:w="1056" w:type="dxa"/>
            <w:gridSpan w:val="2"/>
            <w:vMerge w:val="continue"/>
            <w:tcBorders>
              <w:tl2br w:val="nil"/>
              <w:tr2bl w:val="nil"/>
            </w:tcBorders>
            <w:vAlign w:val="center"/>
          </w:tcPr>
          <w:p w14:paraId="6A314946">
            <w:pPr>
              <w:bidi w:val="0"/>
              <w:jc w:val="center"/>
              <w:rPr>
                <w:rFonts w:hint="default" w:ascii="Times New Roman" w:hAnsi="Times New Roman" w:eastAsia="宋体" w:cs="Times New Roman"/>
                <w:color w:val="auto"/>
                <w:sz w:val="21"/>
                <w:szCs w:val="21"/>
                <w:highlight w:val="none"/>
              </w:rPr>
            </w:pPr>
          </w:p>
        </w:tc>
        <w:tc>
          <w:tcPr>
            <w:tcW w:w="1970" w:type="dxa"/>
            <w:tcBorders>
              <w:tl2br w:val="nil"/>
              <w:tr2bl w:val="nil"/>
            </w:tcBorders>
            <w:vAlign w:val="center"/>
          </w:tcPr>
          <w:p w14:paraId="3EEB39C6">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220KV</w:t>
            </w:r>
          </w:p>
        </w:tc>
        <w:tc>
          <w:tcPr>
            <w:tcW w:w="2018" w:type="dxa"/>
            <w:vMerge w:val="continue"/>
            <w:tcBorders>
              <w:tl2br w:val="nil"/>
              <w:tr2bl w:val="nil"/>
            </w:tcBorders>
            <w:vAlign w:val="center"/>
          </w:tcPr>
          <w:p w14:paraId="44D0396E">
            <w:pPr>
              <w:bidi w:val="0"/>
              <w:jc w:val="center"/>
              <w:rPr>
                <w:rFonts w:hint="default" w:ascii="Times New Roman" w:hAnsi="Times New Roman" w:eastAsia="宋体" w:cs="Times New Roman"/>
                <w:color w:val="auto"/>
                <w:sz w:val="21"/>
                <w:szCs w:val="21"/>
                <w:highlight w:val="none"/>
              </w:rPr>
            </w:pPr>
          </w:p>
        </w:tc>
        <w:tc>
          <w:tcPr>
            <w:tcW w:w="999" w:type="dxa"/>
            <w:vMerge w:val="continue"/>
            <w:tcBorders>
              <w:tl2br w:val="nil"/>
              <w:tr2bl w:val="nil"/>
            </w:tcBorders>
            <w:vAlign w:val="center"/>
          </w:tcPr>
          <w:p w14:paraId="29987BA0">
            <w:pPr>
              <w:bidi w:val="0"/>
              <w:jc w:val="center"/>
              <w:rPr>
                <w:rFonts w:hint="default" w:ascii="Times New Roman" w:hAnsi="Times New Roman" w:eastAsia="宋体" w:cs="Times New Roman"/>
                <w:color w:val="auto"/>
                <w:sz w:val="21"/>
                <w:szCs w:val="21"/>
                <w:highlight w:val="none"/>
              </w:rPr>
            </w:pPr>
          </w:p>
        </w:tc>
      </w:tr>
      <w:tr w14:paraId="6D3D63E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PrEx>
        <w:trPr>
          <w:trHeight w:val="348" w:hRule="atLeast"/>
        </w:trPr>
        <w:tc>
          <w:tcPr>
            <w:tcW w:w="778" w:type="dxa"/>
            <w:gridSpan w:val="2"/>
            <w:vMerge w:val="continue"/>
            <w:tcBorders>
              <w:tl2br w:val="nil"/>
              <w:tr2bl w:val="nil"/>
            </w:tcBorders>
            <w:vAlign w:val="center"/>
          </w:tcPr>
          <w:p w14:paraId="54C94A98">
            <w:pPr>
              <w:bidi w:val="0"/>
              <w:jc w:val="center"/>
              <w:rPr>
                <w:rFonts w:hint="default" w:ascii="Times New Roman" w:hAnsi="Times New Roman" w:eastAsia="宋体" w:cs="Times New Roman"/>
                <w:color w:val="auto"/>
                <w:sz w:val="21"/>
                <w:szCs w:val="21"/>
                <w:highlight w:val="none"/>
              </w:rPr>
            </w:pPr>
          </w:p>
        </w:tc>
        <w:tc>
          <w:tcPr>
            <w:tcW w:w="1395" w:type="dxa"/>
            <w:tcBorders>
              <w:tl2br w:val="nil"/>
              <w:tr2bl w:val="nil"/>
            </w:tcBorders>
            <w:vAlign w:val="center"/>
          </w:tcPr>
          <w:p w14:paraId="3CF491DD">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苏庄变</w:t>
            </w:r>
          </w:p>
        </w:tc>
        <w:tc>
          <w:tcPr>
            <w:tcW w:w="1056" w:type="dxa"/>
            <w:gridSpan w:val="2"/>
            <w:vMerge w:val="continue"/>
            <w:tcBorders>
              <w:tl2br w:val="nil"/>
              <w:tr2bl w:val="nil"/>
            </w:tcBorders>
            <w:vAlign w:val="center"/>
          </w:tcPr>
          <w:p w14:paraId="3856F860">
            <w:pPr>
              <w:bidi w:val="0"/>
              <w:jc w:val="center"/>
              <w:rPr>
                <w:rFonts w:hint="default" w:ascii="Times New Roman" w:hAnsi="Times New Roman" w:eastAsia="宋体" w:cs="Times New Roman"/>
                <w:color w:val="auto"/>
                <w:sz w:val="21"/>
                <w:szCs w:val="21"/>
                <w:highlight w:val="none"/>
                <w:lang w:val="en-US" w:eastAsia="en-US"/>
              </w:rPr>
            </w:pPr>
          </w:p>
        </w:tc>
        <w:tc>
          <w:tcPr>
            <w:tcW w:w="1970" w:type="dxa"/>
            <w:tcBorders>
              <w:tl2br w:val="nil"/>
              <w:tr2bl w:val="nil"/>
            </w:tcBorders>
            <w:vAlign w:val="center"/>
          </w:tcPr>
          <w:p w14:paraId="56BF2BA3">
            <w:pPr>
              <w:bidi w:val="0"/>
              <w:jc w:val="center"/>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zh-CN"/>
              </w:rPr>
              <w:t>220</w:t>
            </w:r>
            <w:r>
              <w:rPr>
                <w:rFonts w:hint="default" w:ascii="Times New Roman" w:hAnsi="Times New Roman" w:eastAsia="宋体" w:cs="Times New Roman"/>
                <w:color w:val="auto"/>
                <w:sz w:val="21"/>
                <w:szCs w:val="21"/>
                <w:highlight w:val="none"/>
              </w:rPr>
              <w:t>KV</w:t>
            </w:r>
          </w:p>
        </w:tc>
        <w:tc>
          <w:tcPr>
            <w:tcW w:w="2018" w:type="dxa"/>
            <w:vMerge w:val="continue"/>
            <w:tcBorders>
              <w:tl2br w:val="nil"/>
              <w:tr2bl w:val="nil"/>
            </w:tcBorders>
            <w:vAlign w:val="center"/>
          </w:tcPr>
          <w:p w14:paraId="228E72D5">
            <w:pPr>
              <w:bidi w:val="0"/>
              <w:jc w:val="center"/>
              <w:rPr>
                <w:rFonts w:hint="default" w:ascii="Times New Roman" w:hAnsi="Times New Roman" w:eastAsia="宋体" w:cs="Times New Roman"/>
                <w:color w:val="auto"/>
                <w:sz w:val="21"/>
                <w:szCs w:val="21"/>
                <w:highlight w:val="none"/>
              </w:rPr>
            </w:pPr>
          </w:p>
        </w:tc>
        <w:tc>
          <w:tcPr>
            <w:tcW w:w="999" w:type="dxa"/>
            <w:vMerge w:val="continue"/>
            <w:tcBorders>
              <w:tl2br w:val="nil"/>
              <w:tr2bl w:val="nil"/>
            </w:tcBorders>
            <w:vAlign w:val="center"/>
          </w:tcPr>
          <w:p w14:paraId="7D1F60AA">
            <w:pPr>
              <w:bidi w:val="0"/>
              <w:jc w:val="center"/>
              <w:rPr>
                <w:rFonts w:hint="default" w:ascii="Times New Roman" w:hAnsi="Times New Roman" w:eastAsia="宋体" w:cs="Times New Roman"/>
                <w:color w:val="auto"/>
                <w:sz w:val="21"/>
                <w:szCs w:val="21"/>
                <w:highlight w:val="none"/>
              </w:rPr>
            </w:pPr>
          </w:p>
        </w:tc>
      </w:tr>
      <w:tr w14:paraId="71D403A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49" w:hRule="atLeast"/>
        </w:trPr>
        <w:tc>
          <w:tcPr>
            <w:tcW w:w="778" w:type="dxa"/>
            <w:gridSpan w:val="2"/>
            <w:vMerge w:val="continue"/>
            <w:tcBorders>
              <w:tl2br w:val="nil"/>
              <w:tr2bl w:val="nil"/>
            </w:tcBorders>
            <w:vAlign w:val="center"/>
          </w:tcPr>
          <w:p w14:paraId="1777157C">
            <w:pPr>
              <w:bidi w:val="0"/>
              <w:jc w:val="center"/>
              <w:rPr>
                <w:rFonts w:hint="default" w:ascii="Times New Roman" w:hAnsi="Times New Roman" w:eastAsia="宋体" w:cs="Times New Roman"/>
                <w:color w:val="auto"/>
                <w:sz w:val="21"/>
                <w:szCs w:val="21"/>
                <w:highlight w:val="none"/>
              </w:rPr>
            </w:pPr>
          </w:p>
        </w:tc>
        <w:tc>
          <w:tcPr>
            <w:tcW w:w="1395" w:type="dxa"/>
            <w:tcBorders>
              <w:tl2br w:val="nil"/>
              <w:tr2bl w:val="nil"/>
            </w:tcBorders>
            <w:vAlign w:val="center"/>
          </w:tcPr>
          <w:p w14:paraId="143CDDF4">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华科变</w:t>
            </w:r>
          </w:p>
        </w:tc>
        <w:tc>
          <w:tcPr>
            <w:tcW w:w="1056" w:type="dxa"/>
            <w:gridSpan w:val="2"/>
            <w:vMerge w:val="continue"/>
            <w:tcBorders>
              <w:tl2br w:val="nil"/>
              <w:tr2bl w:val="nil"/>
            </w:tcBorders>
            <w:vAlign w:val="center"/>
          </w:tcPr>
          <w:p w14:paraId="1A2A0E47">
            <w:pPr>
              <w:bidi w:val="0"/>
              <w:jc w:val="center"/>
              <w:rPr>
                <w:rFonts w:hint="default" w:ascii="Times New Roman" w:hAnsi="Times New Roman" w:eastAsia="宋体" w:cs="Times New Roman"/>
                <w:color w:val="auto"/>
                <w:sz w:val="21"/>
                <w:szCs w:val="21"/>
                <w:highlight w:val="none"/>
              </w:rPr>
            </w:pPr>
          </w:p>
        </w:tc>
        <w:tc>
          <w:tcPr>
            <w:tcW w:w="1970" w:type="dxa"/>
            <w:tcBorders>
              <w:tl2br w:val="nil"/>
              <w:tr2bl w:val="nil"/>
            </w:tcBorders>
            <w:vAlign w:val="center"/>
          </w:tcPr>
          <w:p w14:paraId="2C507839">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220</w:t>
            </w:r>
            <w:r>
              <w:rPr>
                <w:rFonts w:hint="default" w:ascii="Times New Roman" w:hAnsi="Times New Roman" w:eastAsia="宋体" w:cs="Times New Roman"/>
                <w:color w:val="auto"/>
                <w:sz w:val="21"/>
                <w:szCs w:val="21"/>
                <w:highlight w:val="none"/>
              </w:rPr>
              <w:t>KV</w:t>
            </w:r>
          </w:p>
        </w:tc>
        <w:tc>
          <w:tcPr>
            <w:tcW w:w="2018" w:type="dxa"/>
            <w:vMerge w:val="continue"/>
            <w:tcBorders>
              <w:tl2br w:val="nil"/>
              <w:tr2bl w:val="nil"/>
            </w:tcBorders>
            <w:vAlign w:val="center"/>
          </w:tcPr>
          <w:p w14:paraId="24677404">
            <w:pPr>
              <w:bidi w:val="0"/>
              <w:jc w:val="center"/>
              <w:rPr>
                <w:rFonts w:hint="default" w:ascii="Times New Roman" w:hAnsi="Times New Roman" w:eastAsia="宋体" w:cs="Times New Roman"/>
                <w:color w:val="auto"/>
                <w:sz w:val="21"/>
                <w:szCs w:val="21"/>
                <w:highlight w:val="none"/>
              </w:rPr>
            </w:pPr>
          </w:p>
        </w:tc>
        <w:tc>
          <w:tcPr>
            <w:tcW w:w="999" w:type="dxa"/>
            <w:vMerge w:val="continue"/>
            <w:tcBorders>
              <w:tl2br w:val="nil"/>
              <w:tr2bl w:val="nil"/>
            </w:tcBorders>
            <w:vAlign w:val="center"/>
          </w:tcPr>
          <w:p w14:paraId="19EDECA3">
            <w:pPr>
              <w:bidi w:val="0"/>
              <w:jc w:val="center"/>
              <w:rPr>
                <w:rFonts w:hint="default" w:ascii="Times New Roman" w:hAnsi="Times New Roman" w:eastAsia="宋体" w:cs="Times New Roman"/>
                <w:color w:val="auto"/>
                <w:sz w:val="21"/>
                <w:szCs w:val="21"/>
                <w:highlight w:val="none"/>
              </w:rPr>
            </w:pPr>
          </w:p>
        </w:tc>
      </w:tr>
      <w:tr w14:paraId="32510FB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361" w:hRule="atLeast"/>
        </w:trPr>
        <w:tc>
          <w:tcPr>
            <w:tcW w:w="778" w:type="dxa"/>
            <w:gridSpan w:val="2"/>
            <w:tcBorders>
              <w:tl2br w:val="nil"/>
              <w:tr2bl w:val="nil"/>
            </w:tcBorders>
            <w:vAlign w:val="center"/>
          </w:tcPr>
          <w:p w14:paraId="33ACBA4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供气</w:t>
            </w:r>
          </w:p>
        </w:tc>
        <w:tc>
          <w:tcPr>
            <w:tcW w:w="1395" w:type="dxa"/>
            <w:tcBorders>
              <w:tl2br w:val="nil"/>
              <w:tr2bl w:val="nil"/>
            </w:tcBorders>
            <w:vAlign w:val="center"/>
          </w:tcPr>
          <w:p w14:paraId="765DC5F2">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以“川气东输”天然气为气源</w:t>
            </w:r>
          </w:p>
        </w:tc>
        <w:tc>
          <w:tcPr>
            <w:tcW w:w="1056" w:type="dxa"/>
            <w:gridSpan w:val="2"/>
            <w:tcBorders>
              <w:tl2br w:val="nil"/>
              <w:tr2bl w:val="nil"/>
            </w:tcBorders>
            <w:vAlign w:val="center"/>
          </w:tcPr>
          <w:p w14:paraId="7BD1F9C4">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区外</w:t>
            </w:r>
          </w:p>
        </w:tc>
        <w:tc>
          <w:tcPr>
            <w:tcW w:w="1970" w:type="dxa"/>
            <w:tcBorders>
              <w:tl2br w:val="nil"/>
              <w:tr2bl w:val="nil"/>
            </w:tcBorders>
            <w:vAlign w:val="center"/>
          </w:tcPr>
          <w:p w14:paraId="2F09959A">
            <w:pPr>
              <w:bidi w:val="0"/>
              <w:jc w:val="center"/>
              <w:rPr>
                <w:rFonts w:hint="default" w:ascii="Times New Roman" w:hAnsi="Times New Roman" w:eastAsia="宋体" w:cs="Times New Roman"/>
                <w:color w:val="auto"/>
                <w:sz w:val="21"/>
                <w:szCs w:val="21"/>
                <w:highlight w:val="none"/>
                <w:lang w:val="en-US" w:eastAsia="zh-CN"/>
              </w:rPr>
            </w:pPr>
            <w:bookmarkStart w:id="1755" w:name="sys12207040"/>
            <w:r>
              <w:rPr>
                <w:rFonts w:hint="default" w:ascii="Times New Roman" w:hAnsi="Times New Roman" w:eastAsia="宋体" w:cs="Times New Roman"/>
                <w:color w:val="auto"/>
                <w:sz w:val="21"/>
                <w:szCs w:val="21"/>
                <w:highlight w:val="none"/>
                <w:lang w:val="en-US" w:eastAsia="zh-CN"/>
              </w:rPr>
              <w:t>在开发区东南部设1座天然气门站，以“川气东输”天然气为气源，向东山组团供应天然气</w:t>
            </w:r>
            <w:bookmarkEnd w:id="1755"/>
          </w:p>
        </w:tc>
        <w:tc>
          <w:tcPr>
            <w:tcW w:w="2018" w:type="dxa"/>
            <w:tcBorders>
              <w:tl2br w:val="nil"/>
              <w:tr2bl w:val="nil"/>
            </w:tcBorders>
            <w:vAlign w:val="center"/>
          </w:tcPr>
          <w:p w14:paraId="611BF1F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开发区</w:t>
            </w:r>
          </w:p>
        </w:tc>
        <w:tc>
          <w:tcPr>
            <w:tcW w:w="999" w:type="dxa"/>
            <w:tcBorders>
              <w:tl2br w:val="nil"/>
              <w:tr2bl w:val="nil"/>
            </w:tcBorders>
            <w:vAlign w:val="center"/>
          </w:tcPr>
          <w:p w14:paraId="02AA878E">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已建</w:t>
            </w:r>
          </w:p>
        </w:tc>
      </w:tr>
      <w:tr w14:paraId="2D833FA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541" w:hRule="atLeast"/>
        </w:trPr>
        <w:tc>
          <w:tcPr>
            <w:tcW w:w="778" w:type="dxa"/>
            <w:gridSpan w:val="2"/>
            <w:vMerge w:val="restart"/>
            <w:tcBorders>
              <w:tl2br w:val="nil"/>
              <w:tr2bl w:val="nil"/>
            </w:tcBorders>
            <w:vAlign w:val="center"/>
          </w:tcPr>
          <w:p w14:paraId="0057630E">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环卫和固废</w:t>
            </w:r>
          </w:p>
        </w:tc>
        <w:tc>
          <w:tcPr>
            <w:tcW w:w="1395" w:type="dxa"/>
            <w:tcBorders>
              <w:tl2br w:val="nil"/>
              <w:tr2bl w:val="nil"/>
            </w:tcBorders>
            <w:vAlign w:val="center"/>
          </w:tcPr>
          <w:p w14:paraId="7692AC7A">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南京江南静脉产业园光大生活垃圾焚烧发电厂</w:t>
            </w:r>
          </w:p>
        </w:tc>
        <w:tc>
          <w:tcPr>
            <w:tcW w:w="1056" w:type="dxa"/>
            <w:gridSpan w:val="2"/>
            <w:tcBorders>
              <w:tl2br w:val="nil"/>
              <w:tr2bl w:val="nil"/>
            </w:tcBorders>
            <w:vAlign w:val="center"/>
          </w:tcPr>
          <w:p w14:paraId="078F57BD">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区外</w:t>
            </w:r>
          </w:p>
        </w:tc>
        <w:tc>
          <w:tcPr>
            <w:tcW w:w="1970" w:type="dxa"/>
            <w:tcBorders>
              <w:tl2br w:val="nil"/>
              <w:tr2bl w:val="nil"/>
            </w:tcBorders>
            <w:vAlign w:val="center"/>
          </w:tcPr>
          <w:p w14:paraId="57399431">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3600t/d</w:t>
            </w:r>
          </w:p>
        </w:tc>
        <w:tc>
          <w:tcPr>
            <w:tcW w:w="2018" w:type="dxa"/>
            <w:tcBorders>
              <w:tl2br w:val="nil"/>
              <w:tr2bl w:val="nil"/>
            </w:tcBorders>
            <w:vAlign w:val="center"/>
          </w:tcPr>
          <w:p w14:paraId="60A351D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开发区</w:t>
            </w:r>
          </w:p>
        </w:tc>
        <w:tc>
          <w:tcPr>
            <w:tcW w:w="999" w:type="dxa"/>
            <w:tcBorders>
              <w:tl2br w:val="nil"/>
              <w:tr2bl w:val="nil"/>
            </w:tcBorders>
            <w:vAlign w:val="center"/>
          </w:tcPr>
          <w:p w14:paraId="016C6AF6">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已建</w:t>
            </w:r>
          </w:p>
        </w:tc>
      </w:tr>
      <w:tr w14:paraId="555796D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1090" w:hRule="atLeast"/>
        </w:trPr>
        <w:tc>
          <w:tcPr>
            <w:tcW w:w="778" w:type="dxa"/>
            <w:gridSpan w:val="2"/>
            <w:vMerge w:val="continue"/>
            <w:tcBorders>
              <w:tl2br w:val="nil"/>
              <w:tr2bl w:val="nil"/>
            </w:tcBorders>
            <w:vAlign w:val="center"/>
          </w:tcPr>
          <w:p w14:paraId="50363756">
            <w:pPr>
              <w:bidi w:val="0"/>
              <w:jc w:val="center"/>
              <w:rPr>
                <w:rFonts w:hint="default" w:ascii="Times New Roman" w:hAnsi="Times New Roman" w:eastAsia="宋体" w:cs="Times New Roman"/>
                <w:color w:val="auto"/>
                <w:sz w:val="21"/>
                <w:szCs w:val="21"/>
                <w:highlight w:val="none"/>
                <w:lang w:val="en-US" w:eastAsia="zh-CN"/>
              </w:rPr>
            </w:pPr>
          </w:p>
        </w:tc>
        <w:tc>
          <w:tcPr>
            <w:tcW w:w="1395" w:type="dxa"/>
            <w:tcBorders>
              <w:tl2br w:val="nil"/>
              <w:tr2bl w:val="nil"/>
            </w:tcBorders>
            <w:vAlign w:val="center"/>
          </w:tcPr>
          <w:p w14:paraId="3B261344">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大唐南京环保科技有限责任公司</w:t>
            </w:r>
          </w:p>
        </w:tc>
        <w:tc>
          <w:tcPr>
            <w:tcW w:w="1056" w:type="dxa"/>
            <w:gridSpan w:val="2"/>
            <w:tcBorders>
              <w:tl2br w:val="nil"/>
              <w:tr2bl w:val="nil"/>
            </w:tcBorders>
            <w:vAlign w:val="center"/>
          </w:tcPr>
          <w:p w14:paraId="1DBE93AF">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区内</w:t>
            </w:r>
          </w:p>
        </w:tc>
        <w:tc>
          <w:tcPr>
            <w:tcW w:w="1970" w:type="dxa"/>
            <w:tcBorders>
              <w:tl2br w:val="nil"/>
              <w:tr2bl w:val="nil"/>
            </w:tcBorders>
            <w:vAlign w:val="center"/>
          </w:tcPr>
          <w:p w14:paraId="384D019E">
            <w:pPr>
              <w:bidi w:val="0"/>
              <w:jc w:val="center"/>
              <w:rPr>
                <w:rFonts w:hint="default" w:ascii="Times New Roman" w:hAnsi="Times New Roman" w:eastAsia="宋体" w:cs="Times New Roman"/>
                <w:color w:val="auto"/>
                <w:sz w:val="21"/>
                <w:szCs w:val="21"/>
                <w:highlight w:val="none"/>
                <w:lang w:val="en-US" w:eastAsia="zh-CN"/>
              </w:rPr>
            </w:pPr>
            <w:bookmarkStart w:id="1756" w:name="sys12219051"/>
            <w:r>
              <w:rPr>
                <w:rFonts w:hint="default" w:ascii="Times New Roman" w:hAnsi="Times New Roman" w:eastAsia="宋体" w:cs="Times New Roman"/>
                <w:color w:val="auto"/>
                <w:sz w:val="21"/>
                <w:szCs w:val="21"/>
                <w:highlight w:val="none"/>
                <w:lang w:val="en-US" w:eastAsia="zh-CN"/>
              </w:rPr>
              <w:t>处置类别为HW50烟气脱硝过程中产生的废钒钛系催化剂（772-007-50），处置规模为8300t/a</w:t>
            </w:r>
            <w:bookmarkEnd w:id="1756"/>
          </w:p>
        </w:tc>
        <w:tc>
          <w:tcPr>
            <w:tcW w:w="2018" w:type="dxa"/>
            <w:tcBorders>
              <w:tl2br w:val="nil"/>
              <w:tr2bl w:val="nil"/>
            </w:tcBorders>
            <w:vAlign w:val="center"/>
          </w:tcPr>
          <w:p w14:paraId="4E3F569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开发区</w:t>
            </w:r>
          </w:p>
        </w:tc>
        <w:tc>
          <w:tcPr>
            <w:tcW w:w="999" w:type="dxa"/>
            <w:tcBorders>
              <w:tl2br w:val="nil"/>
              <w:tr2bl w:val="nil"/>
            </w:tcBorders>
            <w:vAlign w:val="center"/>
          </w:tcPr>
          <w:p w14:paraId="4E623DD1">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已建</w:t>
            </w:r>
          </w:p>
        </w:tc>
      </w:tr>
      <w:tr w14:paraId="1A9E1CA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493" w:hRule="atLeast"/>
        </w:trPr>
        <w:tc>
          <w:tcPr>
            <w:tcW w:w="778" w:type="dxa"/>
            <w:gridSpan w:val="2"/>
            <w:vMerge w:val="continue"/>
            <w:tcBorders>
              <w:tl2br w:val="nil"/>
              <w:tr2bl w:val="nil"/>
            </w:tcBorders>
            <w:vAlign w:val="center"/>
          </w:tcPr>
          <w:p w14:paraId="13EE0422">
            <w:pPr>
              <w:bidi w:val="0"/>
              <w:jc w:val="center"/>
              <w:rPr>
                <w:rFonts w:hint="default" w:ascii="Times New Roman" w:hAnsi="Times New Roman" w:eastAsia="宋体" w:cs="Times New Roman"/>
                <w:color w:val="auto"/>
                <w:sz w:val="21"/>
                <w:szCs w:val="21"/>
                <w:highlight w:val="none"/>
                <w:lang w:val="en-US" w:eastAsia="zh-CN"/>
              </w:rPr>
            </w:pPr>
          </w:p>
        </w:tc>
        <w:tc>
          <w:tcPr>
            <w:tcW w:w="1395" w:type="dxa"/>
            <w:tcBorders>
              <w:tl2br w:val="nil"/>
              <w:tr2bl w:val="nil"/>
            </w:tcBorders>
            <w:vAlign w:val="center"/>
          </w:tcPr>
          <w:p w14:paraId="17D9AAFE">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光国生物能源（南京）有限公司</w:t>
            </w:r>
          </w:p>
        </w:tc>
        <w:tc>
          <w:tcPr>
            <w:tcW w:w="1056" w:type="dxa"/>
            <w:gridSpan w:val="2"/>
            <w:tcBorders>
              <w:tl2br w:val="nil"/>
              <w:tr2bl w:val="nil"/>
            </w:tcBorders>
            <w:vAlign w:val="center"/>
          </w:tcPr>
          <w:p w14:paraId="63033963">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区</w:t>
            </w:r>
            <w:r>
              <w:rPr>
                <w:rFonts w:hint="eastAsia" w:ascii="Times New Roman" w:hAnsi="Times New Roman" w:eastAsia="宋体" w:cs="Times New Roman"/>
                <w:color w:val="auto"/>
                <w:sz w:val="21"/>
                <w:szCs w:val="21"/>
                <w:highlight w:val="none"/>
                <w:lang w:val="en-US" w:eastAsia="zh-CN"/>
              </w:rPr>
              <w:t>外</w:t>
            </w:r>
          </w:p>
        </w:tc>
        <w:tc>
          <w:tcPr>
            <w:tcW w:w="1970" w:type="dxa"/>
            <w:tcBorders>
              <w:tl2br w:val="nil"/>
              <w:tr2bl w:val="nil"/>
            </w:tcBorders>
            <w:vAlign w:val="center"/>
          </w:tcPr>
          <w:p w14:paraId="0B9DB84A">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餐厨垃圾660吨/日（含废弃油脂60吨/日）</w:t>
            </w:r>
          </w:p>
        </w:tc>
        <w:tc>
          <w:tcPr>
            <w:tcW w:w="2018" w:type="dxa"/>
            <w:tcBorders>
              <w:tl2br w:val="nil"/>
              <w:tr2bl w:val="nil"/>
            </w:tcBorders>
            <w:shd w:val="clear" w:color="auto" w:fill="auto"/>
            <w:vAlign w:val="center"/>
          </w:tcPr>
          <w:p w14:paraId="69F21222">
            <w:pPr>
              <w:bidi w:val="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开发区</w:t>
            </w:r>
          </w:p>
        </w:tc>
        <w:tc>
          <w:tcPr>
            <w:tcW w:w="999" w:type="dxa"/>
            <w:tcBorders>
              <w:tl2br w:val="nil"/>
              <w:tr2bl w:val="nil"/>
            </w:tcBorders>
            <w:shd w:val="clear" w:color="auto" w:fill="auto"/>
            <w:vAlign w:val="center"/>
          </w:tcPr>
          <w:p w14:paraId="2095CBFA">
            <w:pPr>
              <w:bidi w:val="0"/>
              <w:jc w:val="center"/>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color w:val="auto"/>
                <w:sz w:val="21"/>
                <w:szCs w:val="21"/>
                <w:highlight w:val="none"/>
              </w:rPr>
              <w:t>已建</w:t>
            </w:r>
          </w:p>
        </w:tc>
      </w:tr>
      <w:tr w14:paraId="7A733FB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72" w:hRule="atLeast"/>
        </w:trPr>
        <w:tc>
          <w:tcPr>
            <w:tcW w:w="778" w:type="dxa"/>
            <w:gridSpan w:val="2"/>
            <w:vMerge w:val="continue"/>
            <w:tcBorders>
              <w:tl2br w:val="nil"/>
              <w:tr2bl w:val="nil"/>
            </w:tcBorders>
            <w:vAlign w:val="center"/>
          </w:tcPr>
          <w:p w14:paraId="02E5BACA">
            <w:pPr>
              <w:bidi w:val="0"/>
              <w:jc w:val="center"/>
              <w:rPr>
                <w:rFonts w:hint="default" w:ascii="Times New Roman" w:hAnsi="Times New Roman" w:eastAsia="宋体" w:cs="Times New Roman"/>
                <w:color w:val="auto"/>
                <w:sz w:val="21"/>
                <w:szCs w:val="21"/>
                <w:highlight w:val="none"/>
                <w:lang w:val="en-US" w:eastAsia="zh-CN"/>
              </w:rPr>
            </w:pPr>
          </w:p>
        </w:tc>
        <w:tc>
          <w:tcPr>
            <w:tcW w:w="1395" w:type="dxa"/>
            <w:tcBorders>
              <w:tl2br w:val="nil"/>
              <w:tr2bl w:val="nil"/>
            </w:tcBorders>
            <w:vAlign w:val="center"/>
          </w:tcPr>
          <w:p w14:paraId="425A5712">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南京伊环环境服务有限公司</w:t>
            </w:r>
          </w:p>
        </w:tc>
        <w:tc>
          <w:tcPr>
            <w:tcW w:w="1056" w:type="dxa"/>
            <w:gridSpan w:val="2"/>
            <w:tcBorders>
              <w:tl2br w:val="nil"/>
              <w:tr2bl w:val="nil"/>
            </w:tcBorders>
            <w:vAlign w:val="center"/>
          </w:tcPr>
          <w:p w14:paraId="71E1F1ED">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区</w:t>
            </w:r>
            <w:r>
              <w:rPr>
                <w:rFonts w:hint="eastAsia" w:ascii="Times New Roman" w:hAnsi="Times New Roman" w:eastAsia="宋体" w:cs="Times New Roman"/>
                <w:color w:val="auto"/>
                <w:sz w:val="21"/>
                <w:szCs w:val="21"/>
                <w:highlight w:val="none"/>
                <w:lang w:val="en-US" w:eastAsia="zh-CN"/>
              </w:rPr>
              <w:t>外</w:t>
            </w:r>
          </w:p>
        </w:tc>
        <w:tc>
          <w:tcPr>
            <w:tcW w:w="1970" w:type="dxa"/>
            <w:tcBorders>
              <w:tl2br w:val="nil"/>
              <w:tr2bl w:val="nil"/>
            </w:tcBorders>
            <w:vAlign w:val="center"/>
          </w:tcPr>
          <w:p w14:paraId="0379145D">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2000吨/年危险废物集中收集贮存项目</w:t>
            </w:r>
          </w:p>
        </w:tc>
        <w:tc>
          <w:tcPr>
            <w:tcW w:w="2018" w:type="dxa"/>
            <w:tcBorders>
              <w:tl2br w:val="nil"/>
              <w:tr2bl w:val="nil"/>
            </w:tcBorders>
            <w:vAlign w:val="center"/>
          </w:tcPr>
          <w:p w14:paraId="0828C389">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开发区</w:t>
            </w:r>
          </w:p>
        </w:tc>
        <w:tc>
          <w:tcPr>
            <w:tcW w:w="999" w:type="dxa"/>
            <w:tcBorders>
              <w:tl2br w:val="nil"/>
              <w:tr2bl w:val="nil"/>
            </w:tcBorders>
            <w:vAlign w:val="center"/>
          </w:tcPr>
          <w:p w14:paraId="4BFC23D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已建</w:t>
            </w:r>
          </w:p>
        </w:tc>
      </w:tr>
    </w:tbl>
    <w:p w14:paraId="096AC49E">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default" w:ascii="Times New Roman" w:hAnsi="Times New Roman" w:cs="Times New Roman"/>
          <w:b/>
          <w:bCs/>
          <w:color w:val="auto"/>
          <w:sz w:val="24"/>
          <w:szCs w:val="24"/>
          <w:highlight w:val="none"/>
          <w:lang w:val="en-US" w:eastAsia="zh-CN"/>
        </w:rPr>
      </w:pPr>
      <w:bookmarkStart w:id="1757" w:name="_Toc20372"/>
      <w:r>
        <w:rPr>
          <w:rFonts w:hint="default" w:ascii="Times New Roman" w:hAnsi="Times New Roman" w:cs="Times New Roman"/>
          <w:b/>
          <w:bCs/>
          <w:color w:val="auto"/>
          <w:sz w:val="24"/>
          <w:szCs w:val="24"/>
          <w:highlight w:val="none"/>
          <w:lang w:val="en-US" w:eastAsia="zh-CN"/>
        </w:rPr>
        <w:t>6.4.1供水水源及水厂</w:t>
      </w:r>
      <w:bookmarkEnd w:id="1757"/>
      <w:bookmarkStart w:id="1758" w:name="pindex12234"/>
      <w:bookmarkEnd w:id="1758"/>
    </w:p>
    <w:p w14:paraId="0C1518F2">
      <w:pPr>
        <w:keepNext w:val="0"/>
        <w:keepLines w:val="0"/>
        <w:pageBreakBefore w:val="0"/>
        <w:widowControl/>
        <w:kinsoku/>
        <w:wordWrap/>
        <w:overflowPunct/>
        <w:topLinePunct w:val="0"/>
        <w:autoSpaceDE w:val="0"/>
        <w:autoSpaceDN w:val="0"/>
        <w:bidi w:val="0"/>
        <w:adjustRightInd w:val="0"/>
        <w:snapToGrid w:val="0"/>
        <w:spacing w:line="360" w:lineRule="auto"/>
        <w:ind w:firstLine="464" w:firstLineChars="200"/>
        <w:textAlignment w:val="baseline"/>
        <w:rPr>
          <w:rFonts w:ascii="宋体" w:hAnsi="宋体" w:eastAsia="宋体" w:cs="宋体"/>
          <w:color w:val="auto"/>
          <w:sz w:val="24"/>
          <w:szCs w:val="24"/>
        </w:rPr>
      </w:pPr>
      <w:r>
        <w:rPr>
          <w:rFonts w:ascii="宋体" w:hAnsi="宋体" w:eastAsia="宋体" w:cs="宋体"/>
          <w:color w:val="auto"/>
          <w:spacing w:val="-4"/>
          <w:sz w:val="24"/>
          <w:szCs w:val="24"/>
        </w:rPr>
        <w:t>区域实行联合供水，</w:t>
      </w:r>
      <w:r>
        <w:rPr>
          <w:rFonts w:hint="eastAsia" w:ascii="宋体" w:hAnsi="宋体" w:eastAsia="宋体" w:cs="宋体"/>
          <w:color w:val="auto"/>
          <w:spacing w:val="-4"/>
          <w:sz w:val="24"/>
          <w:szCs w:val="24"/>
          <w:lang w:val="en-US" w:eastAsia="zh-CN"/>
        </w:rPr>
        <w:t>区内</w:t>
      </w:r>
      <w:r>
        <w:rPr>
          <w:rFonts w:ascii="宋体" w:hAnsi="宋体" w:eastAsia="宋体" w:cs="宋体"/>
          <w:color w:val="auto"/>
          <w:spacing w:val="-4"/>
          <w:sz w:val="24"/>
          <w:szCs w:val="24"/>
        </w:rPr>
        <w:t>以</w:t>
      </w:r>
      <w:r>
        <w:rPr>
          <w:rFonts w:hint="eastAsia" w:ascii="宋体" w:hAnsi="宋体" w:eastAsia="宋体" w:cs="宋体"/>
          <w:color w:val="auto"/>
          <w:spacing w:val="-4"/>
          <w:sz w:val="24"/>
          <w:szCs w:val="24"/>
          <w:lang w:val="en-US" w:eastAsia="zh-CN"/>
        </w:rPr>
        <w:t>江宁开发区水厂、江宁科学园水厂</w:t>
      </w:r>
      <w:r>
        <w:rPr>
          <w:rFonts w:ascii="宋体" w:hAnsi="宋体" w:eastAsia="宋体" w:cs="宋体"/>
          <w:color w:val="auto"/>
          <w:spacing w:val="-4"/>
          <w:sz w:val="24"/>
          <w:szCs w:val="24"/>
        </w:rPr>
        <w:t>作为主要</w:t>
      </w:r>
      <w:r>
        <w:rPr>
          <w:rFonts w:ascii="宋体" w:hAnsi="宋体" w:eastAsia="宋体" w:cs="宋体"/>
          <w:color w:val="auto"/>
          <w:spacing w:val="-1"/>
          <w:sz w:val="24"/>
          <w:szCs w:val="24"/>
        </w:rPr>
        <w:t>供水水源</w:t>
      </w:r>
      <w:r>
        <w:rPr>
          <w:rFonts w:hint="eastAsia" w:ascii="宋体" w:hAnsi="宋体" w:eastAsia="宋体" w:cs="宋体"/>
          <w:color w:val="auto"/>
          <w:spacing w:val="-1"/>
          <w:sz w:val="24"/>
          <w:szCs w:val="24"/>
          <w:lang w:eastAsia="zh-CN"/>
        </w:rPr>
        <w:t>，</w:t>
      </w:r>
      <w:r>
        <w:rPr>
          <w:rFonts w:hint="eastAsia" w:ascii="宋体" w:hAnsi="宋体" w:eastAsia="宋体" w:cs="宋体"/>
          <w:color w:val="auto"/>
          <w:spacing w:val="-1"/>
          <w:sz w:val="24"/>
          <w:szCs w:val="24"/>
          <w:lang w:val="en-US" w:eastAsia="zh-CN"/>
        </w:rPr>
        <w:t>区外依托</w:t>
      </w:r>
      <w:r>
        <w:rPr>
          <w:rFonts w:hint="eastAsia" w:ascii="Times New Roman" w:hAnsi="Times New Roman" w:eastAsia="宋体" w:cs="Times New Roman"/>
          <w:color w:val="auto"/>
          <w:sz w:val="24"/>
          <w:szCs w:val="24"/>
          <w:lang w:val="en-US" w:eastAsia="zh-CN"/>
        </w:rPr>
        <w:t>滨江水厂</w:t>
      </w:r>
      <w:r>
        <w:rPr>
          <w:rFonts w:ascii="宋体" w:hAnsi="宋体" w:eastAsia="宋体" w:cs="宋体"/>
          <w:color w:val="auto"/>
          <w:spacing w:val="-1"/>
          <w:sz w:val="24"/>
          <w:szCs w:val="24"/>
        </w:rPr>
        <w:t>。</w:t>
      </w:r>
      <w:r>
        <w:rPr>
          <w:rFonts w:hint="eastAsia" w:ascii="宋体" w:hAnsi="宋体" w:eastAsia="宋体" w:cs="宋体"/>
          <w:color w:val="auto"/>
          <w:spacing w:val="-1"/>
          <w:sz w:val="24"/>
          <w:szCs w:val="24"/>
          <w:lang w:val="en-US" w:eastAsia="zh-CN"/>
        </w:rPr>
        <w:t>江宁开发区水厂</w:t>
      </w:r>
      <w:r>
        <w:rPr>
          <w:rFonts w:ascii="宋体" w:hAnsi="宋体" w:eastAsia="宋体" w:cs="宋体"/>
          <w:color w:val="auto"/>
          <w:spacing w:val="-1"/>
          <w:sz w:val="24"/>
          <w:szCs w:val="24"/>
        </w:rPr>
        <w:t>供水规模</w:t>
      </w:r>
      <w:r>
        <w:rPr>
          <w:rFonts w:ascii="Times New Roman" w:hAnsi="Times New Roman" w:eastAsia="Times New Roman" w:cs="Times New Roman"/>
          <w:color w:val="auto"/>
          <w:spacing w:val="-1"/>
          <w:sz w:val="24"/>
          <w:szCs w:val="24"/>
        </w:rPr>
        <w:t>30</w:t>
      </w:r>
      <w:r>
        <w:rPr>
          <w:rFonts w:ascii="宋体" w:hAnsi="宋体" w:eastAsia="宋体" w:cs="宋体"/>
          <w:color w:val="auto"/>
          <w:spacing w:val="-1"/>
          <w:sz w:val="24"/>
          <w:szCs w:val="24"/>
        </w:rPr>
        <w:t>万</w:t>
      </w:r>
      <w:r>
        <w:rPr>
          <w:rFonts w:ascii="Times New Roman" w:hAnsi="Times New Roman" w:eastAsia="Times New Roman" w:cs="Times New Roman"/>
          <w:color w:val="auto"/>
          <w:spacing w:val="-1"/>
          <w:sz w:val="24"/>
          <w:szCs w:val="24"/>
        </w:rPr>
        <w:t>m</w:t>
      </w:r>
      <w:r>
        <w:rPr>
          <w:rFonts w:ascii="Times New Roman" w:hAnsi="Times New Roman" w:eastAsia="Times New Roman" w:cs="Times New Roman"/>
          <w:color w:val="auto"/>
          <w:spacing w:val="-1"/>
          <w:position w:val="9"/>
          <w:sz w:val="16"/>
          <w:szCs w:val="16"/>
        </w:rPr>
        <w:t>3</w:t>
      </w:r>
      <w:r>
        <w:rPr>
          <w:rFonts w:ascii="Times New Roman" w:hAnsi="Times New Roman" w:eastAsia="Times New Roman" w:cs="Times New Roman"/>
          <w:color w:val="auto"/>
          <w:spacing w:val="-1"/>
          <w:sz w:val="24"/>
          <w:szCs w:val="24"/>
        </w:rPr>
        <w:t>/d</w:t>
      </w:r>
      <w:r>
        <w:rPr>
          <w:rFonts w:ascii="宋体" w:hAnsi="宋体" w:eastAsia="宋体" w:cs="宋体"/>
          <w:color w:val="auto"/>
          <w:spacing w:val="-4"/>
          <w:sz w:val="24"/>
          <w:szCs w:val="24"/>
        </w:rPr>
        <w:t>；</w:t>
      </w:r>
      <w:r>
        <w:rPr>
          <w:rFonts w:hint="eastAsia" w:ascii="宋体" w:hAnsi="宋体" w:eastAsia="宋体" w:cs="宋体"/>
          <w:color w:val="auto"/>
          <w:spacing w:val="-4"/>
          <w:sz w:val="24"/>
          <w:szCs w:val="24"/>
          <w:lang w:val="en-US" w:eastAsia="zh-CN"/>
        </w:rPr>
        <w:t>江宁科学园水厂</w:t>
      </w:r>
      <w:r>
        <w:rPr>
          <w:rFonts w:ascii="宋体" w:hAnsi="宋体" w:eastAsia="宋体" w:cs="宋体"/>
          <w:color w:val="auto"/>
          <w:spacing w:val="-4"/>
          <w:sz w:val="24"/>
          <w:szCs w:val="24"/>
        </w:rPr>
        <w:t>供水规模</w:t>
      </w:r>
      <w:r>
        <w:rPr>
          <w:rFonts w:hint="eastAsia" w:ascii="Times New Roman" w:hAnsi="Times New Roman" w:eastAsia="宋体" w:cs="Times New Roman"/>
          <w:color w:val="auto"/>
          <w:spacing w:val="-4"/>
          <w:sz w:val="24"/>
          <w:szCs w:val="24"/>
          <w:lang w:val="en-US" w:eastAsia="zh-CN"/>
        </w:rPr>
        <w:t>15</w:t>
      </w:r>
      <w:r>
        <w:rPr>
          <w:rFonts w:ascii="宋体" w:hAnsi="宋体" w:eastAsia="宋体" w:cs="宋体"/>
          <w:color w:val="auto"/>
          <w:spacing w:val="-4"/>
          <w:sz w:val="24"/>
          <w:szCs w:val="24"/>
        </w:rPr>
        <w:t>万</w:t>
      </w:r>
      <w:r>
        <w:rPr>
          <w:rFonts w:ascii="Times New Roman" w:hAnsi="Times New Roman" w:eastAsia="Times New Roman" w:cs="Times New Roman"/>
          <w:color w:val="auto"/>
          <w:spacing w:val="-2"/>
          <w:sz w:val="24"/>
          <w:szCs w:val="24"/>
        </w:rPr>
        <w:t>m</w:t>
      </w:r>
      <w:r>
        <w:rPr>
          <w:rFonts w:ascii="Times New Roman" w:hAnsi="Times New Roman" w:eastAsia="Times New Roman" w:cs="Times New Roman"/>
          <w:color w:val="auto"/>
          <w:spacing w:val="-2"/>
          <w:position w:val="9"/>
          <w:sz w:val="16"/>
          <w:szCs w:val="16"/>
        </w:rPr>
        <w:t>3</w:t>
      </w:r>
      <w:r>
        <w:rPr>
          <w:rFonts w:ascii="Times New Roman" w:hAnsi="Times New Roman" w:eastAsia="Times New Roman" w:cs="Times New Roman"/>
          <w:color w:val="auto"/>
          <w:spacing w:val="-2"/>
          <w:sz w:val="24"/>
          <w:szCs w:val="24"/>
        </w:rPr>
        <w:t>/d</w:t>
      </w:r>
      <w:r>
        <w:rPr>
          <w:rFonts w:hint="eastAsia" w:ascii="Times New Roman" w:hAnsi="Times New Roman" w:eastAsia="宋体" w:cs="Times New Roman"/>
          <w:color w:val="auto"/>
          <w:spacing w:val="-2"/>
          <w:sz w:val="24"/>
          <w:szCs w:val="24"/>
          <w:lang w:eastAsia="zh-CN"/>
        </w:rPr>
        <w:t>；</w:t>
      </w:r>
      <w:r>
        <w:rPr>
          <w:rFonts w:hint="eastAsia" w:ascii="Times New Roman" w:hAnsi="Times New Roman" w:eastAsia="宋体" w:cs="Times New Roman"/>
          <w:color w:val="auto"/>
          <w:sz w:val="24"/>
          <w:szCs w:val="24"/>
          <w:lang w:val="en-US" w:eastAsia="zh-CN"/>
        </w:rPr>
        <w:t>滨江水厂</w:t>
      </w:r>
      <w:r>
        <w:rPr>
          <w:rFonts w:ascii="宋体" w:hAnsi="宋体" w:eastAsia="宋体" w:cs="宋体"/>
          <w:color w:val="auto"/>
          <w:spacing w:val="-4"/>
          <w:sz w:val="24"/>
          <w:szCs w:val="24"/>
        </w:rPr>
        <w:t>供水规模</w:t>
      </w:r>
      <w:r>
        <w:rPr>
          <w:rFonts w:hint="eastAsia" w:ascii="Times New Roman" w:hAnsi="Times New Roman" w:eastAsia="宋体" w:cs="Times New Roman"/>
          <w:color w:val="auto"/>
          <w:spacing w:val="-4"/>
          <w:sz w:val="24"/>
          <w:szCs w:val="24"/>
          <w:lang w:val="en-US" w:eastAsia="zh-CN"/>
        </w:rPr>
        <w:t>45</w:t>
      </w:r>
      <w:r>
        <w:rPr>
          <w:rFonts w:ascii="宋体" w:hAnsi="宋体" w:eastAsia="宋体" w:cs="宋体"/>
          <w:color w:val="auto"/>
          <w:spacing w:val="-4"/>
          <w:sz w:val="24"/>
          <w:szCs w:val="24"/>
        </w:rPr>
        <w:t>万</w:t>
      </w:r>
      <w:r>
        <w:rPr>
          <w:rFonts w:ascii="Times New Roman" w:hAnsi="Times New Roman" w:eastAsia="Times New Roman" w:cs="Times New Roman"/>
          <w:color w:val="auto"/>
          <w:spacing w:val="-2"/>
          <w:sz w:val="24"/>
          <w:szCs w:val="24"/>
        </w:rPr>
        <w:t>m</w:t>
      </w:r>
      <w:r>
        <w:rPr>
          <w:rFonts w:ascii="Times New Roman" w:hAnsi="Times New Roman" w:eastAsia="Times New Roman" w:cs="Times New Roman"/>
          <w:color w:val="auto"/>
          <w:spacing w:val="-2"/>
          <w:position w:val="9"/>
          <w:sz w:val="16"/>
          <w:szCs w:val="16"/>
        </w:rPr>
        <w:t>3</w:t>
      </w:r>
      <w:r>
        <w:rPr>
          <w:rFonts w:ascii="Times New Roman" w:hAnsi="Times New Roman" w:eastAsia="Times New Roman" w:cs="Times New Roman"/>
          <w:color w:val="auto"/>
          <w:spacing w:val="-2"/>
          <w:sz w:val="24"/>
          <w:szCs w:val="24"/>
        </w:rPr>
        <w:t>/d</w:t>
      </w:r>
      <w:r>
        <w:rPr>
          <w:rFonts w:ascii="宋体" w:hAnsi="宋体" w:eastAsia="宋体" w:cs="宋体"/>
          <w:color w:val="auto"/>
          <w:spacing w:val="-2"/>
          <w:sz w:val="24"/>
          <w:szCs w:val="24"/>
        </w:rPr>
        <w:t>。</w:t>
      </w:r>
    </w:p>
    <w:p w14:paraId="2D378622">
      <w:pPr>
        <w:spacing w:before="36" w:line="220" w:lineRule="auto"/>
        <w:outlineLvl w:val="2"/>
        <w:rPr>
          <w:rFonts w:ascii="宋体" w:hAnsi="宋体" w:eastAsia="宋体" w:cs="宋体"/>
          <w:color w:val="auto"/>
          <w:sz w:val="24"/>
          <w:szCs w:val="24"/>
        </w:rPr>
      </w:pPr>
      <w:bookmarkStart w:id="1759" w:name="_Toc15165"/>
      <w:r>
        <w:rPr>
          <w:rFonts w:ascii="Times New Roman" w:hAnsi="Times New Roman" w:eastAsia="Times New Roman" w:cs="Times New Roman"/>
          <w:b/>
          <w:bCs/>
          <w:color w:val="auto"/>
          <w:spacing w:val="-2"/>
          <w:sz w:val="24"/>
          <w:szCs w:val="24"/>
        </w:rPr>
        <w:t>6.4.2</w:t>
      </w:r>
      <w:r>
        <w:rPr>
          <w:rFonts w:ascii="宋体" w:hAnsi="宋体" w:eastAsia="宋体" w:cs="宋体"/>
          <w:b/>
          <w:bCs/>
          <w:color w:val="auto"/>
          <w:spacing w:val="-2"/>
          <w:sz w:val="24"/>
          <w:szCs w:val="24"/>
        </w:rPr>
        <w:t>污水集中处理设施</w:t>
      </w:r>
      <w:bookmarkEnd w:id="1759"/>
      <w:bookmarkStart w:id="1760" w:name="pindex12236"/>
      <w:bookmarkEnd w:id="1760"/>
    </w:p>
    <w:p w14:paraId="6C11FBE5">
      <w:pPr>
        <w:keepNext w:val="0"/>
        <w:keepLines w:val="0"/>
        <w:pageBreakBefore w:val="0"/>
        <w:widowControl/>
        <w:kinsoku w:val="0"/>
        <w:wordWrap/>
        <w:overflowPunct/>
        <w:topLinePunct w:val="0"/>
        <w:autoSpaceDE w:val="0"/>
        <w:autoSpaceDN w:val="0"/>
        <w:bidi w:val="0"/>
        <w:adjustRightInd w:val="0"/>
        <w:snapToGrid w:val="0"/>
        <w:spacing w:before="181" w:line="360" w:lineRule="auto"/>
        <w:ind w:right="28" w:firstLine="456" w:firstLineChars="200"/>
        <w:jc w:val="both"/>
        <w:textAlignment w:val="baseline"/>
        <w:rPr>
          <w:rFonts w:hint="default" w:ascii="Times New Roman" w:hAnsi="Times New Roman" w:eastAsia="宋体" w:cs="Times New Roman"/>
          <w:color w:val="auto"/>
          <w:spacing w:val="-6"/>
          <w:sz w:val="24"/>
          <w:szCs w:val="24"/>
          <w:highlight w:val="none"/>
        </w:rPr>
      </w:pPr>
      <w:r>
        <w:rPr>
          <w:rFonts w:hint="eastAsia" w:ascii="Times New Roman" w:hAnsi="Times New Roman" w:eastAsia="宋体" w:cs="Times New Roman"/>
          <w:color w:val="auto"/>
          <w:spacing w:val="-6"/>
          <w:sz w:val="24"/>
          <w:szCs w:val="24"/>
          <w:lang w:val="en-US" w:eastAsia="zh-CN"/>
        </w:rPr>
        <w:t>本次评估范围内</w:t>
      </w:r>
      <w:r>
        <w:rPr>
          <w:rFonts w:hint="default" w:ascii="Times New Roman" w:hAnsi="Times New Roman" w:eastAsia="宋体" w:cs="Times New Roman"/>
          <w:color w:val="auto"/>
          <w:spacing w:val="-6"/>
          <w:sz w:val="24"/>
          <w:szCs w:val="24"/>
        </w:rPr>
        <w:t>污水</w:t>
      </w:r>
      <w:r>
        <w:rPr>
          <w:rFonts w:hint="eastAsia" w:ascii="Times New Roman" w:hAnsi="Times New Roman" w:eastAsia="宋体" w:cs="Times New Roman"/>
          <w:color w:val="auto"/>
          <w:spacing w:val="-6"/>
          <w:sz w:val="24"/>
          <w:szCs w:val="24"/>
          <w:lang w:val="en-US" w:eastAsia="zh-CN"/>
        </w:rPr>
        <w:t>目前依托</w:t>
      </w:r>
      <w:r>
        <w:rPr>
          <w:rFonts w:hint="default" w:ascii="Times New Roman" w:hAnsi="Times New Roman" w:eastAsia="宋体" w:cs="Times New Roman"/>
          <w:color w:val="auto"/>
          <w:spacing w:val="-6"/>
          <w:sz w:val="24"/>
          <w:szCs w:val="24"/>
        </w:rPr>
        <w:t>日处理能力8万吨的江宁开发区污水处理厂</w:t>
      </w:r>
      <w:r>
        <w:rPr>
          <w:rFonts w:hint="eastAsia" w:ascii="Times New Roman" w:hAnsi="Times New Roman" w:eastAsia="宋体" w:cs="Times New Roman"/>
          <w:color w:val="auto"/>
          <w:spacing w:val="-6"/>
          <w:sz w:val="24"/>
          <w:szCs w:val="24"/>
          <w:lang w:eastAsia="zh-CN"/>
        </w:rPr>
        <w:t>（</w:t>
      </w:r>
      <w:r>
        <w:rPr>
          <w:rFonts w:hint="eastAsia" w:ascii="Times New Roman" w:hAnsi="Times New Roman" w:eastAsia="宋体" w:cs="Times New Roman"/>
          <w:color w:val="auto"/>
          <w:spacing w:val="-6"/>
          <w:sz w:val="24"/>
          <w:szCs w:val="24"/>
          <w:lang w:val="en-US" w:eastAsia="zh-CN"/>
        </w:rPr>
        <w:t>区内</w:t>
      </w:r>
      <w:r>
        <w:rPr>
          <w:rFonts w:hint="eastAsia" w:ascii="Times New Roman" w:hAnsi="Times New Roman" w:eastAsia="宋体" w:cs="Times New Roman"/>
          <w:color w:val="auto"/>
          <w:spacing w:val="-6"/>
          <w:sz w:val="24"/>
          <w:szCs w:val="24"/>
          <w:lang w:eastAsia="zh-CN"/>
        </w:rPr>
        <w:t>）</w:t>
      </w:r>
      <w:r>
        <w:rPr>
          <w:rFonts w:hint="eastAsia" w:ascii="Times New Roman" w:hAnsi="Times New Roman" w:eastAsia="宋体" w:cs="Times New Roman"/>
          <w:color w:val="auto"/>
          <w:spacing w:val="-6"/>
          <w:sz w:val="24"/>
          <w:szCs w:val="24"/>
          <w:lang w:val="en-US" w:eastAsia="zh-CN"/>
        </w:rPr>
        <w:t>与</w:t>
      </w:r>
      <w:r>
        <w:rPr>
          <w:rFonts w:hint="default" w:ascii="Times New Roman" w:hAnsi="Times New Roman" w:eastAsia="宋体" w:cs="Times New Roman"/>
          <w:color w:val="auto"/>
          <w:spacing w:val="-6"/>
          <w:sz w:val="24"/>
          <w:szCs w:val="24"/>
        </w:rPr>
        <w:t>日处理能力</w:t>
      </w:r>
      <w:r>
        <w:rPr>
          <w:rFonts w:hint="eastAsia" w:ascii="Times New Roman" w:hAnsi="Times New Roman" w:eastAsia="宋体" w:cs="Times New Roman"/>
          <w:color w:val="auto"/>
          <w:spacing w:val="-6"/>
          <w:sz w:val="24"/>
          <w:szCs w:val="24"/>
          <w:lang w:val="en-US" w:eastAsia="zh-CN"/>
        </w:rPr>
        <w:t>15</w:t>
      </w:r>
      <w:r>
        <w:rPr>
          <w:rFonts w:hint="default" w:ascii="Times New Roman" w:hAnsi="Times New Roman" w:eastAsia="宋体" w:cs="Times New Roman"/>
          <w:color w:val="auto"/>
          <w:spacing w:val="-6"/>
          <w:sz w:val="24"/>
          <w:szCs w:val="24"/>
        </w:rPr>
        <w:t>万吨的南区污水处理厂</w:t>
      </w:r>
      <w:r>
        <w:rPr>
          <w:rFonts w:hint="eastAsia" w:ascii="Times New Roman" w:hAnsi="Times New Roman" w:eastAsia="宋体" w:cs="Times New Roman"/>
          <w:color w:val="auto"/>
          <w:spacing w:val="-6"/>
          <w:sz w:val="24"/>
          <w:szCs w:val="24"/>
          <w:lang w:eastAsia="zh-CN"/>
        </w:rPr>
        <w:t>（</w:t>
      </w:r>
      <w:r>
        <w:rPr>
          <w:rFonts w:hint="eastAsia" w:ascii="Times New Roman" w:hAnsi="Times New Roman" w:eastAsia="宋体" w:cs="Times New Roman"/>
          <w:color w:val="auto"/>
          <w:spacing w:val="-6"/>
          <w:sz w:val="24"/>
          <w:szCs w:val="24"/>
          <w:lang w:val="en-US" w:eastAsia="zh-CN"/>
        </w:rPr>
        <w:t>区外</w:t>
      </w:r>
      <w:r>
        <w:rPr>
          <w:rFonts w:hint="eastAsia" w:ascii="Times New Roman" w:hAnsi="Times New Roman" w:eastAsia="宋体" w:cs="Times New Roman"/>
          <w:color w:val="auto"/>
          <w:spacing w:val="-6"/>
          <w:sz w:val="24"/>
          <w:szCs w:val="24"/>
          <w:lang w:eastAsia="zh-CN"/>
        </w:rPr>
        <w:t>），</w:t>
      </w:r>
      <w:r>
        <w:rPr>
          <w:rFonts w:hint="default" w:ascii="Times New Roman" w:hAnsi="Times New Roman" w:eastAsia="宋体" w:cs="Times New Roman"/>
          <w:color w:val="auto"/>
          <w:spacing w:val="-6"/>
          <w:sz w:val="24"/>
          <w:szCs w:val="24"/>
        </w:rPr>
        <w:t>收水范围详见</w:t>
      </w:r>
      <w:r>
        <w:rPr>
          <w:rFonts w:hint="default" w:ascii="Times New Roman" w:hAnsi="Times New Roman" w:eastAsia="宋体" w:cs="Times New Roman"/>
          <w:color w:val="auto"/>
          <w:spacing w:val="-6"/>
          <w:sz w:val="24"/>
          <w:szCs w:val="24"/>
          <w:highlight w:val="none"/>
        </w:rPr>
        <w:t>附图</w:t>
      </w:r>
      <w:r>
        <w:rPr>
          <w:rFonts w:hint="eastAsia" w:ascii="Times New Roman" w:hAnsi="Times New Roman" w:eastAsia="宋体" w:cs="Times New Roman"/>
          <w:color w:val="auto"/>
          <w:spacing w:val="-6"/>
          <w:sz w:val="24"/>
          <w:szCs w:val="24"/>
          <w:highlight w:val="none"/>
          <w:lang w:val="en-US" w:eastAsia="zh-CN"/>
        </w:rPr>
        <w:t>7</w:t>
      </w:r>
      <w:r>
        <w:rPr>
          <w:rFonts w:hint="default" w:ascii="Times New Roman" w:hAnsi="Times New Roman" w:eastAsia="宋体" w:cs="Times New Roman"/>
          <w:color w:val="auto"/>
          <w:spacing w:val="-6"/>
          <w:sz w:val="24"/>
          <w:szCs w:val="24"/>
          <w:highlight w:val="none"/>
        </w:rPr>
        <w:t>。</w:t>
      </w:r>
    </w:p>
    <w:p w14:paraId="1D9162DD">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2" w:line="360" w:lineRule="auto"/>
        <w:ind w:firstLine="450" w:firstLineChars="200"/>
        <w:textAlignment w:val="baseline"/>
        <w:rPr>
          <w:rFonts w:hint="default" w:ascii="Times New Roman" w:hAnsi="Times New Roman" w:eastAsia="宋体" w:cs="Times New Roman"/>
          <w:b/>
          <w:bCs/>
          <w:color w:val="auto"/>
          <w:spacing w:val="-8"/>
          <w:sz w:val="24"/>
          <w:szCs w:val="24"/>
          <w:highlight w:val="none"/>
        </w:rPr>
      </w:pPr>
      <w:r>
        <w:rPr>
          <w:rFonts w:hint="default" w:ascii="Times New Roman" w:hAnsi="Times New Roman" w:eastAsia="宋体" w:cs="Times New Roman"/>
          <w:b/>
          <w:bCs/>
          <w:snapToGrid w:val="0"/>
          <w:color w:val="auto"/>
          <w:spacing w:val="-8"/>
          <w:kern w:val="0"/>
          <w:sz w:val="24"/>
          <w:szCs w:val="24"/>
          <w:lang w:val="en-US" w:eastAsia="en-US" w:bidi="ar-SA"/>
        </w:rPr>
        <w:t>（1）</w:t>
      </w:r>
      <w:r>
        <w:rPr>
          <w:rFonts w:hint="default" w:ascii="Times New Roman" w:hAnsi="Times New Roman" w:eastAsia="宋体" w:cs="Times New Roman"/>
          <w:b/>
          <w:bCs/>
          <w:color w:val="auto"/>
          <w:spacing w:val="-8"/>
          <w:sz w:val="24"/>
          <w:szCs w:val="24"/>
          <w:highlight w:val="none"/>
        </w:rPr>
        <w:t>雨污管网</w:t>
      </w:r>
      <w:bookmarkStart w:id="1761" w:name="pindex12238"/>
      <w:bookmarkEnd w:id="1761"/>
    </w:p>
    <w:p w14:paraId="1F6F0A76">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2" w:line="360" w:lineRule="auto"/>
        <w:ind w:firstLine="460" w:firstLineChars="200"/>
        <w:textAlignment w:val="baseline"/>
        <w:rPr>
          <w:rFonts w:ascii="宋体" w:hAnsi="宋体" w:eastAsia="宋体" w:cs="宋体"/>
          <w:color w:val="auto"/>
          <w:sz w:val="24"/>
          <w:szCs w:val="24"/>
          <w:highlight w:val="none"/>
        </w:rPr>
      </w:pPr>
      <w:r>
        <w:rPr>
          <w:rFonts w:ascii="宋体" w:hAnsi="宋体" w:eastAsia="宋体" w:cs="宋体"/>
          <w:color w:val="auto"/>
          <w:spacing w:val="-5"/>
          <w:sz w:val="24"/>
          <w:szCs w:val="24"/>
        </w:rPr>
        <w:t>目前，</w:t>
      </w:r>
      <w:r>
        <w:rPr>
          <w:rFonts w:ascii="宋体" w:hAnsi="宋体" w:eastAsia="宋体" w:cs="宋体"/>
          <w:color w:val="auto"/>
          <w:spacing w:val="-5"/>
          <w:sz w:val="24"/>
          <w:szCs w:val="24"/>
          <w:highlight w:val="none"/>
        </w:rPr>
        <w:t>开发区内涉水企业的生产和生活污水均已纳入污水管网</w:t>
      </w:r>
      <w:r>
        <w:rPr>
          <w:rFonts w:ascii="宋体" w:hAnsi="宋体" w:eastAsia="宋体" w:cs="宋体"/>
          <w:color w:val="auto"/>
          <w:spacing w:val="-5"/>
          <w:sz w:val="24"/>
          <w:szCs w:val="24"/>
        </w:rPr>
        <w:t>，实现全面覆</w:t>
      </w:r>
      <w:r>
        <w:rPr>
          <w:rFonts w:ascii="宋体" w:hAnsi="宋体" w:eastAsia="宋体" w:cs="宋体"/>
          <w:color w:val="auto"/>
          <w:spacing w:val="-6"/>
          <w:sz w:val="24"/>
          <w:szCs w:val="24"/>
        </w:rPr>
        <w:t>盖。园内主要道路两侧基本均铺设雨水管道，分片依重力流收</w:t>
      </w:r>
      <w:r>
        <w:rPr>
          <w:rFonts w:ascii="宋体" w:hAnsi="宋体" w:eastAsia="宋体" w:cs="宋体"/>
          <w:color w:val="auto"/>
          <w:spacing w:val="-7"/>
          <w:sz w:val="24"/>
          <w:szCs w:val="24"/>
        </w:rPr>
        <w:t>集雨水，通过一干</w:t>
      </w:r>
      <w:r>
        <w:rPr>
          <w:rFonts w:ascii="宋体" w:hAnsi="宋体" w:eastAsia="宋体" w:cs="宋体"/>
          <w:color w:val="auto"/>
          <w:spacing w:val="-3"/>
          <w:sz w:val="24"/>
          <w:szCs w:val="24"/>
        </w:rPr>
        <w:t>河和二干河边上的雨水泵站排入一干河及二干河内。根据河流位置、地形、道路走向等划分汇水区域，规划</w:t>
      </w:r>
      <w:r>
        <w:rPr>
          <w:rFonts w:ascii="宋体" w:hAnsi="宋体" w:eastAsia="宋体" w:cs="宋体"/>
          <w:color w:val="auto"/>
          <w:spacing w:val="-3"/>
          <w:sz w:val="24"/>
          <w:szCs w:val="24"/>
          <w:highlight w:val="none"/>
        </w:rPr>
        <w:t>沿道路布置雨水管道，分片收集雨水，主要干道雨水</w:t>
      </w:r>
      <w:r>
        <w:rPr>
          <w:rFonts w:ascii="宋体" w:hAnsi="宋体" w:eastAsia="宋体" w:cs="宋体"/>
          <w:color w:val="auto"/>
          <w:spacing w:val="-6"/>
          <w:sz w:val="24"/>
          <w:szCs w:val="24"/>
          <w:highlight w:val="none"/>
        </w:rPr>
        <w:t>管管径为</w:t>
      </w:r>
      <w:r>
        <w:rPr>
          <w:rFonts w:ascii="Times New Roman" w:hAnsi="Times New Roman" w:eastAsia="Times New Roman" w:cs="Times New Roman"/>
          <w:color w:val="auto"/>
          <w:spacing w:val="-6"/>
          <w:sz w:val="24"/>
          <w:szCs w:val="24"/>
          <w:highlight w:val="none"/>
        </w:rPr>
        <w:t>DN600-DN1800</w:t>
      </w:r>
      <w:r>
        <w:rPr>
          <w:rFonts w:ascii="宋体" w:hAnsi="宋体" w:eastAsia="宋体" w:cs="宋体"/>
          <w:color w:val="auto"/>
          <w:spacing w:val="-6"/>
          <w:sz w:val="24"/>
          <w:szCs w:val="24"/>
          <w:highlight w:val="none"/>
        </w:rPr>
        <w:t>，其余道路布置雨水支管，管径在</w:t>
      </w:r>
      <w:r>
        <w:rPr>
          <w:rFonts w:ascii="Times New Roman" w:hAnsi="Times New Roman" w:eastAsia="Times New Roman" w:cs="Times New Roman"/>
          <w:color w:val="auto"/>
          <w:spacing w:val="-6"/>
          <w:sz w:val="24"/>
          <w:szCs w:val="24"/>
          <w:highlight w:val="none"/>
        </w:rPr>
        <w:t>DN500-DN8</w:t>
      </w:r>
      <w:r>
        <w:rPr>
          <w:rFonts w:ascii="Times New Roman" w:hAnsi="Times New Roman" w:eastAsia="Times New Roman" w:cs="Times New Roman"/>
          <w:color w:val="auto"/>
          <w:spacing w:val="-7"/>
          <w:sz w:val="24"/>
          <w:szCs w:val="24"/>
          <w:highlight w:val="none"/>
        </w:rPr>
        <w:t>00</w:t>
      </w:r>
      <w:r>
        <w:rPr>
          <w:rFonts w:ascii="宋体" w:hAnsi="宋体" w:eastAsia="宋体" w:cs="宋体"/>
          <w:color w:val="auto"/>
          <w:spacing w:val="-7"/>
          <w:sz w:val="24"/>
          <w:szCs w:val="24"/>
          <w:highlight w:val="none"/>
        </w:rPr>
        <w:t>之间。</w:t>
      </w:r>
    </w:p>
    <w:p w14:paraId="5FBBE07C">
      <w:pPr>
        <w:keepNext w:val="0"/>
        <w:keepLines w:val="0"/>
        <w:pageBreakBefore w:val="0"/>
        <w:widowControl/>
        <w:kinsoku w:val="0"/>
        <w:wordWrap/>
        <w:overflowPunct/>
        <w:topLinePunct w:val="0"/>
        <w:autoSpaceDE w:val="0"/>
        <w:autoSpaceDN w:val="0"/>
        <w:bidi w:val="0"/>
        <w:adjustRightInd w:val="0"/>
        <w:snapToGrid w:val="0"/>
        <w:spacing w:before="33" w:line="360" w:lineRule="auto"/>
        <w:ind w:left="527"/>
        <w:textAlignment w:val="baseline"/>
        <w:rPr>
          <w:rFonts w:ascii="宋体" w:hAnsi="宋体" w:eastAsia="宋体" w:cs="宋体"/>
          <w:b/>
          <w:bCs/>
          <w:color w:val="auto"/>
          <w:spacing w:val="-4"/>
          <w:sz w:val="24"/>
          <w:szCs w:val="24"/>
          <w:highlight w:val="none"/>
        </w:rPr>
      </w:pPr>
      <w:r>
        <w:rPr>
          <w:rFonts w:ascii="宋体" w:hAnsi="宋体" w:eastAsia="宋体" w:cs="宋体"/>
          <w:b/>
          <w:bCs/>
          <w:color w:val="auto"/>
          <w:spacing w:val="-4"/>
          <w:sz w:val="24"/>
          <w:szCs w:val="24"/>
          <w:highlight w:val="none"/>
        </w:rPr>
        <w:t>（</w:t>
      </w:r>
      <w:r>
        <w:rPr>
          <w:rFonts w:ascii="Times New Roman" w:hAnsi="Times New Roman" w:eastAsia="Times New Roman" w:cs="Times New Roman"/>
          <w:b/>
          <w:bCs/>
          <w:color w:val="auto"/>
          <w:spacing w:val="-4"/>
          <w:sz w:val="24"/>
          <w:szCs w:val="24"/>
          <w:highlight w:val="none"/>
        </w:rPr>
        <w:t>2</w:t>
      </w:r>
      <w:r>
        <w:rPr>
          <w:rFonts w:ascii="宋体" w:hAnsi="宋体" w:eastAsia="宋体" w:cs="宋体"/>
          <w:b/>
          <w:bCs/>
          <w:color w:val="auto"/>
          <w:spacing w:val="-4"/>
          <w:sz w:val="24"/>
          <w:szCs w:val="24"/>
          <w:highlight w:val="none"/>
        </w:rPr>
        <w:t>）江宁开发区污水处理厂</w:t>
      </w:r>
      <w:bookmarkStart w:id="1762" w:name="pindex12240"/>
      <w:bookmarkEnd w:id="1762"/>
    </w:p>
    <w:p w14:paraId="2C589DF1">
      <w:pPr>
        <w:keepNext w:val="0"/>
        <w:keepLines w:val="0"/>
        <w:pageBreakBefore w:val="0"/>
        <w:widowControl/>
        <w:kinsoku w:val="0"/>
        <w:wordWrap/>
        <w:overflowPunct/>
        <w:topLinePunct w:val="0"/>
        <w:autoSpaceDE w:val="0"/>
        <w:autoSpaceDN w:val="0"/>
        <w:bidi w:val="0"/>
        <w:adjustRightInd w:val="0"/>
        <w:snapToGrid w:val="0"/>
        <w:spacing w:before="32" w:line="360" w:lineRule="auto"/>
        <w:ind w:firstLine="450" w:firstLineChars="200"/>
        <w:textAlignment w:val="baseline"/>
        <w:rPr>
          <w:rFonts w:ascii="宋体" w:hAnsi="宋体" w:eastAsia="宋体" w:cs="宋体"/>
          <w:b/>
          <w:bCs/>
          <w:color w:val="auto"/>
          <w:spacing w:val="-8"/>
          <w:sz w:val="24"/>
          <w:szCs w:val="24"/>
          <w:highlight w:val="none"/>
        </w:rPr>
      </w:pPr>
      <w:r>
        <w:rPr>
          <w:rFonts w:hint="eastAsia" w:ascii="宋体" w:hAnsi="宋体" w:eastAsia="宋体" w:cs="宋体"/>
          <w:b/>
          <w:bCs/>
          <w:color w:val="auto"/>
          <w:spacing w:val="-8"/>
          <w:sz w:val="24"/>
          <w:szCs w:val="24"/>
          <w:highlight w:val="none"/>
          <w:lang w:val="en-US" w:eastAsia="zh-CN"/>
        </w:rPr>
        <w:t>1）</w:t>
      </w:r>
      <w:r>
        <w:rPr>
          <w:rFonts w:ascii="宋体" w:hAnsi="宋体" w:eastAsia="宋体" w:cs="宋体"/>
          <w:b/>
          <w:bCs/>
          <w:color w:val="auto"/>
          <w:spacing w:val="-8"/>
          <w:sz w:val="24"/>
          <w:szCs w:val="24"/>
          <w:highlight w:val="none"/>
        </w:rPr>
        <w:t>概况</w:t>
      </w:r>
      <w:bookmarkStart w:id="1763" w:name="pindex12241"/>
      <w:bookmarkEnd w:id="1763"/>
    </w:p>
    <w:p w14:paraId="113192F9">
      <w:pPr>
        <w:keepNext w:val="0"/>
        <w:keepLines w:val="0"/>
        <w:pageBreakBefore w:val="0"/>
        <w:widowControl/>
        <w:kinsoku/>
        <w:wordWrap/>
        <w:overflowPunct/>
        <w:topLinePunct w:val="0"/>
        <w:autoSpaceDE w:val="0"/>
        <w:autoSpaceDN w:val="0"/>
        <w:bidi w:val="0"/>
        <w:adjustRightInd w:val="0"/>
        <w:snapToGrid w:val="0"/>
        <w:spacing w:before="32" w:line="360" w:lineRule="auto"/>
        <w:ind w:firstLine="468" w:firstLineChars="200"/>
        <w:textAlignment w:val="baseline"/>
        <w:rPr>
          <w:rFonts w:hint="default" w:ascii="Times New Roman" w:hAnsi="Times New Roman" w:eastAsia="宋体" w:cs="Times New Roman"/>
          <w:color w:val="auto"/>
          <w:spacing w:val="-3"/>
          <w:sz w:val="24"/>
          <w:szCs w:val="24"/>
          <w:highlight w:val="none"/>
        </w:rPr>
      </w:pPr>
      <w:r>
        <w:rPr>
          <w:rFonts w:hint="default" w:ascii="Times New Roman" w:hAnsi="Times New Roman" w:eastAsia="宋体" w:cs="Times New Roman"/>
          <w:color w:val="auto"/>
          <w:spacing w:val="-3"/>
          <w:sz w:val="24"/>
          <w:szCs w:val="24"/>
          <w:highlight w:val="none"/>
        </w:rPr>
        <w:t>南京市江宁开发区污水处理厂位于江宁区秦淮路72号，已建污水处理规模为8万m</w:t>
      </w:r>
      <w:r>
        <w:rPr>
          <w:rFonts w:hint="eastAsia" w:ascii="Times New Roman" w:hAnsi="Times New Roman" w:eastAsia="宋体" w:cs="Times New Roman"/>
          <w:color w:val="auto"/>
          <w:spacing w:val="-3"/>
          <w:sz w:val="24"/>
          <w:szCs w:val="24"/>
          <w:highlight w:val="none"/>
          <w:vertAlign w:val="superscript"/>
          <w:lang w:val="en-US" w:eastAsia="zh-CN"/>
        </w:rPr>
        <w:t>3</w:t>
      </w:r>
      <w:r>
        <w:rPr>
          <w:rFonts w:hint="default" w:ascii="Times New Roman" w:hAnsi="Times New Roman" w:eastAsia="宋体" w:cs="Times New Roman"/>
          <w:color w:val="auto"/>
          <w:spacing w:val="-3"/>
          <w:sz w:val="24"/>
          <w:szCs w:val="24"/>
          <w:highlight w:val="none"/>
        </w:rPr>
        <w:t>/d。</w:t>
      </w:r>
      <w:bookmarkStart w:id="1764" w:name="sys122424156"/>
      <w:r>
        <w:rPr>
          <w:rFonts w:hint="default" w:ascii="Times New Roman" w:hAnsi="Times New Roman" w:eastAsia="宋体" w:cs="Times New Roman"/>
          <w:color w:val="auto"/>
          <w:spacing w:val="-3"/>
          <w:sz w:val="24"/>
          <w:szCs w:val="24"/>
          <w:highlight w:val="none"/>
        </w:rPr>
        <w:t>开发区污水处理厂的收水范围</w:t>
      </w:r>
      <w:r>
        <w:rPr>
          <w:rFonts w:hint="eastAsia" w:ascii="Times New Roman" w:hAnsi="Times New Roman" w:eastAsia="宋体" w:cs="Times New Roman"/>
          <w:color w:val="auto"/>
          <w:spacing w:val="-3"/>
          <w:sz w:val="24"/>
          <w:szCs w:val="24"/>
          <w:highlight w:val="none"/>
          <w:lang w:val="en-US" w:eastAsia="zh-CN"/>
        </w:rPr>
        <w:t>为</w:t>
      </w:r>
      <w:r>
        <w:rPr>
          <w:rFonts w:hint="default" w:ascii="Times New Roman" w:hAnsi="Times New Roman" w:eastAsia="宋体" w:cs="Times New Roman"/>
          <w:color w:val="auto"/>
          <w:spacing w:val="-3"/>
          <w:sz w:val="24"/>
          <w:szCs w:val="24"/>
          <w:highlight w:val="none"/>
          <w:lang w:val="en-US" w:eastAsia="zh-CN"/>
        </w:rPr>
        <w:t>西至将军山、北至秦淮新河、东至秦淮河，南至国检路→机场高速→利源路→百家湖→池田路</w:t>
      </w:r>
      <w:r>
        <w:rPr>
          <w:rFonts w:hint="default" w:ascii="Times New Roman" w:hAnsi="Times New Roman" w:eastAsia="宋体" w:cs="Times New Roman"/>
          <w:color w:val="auto"/>
          <w:spacing w:val="-3"/>
          <w:sz w:val="24"/>
          <w:szCs w:val="24"/>
          <w:highlight w:val="none"/>
        </w:rPr>
        <w:t>。</w:t>
      </w:r>
      <w:bookmarkEnd w:id="1764"/>
      <w:r>
        <w:rPr>
          <w:rFonts w:hint="default" w:ascii="Times New Roman" w:hAnsi="Times New Roman" w:eastAsia="宋体" w:cs="Times New Roman"/>
          <w:color w:val="auto"/>
          <w:spacing w:val="-3"/>
          <w:sz w:val="24"/>
          <w:szCs w:val="24"/>
          <w:highlight w:val="none"/>
        </w:rPr>
        <w:t>该范围内生活污水和工业废水通过外部收集管道集中收集后排入该污水处理厂。1998年江宁开发区污水处理厂</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原名南京宁环水质净化厂</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获批建设，2003年由原江宁区环保局验收</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2003年12月</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《南京宁环水质净化厂二期》取得环评批复，2004年建设完成，并通过南京市环保局验收</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2006年</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《江宁开发区污水处理厂扩建工程</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4万吨/天</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》取得环评批复，2011年12月通过南京市环保局验收</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2010年，江宁开发区污水处理厂开展实施臭气处理工作，并于2012年11月通过南京市环保局验收</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2016年，组织编制完成《南京江宁开发区污水处理厂提标改造工程项目环境影响报告书》，2016年11月南京市江宁区环境保护局对该环评进行了批复</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江宁环建字</w:t>
      </w:r>
      <w:r>
        <w:rPr>
          <w:rFonts w:hint="eastAsia" w:ascii="Times New Roman" w:hAnsi="Times New Roman" w:eastAsia="宋体" w:cs="Times New Roman"/>
          <w:color w:val="auto"/>
          <w:spacing w:val="-3"/>
          <w:sz w:val="24"/>
          <w:szCs w:val="24"/>
          <w:highlight w:val="none"/>
          <w:lang w:eastAsia="zh-CN"/>
        </w:rPr>
        <w:t>〔2016〕19号），</w:t>
      </w:r>
      <w:r>
        <w:rPr>
          <w:rFonts w:hint="default" w:ascii="Times New Roman" w:hAnsi="Times New Roman" w:eastAsia="宋体" w:cs="Times New Roman"/>
          <w:color w:val="auto"/>
          <w:spacing w:val="-3"/>
          <w:sz w:val="24"/>
          <w:szCs w:val="24"/>
          <w:highlight w:val="none"/>
        </w:rPr>
        <w:t>2018年12月</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南京市江宁区环境保护局对该项目进行了验收</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江宁环验字</w:t>
      </w:r>
      <w:r>
        <w:rPr>
          <w:rFonts w:hint="eastAsia" w:ascii="Times New Roman" w:hAnsi="Times New Roman" w:eastAsia="宋体" w:cs="Times New Roman"/>
          <w:color w:val="auto"/>
          <w:spacing w:val="-3"/>
          <w:sz w:val="24"/>
          <w:szCs w:val="24"/>
          <w:highlight w:val="none"/>
          <w:lang w:eastAsia="zh-CN"/>
        </w:rPr>
        <w:t>〔2018〕130号）</w:t>
      </w:r>
      <w:r>
        <w:rPr>
          <w:rFonts w:hint="default" w:ascii="Times New Roman" w:hAnsi="Times New Roman" w:eastAsia="宋体" w:cs="Times New Roman"/>
          <w:color w:val="auto"/>
          <w:spacing w:val="-3"/>
          <w:sz w:val="24"/>
          <w:szCs w:val="24"/>
          <w:highlight w:val="none"/>
        </w:rPr>
        <w:t>。</w:t>
      </w:r>
    </w:p>
    <w:p w14:paraId="082953E7">
      <w:pPr>
        <w:keepNext w:val="0"/>
        <w:keepLines w:val="0"/>
        <w:pageBreakBefore w:val="0"/>
        <w:widowControl/>
        <w:kinsoku/>
        <w:wordWrap/>
        <w:overflowPunct/>
        <w:topLinePunct w:val="0"/>
        <w:autoSpaceDE w:val="0"/>
        <w:autoSpaceDN w:val="0"/>
        <w:bidi w:val="0"/>
        <w:adjustRightInd w:val="0"/>
        <w:snapToGrid w:val="0"/>
        <w:spacing w:before="32" w:line="240" w:lineRule="auto"/>
        <w:jc w:val="center"/>
        <w:textAlignment w:val="baseline"/>
        <w:rPr>
          <w:rFonts w:hint="default" w:ascii="Times New Roman" w:hAnsi="Times New Roman" w:eastAsia="宋体" w:cs="Times New Roman"/>
          <w:b/>
          <w:bCs/>
          <w:color w:val="auto"/>
          <w:spacing w:val="-3"/>
          <w:sz w:val="24"/>
          <w:szCs w:val="24"/>
          <w:highlight w:val="none"/>
          <w:lang w:val="en-US" w:eastAsia="zh-CN"/>
        </w:rPr>
      </w:pPr>
      <w:r>
        <w:rPr>
          <w:rFonts w:hint="default" w:ascii="Times New Roman" w:hAnsi="Times New Roman" w:eastAsia="宋体" w:cs="Times New Roman"/>
          <w:b/>
          <w:bCs/>
          <w:color w:val="auto"/>
          <w:spacing w:val="-3"/>
          <w:sz w:val="24"/>
          <w:szCs w:val="24"/>
          <w:highlight w:val="none"/>
          <w:lang w:val="en-US" w:eastAsia="zh-CN"/>
        </w:rPr>
        <w:t>表6.4-</w:t>
      </w:r>
      <w:r>
        <w:rPr>
          <w:rFonts w:hint="eastAsia" w:ascii="Times New Roman" w:hAnsi="Times New Roman" w:eastAsia="宋体" w:cs="Times New Roman"/>
          <w:b/>
          <w:bCs/>
          <w:color w:val="auto"/>
          <w:spacing w:val="-3"/>
          <w:sz w:val="24"/>
          <w:szCs w:val="24"/>
          <w:highlight w:val="none"/>
          <w:lang w:val="en-US" w:eastAsia="zh-CN"/>
        </w:rPr>
        <w:t>2</w:t>
      </w:r>
      <w:r>
        <w:rPr>
          <w:rFonts w:hint="default" w:ascii="Times New Roman" w:hAnsi="Times New Roman" w:eastAsia="宋体" w:cs="Times New Roman"/>
          <w:b/>
          <w:bCs/>
          <w:color w:val="auto"/>
          <w:spacing w:val="-3"/>
          <w:sz w:val="24"/>
          <w:szCs w:val="24"/>
          <w:highlight w:val="none"/>
          <w:lang w:val="en-US" w:eastAsia="zh-CN"/>
        </w:rPr>
        <w:t xml:space="preserve">  </w:t>
      </w:r>
      <w:r>
        <w:rPr>
          <w:rFonts w:hint="eastAsia" w:ascii="Times New Roman" w:hAnsi="Times New Roman" w:eastAsia="宋体" w:cs="Times New Roman"/>
          <w:b/>
          <w:bCs/>
          <w:color w:val="auto"/>
          <w:spacing w:val="-3"/>
          <w:sz w:val="24"/>
          <w:szCs w:val="24"/>
          <w:highlight w:val="none"/>
          <w:lang w:val="en-US" w:eastAsia="zh-CN"/>
        </w:rPr>
        <w:t>污水处理厂</w:t>
      </w:r>
      <w:r>
        <w:rPr>
          <w:rFonts w:hint="default" w:ascii="Times New Roman" w:hAnsi="Times New Roman" w:eastAsia="宋体" w:cs="Times New Roman"/>
          <w:b/>
          <w:bCs/>
          <w:color w:val="auto"/>
          <w:spacing w:val="-3"/>
          <w:sz w:val="24"/>
          <w:szCs w:val="24"/>
          <w:highlight w:val="none"/>
          <w:lang w:val="en-US" w:eastAsia="zh-CN"/>
        </w:rPr>
        <w:t>建设情况一览表</w:t>
      </w:r>
      <w:bookmarkStart w:id="1765" w:name="pindex12243"/>
      <w:bookmarkEnd w:id="1765"/>
    </w:p>
    <w:tbl>
      <w:tblPr>
        <w:tblStyle w:val="2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1747"/>
        <w:gridCol w:w="1238"/>
        <w:gridCol w:w="1121"/>
        <w:gridCol w:w="1358"/>
        <w:gridCol w:w="1143"/>
        <w:gridCol w:w="1336"/>
      </w:tblGrid>
      <w:tr w14:paraId="4251AF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dxa"/>
            <w:vMerge w:val="restart"/>
            <w:tcBorders>
              <w:tl2br w:val="nil"/>
              <w:tr2bl w:val="nil"/>
            </w:tcBorders>
            <w:vAlign w:val="center"/>
          </w:tcPr>
          <w:p w14:paraId="1AA1BEAD">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1770" w:type="dxa"/>
            <w:vMerge w:val="restart"/>
            <w:tcBorders>
              <w:tl2br w:val="nil"/>
              <w:tr2bl w:val="nil"/>
            </w:tcBorders>
            <w:vAlign w:val="center"/>
          </w:tcPr>
          <w:p w14:paraId="07820ED3">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项目名称</w:t>
            </w:r>
          </w:p>
        </w:tc>
        <w:tc>
          <w:tcPr>
            <w:tcW w:w="1249" w:type="dxa"/>
            <w:vMerge w:val="restart"/>
            <w:tcBorders>
              <w:tl2br w:val="nil"/>
              <w:tr2bl w:val="nil"/>
            </w:tcBorders>
            <w:vAlign w:val="center"/>
          </w:tcPr>
          <w:p w14:paraId="36236909">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规模</w:t>
            </w:r>
          </w:p>
        </w:tc>
        <w:tc>
          <w:tcPr>
            <w:tcW w:w="2498" w:type="dxa"/>
            <w:gridSpan w:val="2"/>
            <w:tcBorders>
              <w:tl2br w:val="nil"/>
              <w:tr2bl w:val="nil"/>
            </w:tcBorders>
            <w:vAlign w:val="center"/>
          </w:tcPr>
          <w:p w14:paraId="58C8A3DB">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批复情况</w:t>
            </w:r>
          </w:p>
        </w:tc>
        <w:tc>
          <w:tcPr>
            <w:tcW w:w="2498" w:type="dxa"/>
            <w:gridSpan w:val="2"/>
            <w:tcBorders>
              <w:tl2br w:val="nil"/>
              <w:tr2bl w:val="nil"/>
            </w:tcBorders>
            <w:vAlign w:val="center"/>
          </w:tcPr>
          <w:p w14:paraId="15326A92">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竣工验收情况</w:t>
            </w:r>
          </w:p>
        </w:tc>
      </w:tr>
      <w:tr w14:paraId="024819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dxa"/>
            <w:vMerge w:val="continue"/>
            <w:tcBorders>
              <w:tl2br w:val="nil"/>
              <w:tr2bl w:val="nil"/>
            </w:tcBorders>
            <w:vAlign w:val="center"/>
          </w:tcPr>
          <w:p w14:paraId="5554C063">
            <w:pPr>
              <w:widowControl w:val="0"/>
              <w:bidi w:val="0"/>
              <w:jc w:val="center"/>
              <w:rPr>
                <w:rFonts w:hint="default" w:ascii="Times New Roman" w:hAnsi="Times New Roman" w:eastAsia="宋体" w:cs="Times New Roman"/>
                <w:b/>
                <w:bCs/>
                <w:color w:val="auto"/>
                <w:sz w:val="21"/>
                <w:szCs w:val="21"/>
                <w:highlight w:val="none"/>
                <w:lang w:val="en-US" w:eastAsia="zh-CN"/>
              </w:rPr>
            </w:pPr>
          </w:p>
        </w:tc>
        <w:tc>
          <w:tcPr>
            <w:tcW w:w="1770" w:type="dxa"/>
            <w:vMerge w:val="continue"/>
            <w:tcBorders>
              <w:tl2br w:val="nil"/>
              <w:tr2bl w:val="nil"/>
            </w:tcBorders>
            <w:vAlign w:val="center"/>
          </w:tcPr>
          <w:p w14:paraId="4936425D">
            <w:pPr>
              <w:widowControl w:val="0"/>
              <w:bidi w:val="0"/>
              <w:jc w:val="center"/>
              <w:rPr>
                <w:rFonts w:hint="default" w:ascii="Times New Roman" w:hAnsi="Times New Roman" w:eastAsia="宋体" w:cs="Times New Roman"/>
                <w:b/>
                <w:bCs/>
                <w:color w:val="auto"/>
                <w:sz w:val="21"/>
                <w:szCs w:val="21"/>
                <w:highlight w:val="none"/>
                <w:lang w:val="en-US" w:eastAsia="zh-CN"/>
              </w:rPr>
            </w:pPr>
          </w:p>
        </w:tc>
        <w:tc>
          <w:tcPr>
            <w:tcW w:w="1249" w:type="dxa"/>
            <w:vMerge w:val="continue"/>
            <w:tcBorders>
              <w:tl2br w:val="nil"/>
              <w:tr2bl w:val="nil"/>
            </w:tcBorders>
            <w:vAlign w:val="center"/>
          </w:tcPr>
          <w:p w14:paraId="38DDD348">
            <w:pPr>
              <w:widowControl w:val="0"/>
              <w:bidi w:val="0"/>
              <w:jc w:val="center"/>
              <w:rPr>
                <w:rFonts w:hint="default" w:ascii="Times New Roman" w:hAnsi="Times New Roman" w:eastAsia="宋体" w:cs="Times New Roman"/>
                <w:b/>
                <w:bCs/>
                <w:color w:val="auto"/>
                <w:sz w:val="21"/>
                <w:szCs w:val="21"/>
                <w:highlight w:val="none"/>
                <w:lang w:val="en-US" w:eastAsia="zh-CN"/>
              </w:rPr>
            </w:pPr>
          </w:p>
        </w:tc>
        <w:tc>
          <w:tcPr>
            <w:tcW w:w="1136" w:type="dxa"/>
            <w:tcBorders>
              <w:tl2br w:val="nil"/>
              <w:tr2bl w:val="nil"/>
            </w:tcBorders>
            <w:vAlign w:val="center"/>
          </w:tcPr>
          <w:p w14:paraId="6ECB1760">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审批单位</w:t>
            </w:r>
          </w:p>
        </w:tc>
        <w:tc>
          <w:tcPr>
            <w:tcW w:w="1362" w:type="dxa"/>
            <w:tcBorders>
              <w:tl2br w:val="nil"/>
              <w:tr2bl w:val="nil"/>
            </w:tcBorders>
            <w:vAlign w:val="center"/>
          </w:tcPr>
          <w:p w14:paraId="1F2D88A2">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文号或日期</w:t>
            </w:r>
          </w:p>
        </w:tc>
        <w:tc>
          <w:tcPr>
            <w:tcW w:w="1158" w:type="dxa"/>
            <w:tcBorders>
              <w:tl2br w:val="nil"/>
              <w:tr2bl w:val="nil"/>
            </w:tcBorders>
            <w:vAlign w:val="center"/>
          </w:tcPr>
          <w:p w14:paraId="08D03B44">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审批单位</w:t>
            </w:r>
          </w:p>
        </w:tc>
        <w:tc>
          <w:tcPr>
            <w:tcW w:w="1340" w:type="dxa"/>
            <w:tcBorders>
              <w:tl2br w:val="nil"/>
              <w:tr2bl w:val="nil"/>
            </w:tcBorders>
            <w:vAlign w:val="center"/>
          </w:tcPr>
          <w:p w14:paraId="49A4101D">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文号或日期</w:t>
            </w:r>
          </w:p>
        </w:tc>
      </w:tr>
      <w:tr w14:paraId="4EAB78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dxa"/>
            <w:tcBorders>
              <w:tl2br w:val="nil"/>
              <w:tr2bl w:val="nil"/>
            </w:tcBorders>
            <w:vAlign w:val="center"/>
          </w:tcPr>
          <w:p w14:paraId="0A6ACD16">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770" w:type="dxa"/>
            <w:tcBorders>
              <w:tl2br w:val="nil"/>
              <w:tr2bl w:val="nil"/>
            </w:tcBorders>
            <w:vAlign w:val="center"/>
          </w:tcPr>
          <w:p w14:paraId="7BD855EB">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南京宁环水质净化厂</w:t>
            </w:r>
          </w:p>
        </w:tc>
        <w:tc>
          <w:tcPr>
            <w:tcW w:w="1249" w:type="dxa"/>
            <w:tcBorders>
              <w:tl2br w:val="nil"/>
              <w:tr2bl w:val="nil"/>
            </w:tcBorders>
            <w:vAlign w:val="center"/>
          </w:tcPr>
          <w:p w14:paraId="531D50C8">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2万m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/d</w:t>
            </w:r>
          </w:p>
        </w:tc>
        <w:tc>
          <w:tcPr>
            <w:tcW w:w="1136" w:type="dxa"/>
            <w:tcBorders>
              <w:tl2br w:val="nil"/>
              <w:tr2bl w:val="nil"/>
            </w:tcBorders>
            <w:vAlign w:val="center"/>
          </w:tcPr>
          <w:p w14:paraId="2D995B30">
            <w:pPr>
              <w:widowControl w:val="0"/>
              <w:bidi w:val="0"/>
              <w:jc w:val="center"/>
              <w:rPr>
                <w:rFonts w:hint="default" w:ascii="Times New Roman" w:hAnsi="Times New Roman" w:eastAsia="宋体" w:cs="Times New Roman"/>
                <w:color w:val="auto"/>
                <w:sz w:val="21"/>
                <w:szCs w:val="21"/>
                <w:highlight w:val="none"/>
                <w:lang w:val="en-US" w:eastAsia="zh-CN"/>
              </w:rPr>
            </w:pPr>
            <w:sdt>
              <w:sdtPr>
                <w:rPr>
                  <w:color w:val="auto"/>
                  <w:highlight w:val="none"/>
                </w:rPr>
                <w:alias w:val="地名检查"/>
                <w:tag w:val="auto"/>
                <w:id w:val="1023012"/>
              </w:sdtPr>
              <w:sdtEndPr>
                <w:rPr>
                  <w:color w:val="auto"/>
                  <w:highlight w:val="none"/>
                </w:rPr>
              </w:sdtEndPr>
              <w:sdtContent>
                <w:bookmarkStart w:id="1766" w:name="bkKnowledge1023012"/>
                <w:r>
                  <w:rPr>
                    <w:rFonts w:hint="eastAsia" w:ascii="Times New Roman" w:hAnsi="Times New Roman" w:eastAsia="宋体" w:cs="Times New Roman"/>
                    <w:color w:val="auto"/>
                    <w:sz w:val="21"/>
                    <w:szCs w:val="21"/>
                    <w:highlight w:val="none"/>
                    <w:lang w:val="en-US" w:eastAsia="zh-CN"/>
                  </w:rPr>
                  <w:t>江宁县</w:t>
                </w:r>
                <w:bookmarkEnd w:id="1766"/>
              </w:sdtContent>
            </w:sdt>
            <w:r>
              <w:rPr>
                <w:rFonts w:hint="eastAsia" w:ascii="Times New Roman" w:hAnsi="Times New Roman" w:eastAsia="宋体" w:cs="Times New Roman"/>
                <w:color w:val="auto"/>
                <w:sz w:val="21"/>
                <w:szCs w:val="21"/>
                <w:highlight w:val="none"/>
                <w:lang w:val="en-US" w:eastAsia="zh-CN"/>
              </w:rPr>
              <w:t>环保局</w:t>
            </w:r>
          </w:p>
        </w:tc>
        <w:tc>
          <w:tcPr>
            <w:tcW w:w="1362" w:type="dxa"/>
            <w:tcBorders>
              <w:tl2br w:val="nil"/>
              <w:tr2bl w:val="nil"/>
            </w:tcBorders>
            <w:vAlign w:val="center"/>
          </w:tcPr>
          <w:p w14:paraId="79377EE8">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1998.5.12</w:t>
            </w:r>
          </w:p>
        </w:tc>
        <w:tc>
          <w:tcPr>
            <w:tcW w:w="1158" w:type="dxa"/>
            <w:tcBorders>
              <w:tl2br w:val="nil"/>
              <w:tr2bl w:val="nil"/>
            </w:tcBorders>
            <w:vAlign w:val="center"/>
          </w:tcPr>
          <w:p w14:paraId="70601845">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江宁区环保局</w:t>
            </w:r>
          </w:p>
        </w:tc>
        <w:tc>
          <w:tcPr>
            <w:tcW w:w="1340" w:type="dxa"/>
            <w:tcBorders>
              <w:tl2br w:val="nil"/>
              <w:tr2bl w:val="nil"/>
            </w:tcBorders>
            <w:vAlign w:val="center"/>
          </w:tcPr>
          <w:p w14:paraId="6D85F249">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2003.03.17</w:t>
            </w:r>
          </w:p>
        </w:tc>
      </w:tr>
      <w:tr w14:paraId="6242F8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dxa"/>
            <w:tcBorders>
              <w:tl2br w:val="nil"/>
              <w:tr2bl w:val="nil"/>
            </w:tcBorders>
            <w:vAlign w:val="center"/>
          </w:tcPr>
          <w:p w14:paraId="42CDCD22">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770" w:type="dxa"/>
            <w:tcBorders>
              <w:tl2br w:val="nil"/>
              <w:tr2bl w:val="nil"/>
            </w:tcBorders>
            <w:vAlign w:val="center"/>
          </w:tcPr>
          <w:p w14:paraId="2BFBE1B3">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南京宁环水质净化厂二期</w:t>
            </w:r>
          </w:p>
        </w:tc>
        <w:tc>
          <w:tcPr>
            <w:tcW w:w="1249" w:type="dxa"/>
            <w:tcBorders>
              <w:tl2br w:val="nil"/>
              <w:tr2bl w:val="nil"/>
            </w:tcBorders>
            <w:vAlign w:val="center"/>
          </w:tcPr>
          <w:p w14:paraId="3E096E2E">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2万m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/d</w:t>
            </w:r>
          </w:p>
        </w:tc>
        <w:tc>
          <w:tcPr>
            <w:tcW w:w="1136" w:type="dxa"/>
            <w:tcBorders>
              <w:tl2br w:val="nil"/>
              <w:tr2bl w:val="nil"/>
            </w:tcBorders>
            <w:vAlign w:val="center"/>
          </w:tcPr>
          <w:p w14:paraId="439F6EED">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南京市环保局</w:t>
            </w:r>
          </w:p>
        </w:tc>
        <w:tc>
          <w:tcPr>
            <w:tcW w:w="1362" w:type="dxa"/>
            <w:tcBorders>
              <w:tl2br w:val="nil"/>
              <w:tr2bl w:val="nil"/>
            </w:tcBorders>
            <w:vAlign w:val="center"/>
          </w:tcPr>
          <w:p w14:paraId="21CD0FAF">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2003.12.15</w:t>
            </w:r>
          </w:p>
        </w:tc>
        <w:tc>
          <w:tcPr>
            <w:tcW w:w="1158" w:type="dxa"/>
            <w:tcBorders>
              <w:tl2br w:val="nil"/>
              <w:tr2bl w:val="nil"/>
            </w:tcBorders>
            <w:vAlign w:val="center"/>
          </w:tcPr>
          <w:p w14:paraId="771F92FC">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南京市环保局</w:t>
            </w:r>
          </w:p>
        </w:tc>
        <w:tc>
          <w:tcPr>
            <w:tcW w:w="1340" w:type="dxa"/>
            <w:tcBorders>
              <w:tl2br w:val="nil"/>
              <w:tr2bl w:val="nil"/>
            </w:tcBorders>
            <w:vAlign w:val="center"/>
          </w:tcPr>
          <w:p w14:paraId="619E8D6A">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2004.10.10</w:t>
            </w:r>
          </w:p>
        </w:tc>
      </w:tr>
      <w:tr w14:paraId="51198F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dxa"/>
            <w:tcBorders>
              <w:tl2br w:val="nil"/>
              <w:tr2bl w:val="nil"/>
            </w:tcBorders>
            <w:vAlign w:val="center"/>
          </w:tcPr>
          <w:p w14:paraId="64D7B547">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1770" w:type="dxa"/>
            <w:tcBorders>
              <w:tl2br w:val="nil"/>
              <w:tr2bl w:val="nil"/>
            </w:tcBorders>
            <w:vAlign w:val="center"/>
          </w:tcPr>
          <w:p w14:paraId="4FDAE99C">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江宁开发区污水处理厂扩建工程（4万吨/天）</w:t>
            </w:r>
          </w:p>
        </w:tc>
        <w:tc>
          <w:tcPr>
            <w:tcW w:w="1249" w:type="dxa"/>
            <w:tcBorders>
              <w:tl2br w:val="nil"/>
              <w:tr2bl w:val="nil"/>
            </w:tcBorders>
            <w:vAlign w:val="center"/>
          </w:tcPr>
          <w:p w14:paraId="4A0ABA59">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4万m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/d</w:t>
            </w:r>
          </w:p>
        </w:tc>
        <w:tc>
          <w:tcPr>
            <w:tcW w:w="1136" w:type="dxa"/>
            <w:tcBorders>
              <w:tl2br w:val="nil"/>
              <w:tr2bl w:val="nil"/>
            </w:tcBorders>
            <w:vAlign w:val="center"/>
          </w:tcPr>
          <w:p w14:paraId="123F39D7">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南京市环保局</w:t>
            </w:r>
          </w:p>
        </w:tc>
        <w:tc>
          <w:tcPr>
            <w:tcW w:w="1362" w:type="dxa"/>
            <w:tcBorders>
              <w:tl2br w:val="nil"/>
              <w:tr2bl w:val="nil"/>
            </w:tcBorders>
            <w:vAlign w:val="center"/>
          </w:tcPr>
          <w:p w14:paraId="0DA44CA4">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2006.4.24</w:t>
            </w:r>
          </w:p>
        </w:tc>
        <w:tc>
          <w:tcPr>
            <w:tcW w:w="1158" w:type="dxa"/>
            <w:tcBorders>
              <w:tl2br w:val="nil"/>
              <w:tr2bl w:val="nil"/>
            </w:tcBorders>
            <w:vAlign w:val="center"/>
          </w:tcPr>
          <w:p w14:paraId="2A9A93C1">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南京市环保局</w:t>
            </w:r>
          </w:p>
        </w:tc>
        <w:tc>
          <w:tcPr>
            <w:tcW w:w="1340" w:type="dxa"/>
            <w:tcBorders>
              <w:tl2br w:val="nil"/>
              <w:tr2bl w:val="nil"/>
            </w:tcBorders>
            <w:vAlign w:val="center"/>
          </w:tcPr>
          <w:p w14:paraId="7B59E943">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2011.12.16</w:t>
            </w:r>
          </w:p>
        </w:tc>
      </w:tr>
      <w:tr w14:paraId="31B77E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dxa"/>
            <w:tcBorders>
              <w:tl2br w:val="nil"/>
              <w:tr2bl w:val="nil"/>
            </w:tcBorders>
            <w:vAlign w:val="center"/>
          </w:tcPr>
          <w:p w14:paraId="083052BA">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1770" w:type="dxa"/>
            <w:tcBorders>
              <w:tl2br w:val="nil"/>
              <w:tr2bl w:val="nil"/>
            </w:tcBorders>
            <w:vAlign w:val="center"/>
          </w:tcPr>
          <w:p w14:paraId="06E3CDCE">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南京市江宁开发区污水处理臭气处理工程项目</w:t>
            </w:r>
          </w:p>
        </w:tc>
        <w:tc>
          <w:tcPr>
            <w:tcW w:w="1249" w:type="dxa"/>
            <w:tcBorders>
              <w:tl2br w:val="nil"/>
              <w:tr2bl w:val="nil"/>
            </w:tcBorders>
            <w:vAlign w:val="center"/>
          </w:tcPr>
          <w:p w14:paraId="61741B2C">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废气量10.75万m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/h</w:t>
            </w:r>
          </w:p>
        </w:tc>
        <w:tc>
          <w:tcPr>
            <w:tcW w:w="1136" w:type="dxa"/>
            <w:tcBorders>
              <w:tl2br w:val="nil"/>
              <w:tr2bl w:val="nil"/>
            </w:tcBorders>
            <w:vAlign w:val="center"/>
          </w:tcPr>
          <w:p w14:paraId="04ECDFAC">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江宁区环保局</w:t>
            </w:r>
          </w:p>
        </w:tc>
        <w:tc>
          <w:tcPr>
            <w:tcW w:w="1362" w:type="dxa"/>
            <w:tcBorders>
              <w:tl2br w:val="nil"/>
              <w:tr2bl w:val="nil"/>
            </w:tcBorders>
            <w:vAlign w:val="center"/>
          </w:tcPr>
          <w:p w14:paraId="21F5BDD5">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2010.02.04</w:t>
            </w:r>
          </w:p>
        </w:tc>
        <w:tc>
          <w:tcPr>
            <w:tcW w:w="1158" w:type="dxa"/>
            <w:tcBorders>
              <w:tl2br w:val="nil"/>
              <w:tr2bl w:val="nil"/>
            </w:tcBorders>
            <w:vAlign w:val="center"/>
          </w:tcPr>
          <w:p w14:paraId="684444A4">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南京市环保局</w:t>
            </w:r>
          </w:p>
        </w:tc>
        <w:tc>
          <w:tcPr>
            <w:tcW w:w="1340" w:type="dxa"/>
            <w:tcBorders>
              <w:tl2br w:val="nil"/>
              <w:tr2bl w:val="nil"/>
            </w:tcBorders>
            <w:vAlign w:val="center"/>
          </w:tcPr>
          <w:p w14:paraId="11540E6D">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2012.11.22</w:t>
            </w:r>
          </w:p>
        </w:tc>
      </w:tr>
      <w:tr w14:paraId="07AB4B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dxa"/>
            <w:tcBorders>
              <w:tl2br w:val="nil"/>
              <w:tr2bl w:val="nil"/>
            </w:tcBorders>
            <w:vAlign w:val="center"/>
          </w:tcPr>
          <w:p w14:paraId="01527647">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1770" w:type="dxa"/>
            <w:tcBorders>
              <w:tl2br w:val="nil"/>
              <w:tr2bl w:val="nil"/>
            </w:tcBorders>
            <w:vAlign w:val="center"/>
          </w:tcPr>
          <w:p w14:paraId="44CAB9D0">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南京江宁开发区污水处理厂提标改造工程项目环境影响报告书</w:t>
            </w:r>
          </w:p>
        </w:tc>
        <w:tc>
          <w:tcPr>
            <w:tcW w:w="1249" w:type="dxa"/>
            <w:tcBorders>
              <w:tl2br w:val="nil"/>
              <w:tr2bl w:val="nil"/>
            </w:tcBorders>
            <w:vAlign w:val="center"/>
          </w:tcPr>
          <w:p w14:paraId="56A7DE6E">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136" w:type="dxa"/>
            <w:tcBorders>
              <w:tl2br w:val="nil"/>
              <w:tr2bl w:val="nil"/>
            </w:tcBorders>
            <w:vAlign w:val="center"/>
          </w:tcPr>
          <w:p w14:paraId="6C72840C">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江宁区环保局</w:t>
            </w:r>
          </w:p>
        </w:tc>
        <w:tc>
          <w:tcPr>
            <w:tcW w:w="1362" w:type="dxa"/>
            <w:tcBorders>
              <w:tl2br w:val="nil"/>
              <w:tr2bl w:val="nil"/>
            </w:tcBorders>
            <w:vAlign w:val="center"/>
          </w:tcPr>
          <w:p w14:paraId="58500D0C">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江宁环建字〔2016〕19号</w:t>
            </w:r>
          </w:p>
        </w:tc>
        <w:tc>
          <w:tcPr>
            <w:tcW w:w="1158" w:type="dxa"/>
            <w:tcBorders>
              <w:tl2br w:val="nil"/>
              <w:tr2bl w:val="nil"/>
            </w:tcBorders>
            <w:vAlign w:val="center"/>
          </w:tcPr>
          <w:p w14:paraId="58F92789">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江宁区环保局</w:t>
            </w:r>
          </w:p>
        </w:tc>
        <w:tc>
          <w:tcPr>
            <w:tcW w:w="1340" w:type="dxa"/>
            <w:tcBorders>
              <w:tl2br w:val="nil"/>
              <w:tr2bl w:val="nil"/>
            </w:tcBorders>
            <w:vAlign w:val="center"/>
          </w:tcPr>
          <w:p w14:paraId="14A6C5BA">
            <w:pPr>
              <w:widowControl w:val="0"/>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江宁环验字〔2018〕130号</w:t>
            </w:r>
          </w:p>
        </w:tc>
      </w:tr>
    </w:tbl>
    <w:p w14:paraId="263ACAA8">
      <w:pPr>
        <w:pageBreakBefore w:val="0"/>
        <w:widowControl w:val="0"/>
        <w:shd w:val="clear" w:color="auto" w:fill="auto"/>
        <w:kinsoku/>
        <w:wordWrap/>
        <w:overflowPunct/>
        <w:topLinePunct w:val="0"/>
        <w:autoSpaceDE/>
        <w:autoSpaceDN/>
        <w:bidi w:val="0"/>
        <w:snapToGrid w:val="0"/>
        <w:spacing w:line="500" w:lineRule="exact"/>
        <w:ind w:firstLine="482"/>
        <w:textAlignment w:val="auto"/>
        <w:rPr>
          <w:rFonts w:hint="default" w:ascii="Times New Roman" w:hAnsi="Times New Roman" w:eastAsia="宋体" w:cs="Times New Roman"/>
          <w:color w:val="auto"/>
          <w:kern w:val="2"/>
          <w:sz w:val="24"/>
          <w:szCs w:val="28"/>
          <w:highlight w:val="none"/>
          <w:lang w:val="en-US" w:eastAsia="zh-CN" w:bidi="ar-SA"/>
        </w:rPr>
      </w:pPr>
      <w:r>
        <w:rPr>
          <w:rFonts w:hint="default" w:ascii="Times New Roman" w:hAnsi="Times New Roman" w:eastAsia="宋体" w:cs="Times New Roman"/>
          <w:color w:val="auto"/>
          <w:kern w:val="2"/>
          <w:sz w:val="24"/>
          <w:szCs w:val="28"/>
          <w:highlight w:val="none"/>
          <w:lang w:val="en-US" w:eastAsia="zh-CN" w:bidi="ar-SA"/>
        </w:rPr>
        <w:t>开发区污水处理厂</w:t>
      </w:r>
      <w:r>
        <w:rPr>
          <w:rFonts w:hint="eastAsia" w:cs="Times New Roman"/>
          <w:color w:val="auto"/>
          <w:kern w:val="2"/>
          <w:sz w:val="24"/>
          <w:szCs w:val="28"/>
          <w:highlight w:val="none"/>
          <w:lang w:val="en-US" w:eastAsia="zh-CN" w:bidi="ar-SA"/>
        </w:rPr>
        <w:t>提升</w:t>
      </w:r>
      <w:r>
        <w:rPr>
          <w:rFonts w:hint="default" w:ascii="Times New Roman" w:hAnsi="Times New Roman" w:eastAsia="宋体" w:cs="Times New Roman"/>
          <w:color w:val="auto"/>
          <w:kern w:val="2"/>
          <w:sz w:val="24"/>
          <w:szCs w:val="28"/>
          <w:highlight w:val="none"/>
          <w:lang w:val="en-US" w:eastAsia="zh-CN" w:bidi="ar-SA"/>
        </w:rPr>
        <w:t>泵站</w:t>
      </w:r>
      <w:r>
        <w:rPr>
          <w:rFonts w:hint="eastAsia" w:cs="Times New Roman"/>
          <w:color w:val="auto"/>
          <w:kern w:val="2"/>
          <w:sz w:val="24"/>
          <w:szCs w:val="28"/>
          <w:highlight w:val="none"/>
          <w:lang w:val="en-US" w:eastAsia="zh-CN" w:bidi="ar-SA"/>
        </w:rPr>
        <w:t>建设</w:t>
      </w:r>
      <w:r>
        <w:rPr>
          <w:rFonts w:hint="default" w:ascii="Times New Roman" w:hAnsi="Times New Roman" w:eastAsia="宋体" w:cs="Times New Roman"/>
          <w:color w:val="auto"/>
          <w:kern w:val="2"/>
          <w:sz w:val="24"/>
          <w:szCs w:val="28"/>
          <w:highlight w:val="none"/>
          <w:lang w:val="en-US" w:eastAsia="zh-CN" w:bidi="ar-SA"/>
        </w:rPr>
        <w:t>情况</w:t>
      </w:r>
      <w:r>
        <w:rPr>
          <w:rFonts w:hint="eastAsia" w:cs="Times New Roman"/>
          <w:color w:val="auto"/>
          <w:kern w:val="2"/>
          <w:sz w:val="24"/>
          <w:szCs w:val="28"/>
          <w:highlight w:val="none"/>
          <w:lang w:val="en-US" w:eastAsia="zh-CN" w:bidi="ar-SA"/>
        </w:rPr>
        <w:t>见下表</w:t>
      </w:r>
      <w:r>
        <w:rPr>
          <w:rFonts w:hint="default" w:ascii="Times New Roman" w:hAnsi="Times New Roman" w:eastAsia="宋体" w:cs="Times New Roman"/>
          <w:color w:val="auto"/>
          <w:kern w:val="2"/>
          <w:sz w:val="24"/>
          <w:szCs w:val="28"/>
          <w:highlight w:val="none"/>
          <w:lang w:val="en-US" w:eastAsia="zh-CN" w:bidi="ar-SA"/>
        </w:rPr>
        <w:t>：</w:t>
      </w:r>
    </w:p>
    <w:p w14:paraId="1B0EBD7C">
      <w:pPr>
        <w:pStyle w:val="5"/>
        <w:keepNext w:val="0"/>
        <w:keepLines w:val="0"/>
        <w:pageBreakBefore w:val="0"/>
        <w:widowControl w:val="0"/>
        <w:numPr>
          <w:ilvl w:val="4"/>
          <w:numId w:val="0"/>
        </w:numPr>
        <w:shd w:val="clear" w:color="auto" w:fill="auto"/>
        <w:tabs>
          <w:tab w:val="left" w:pos="420"/>
          <w:tab w:val="clear" w:pos="431"/>
        </w:tabs>
        <w:kinsoku/>
        <w:wordWrap/>
        <w:overflowPunct/>
        <w:topLinePunct w:val="0"/>
        <w:autoSpaceDE/>
        <w:autoSpaceDN/>
        <w:bidi w:val="0"/>
        <w:adjustRightInd w:val="0"/>
        <w:snapToGrid w:val="0"/>
        <w:spacing w:line="240" w:lineRule="auto"/>
        <w:ind w:leftChars="0"/>
        <w:jc w:val="center"/>
        <w:textAlignment w:val="auto"/>
        <w:rPr>
          <w:rFonts w:hint="default" w:ascii="Times New Roman" w:hAnsi="Times New Roman" w:eastAsia="宋体" w:cs="Times New Roman"/>
          <w:b/>
          <w:bCs/>
          <w:snapToGrid w:val="0"/>
          <w:color w:val="auto"/>
          <w:spacing w:val="-3"/>
          <w:kern w:val="0"/>
          <w:sz w:val="24"/>
          <w:szCs w:val="24"/>
          <w:highlight w:val="none"/>
          <w:lang w:val="en-US" w:eastAsia="zh-CN" w:bidi="ar-SA"/>
        </w:rPr>
      </w:pPr>
      <w:r>
        <w:rPr>
          <w:rFonts w:hint="eastAsia" w:ascii="Times New Roman" w:hAnsi="Times New Roman" w:eastAsia="宋体" w:cs="Times New Roman"/>
          <w:b/>
          <w:bCs/>
          <w:snapToGrid w:val="0"/>
          <w:color w:val="auto"/>
          <w:spacing w:val="-3"/>
          <w:kern w:val="0"/>
          <w:sz w:val="24"/>
          <w:szCs w:val="24"/>
          <w:highlight w:val="none"/>
          <w:lang w:val="en-US" w:eastAsia="zh-CN" w:bidi="ar-SA"/>
        </w:rPr>
        <w:t xml:space="preserve">表6.4-3    </w:t>
      </w:r>
      <w:r>
        <w:rPr>
          <w:rFonts w:hint="default" w:ascii="Times New Roman" w:hAnsi="Times New Roman" w:eastAsia="宋体" w:cs="Times New Roman"/>
          <w:b/>
          <w:bCs/>
          <w:snapToGrid w:val="0"/>
          <w:color w:val="auto"/>
          <w:spacing w:val="-3"/>
          <w:kern w:val="0"/>
          <w:sz w:val="24"/>
          <w:szCs w:val="24"/>
          <w:highlight w:val="none"/>
          <w:lang w:val="en-US" w:eastAsia="zh-CN" w:bidi="ar-SA"/>
        </w:rPr>
        <w:t>开发区污水处理厂污水提升泵站一览表</w:t>
      </w:r>
      <w:bookmarkStart w:id="1767" w:name="pindex12292"/>
      <w:bookmarkEnd w:id="1767"/>
    </w:p>
    <w:tbl>
      <w:tblPr>
        <w:tblStyle w:val="19"/>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5"/>
        <w:gridCol w:w="2339"/>
        <w:gridCol w:w="2078"/>
        <w:gridCol w:w="3472"/>
      </w:tblGrid>
      <w:tr w14:paraId="1119F4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2" w:type="pct"/>
            <w:noWrap w:val="0"/>
            <w:vAlign w:val="center"/>
          </w:tcPr>
          <w:p w14:paraId="483F8601">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1351" w:type="pct"/>
            <w:noWrap w:val="0"/>
            <w:vAlign w:val="center"/>
          </w:tcPr>
          <w:p w14:paraId="459F8280">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1200" w:type="pct"/>
            <w:noWrap w:val="0"/>
            <w:vAlign w:val="center"/>
          </w:tcPr>
          <w:p w14:paraId="78F3C550">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设计规模（万m³/d）</w:t>
            </w:r>
          </w:p>
        </w:tc>
        <w:tc>
          <w:tcPr>
            <w:tcW w:w="2005" w:type="pct"/>
            <w:noWrap w:val="0"/>
            <w:vAlign w:val="center"/>
          </w:tcPr>
          <w:p w14:paraId="3BEBB6C6">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位置</w:t>
            </w:r>
          </w:p>
        </w:tc>
      </w:tr>
      <w:tr w14:paraId="012EC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2" w:type="pct"/>
            <w:noWrap w:val="0"/>
            <w:vAlign w:val="center"/>
          </w:tcPr>
          <w:p w14:paraId="248B808D">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w:t>
            </w:r>
          </w:p>
        </w:tc>
        <w:tc>
          <w:tcPr>
            <w:tcW w:w="1351" w:type="pct"/>
            <w:noWrap w:val="0"/>
            <w:vAlign w:val="center"/>
          </w:tcPr>
          <w:p w14:paraId="3DB93198">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开发区2#污水泵站</w:t>
            </w:r>
          </w:p>
        </w:tc>
        <w:tc>
          <w:tcPr>
            <w:tcW w:w="1200" w:type="pct"/>
            <w:noWrap w:val="0"/>
            <w:vAlign w:val="center"/>
          </w:tcPr>
          <w:p w14:paraId="434AF1CE">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2005" w:type="pct"/>
            <w:noWrap w:val="0"/>
            <w:vAlign w:val="center"/>
          </w:tcPr>
          <w:p w14:paraId="12798C75">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天元路以南、宁溧路以西</w:t>
            </w:r>
          </w:p>
        </w:tc>
      </w:tr>
    </w:tbl>
    <w:p w14:paraId="6697A355">
      <w:pPr>
        <w:pStyle w:val="5"/>
        <w:keepNext w:val="0"/>
        <w:keepLines w:val="0"/>
        <w:pageBreakBefore w:val="0"/>
        <w:widowControl w:val="0"/>
        <w:numPr>
          <w:ilvl w:val="4"/>
          <w:numId w:val="0"/>
        </w:numPr>
        <w:shd w:val="clear" w:color="auto" w:fill="auto"/>
        <w:tabs>
          <w:tab w:val="left" w:pos="420"/>
          <w:tab w:val="clear" w:pos="431"/>
        </w:tabs>
        <w:kinsoku/>
        <w:wordWrap/>
        <w:overflowPunct/>
        <w:topLinePunct w:val="0"/>
        <w:autoSpaceDE/>
        <w:autoSpaceDN/>
        <w:bidi w:val="0"/>
        <w:adjustRightInd w:val="0"/>
        <w:snapToGrid w:val="0"/>
        <w:spacing w:line="240" w:lineRule="auto"/>
        <w:ind w:leftChars="0"/>
        <w:jc w:val="center"/>
        <w:textAlignment w:val="auto"/>
        <w:rPr>
          <w:rFonts w:hint="eastAsia" w:ascii="Times New Roman" w:hAnsi="Times New Roman" w:eastAsia="宋体" w:cs="Times New Roman"/>
          <w:b/>
          <w:bCs/>
          <w:snapToGrid w:val="0"/>
          <w:color w:val="auto"/>
          <w:spacing w:val="-3"/>
          <w:kern w:val="0"/>
          <w:sz w:val="24"/>
          <w:szCs w:val="24"/>
          <w:highlight w:val="none"/>
          <w:lang w:val="en-US" w:eastAsia="zh-CN" w:bidi="ar-SA"/>
        </w:rPr>
      </w:pPr>
      <w:bookmarkStart w:id="1768" w:name="sys12301041"/>
      <w:r>
        <w:rPr>
          <w:rFonts w:hint="eastAsia" w:ascii="Times New Roman" w:hAnsi="Times New Roman" w:eastAsia="宋体" w:cs="Times New Roman"/>
          <w:b/>
          <w:bCs/>
          <w:snapToGrid w:val="0"/>
          <w:color w:val="auto"/>
          <w:spacing w:val="-3"/>
          <w:kern w:val="0"/>
          <w:sz w:val="24"/>
          <w:szCs w:val="24"/>
          <w:highlight w:val="none"/>
          <w:lang w:val="en-US" w:eastAsia="zh-CN" w:bidi="ar-SA"/>
        </w:rPr>
        <w:t>表6.4-4    开发区污水处理厂（一、二、三期）接管及尾水排放标准  mg/L</w:t>
      </w:r>
      <w:bookmarkEnd w:id="1768"/>
      <w:bookmarkStart w:id="1769" w:name="pindex12301"/>
      <w:bookmarkEnd w:id="1769"/>
    </w:p>
    <w:tbl>
      <w:tblPr>
        <w:tblStyle w:val="20"/>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8"/>
        <w:gridCol w:w="2641"/>
        <w:gridCol w:w="1980"/>
        <w:gridCol w:w="2929"/>
      </w:tblGrid>
      <w:tr w14:paraId="0D5BE5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tcBorders>
              <w:tl2br w:val="nil"/>
              <w:tr2bl w:val="nil"/>
            </w:tcBorders>
            <w:noWrap w:val="0"/>
            <w:vAlign w:val="center"/>
          </w:tcPr>
          <w:p w14:paraId="0038A654">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序号</w:t>
            </w:r>
          </w:p>
        </w:tc>
        <w:tc>
          <w:tcPr>
            <w:tcW w:w="1525" w:type="pct"/>
            <w:tcBorders>
              <w:tl2br w:val="nil"/>
              <w:tr2bl w:val="nil"/>
            </w:tcBorders>
            <w:noWrap w:val="0"/>
            <w:vAlign w:val="center"/>
          </w:tcPr>
          <w:p w14:paraId="66330F4A">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项目</w:t>
            </w:r>
          </w:p>
        </w:tc>
        <w:tc>
          <w:tcPr>
            <w:tcW w:w="1143" w:type="pct"/>
            <w:tcBorders>
              <w:tl2br w:val="nil"/>
              <w:tr2bl w:val="nil"/>
            </w:tcBorders>
            <w:noWrap w:val="0"/>
            <w:vAlign w:val="center"/>
          </w:tcPr>
          <w:p w14:paraId="7B7E13FF">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接管标准</w:t>
            </w:r>
          </w:p>
        </w:tc>
        <w:tc>
          <w:tcPr>
            <w:tcW w:w="1691" w:type="pct"/>
            <w:tcBorders>
              <w:tl2br w:val="nil"/>
              <w:tr2bl w:val="nil"/>
            </w:tcBorders>
            <w:noWrap w:val="0"/>
            <w:vAlign w:val="center"/>
          </w:tcPr>
          <w:p w14:paraId="34A7F387">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尾水排放标准</w:t>
            </w:r>
          </w:p>
        </w:tc>
      </w:tr>
      <w:tr w14:paraId="70E301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tcBorders>
              <w:tl2br w:val="nil"/>
              <w:tr2bl w:val="nil"/>
            </w:tcBorders>
            <w:noWrap w:val="0"/>
            <w:vAlign w:val="center"/>
          </w:tcPr>
          <w:p w14:paraId="46CDD520">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w:t>
            </w:r>
          </w:p>
        </w:tc>
        <w:tc>
          <w:tcPr>
            <w:tcW w:w="1525" w:type="pct"/>
            <w:tcBorders>
              <w:tl2br w:val="nil"/>
              <w:tr2bl w:val="nil"/>
            </w:tcBorders>
            <w:noWrap w:val="0"/>
            <w:vAlign w:val="center"/>
          </w:tcPr>
          <w:p w14:paraId="371A84A9">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pH值</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（无量纲）</w:t>
            </w:r>
          </w:p>
        </w:tc>
        <w:tc>
          <w:tcPr>
            <w:tcW w:w="1143" w:type="pct"/>
            <w:tcBorders>
              <w:tl2br w:val="nil"/>
              <w:tr2bl w:val="nil"/>
            </w:tcBorders>
            <w:noWrap w:val="0"/>
            <w:vAlign w:val="center"/>
          </w:tcPr>
          <w:p w14:paraId="3CD7FCC3">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6-9</w:t>
            </w:r>
          </w:p>
        </w:tc>
        <w:tc>
          <w:tcPr>
            <w:tcW w:w="1691" w:type="pct"/>
            <w:tcBorders>
              <w:tl2br w:val="nil"/>
              <w:tr2bl w:val="nil"/>
            </w:tcBorders>
            <w:noWrap w:val="0"/>
            <w:vAlign w:val="center"/>
          </w:tcPr>
          <w:p w14:paraId="4A85B937">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r>
      <w:tr w14:paraId="59621F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tcBorders>
              <w:tl2br w:val="nil"/>
              <w:tr2bl w:val="nil"/>
            </w:tcBorders>
            <w:noWrap w:val="0"/>
            <w:vAlign w:val="center"/>
          </w:tcPr>
          <w:p w14:paraId="369ADC19">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1525" w:type="pct"/>
            <w:tcBorders>
              <w:tl2br w:val="nil"/>
              <w:tr2bl w:val="nil"/>
            </w:tcBorders>
            <w:noWrap w:val="0"/>
            <w:vAlign w:val="center"/>
          </w:tcPr>
          <w:p w14:paraId="4CF0C538">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COD</w:t>
            </w:r>
          </w:p>
        </w:tc>
        <w:tc>
          <w:tcPr>
            <w:tcW w:w="1143" w:type="pct"/>
            <w:tcBorders>
              <w:tl2br w:val="nil"/>
              <w:tr2bl w:val="nil"/>
            </w:tcBorders>
            <w:noWrap w:val="0"/>
            <w:vAlign w:val="center"/>
          </w:tcPr>
          <w:p w14:paraId="6280B86C">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500</w:t>
            </w:r>
          </w:p>
        </w:tc>
        <w:tc>
          <w:tcPr>
            <w:tcW w:w="1691" w:type="pct"/>
            <w:tcBorders>
              <w:tl2br w:val="nil"/>
              <w:tr2bl w:val="nil"/>
            </w:tcBorders>
            <w:noWrap w:val="0"/>
            <w:vAlign w:val="center"/>
          </w:tcPr>
          <w:p w14:paraId="4F221CCF">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14:paraId="696639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40" w:type="pct"/>
            <w:tcBorders>
              <w:tl2br w:val="nil"/>
              <w:tr2bl w:val="nil"/>
            </w:tcBorders>
            <w:noWrap w:val="0"/>
            <w:vAlign w:val="center"/>
          </w:tcPr>
          <w:p w14:paraId="29F890F2">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w:t>
            </w:r>
          </w:p>
        </w:tc>
        <w:tc>
          <w:tcPr>
            <w:tcW w:w="1525" w:type="pct"/>
            <w:tcBorders>
              <w:tl2br w:val="nil"/>
              <w:tr2bl w:val="nil"/>
            </w:tcBorders>
            <w:noWrap w:val="0"/>
            <w:vAlign w:val="center"/>
          </w:tcPr>
          <w:p w14:paraId="442ED40F">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BOD</w:t>
            </w:r>
            <w:r>
              <w:rPr>
                <w:rFonts w:hint="eastAsia" w:ascii="Times New Roman" w:hAnsi="Times New Roman" w:eastAsia="宋体" w:cs="Times New Roman"/>
                <w:b w:val="0"/>
                <w:bCs w:val="0"/>
                <w:i w:val="0"/>
                <w:iCs w:val="0"/>
                <w:color w:val="auto"/>
                <w:kern w:val="0"/>
                <w:sz w:val="21"/>
                <w:szCs w:val="21"/>
                <w:highlight w:val="none"/>
                <w:u w:val="none"/>
                <w:vertAlign w:val="subscript"/>
                <w:lang w:val="en-US" w:eastAsia="zh-CN" w:bidi="ar"/>
              </w:rPr>
              <w:t>5</w:t>
            </w:r>
          </w:p>
        </w:tc>
        <w:tc>
          <w:tcPr>
            <w:tcW w:w="1143" w:type="pct"/>
            <w:tcBorders>
              <w:tl2br w:val="nil"/>
              <w:tr2bl w:val="nil"/>
            </w:tcBorders>
            <w:noWrap w:val="0"/>
            <w:vAlign w:val="center"/>
          </w:tcPr>
          <w:p w14:paraId="3C15B4DD">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300</w:t>
            </w:r>
          </w:p>
        </w:tc>
        <w:tc>
          <w:tcPr>
            <w:tcW w:w="1691" w:type="pct"/>
            <w:tcBorders>
              <w:tl2br w:val="nil"/>
              <w:tr2bl w:val="nil"/>
            </w:tcBorders>
            <w:noWrap w:val="0"/>
            <w:vAlign w:val="center"/>
          </w:tcPr>
          <w:p w14:paraId="010317D4">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r>
      <w:tr w14:paraId="67BC42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tcBorders>
              <w:tl2br w:val="nil"/>
              <w:tr2bl w:val="nil"/>
            </w:tcBorders>
            <w:noWrap w:val="0"/>
            <w:vAlign w:val="center"/>
          </w:tcPr>
          <w:p w14:paraId="441E3A2E">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1525" w:type="pct"/>
            <w:tcBorders>
              <w:tl2br w:val="nil"/>
              <w:tr2bl w:val="nil"/>
            </w:tcBorders>
            <w:noWrap w:val="0"/>
            <w:vAlign w:val="center"/>
          </w:tcPr>
          <w:p w14:paraId="4F0241F7">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SS</w:t>
            </w:r>
          </w:p>
        </w:tc>
        <w:tc>
          <w:tcPr>
            <w:tcW w:w="1143" w:type="pct"/>
            <w:tcBorders>
              <w:tl2br w:val="nil"/>
              <w:tr2bl w:val="nil"/>
            </w:tcBorders>
            <w:noWrap w:val="0"/>
            <w:vAlign w:val="center"/>
          </w:tcPr>
          <w:p w14:paraId="3320BF12">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400</w:t>
            </w:r>
          </w:p>
        </w:tc>
        <w:tc>
          <w:tcPr>
            <w:tcW w:w="1691" w:type="pct"/>
            <w:tcBorders>
              <w:tl2br w:val="nil"/>
              <w:tr2bl w:val="nil"/>
            </w:tcBorders>
            <w:noWrap w:val="0"/>
            <w:vAlign w:val="center"/>
          </w:tcPr>
          <w:p w14:paraId="33D29AE2">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r>
      <w:tr w14:paraId="331B96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tcBorders>
              <w:tl2br w:val="nil"/>
              <w:tr2bl w:val="nil"/>
            </w:tcBorders>
            <w:noWrap w:val="0"/>
            <w:vAlign w:val="center"/>
          </w:tcPr>
          <w:p w14:paraId="6E541B59">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w:t>
            </w:r>
          </w:p>
        </w:tc>
        <w:tc>
          <w:tcPr>
            <w:tcW w:w="1525" w:type="pct"/>
            <w:tcBorders>
              <w:tl2br w:val="nil"/>
              <w:tr2bl w:val="nil"/>
            </w:tcBorders>
            <w:noWrap w:val="0"/>
            <w:vAlign w:val="center"/>
          </w:tcPr>
          <w:p w14:paraId="0006CCD9">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NH</w:t>
            </w:r>
            <w:r>
              <w:rPr>
                <w:rFonts w:hint="eastAsia" w:ascii="Times New Roman" w:hAnsi="Times New Roman" w:eastAsia="宋体" w:cs="Times New Roman"/>
                <w:b w:val="0"/>
                <w:bCs w:val="0"/>
                <w:i w:val="0"/>
                <w:iCs w:val="0"/>
                <w:color w:val="auto"/>
                <w:kern w:val="0"/>
                <w:sz w:val="21"/>
                <w:szCs w:val="21"/>
                <w:highlight w:val="none"/>
                <w:u w:val="none"/>
                <w:vertAlign w:val="subscript"/>
                <w:lang w:val="en-US" w:eastAsia="zh-CN" w:bidi="ar"/>
              </w:rPr>
              <w:t>3</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-N</w:t>
            </w:r>
          </w:p>
        </w:tc>
        <w:tc>
          <w:tcPr>
            <w:tcW w:w="1143" w:type="pct"/>
            <w:tcBorders>
              <w:tl2br w:val="nil"/>
              <w:tr2bl w:val="nil"/>
            </w:tcBorders>
            <w:noWrap w:val="0"/>
            <w:vAlign w:val="center"/>
          </w:tcPr>
          <w:p w14:paraId="6216AC68">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45</w:t>
            </w:r>
          </w:p>
        </w:tc>
        <w:tc>
          <w:tcPr>
            <w:tcW w:w="1691" w:type="pct"/>
            <w:tcBorders>
              <w:tl2br w:val="nil"/>
              <w:tr2bl w:val="nil"/>
            </w:tcBorders>
            <w:noWrap w:val="0"/>
            <w:vAlign w:val="center"/>
          </w:tcPr>
          <w:p w14:paraId="140AC9DA">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r>
              <w:rPr>
                <w:rFonts w:hint="eastAsia" w:ascii="Times New Roman" w:hAnsi="Times New Roman" w:eastAsia="宋体" w:cs="Times New Roman"/>
                <w:i w:val="0"/>
                <w:iCs w:val="0"/>
                <w:color w:val="auto"/>
                <w:kern w:val="0"/>
                <w:sz w:val="21"/>
                <w:szCs w:val="21"/>
                <w:highlight w:val="none"/>
                <w:u w:val="none"/>
                <w:lang w:val="en-US" w:eastAsia="zh-CN" w:bidi="ar"/>
              </w:rPr>
              <w:t>（8）</w:t>
            </w:r>
          </w:p>
        </w:tc>
      </w:tr>
      <w:tr w14:paraId="008E19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tcBorders>
              <w:tl2br w:val="nil"/>
              <w:tr2bl w:val="nil"/>
            </w:tcBorders>
            <w:noWrap w:val="0"/>
            <w:vAlign w:val="center"/>
          </w:tcPr>
          <w:p w14:paraId="54FA4187">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6</w:t>
            </w:r>
          </w:p>
        </w:tc>
        <w:tc>
          <w:tcPr>
            <w:tcW w:w="1525" w:type="pct"/>
            <w:tcBorders>
              <w:tl2br w:val="nil"/>
              <w:tr2bl w:val="nil"/>
            </w:tcBorders>
            <w:noWrap w:val="0"/>
            <w:vAlign w:val="center"/>
          </w:tcPr>
          <w:p w14:paraId="1B91284C">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TP</w:t>
            </w:r>
          </w:p>
        </w:tc>
        <w:tc>
          <w:tcPr>
            <w:tcW w:w="1143" w:type="pct"/>
            <w:tcBorders>
              <w:tl2br w:val="nil"/>
              <w:tr2bl w:val="nil"/>
            </w:tcBorders>
            <w:noWrap w:val="0"/>
            <w:vAlign w:val="center"/>
          </w:tcPr>
          <w:p w14:paraId="009DF0AA">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8</w:t>
            </w:r>
          </w:p>
        </w:tc>
        <w:tc>
          <w:tcPr>
            <w:tcW w:w="1691" w:type="pct"/>
            <w:tcBorders>
              <w:tl2br w:val="nil"/>
              <w:tr2bl w:val="nil"/>
            </w:tcBorders>
            <w:noWrap w:val="0"/>
            <w:vAlign w:val="center"/>
          </w:tcPr>
          <w:p w14:paraId="3F0445C5">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0.5</w:t>
            </w:r>
          </w:p>
        </w:tc>
      </w:tr>
      <w:tr w14:paraId="7168C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0" w:type="pct"/>
            <w:tcBorders>
              <w:tl2br w:val="nil"/>
              <w:tr2bl w:val="nil"/>
            </w:tcBorders>
            <w:noWrap w:val="0"/>
            <w:vAlign w:val="center"/>
          </w:tcPr>
          <w:p w14:paraId="4CA38527">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7</w:t>
            </w:r>
          </w:p>
        </w:tc>
        <w:tc>
          <w:tcPr>
            <w:tcW w:w="1525" w:type="pct"/>
            <w:tcBorders>
              <w:tl2br w:val="nil"/>
              <w:tr2bl w:val="nil"/>
            </w:tcBorders>
            <w:noWrap w:val="0"/>
            <w:vAlign w:val="center"/>
          </w:tcPr>
          <w:p w14:paraId="6E6C9E2E">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TN</w:t>
            </w:r>
          </w:p>
        </w:tc>
        <w:tc>
          <w:tcPr>
            <w:tcW w:w="1143" w:type="pct"/>
            <w:tcBorders>
              <w:tl2br w:val="nil"/>
              <w:tr2bl w:val="nil"/>
            </w:tcBorders>
            <w:noWrap w:val="0"/>
            <w:vAlign w:val="center"/>
          </w:tcPr>
          <w:p w14:paraId="04E296DC">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70</w:t>
            </w:r>
          </w:p>
        </w:tc>
        <w:tc>
          <w:tcPr>
            <w:tcW w:w="1691" w:type="pct"/>
            <w:tcBorders>
              <w:tl2br w:val="nil"/>
              <w:tr2bl w:val="nil"/>
            </w:tcBorders>
            <w:noWrap w:val="0"/>
            <w:vAlign w:val="center"/>
          </w:tcPr>
          <w:p w14:paraId="7D75C34A">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15</w:t>
            </w:r>
          </w:p>
        </w:tc>
      </w:tr>
    </w:tbl>
    <w:p w14:paraId="6CD58DE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240" w:lineRule="auto"/>
        <w:ind w:firstLine="422" w:firstLineChars="200"/>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注：根据统计，纳管至开发区污水处理厂的企业涉及的</w:t>
      </w:r>
      <w:r>
        <w:rPr>
          <w:rFonts w:hint="default" w:ascii="Times New Roman" w:hAnsi="Times New Roman" w:eastAsia="宋体" w:cs="Times New Roman"/>
          <w:b/>
          <w:bCs/>
          <w:color w:val="auto"/>
          <w:kern w:val="2"/>
          <w:sz w:val="21"/>
          <w:szCs w:val="21"/>
          <w:highlight w:val="none"/>
          <w:lang w:val="en-US" w:eastAsia="zh-CN" w:bidi="ar-SA"/>
        </w:rPr>
        <w:t>特征污染物为总镍、总锌、氟化物、苯系物</w:t>
      </w:r>
      <w:r>
        <w:rPr>
          <w:rFonts w:hint="eastAsia" w:ascii="Times New Roman" w:hAnsi="Times New Roman" w:eastAsia="宋体" w:cs="Times New Roman"/>
          <w:b/>
          <w:bCs/>
          <w:color w:val="auto"/>
          <w:kern w:val="2"/>
          <w:sz w:val="21"/>
          <w:szCs w:val="21"/>
          <w:highlight w:val="none"/>
          <w:lang w:val="en-US" w:eastAsia="zh-CN" w:bidi="ar-SA"/>
        </w:rPr>
        <w:t>，开发区污水处理厂对上述因子无接管要求。</w:t>
      </w:r>
      <w:bookmarkStart w:id="1770" w:name="sys123346338"/>
      <w:r>
        <w:rPr>
          <w:rFonts w:hint="eastAsia" w:ascii="Times New Roman" w:hAnsi="Times New Roman" w:eastAsia="宋体" w:cs="Times New Roman"/>
          <w:b/>
          <w:bCs/>
          <w:color w:val="auto"/>
          <w:kern w:val="2"/>
          <w:sz w:val="21"/>
          <w:szCs w:val="21"/>
          <w:highlight w:val="none"/>
          <w:lang w:val="en-US" w:eastAsia="zh-CN" w:bidi="ar-SA"/>
        </w:rPr>
        <w:t>括号外数值为水温&gt;12</w:t>
      </w:r>
      <w:r>
        <w:rPr>
          <w:rFonts w:hint="eastAsia" w:ascii="宋体" w:hAnsi="宋体" w:eastAsia="宋体" w:cs="宋体"/>
          <w:b/>
          <w:bCs/>
          <w:color w:val="auto"/>
          <w:kern w:val="2"/>
          <w:sz w:val="21"/>
          <w:szCs w:val="21"/>
          <w:highlight w:val="none"/>
          <w:lang w:val="en-US" w:eastAsia="zh-CN" w:bidi="ar-SA"/>
        </w:rPr>
        <w:t>℃</w:t>
      </w:r>
      <w:r>
        <w:rPr>
          <w:rFonts w:hint="eastAsia" w:ascii="Times New Roman" w:hAnsi="Times New Roman" w:eastAsia="宋体" w:cs="Times New Roman"/>
          <w:b/>
          <w:bCs/>
          <w:color w:val="auto"/>
          <w:kern w:val="2"/>
          <w:sz w:val="21"/>
          <w:szCs w:val="21"/>
          <w:highlight w:val="none"/>
          <w:lang w:val="en-US" w:eastAsia="zh-CN" w:bidi="ar-SA"/>
        </w:rPr>
        <w:t>时的控制指标，括号内数值为水温≤12</w:t>
      </w:r>
      <w:r>
        <w:rPr>
          <w:rFonts w:hint="eastAsia" w:ascii="宋体" w:hAnsi="宋体" w:eastAsia="宋体" w:cs="宋体"/>
          <w:b/>
          <w:bCs/>
          <w:color w:val="auto"/>
          <w:kern w:val="2"/>
          <w:sz w:val="21"/>
          <w:szCs w:val="21"/>
          <w:highlight w:val="none"/>
          <w:lang w:val="en-US" w:eastAsia="zh-CN" w:bidi="ar-SA"/>
        </w:rPr>
        <w:t>℃</w:t>
      </w:r>
      <w:r>
        <w:rPr>
          <w:rFonts w:hint="eastAsia" w:ascii="Times New Roman" w:hAnsi="Times New Roman" w:eastAsia="宋体" w:cs="Times New Roman"/>
          <w:b/>
          <w:bCs/>
          <w:color w:val="auto"/>
          <w:kern w:val="2"/>
          <w:sz w:val="21"/>
          <w:szCs w:val="21"/>
          <w:highlight w:val="none"/>
          <w:lang w:val="en-US" w:eastAsia="zh-CN" w:bidi="ar-SA"/>
        </w:rPr>
        <w:t>时的控制指标。</w:t>
      </w:r>
      <w:bookmarkEnd w:id="1770"/>
    </w:p>
    <w:p w14:paraId="770835D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0"/>
          <w:sz w:val="24"/>
          <w:szCs w:val="24"/>
          <w:highlight w:val="none"/>
          <w:lang w:val="en-US" w:eastAsia="zh-CN" w:bidi="ar-SA"/>
        </w:rPr>
        <w:t>2）</w:t>
      </w:r>
      <w:r>
        <w:rPr>
          <w:rFonts w:hint="default" w:ascii="Times New Roman" w:hAnsi="Times New Roman" w:eastAsia="宋体" w:cs="Times New Roman"/>
          <w:color w:val="auto"/>
          <w:sz w:val="24"/>
          <w:szCs w:val="24"/>
          <w:highlight w:val="none"/>
          <w:lang w:val="en-US" w:eastAsia="zh-CN"/>
        </w:rPr>
        <w:t>污水处理工艺</w:t>
      </w:r>
      <w:bookmarkStart w:id="1771" w:name="pindex12335"/>
      <w:bookmarkEnd w:id="1771"/>
    </w:p>
    <w:p w14:paraId="6F32045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sz w:val="24"/>
          <w:szCs w:val="24"/>
          <w:highlight w:val="none"/>
          <w:lang w:val="en-US" w:eastAsia="zh-CN"/>
        </w:rPr>
        <w:t>一、二期（4万m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bookmarkStart w:id="1772" w:name="pindex12336"/>
      <w:bookmarkEnd w:id="1772"/>
    </w:p>
    <w:p w14:paraId="293FB66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color w:val="auto"/>
        </w:rPr>
      </w:pPr>
      <w:r>
        <w:rPr>
          <w:rFonts w:hint="default" w:ascii="Times New Roman" w:hAnsi="Times New Roman" w:eastAsia="宋体" w:cs="Times New Roman"/>
          <w:color w:val="auto"/>
          <w:sz w:val="24"/>
          <w:szCs w:val="24"/>
          <w:highlight w:val="none"/>
          <w:lang w:val="en-US" w:eastAsia="zh-CN"/>
        </w:rPr>
        <w:t>一期采用ORBAL氧化沟为主体的二级生化处理工艺</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平流沉砂池+ORBAL</w:t>
      </w:r>
      <w:r>
        <w:rPr>
          <w:rFonts w:hint="default" w:ascii="Times New Roman" w:hAnsi="Times New Roman" w:eastAsia="宋体" w:cs="Times New Roman"/>
          <w:color w:val="auto"/>
          <w:sz w:val="24"/>
          <w:szCs w:val="24"/>
          <w:lang w:val="en-US" w:eastAsia="zh-CN"/>
        </w:rPr>
        <w:t>氧化沟+沉淀池+加氯消毒</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。二期采用A</w:t>
      </w:r>
      <w:r>
        <w:rPr>
          <w:rFonts w:hint="default"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O</w:t>
      </w:r>
      <w:r>
        <w:rPr>
          <w:rFonts w:hint="default" w:ascii="Times New Roman" w:hAnsi="Times New Roman" w:eastAsia="宋体" w:cs="Times New Roman"/>
          <w:color w:val="auto"/>
          <w:sz w:val="24"/>
          <w:szCs w:val="24"/>
          <w:lang w:val="en-US" w:eastAsia="zh-CN"/>
        </w:rPr>
        <w:t>氧化沟为主体的二级生化处理工艺</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平流沉砂池+A</w:t>
      </w:r>
      <w:r>
        <w:rPr>
          <w:rFonts w:hint="default"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O</w:t>
      </w:r>
      <w:r>
        <w:rPr>
          <w:rFonts w:hint="default" w:ascii="Times New Roman" w:hAnsi="Times New Roman" w:eastAsia="宋体" w:cs="Times New Roman"/>
          <w:color w:val="auto"/>
          <w:sz w:val="24"/>
          <w:szCs w:val="24"/>
          <w:lang w:val="en-US" w:eastAsia="zh-CN"/>
        </w:rPr>
        <w:t>氧化沟+沉淀池+加氯消毒</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pacing w:val="-2"/>
          <w:sz w:val="24"/>
          <w:szCs w:val="24"/>
          <w:lang w:val="en-US" w:eastAsia="zh-CN"/>
        </w:rPr>
        <w:t>，污泥采用机械浓缩脱水系统，除臭采用生物滤池除臭工艺。其主要流程图见图</w:t>
      </w:r>
      <w:r>
        <w:rPr>
          <w:rFonts w:hint="eastAsia" w:ascii="Times New Roman" w:hAnsi="Times New Roman" w:eastAsia="宋体" w:cs="Times New Roman"/>
          <w:color w:val="auto"/>
          <w:spacing w:val="-2"/>
          <w:sz w:val="24"/>
          <w:szCs w:val="24"/>
          <w:highlight w:val="none"/>
          <w:lang w:val="en-US" w:eastAsia="zh-CN"/>
        </w:rPr>
        <w:t>6.4-1</w:t>
      </w:r>
      <w:r>
        <w:rPr>
          <w:rFonts w:hint="default" w:ascii="Times New Roman" w:hAnsi="Times New Roman" w:eastAsia="宋体" w:cs="Times New Roman"/>
          <w:color w:val="auto"/>
          <w:spacing w:val="-2"/>
          <w:sz w:val="24"/>
          <w:szCs w:val="24"/>
          <w:lang w:val="en-US" w:eastAsia="zh-CN"/>
        </w:rPr>
        <w:t>所示。</w:t>
      </w:r>
      <w:r>
        <w:rPr>
          <w:rFonts w:ascii="Times New Roman"/>
          <w:color w:val="auto"/>
        </w:rPr>
        <w:drawing>
          <wp:inline distT="0" distB="0" distL="114300" distR="114300">
            <wp:extent cx="5172710" cy="2316480"/>
            <wp:effectExtent l="0" t="0" r="889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2"/>
                    <a:stretch>
                      <a:fillRect/>
                    </a:stretch>
                  </pic:blipFill>
                  <pic:spPr>
                    <a:xfrm>
                      <a:off x="0" y="0"/>
                      <a:ext cx="5172710" cy="2316480"/>
                    </a:xfrm>
                    <a:prstGeom prst="rect">
                      <a:avLst/>
                    </a:prstGeom>
                    <a:noFill/>
                    <a:ln>
                      <a:noFill/>
                    </a:ln>
                  </pic:spPr>
                </pic:pic>
              </a:graphicData>
            </a:graphic>
          </wp:inline>
        </w:drawing>
      </w:r>
    </w:p>
    <w:p w14:paraId="69347692">
      <w:pPr>
        <w:keepNext w:val="0"/>
        <w:keepLines w:val="0"/>
        <w:pageBreakBefore w:val="0"/>
        <w:widowControl/>
        <w:kinsoku w:val="0"/>
        <w:wordWrap/>
        <w:overflowPunct/>
        <w:topLinePunct w:val="0"/>
        <w:autoSpaceDE w:val="0"/>
        <w:autoSpaceDN w:val="0"/>
        <w:bidi w:val="0"/>
        <w:adjustRightInd w:val="0"/>
        <w:snapToGrid w:val="0"/>
        <w:spacing w:before="184" w:line="240" w:lineRule="auto"/>
        <w:ind w:right="28"/>
        <w:jc w:val="center"/>
        <w:textAlignment w:val="baseline"/>
        <w:rPr>
          <w:rFonts w:hint="default" w:ascii="Times New Roman" w:hAnsi="Times New Roman" w:eastAsia="宋体" w:cs="Times New Roman"/>
          <w:b/>
          <w:bCs/>
          <w:color w:val="auto"/>
          <w:sz w:val="24"/>
          <w:szCs w:val="24"/>
          <w:highlight w:val="none"/>
          <w:lang w:val="en-US" w:eastAsia="zh-CN"/>
        </w:rPr>
      </w:pPr>
      <w:bookmarkStart w:id="1773" w:name="sys12338032"/>
      <w:r>
        <w:rPr>
          <w:rFonts w:hint="default" w:ascii="Times New Roman" w:hAnsi="Times New Roman" w:eastAsia="宋体" w:cs="Times New Roman"/>
          <w:b/>
          <w:bCs/>
          <w:color w:val="auto"/>
          <w:sz w:val="24"/>
          <w:szCs w:val="24"/>
          <w:highlight w:val="none"/>
          <w:lang w:val="en-US" w:eastAsia="zh-CN"/>
        </w:rPr>
        <w:t>图6</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zh-CN"/>
        </w:rPr>
        <w:t xml:space="preserve">  南京市江宁开发区污水处理厂一、二期项目工艺流程图</w:t>
      </w:r>
      <w:bookmarkEnd w:id="1773"/>
      <w:bookmarkStart w:id="1774" w:name="pindex12338"/>
      <w:bookmarkEnd w:id="1774"/>
    </w:p>
    <w:p w14:paraId="29C0D22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②三期（4万m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/d）</w:t>
      </w:r>
      <w:bookmarkStart w:id="1775" w:name="pindex12339"/>
      <w:bookmarkEnd w:id="1775"/>
    </w:p>
    <w:p w14:paraId="5FDF8B7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8" w:firstLineChars="200"/>
        <w:jc w:val="both"/>
        <w:textAlignment w:val="baseline"/>
        <w:rPr>
          <w:rFonts w:hint="default" w:ascii="宋体" w:hAnsi="宋体" w:eastAsia="宋体" w:cs="宋体"/>
          <w:color w:val="auto"/>
          <w:spacing w:val="-3"/>
          <w:sz w:val="24"/>
          <w:szCs w:val="24"/>
          <w:highlight w:val="none"/>
          <w:lang w:val="en-US" w:eastAsia="zh-CN"/>
        </w:rPr>
      </w:pPr>
      <w:r>
        <w:rPr>
          <w:rFonts w:hint="default" w:ascii="宋体" w:hAnsi="宋体" w:eastAsia="宋体" w:cs="宋体"/>
          <w:color w:val="auto"/>
          <w:spacing w:val="-3"/>
          <w:sz w:val="24"/>
          <w:szCs w:val="24"/>
          <w:highlight w:val="none"/>
          <w:lang w:val="en-US" w:eastAsia="zh-CN"/>
        </w:rPr>
        <w:t>采用双沟式氧化沟为主体的二级生化处理工艺</w:t>
      </w:r>
      <w:r>
        <w:rPr>
          <w:rFonts w:hint="eastAsia" w:ascii="宋体" w:hAnsi="宋体" w:eastAsia="宋体" w:cs="宋体"/>
          <w:color w:val="auto"/>
          <w:spacing w:val="-3"/>
          <w:sz w:val="24"/>
          <w:szCs w:val="24"/>
          <w:highlight w:val="none"/>
          <w:lang w:val="en-US" w:eastAsia="zh-CN"/>
        </w:rPr>
        <w:t>（</w:t>
      </w:r>
      <w:r>
        <w:rPr>
          <w:rFonts w:hint="default" w:ascii="宋体" w:hAnsi="宋体" w:eastAsia="宋体" w:cs="宋体"/>
          <w:color w:val="auto"/>
          <w:spacing w:val="-3"/>
          <w:sz w:val="24"/>
          <w:szCs w:val="24"/>
          <w:highlight w:val="none"/>
          <w:lang w:val="en-US" w:eastAsia="zh-CN"/>
        </w:rPr>
        <w:t>钟式沉砂池+双沟式氧化沟+沉淀池+紫外线消毒</w:t>
      </w:r>
      <w:r>
        <w:rPr>
          <w:rFonts w:hint="eastAsia" w:ascii="宋体" w:hAnsi="宋体" w:eastAsia="宋体" w:cs="宋体"/>
          <w:color w:val="auto"/>
          <w:spacing w:val="-3"/>
          <w:sz w:val="24"/>
          <w:szCs w:val="24"/>
          <w:highlight w:val="none"/>
          <w:lang w:val="en-US" w:eastAsia="zh-CN"/>
        </w:rPr>
        <w:t>）</w:t>
      </w:r>
      <w:r>
        <w:rPr>
          <w:rFonts w:hint="default" w:ascii="宋体" w:hAnsi="宋体" w:eastAsia="宋体" w:cs="宋体"/>
          <w:color w:val="auto"/>
          <w:spacing w:val="-3"/>
          <w:sz w:val="24"/>
          <w:szCs w:val="24"/>
          <w:highlight w:val="none"/>
          <w:lang w:val="en-US" w:eastAsia="zh-CN"/>
        </w:rPr>
        <w:t>。污泥采用机械浓缩脱水系统，除臭采用生物滤池除臭工艺</w:t>
      </w:r>
      <w:r>
        <w:rPr>
          <w:rFonts w:hint="eastAsia" w:ascii="宋体" w:hAnsi="宋体" w:eastAsia="宋体" w:cs="宋体"/>
          <w:color w:val="auto"/>
          <w:spacing w:val="-3"/>
          <w:sz w:val="24"/>
          <w:szCs w:val="24"/>
          <w:highlight w:val="none"/>
          <w:lang w:val="en-US" w:eastAsia="zh-CN"/>
        </w:rPr>
        <w:t>。</w:t>
      </w:r>
    </w:p>
    <w:p w14:paraId="367E0E5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8" w:firstLineChars="200"/>
        <w:jc w:val="left"/>
        <w:textAlignment w:val="baseline"/>
        <w:rPr>
          <w:rFonts w:hint="default" w:ascii="宋体" w:hAnsi="宋体" w:eastAsia="宋体" w:cs="宋体"/>
          <w:color w:val="auto"/>
          <w:spacing w:val="-3"/>
          <w:sz w:val="24"/>
          <w:szCs w:val="24"/>
          <w:highlight w:val="none"/>
          <w:lang w:val="en-US" w:eastAsia="zh-CN"/>
        </w:rPr>
      </w:pPr>
      <w:r>
        <w:rPr>
          <w:rFonts w:hint="default" w:ascii="宋体" w:hAnsi="宋体" w:eastAsia="宋体" w:cs="宋体"/>
          <w:color w:val="auto"/>
          <w:spacing w:val="-3"/>
          <w:sz w:val="24"/>
          <w:szCs w:val="24"/>
          <w:highlight w:val="none"/>
          <w:lang w:val="en-US" w:eastAsia="zh-CN"/>
        </w:rPr>
        <w:t>其主要流程图见图</w:t>
      </w:r>
      <w:r>
        <w:rPr>
          <w:rFonts w:hint="default" w:ascii="Times New Roman" w:hAnsi="Times New Roman" w:eastAsia="宋体" w:cs="Times New Roman"/>
          <w:color w:val="auto"/>
          <w:spacing w:val="-3"/>
          <w:sz w:val="24"/>
          <w:szCs w:val="24"/>
          <w:highlight w:val="none"/>
          <w:lang w:val="en-US" w:eastAsia="zh-CN"/>
        </w:rPr>
        <w:t>6.4-2</w:t>
      </w:r>
      <w:r>
        <w:rPr>
          <w:rFonts w:hint="default" w:ascii="宋体" w:hAnsi="宋体" w:eastAsia="宋体" w:cs="宋体"/>
          <w:color w:val="auto"/>
          <w:spacing w:val="-3"/>
          <w:sz w:val="24"/>
          <w:szCs w:val="24"/>
          <w:highlight w:val="none"/>
          <w:lang w:val="en-US" w:eastAsia="zh-CN"/>
        </w:rPr>
        <w:t>所示。</w:t>
      </w:r>
    </w:p>
    <w:p w14:paraId="01754B2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240" w:lineRule="auto"/>
        <w:jc w:val="center"/>
        <w:textAlignment w:val="baseline"/>
        <w:rPr>
          <w:rFonts w:hint="default" w:eastAsia="宋体"/>
          <w:b/>
          <w:bCs/>
          <w:color w:val="auto"/>
          <w:highlight w:val="none"/>
          <w:lang w:val="en-US" w:eastAsia="zh-CN"/>
        </w:rPr>
      </w:pPr>
      <w:r>
        <w:rPr>
          <w:color w:val="auto"/>
          <w:highlight w:val="none"/>
        </w:rPr>
        <w:object>
          <v:shape id="_x0000_i1026" o:spt="75" type="#_x0000_t75" style="height:128.7pt;width:443.65pt;" o:ole="t" filled="f" o:preferrelative="t" stroked="f" coordsize="21600,21600">
            <v:path/>
            <v:fill on="f" focussize="0,0"/>
            <v:stroke on="f"/>
            <v:imagedata r:id="rId54" cropleft="4266f" croptop="18173f" cropright="1541f" cropbottom="14255f" o:title=""/>
            <o:lock v:ext="edit" aspectratio="t"/>
            <w10:wrap type="none"/>
            <w10:anchorlock/>
          </v:shape>
          <o:OLEObject Type="Embed" ProgID="AutoCAD.Drawing.16" ShapeID="_x0000_i1026" DrawAspect="Content" ObjectID="_1468075726" r:id="rId53">
            <o:LockedField>false</o:LockedField>
          </o:OLEObject>
        </w:object>
      </w:r>
      <w:bookmarkStart w:id="1776" w:name="sys12342030"/>
      <w:r>
        <w:rPr>
          <w:rFonts w:hint="default" w:ascii="Times New Roman" w:hAnsi="Times New Roman" w:eastAsia="宋体" w:cs="Times New Roman"/>
          <w:b/>
          <w:bCs/>
          <w:color w:val="auto"/>
          <w:sz w:val="24"/>
          <w:szCs w:val="24"/>
          <w:highlight w:val="none"/>
          <w:lang w:val="en-US" w:eastAsia="zh-CN"/>
        </w:rPr>
        <w:t>图6</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 xml:space="preserve">  南京市江宁开发区污水处理厂三期项目工艺流程图</w:t>
      </w:r>
      <w:bookmarkEnd w:id="1776"/>
      <w:bookmarkStart w:id="1777" w:name="pindex12342"/>
      <w:bookmarkEnd w:id="1777"/>
    </w:p>
    <w:p w14:paraId="64C40AA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③提标改造项目（总8万m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/d，未新增）</w:t>
      </w:r>
      <w:bookmarkStart w:id="1778" w:name="pindex12343"/>
      <w:bookmarkEnd w:id="1778"/>
    </w:p>
    <w:p w14:paraId="41E8813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8" w:firstLineChars="200"/>
        <w:textAlignment w:val="baseline"/>
        <w:rPr>
          <w:rFonts w:hint="default" w:ascii="Times New Roman" w:hAnsi="Times New Roman" w:eastAsia="宋体" w:cs="Times New Roman"/>
          <w:color w:val="auto"/>
          <w:spacing w:val="-3"/>
          <w:sz w:val="24"/>
          <w:szCs w:val="24"/>
          <w:highlight w:val="none"/>
        </w:rPr>
      </w:pPr>
      <w:r>
        <w:rPr>
          <w:rFonts w:hint="default" w:ascii="Times New Roman" w:hAnsi="Times New Roman" w:eastAsia="宋体" w:cs="Times New Roman"/>
          <w:color w:val="auto"/>
          <w:spacing w:val="-3"/>
          <w:sz w:val="24"/>
          <w:szCs w:val="24"/>
          <w:highlight w:val="none"/>
        </w:rPr>
        <w:t>提标改造项目在保证前三期工艺不变的情况下</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结合开发区污水处理厂的实际情况，优化生化处理单元，新增深度处理及再生水回用单元，采用</w:t>
      </w:r>
      <w:r>
        <w:rPr>
          <w:rFonts w:hint="eastAsia" w:ascii="宋体" w:hAnsi="宋体" w:eastAsia="宋体" w:cs="宋体"/>
          <w:color w:val="auto"/>
          <w:spacing w:val="-3"/>
          <w:sz w:val="24"/>
          <w:szCs w:val="24"/>
          <w:highlight w:val="none"/>
        </w:rPr>
        <w:t>“微絮凝</w:t>
      </w:r>
      <w:r>
        <w:rPr>
          <w:rFonts w:hint="eastAsia" w:ascii="宋体" w:hAnsi="宋体" w:eastAsia="宋体" w:cs="宋体"/>
          <w:color w:val="auto"/>
          <w:spacing w:val="-3"/>
          <w:sz w:val="24"/>
          <w:szCs w:val="24"/>
          <w:highlight w:val="none"/>
          <w:lang w:eastAsia="zh-CN"/>
        </w:rPr>
        <w:t>（</w:t>
      </w:r>
      <w:r>
        <w:rPr>
          <w:rFonts w:hint="eastAsia" w:ascii="宋体" w:hAnsi="宋体" w:eastAsia="宋体" w:cs="宋体"/>
          <w:color w:val="auto"/>
          <w:spacing w:val="-3"/>
          <w:sz w:val="24"/>
          <w:szCs w:val="24"/>
          <w:highlight w:val="none"/>
        </w:rPr>
        <w:t>絮凝</w:t>
      </w:r>
      <w:r>
        <w:rPr>
          <w:rFonts w:hint="eastAsia" w:ascii="宋体" w:hAnsi="宋体" w:eastAsia="宋体" w:cs="宋体"/>
          <w:color w:val="auto"/>
          <w:spacing w:val="-3"/>
          <w:sz w:val="24"/>
          <w:szCs w:val="24"/>
          <w:highlight w:val="none"/>
          <w:lang w:eastAsia="zh-CN"/>
        </w:rPr>
        <w:t>）</w:t>
      </w:r>
      <w:r>
        <w:rPr>
          <w:rFonts w:hint="eastAsia" w:ascii="宋体" w:hAnsi="宋体" w:eastAsia="宋体" w:cs="宋体"/>
          <w:color w:val="auto"/>
          <w:spacing w:val="-3"/>
          <w:sz w:val="24"/>
          <w:szCs w:val="24"/>
          <w:highlight w:val="none"/>
        </w:rPr>
        <w:t>+过滤</w:t>
      </w:r>
      <w:r>
        <w:rPr>
          <w:rFonts w:hint="eastAsia" w:ascii="宋体" w:hAnsi="宋体" w:eastAsia="宋体" w:cs="宋体"/>
          <w:color w:val="auto"/>
          <w:spacing w:val="-3"/>
          <w:sz w:val="24"/>
          <w:szCs w:val="24"/>
          <w:highlight w:val="none"/>
          <w:lang w:eastAsia="zh-CN"/>
        </w:rPr>
        <w:t>（</w:t>
      </w:r>
      <w:r>
        <w:rPr>
          <w:rFonts w:hint="eastAsia" w:ascii="宋体" w:hAnsi="宋体" w:eastAsia="宋体" w:cs="宋体"/>
          <w:color w:val="auto"/>
          <w:spacing w:val="-3"/>
          <w:sz w:val="24"/>
          <w:szCs w:val="24"/>
          <w:highlight w:val="none"/>
        </w:rPr>
        <w:t>反硝化</w:t>
      </w:r>
      <w:r>
        <w:rPr>
          <w:rFonts w:hint="eastAsia" w:ascii="宋体" w:hAnsi="宋体" w:eastAsia="宋体" w:cs="宋体"/>
          <w:color w:val="auto"/>
          <w:spacing w:val="-3"/>
          <w:sz w:val="24"/>
          <w:szCs w:val="24"/>
          <w:highlight w:val="none"/>
          <w:lang w:eastAsia="zh-CN"/>
        </w:rPr>
        <w:t>）</w:t>
      </w:r>
      <w:r>
        <w:rPr>
          <w:rFonts w:hint="eastAsia" w:ascii="宋体" w:hAnsi="宋体" w:eastAsia="宋体" w:cs="宋体"/>
          <w:color w:val="auto"/>
          <w:spacing w:val="-3"/>
          <w:sz w:val="24"/>
          <w:szCs w:val="24"/>
          <w:highlight w:val="none"/>
        </w:rPr>
        <w:t>+消毒+再生水回用或尾水排放”</w:t>
      </w:r>
      <w:r>
        <w:rPr>
          <w:rFonts w:hint="default" w:ascii="Times New Roman" w:hAnsi="Times New Roman" w:eastAsia="宋体" w:cs="Times New Roman"/>
          <w:color w:val="auto"/>
          <w:spacing w:val="-3"/>
          <w:sz w:val="24"/>
          <w:szCs w:val="24"/>
          <w:highlight w:val="none"/>
        </w:rPr>
        <w:t>工艺，以提高SS、TN、粪大肠菌群的去除率，污泥处置采用浓缩一机械脱水后外运处置。</w:t>
      </w:r>
    </w:p>
    <w:p w14:paraId="71BB5DE7">
      <w:pPr>
        <w:spacing w:before="184" w:line="344" w:lineRule="auto"/>
        <w:ind w:right="30"/>
        <w:rPr>
          <w:color w:val="auto"/>
          <w:highlight w:val="none"/>
        </w:rPr>
      </w:pPr>
      <w:r>
        <w:rPr>
          <w:rFonts w:ascii="Times New Roman"/>
          <w:color w:val="auto"/>
          <w:highlight w:val="none"/>
        </w:rPr>
        <w:drawing>
          <wp:inline distT="0" distB="0" distL="114300" distR="114300">
            <wp:extent cx="5335270" cy="1636395"/>
            <wp:effectExtent l="0" t="0" r="17780" b="190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55"/>
                    <a:stretch>
                      <a:fillRect/>
                    </a:stretch>
                  </pic:blipFill>
                  <pic:spPr>
                    <a:xfrm>
                      <a:off x="0" y="0"/>
                      <a:ext cx="5335270" cy="1636395"/>
                    </a:xfrm>
                    <a:prstGeom prst="rect">
                      <a:avLst/>
                    </a:prstGeom>
                    <a:noFill/>
                    <a:ln>
                      <a:noFill/>
                    </a:ln>
                  </pic:spPr>
                </pic:pic>
              </a:graphicData>
            </a:graphic>
          </wp:inline>
        </w:drawing>
      </w:r>
    </w:p>
    <w:p w14:paraId="453B9BB1">
      <w:pPr>
        <w:keepNext w:val="0"/>
        <w:keepLines w:val="0"/>
        <w:pageBreakBefore w:val="0"/>
        <w:widowControl/>
        <w:kinsoku w:val="0"/>
        <w:wordWrap/>
        <w:overflowPunct/>
        <w:topLinePunct w:val="0"/>
        <w:autoSpaceDE w:val="0"/>
        <w:autoSpaceDN w:val="0"/>
        <w:bidi w:val="0"/>
        <w:adjustRightInd w:val="0"/>
        <w:snapToGrid w:val="0"/>
        <w:spacing w:before="184" w:line="240" w:lineRule="auto"/>
        <w:ind w:right="28"/>
        <w:jc w:val="center"/>
        <w:textAlignment w:val="baseline"/>
        <w:rPr>
          <w:rFonts w:hint="default" w:ascii="Times New Roman" w:hAnsi="Times New Roman" w:eastAsia="宋体" w:cs="Times New Roman"/>
          <w:b/>
          <w:bCs/>
          <w:color w:val="auto"/>
          <w:sz w:val="24"/>
          <w:szCs w:val="24"/>
          <w:highlight w:val="none"/>
          <w:lang w:val="en-US" w:eastAsia="zh-CN"/>
        </w:rPr>
      </w:pPr>
      <w:bookmarkStart w:id="1779" w:name="sys12346032"/>
      <w:r>
        <w:rPr>
          <w:rFonts w:hint="default" w:ascii="Times New Roman" w:hAnsi="Times New Roman" w:eastAsia="宋体" w:cs="Times New Roman"/>
          <w:b/>
          <w:bCs/>
          <w:color w:val="auto"/>
          <w:sz w:val="24"/>
          <w:szCs w:val="24"/>
          <w:highlight w:val="none"/>
          <w:lang w:val="en-US" w:eastAsia="zh-CN"/>
        </w:rPr>
        <w:t>图6</w:t>
      </w:r>
      <w:r>
        <w:rPr>
          <w:rFonts w:hint="eastAsia" w:ascii="Times New Roman" w:hAnsi="Times New Roman" w:eastAsia="宋体" w:cs="Times New Roman"/>
          <w:b/>
          <w:bCs/>
          <w:color w:val="auto"/>
          <w:sz w:val="24"/>
          <w:szCs w:val="24"/>
          <w:highlight w:val="none"/>
          <w:lang w:val="en-US" w:eastAsia="zh-CN"/>
        </w:rPr>
        <w:t>.4-3</w:t>
      </w:r>
      <w:r>
        <w:rPr>
          <w:rFonts w:hint="default" w:ascii="Times New Roman" w:hAnsi="Times New Roman" w:eastAsia="宋体" w:cs="Times New Roman"/>
          <w:b/>
          <w:bCs/>
          <w:color w:val="auto"/>
          <w:sz w:val="24"/>
          <w:szCs w:val="24"/>
          <w:highlight w:val="none"/>
          <w:lang w:val="en-US" w:eastAsia="zh-CN"/>
        </w:rPr>
        <w:t xml:space="preserve">  南京市江宁开发区污水处理厂提标改造项目工艺流程图</w:t>
      </w:r>
      <w:bookmarkEnd w:id="1779"/>
      <w:bookmarkStart w:id="1780" w:name="pindex12346"/>
      <w:bookmarkEnd w:id="1780"/>
    </w:p>
    <w:p w14:paraId="33D6C542">
      <w:pPr>
        <w:keepNext w:val="0"/>
        <w:keepLines w:val="0"/>
        <w:pageBreakBefore w:val="0"/>
        <w:widowControl/>
        <w:kinsoku w:val="0"/>
        <w:wordWrap/>
        <w:overflowPunct/>
        <w:topLinePunct w:val="0"/>
        <w:autoSpaceDE w:val="0"/>
        <w:autoSpaceDN w:val="0"/>
        <w:bidi w:val="0"/>
        <w:adjustRightInd w:val="0"/>
        <w:snapToGrid w:val="0"/>
        <w:spacing w:before="33" w:line="360" w:lineRule="auto"/>
        <w:ind w:left="527"/>
        <w:textAlignment w:val="baseline"/>
        <w:rPr>
          <w:rFonts w:hint="eastAsia" w:ascii="宋体" w:hAnsi="宋体" w:eastAsia="宋体" w:cs="宋体"/>
          <w:b/>
          <w:bCs/>
          <w:color w:val="auto"/>
          <w:spacing w:val="-4"/>
          <w:sz w:val="24"/>
          <w:szCs w:val="24"/>
          <w:highlight w:val="none"/>
          <w:lang w:eastAsia="zh-CN"/>
        </w:rPr>
      </w:pPr>
      <w:r>
        <w:rPr>
          <w:rFonts w:hint="default" w:ascii="Times New Roman" w:hAnsi="Times New Roman" w:eastAsia="宋体" w:cs="Times New Roman"/>
          <w:b/>
          <w:bCs/>
          <w:color w:val="auto"/>
          <w:spacing w:val="-4"/>
          <w:sz w:val="24"/>
          <w:szCs w:val="24"/>
          <w:highlight w:val="none"/>
        </w:rPr>
        <w:t>（</w:t>
      </w:r>
      <w:r>
        <w:rPr>
          <w:rFonts w:hint="default" w:ascii="Times New Roman" w:hAnsi="Times New Roman" w:eastAsia="宋体" w:cs="Times New Roman"/>
          <w:b/>
          <w:bCs/>
          <w:color w:val="auto"/>
          <w:spacing w:val="-4"/>
          <w:sz w:val="24"/>
          <w:szCs w:val="24"/>
          <w:highlight w:val="none"/>
          <w:lang w:val="en-US" w:eastAsia="zh-CN"/>
        </w:rPr>
        <w:t>3</w:t>
      </w:r>
      <w:r>
        <w:rPr>
          <w:rFonts w:hint="default" w:ascii="Times New Roman" w:hAnsi="Times New Roman" w:eastAsia="宋体" w:cs="Times New Roman"/>
          <w:b/>
          <w:bCs/>
          <w:color w:val="auto"/>
          <w:spacing w:val="-4"/>
          <w:sz w:val="24"/>
          <w:szCs w:val="24"/>
          <w:highlight w:val="none"/>
        </w:rPr>
        <w:t>）</w:t>
      </w:r>
      <w:r>
        <w:rPr>
          <w:rFonts w:hint="default" w:ascii="Times New Roman" w:hAnsi="Times New Roman" w:eastAsia="宋体" w:cs="Times New Roman"/>
          <w:b/>
          <w:bCs/>
          <w:color w:val="auto"/>
          <w:spacing w:val="-4"/>
          <w:sz w:val="24"/>
          <w:szCs w:val="24"/>
          <w:highlight w:val="none"/>
          <w:lang w:val="en-US" w:eastAsia="zh-CN"/>
        </w:rPr>
        <w:t>南区</w:t>
      </w:r>
      <w:r>
        <w:rPr>
          <w:rFonts w:hint="default" w:ascii="Times New Roman" w:hAnsi="Times New Roman" w:eastAsia="宋体" w:cs="Times New Roman"/>
          <w:b/>
          <w:bCs/>
          <w:color w:val="auto"/>
          <w:spacing w:val="-4"/>
          <w:sz w:val="24"/>
          <w:szCs w:val="24"/>
          <w:highlight w:val="none"/>
        </w:rPr>
        <w:t>污</w:t>
      </w:r>
      <w:r>
        <w:rPr>
          <w:rFonts w:ascii="宋体" w:hAnsi="宋体" w:eastAsia="宋体" w:cs="宋体"/>
          <w:b/>
          <w:bCs/>
          <w:color w:val="auto"/>
          <w:spacing w:val="-4"/>
          <w:sz w:val="24"/>
          <w:szCs w:val="24"/>
          <w:highlight w:val="none"/>
        </w:rPr>
        <w:t>水处理厂</w:t>
      </w:r>
      <w:r>
        <w:rPr>
          <w:rFonts w:hint="eastAsia" w:ascii="宋体" w:hAnsi="宋体" w:eastAsia="宋体" w:cs="宋体"/>
          <w:b/>
          <w:bCs/>
          <w:color w:val="auto"/>
          <w:spacing w:val="-4"/>
          <w:sz w:val="24"/>
          <w:szCs w:val="24"/>
          <w:highlight w:val="none"/>
          <w:lang w:eastAsia="zh-CN"/>
        </w:rPr>
        <w:t>（</w:t>
      </w:r>
      <w:r>
        <w:rPr>
          <w:rFonts w:hint="eastAsia" w:ascii="宋体" w:hAnsi="宋体" w:eastAsia="宋体" w:cs="宋体"/>
          <w:b/>
          <w:bCs/>
          <w:color w:val="auto"/>
          <w:spacing w:val="-4"/>
          <w:sz w:val="24"/>
          <w:szCs w:val="24"/>
          <w:highlight w:val="none"/>
          <w:lang w:val="en-US" w:eastAsia="zh-CN"/>
        </w:rPr>
        <w:t>区外</w:t>
      </w:r>
      <w:r>
        <w:rPr>
          <w:rFonts w:hint="eastAsia" w:ascii="宋体" w:hAnsi="宋体" w:eastAsia="宋体" w:cs="宋体"/>
          <w:b/>
          <w:bCs/>
          <w:color w:val="auto"/>
          <w:spacing w:val="-4"/>
          <w:sz w:val="24"/>
          <w:szCs w:val="24"/>
          <w:highlight w:val="none"/>
          <w:lang w:eastAsia="zh-CN"/>
        </w:rPr>
        <w:t>）</w:t>
      </w:r>
      <w:bookmarkStart w:id="1781" w:name="pindex12347"/>
      <w:bookmarkEnd w:id="1781"/>
    </w:p>
    <w:p w14:paraId="453E7CA4">
      <w:pPr>
        <w:keepNext w:val="0"/>
        <w:keepLines w:val="0"/>
        <w:pageBreakBefore w:val="0"/>
        <w:widowControl/>
        <w:kinsoku w:val="0"/>
        <w:wordWrap/>
        <w:overflowPunct/>
        <w:topLinePunct w:val="0"/>
        <w:autoSpaceDE w:val="0"/>
        <w:autoSpaceDN w:val="0"/>
        <w:bidi w:val="0"/>
        <w:adjustRightInd w:val="0"/>
        <w:snapToGrid w:val="0"/>
        <w:spacing w:before="33" w:line="360" w:lineRule="auto"/>
        <w:ind w:left="527"/>
        <w:textAlignment w:val="baseline"/>
        <w:rPr>
          <w:rFonts w:ascii="宋体" w:hAnsi="宋体" w:eastAsia="宋体" w:cs="宋体"/>
          <w:b/>
          <w:bCs/>
          <w:color w:val="auto"/>
          <w:spacing w:val="-4"/>
          <w:sz w:val="24"/>
          <w:szCs w:val="24"/>
          <w:highlight w:val="none"/>
        </w:rPr>
      </w:pPr>
      <w:r>
        <w:rPr>
          <w:rFonts w:hint="eastAsia" w:ascii="宋体" w:hAnsi="宋体" w:eastAsia="宋体" w:cs="宋体"/>
          <w:b/>
          <w:bCs/>
          <w:color w:val="auto"/>
          <w:spacing w:val="-4"/>
          <w:sz w:val="24"/>
          <w:szCs w:val="24"/>
          <w:highlight w:val="none"/>
          <w:lang w:val="en-US" w:eastAsia="zh-CN"/>
        </w:rPr>
        <w:t>1）</w:t>
      </w:r>
      <w:r>
        <w:rPr>
          <w:rFonts w:ascii="宋体" w:hAnsi="宋体" w:eastAsia="宋体" w:cs="宋体"/>
          <w:b/>
          <w:bCs/>
          <w:color w:val="auto"/>
          <w:spacing w:val="-4"/>
          <w:sz w:val="24"/>
          <w:szCs w:val="24"/>
          <w:highlight w:val="none"/>
        </w:rPr>
        <w:t>概况</w:t>
      </w:r>
      <w:bookmarkStart w:id="1782" w:name="pindex12348"/>
      <w:bookmarkEnd w:id="1782"/>
    </w:p>
    <w:p w14:paraId="174683A1">
      <w:pPr>
        <w:keepNext w:val="0"/>
        <w:keepLines w:val="0"/>
        <w:pageBreakBefore w:val="0"/>
        <w:widowControl/>
        <w:kinsoku/>
        <w:wordWrap/>
        <w:overflowPunct/>
        <w:topLinePunct w:val="0"/>
        <w:autoSpaceDE w:val="0"/>
        <w:autoSpaceDN w:val="0"/>
        <w:bidi w:val="0"/>
        <w:adjustRightInd w:val="0"/>
        <w:snapToGrid w:val="0"/>
        <w:spacing w:before="33" w:line="360" w:lineRule="auto"/>
        <w:ind w:firstLine="480" w:firstLineChars="200"/>
        <w:textAlignment w:val="baseline"/>
        <w:rPr>
          <w:rFonts w:hint="default" w:ascii="Times New Roman" w:hAnsi="Times New Roman" w:eastAsia="宋体" w:cs="Times New Roman"/>
          <w:color w:val="auto"/>
          <w:kern w:val="2"/>
          <w:sz w:val="24"/>
          <w:szCs w:val="28"/>
          <w:highlight w:val="none"/>
          <w:lang w:val="en-US" w:eastAsia="zh-CN" w:bidi="ar-SA"/>
        </w:rPr>
      </w:pPr>
      <w:r>
        <w:rPr>
          <w:rFonts w:hint="eastAsia" w:ascii="Times New Roman" w:hAnsi="Times New Roman" w:eastAsia="宋体" w:cs="Times New Roman"/>
          <w:color w:val="auto"/>
          <w:kern w:val="2"/>
          <w:sz w:val="24"/>
          <w:szCs w:val="28"/>
          <w:highlight w:val="none"/>
          <w:lang w:val="en-US" w:eastAsia="zh-CN" w:bidi="ar-SA"/>
        </w:rPr>
        <w:t>南京市江宁开发区南区污水处理厂位于</w:t>
      </w:r>
      <w:r>
        <w:rPr>
          <w:rFonts w:hint="eastAsia" w:ascii="宋体" w:hAnsi="宋体" w:eastAsia="宋体" w:cs="宋体"/>
          <w:color w:val="auto"/>
          <w:kern w:val="0"/>
          <w:sz w:val="24"/>
          <w:szCs w:val="24"/>
          <w:highlight w:val="none"/>
          <w:lang w:val="en-US" w:eastAsia="zh-CN" w:bidi="ar"/>
        </w:rPr>
        <w:t>区秣陵街道苏源大道以西，云台山河以东，</w:t>
      </w:r>
      <w:r>
        <w:rPr>
          <w:rFonts w:hint="default" w:ascii="Times New Roman" w:hAnsi="Times New Roman" w:eastAsia="宋体" w:cs="Times New Roman"/>
          <w:color w:val="auto"/>
          <w:kern w:val="2"/>
          <w:sz w:val="24"/>
          <w:szCs w:val="28"/>
          <w:highlight w:val="none"/>
          <w:lang w:val="en-US" w:eastAsia="zh-CN" w:bidi="ar-SA"/>
        </w:rPr>
        <w:t>已建污水处理规模为</w:t>
      </w:r>
      <w:r>
        <w:rPr>
          <w:rFonts w:hint="eastAsia" w:ascii="Times New Roman" w:hAnsi="Times New Roman" w:eastAsia="宋体" w:cs="Times New Roman"/>
          <w:color w:val="auto"/>
          <w:kern w:val="2"/>
          <w:sz w:val="24"/>
          <w:szCs w:val="28"/>
          <w:highlight w:val="none"/>
          <w:lang w:val="en-US" w:eastAsia="zh-CN" w:bidi="ar-SA"/>
        </w:rPr>
        <w:t>15</w:t>
      </w:r>
      <w:r>
        <w:rPr>
          <w:rFonts w:hint="default" w:ascii="Times New Roman" w:hAnsi="Times New Roman" w:eastAsia="宋体" w:cs="Times New Roman"/>
          <w:color w:val="auto"/>
          <w:kern w:val="2"/>
          <w:sz w:val="24"/>
          <w:szCs w:val="28"/>
          <w:highlight w:val="none"/>
          <w:lang w:val="en-US" w:eastAsia="zh-CN" w:bidi="ar-SA"/>
        </w:rPr>
        <w:t>万m</w:t>
      </w:r>
      <w:r>
        <w:rPr>
          <w:rFonts w:hint="default" w:ascii="Times New Roman" w:hAnsi="Times New Roman" w:eastAsia="宋体" w:cs="Times New Roman"/>
          <w:color w:val="auto"/>
          <w:kern w:val="2"/>
          <w:sz w:val="24"/>
          <w:szCs w:val="28"/>
          <w:highlight w:val="none"/>
          <w:vertAlign w:val="superscript"/>
          <w:lang w:val="en-US" w:eastAsia="zh-CN" w:bidi="ar-SA"/>
        </w:rPr>
        <w:t>3</w:t>
      </w:r>
      <w:r>
        <w:rPr>
          <w:rFonts w:hint="default" w:ascii="Times New Roman" w:hAnsi="Times New Roman" w:eastAsia="宋体" w:cs="Times New Roman"/>
          <w:color w:val="auto"/>
          <w:kern w:val="2"/>
          <w:sz w:val="24"/>
          <w:szCs w:val="28"/>
          <w:highlight w:val="none"/>
          <w:lang w:val="en-US" w:eastAsia="zh-CN" w:bidi="ar-SA"/>
        </w:rPr>
        <w:t>/d。</w:t>
      </w:r>
      <w:r>
        <w:rPr>
          <w:rFonts w:hint="eastAsia" w:ascii="Times New Roman" w:hAnsi="Times New Roman" w:eastAsia="宋体" w:cs="Times New Roman"/>
          <w:color w:val="auto"/>
          <w:kern w:val="2"/>
          <w:sz w:val="24"/>
          <w:szCs w:val="28"/>
          <w:highlight w:val="none"/>
          <w:lang w:val="en-US" w:eastAsia="zh-CN" w:bidi="ar-SA"/>
        </w:rPr>
        <w:t>南区污水处理厂范围包括东山副城部分区域，具体范围为：北至秣</w:t>
      </w:r>
      <w:sdt>
        <w:sdtPr>
          <w:rPr>
            <w:color w:val="auto"/>
            <w:highlight w:val="none"/>
          </w:rPr>
          <w:alias w:val="敏感词检查"/>
          <w:tag w:val="auto"/>
          <w:id w:val="133111"/>
        </w:sdtPr>
        <w:sdtEndPr>
          <w:rPr>
            <w:color w:val="auto"/>
            <w:highlight w:val="none"/>
          </w:rPr>
        </w:sdtEndPr>
        <w:sdtContent>
          <w:bookmarkStart w:id="1783" w:name="bkPolitics133111"/>
          <w:r>
            <w:rPr>
              <w:rFonts w:hint="eastAsia" w:ascii="Times New Roman" w:hAnsi="Times New Roman" w:eastAsia="宋体" w:cs="Times New Roman"/>
              <w:color w:val="auto"/>
              <w:kern w:val="2"/>
              <w:sz w:val="24"/>
              <w:szCs w:val="28"/>
              <w:highlight w:val="none"/>
              <w:lang w:val="en-US" w:eastAsia="zh-CN" w:bidi="ar-SA"/>
            </w:rPr>
            <w:t>周路</w:t>
          </w:r>
          <w:bookmarkEnd w:id="1783"/>
        </w:sdtContent>
      </w:sdt>
      <w:r>
        <w:rPr>
          <w:rFonts w:hint="eastAsia" w:ascii="Times New Roman" w:hAnsi="Times New Roman" w:eastAsia="宋体" w:cs="Times New Roman"/>
          <w:color w:val="auto"/>
          <w:kern w:val="2"/>
          <w:sz w:val="24"/>
          <w:szCs w:val="28"/>
          <w:highlight w:val="none"/>
          <w:lang w:val="en-US" w:eastAsia="zh-CN" w:bidi="ar-SA"/>
        </w:rPr>
        <w:t>→宁丹路→绕越高速→吉印大道→将军大道→阳山河，南至秣陵四横沟；东至秦淮河；西至吉山→将军大道，服务面积约11.51km</w:t>
      </w:r>
      <w:r>
        <w:rPr>
          <w:rFonts w:hint="eastAsia" w:ascii="Times New Roman" w:hAnsi="Times New Roman" w:eastAsia="宋体" w:cs="Times New Roman"/>
          <w:color w:val="auto"/>
          <w:kern w:val="2"/>
          <w:sz w:val="24"/>
          <w:szCs w:val="28"/>
          <w:highlight w:val="none"/>
          <w:vertAlign w:val="superscript"/>
          <w:lang w:val="en-US" w:eastAsia="zh-CN" w:bidi="ar-SA"/>
        </w:rPr>
        <w:t>2</w:t>
      </w:r>
      <w:r>
        <w:rPr>
          <w:rFonts w:hint="eastAsia" w:ascii="Times New Roman" w:hAnsi="Times New Roman" w:eastAsia="宋体" w:cs="Times New Roman"/>
          <w:color w:val="auto"/>
          <w:kern w:val="2"/>
          <w:sz w:val="24"/>
          <w:szCs w:val="28"/>
          <w:highlight w:val="none"/>
          <w:lang w:val="en-US" w:eastAsia="zh-CN" w:bidi="ar-SA"/>
        </w:rPr>
        <w:t>，</w:t>
      </w:r>
      <w:r>
        <w:rPr>
          <w:rFonts w:hint="default" w:ascii="Times New Roman" w:hAnsi="Times New Roman" w:eastAsia="宋体" w:cs="Times New Roman"/>
          <w:color w:val="auto"/>
          <w:kern w:val="2"/>
          <w:sz w:val="24"/>
          <w:szCs w:val="28"/>
          <w:highlight w:val="none"/>
          <w:lang w:val="en-US" w:eastAsia="zh-CN" w:bidi="ar-SA"/>
        </w:rPr>
        <w:t>该范围内生活污水和</w:t>
      </w:r>
      <w:r>
        <w:rPr>
          <w:rFonts w:hint="eastAsia" w:ascii="Times New Roman" w:hAnsi="Times New Roman" w:eastAsia="宋体" w:cs="Times New Roman"/>
          <w:color w:val="auto"/>
          <w:kern w:val="2"/>
          <w:sz w:val="24"/>
          <w:szCs w:val="28"/>
          <w:highlight w:val="none"/>
          <w:lang w:val="en-US" w:eastAsia="zh-CN" w:bidi="ar-SA"/>
        </w:rPr>
        <w:t>少量</w:t>
      </w:r>
      <w:r>
        <w:rPr>
          <w:rFonts w:hint="default" w:ascii="Times New Roman" w:hAnsi="Times New Roman" w:eastAsia="宋体" w:cs="Times New Roman"/>
          <w:color w:val="auto"/>
          <w:kern w:val="2"/>
          <w:sz w:val="24"/>
          <w:szCs w:val="28"/>
          <w:highlight w:val="none"/>
          <w:lang w:val="en-US" w:eastAsia="zh-CN" w:bidi="ar-SA"/>
        </w:rPr>
        <w:t>工业废水通过外部收集管道集中收集后排入该污水处理厂</w:t>
      </w:r>
      <w:r>
        <w:rPr>
          <w:rFonts w:hint="default" w:ascii="Times New Roman" w:hAnsi="Times New Roman" w:eastAsia="宋体" w:cs="Times New Roman"/>
          <w:color w:val="auto"/>
          <w:spacing w:val="-9"/>
          <w:sz w:val="24"/>
          <w:szCs w:val="24"/>
          <w:highlight w:val="none"/>
        </w:rPr>
        <w:t>。污水处理厂尾水执行《城镇污水处理厂污染物排放标准》</w:t>
      </w:r>
      <w:r>
        <w:rPr>
          <w:rFonts w:hint="eastAsia" w:ascii="Times New Roman" w:hAnsi="Times New Roman" w:eastAsia="宋体" w:cs="Times New Roman"/>
          <w:color w:val="auto"/>
          <w:spacing w:val="-9"/>
          <w:sz w:val="24"/>
          <w:szCs w:val="24"/>
          <w:highlight w:val="none"/>
          <w:lang w:eastAsia="zh-CN"/>
        </w:rPr>
        <w:t>（</w:t>
      </w:r>
      <w:r>
        <w:rPr>
          <w:rFonts w:hint="default" w:ascii="Times New Roman" w:hAnsi="Times New Roman" w:eastAsia="宋体" w:cs="Times New Roman"/>
          <w:color w:val="auto"/>
          <w:kern w:val="2"/>
          <w:sz w:val="24"/>
          <w:szCs w:val="28"/>
          <w:highlight w:val="none"/>
          <w:lang w:val="en-US" w:eastAsia="zh-CN" w:bidi="ar-SA"/>
        </w:rPr>
        <w:t>GB18918-2002</w:t>
      </w:r>
      <w:r>
        <w:rPr>
          <w:rFonts w:hint="eastAsia" w:ascii="Times New Roman" w:hAnsi="Times New Roman" w:eastAsia="宋体" w:cs="Times New Roman"/>
          <w:color w:val="auto"/>
          <w:kern w:val="2"/>
          <w:sz w:val="24"/>
          <w:szCs w:val="28"/>
          <w:highlight w:val="none"/>
          <w:lang w:val="en-US" w:eastAsia="zh-CN" w:bidi="ar-SA"/>
        </w:rPr>
        <w:t>）</w:t>
      </w:r>
      <w:r>
        <w:rPr>
          <w:rFonts w:hint="default" w:ascii="Times New Roman" w:hAnsi="Times New Roman" w:eastAsia="宋体" w:cs="Times New Roman"/>
          <w:color w:val="auto"/>
          <w:kern w:val="2"/>
          <w:sz w:val="24"/>
          <w:szCs w:val="28"/>
          <w:highlight w:val="none"/>
          <w:lang w:val="en-US" w:eastAsia="zh-CN" w:bidi="ar-SA"/>
        </w:rPr>
        <w:t>一级A标准后，尾水排入云台山河。</w:t>
      </w:r>
    </w:p>
    <w:p w14:paraId="5B794D2A">
      <w:pPr>
        <w:keepNext w:val="0"/>
        <w:keepLines w:val="0"/>
        <w:pageBreakBefore w:val="0"/>
        <w:widowControl/>
        <w:kinsoku/>
        <w:wordWrap/>
        <w:overflowPunct/>
        <w:topLinePunct w:val="0"/>
        <w:autoSpaceDE w:val="0"/>
        <w:autoSpaceDN w:val="0"/>
        <w:bidi w:val="0"/>
        <w:adjustRightInd w:val="0"/>
        <w:snapToGrid w:val="0"/>
        <w:spacing w:before="33" w:line="360" w:lineRule="auto"/>
        <w:ind w:firstLine="480" w:firstLineChars="200"/>
        <w:textAlignment w:val="baseline"/>
        <w:rPr>
          <w:rFonts w:hint="default" w:ascii="Times New Roman" w:hAnsi="Times New Roman" w:eastAsia="宋体" w:cs="Times New Roman"/>
          <w:color w:val="auto"/>
          <w:kern w:val="2"/>
          <w:sz w:val="24"/>
          <w:szCs w:val="28"/>
          <w:highlight w:val="none"/>
          <w:lang w:val="en-US" w:eastAsia="zh-CN" w:bidi="ar-SA"/>
        </w:rPr>
      </w:pPr>
      <w:r>
        <w:rPr>
          <w:rFonts w:hint="default" w:ascii="Times New Roman" w:hAnsi="Times New Roman" w:eastAsia="宋体" w:cs="Times New Roman"/>
          <w:color w:val="auto"/>
          <w:kern w:val="2"/>
          <w:sz w:val="24"/>
          <w:szCs w:val="28"/>
          <w:highlight w:val="none"/>
          <w:lang w:val="en-US" w:eastAsia="zh-CN" w:bidi="ar-SA"/>
        </w:rPr>
        <w:t>2013年南京市江宁开发区南区污水处理厂编制完成《</w:t>
      </w:r>
      <w:r>
        <w:rPr>
          <w:rFonts w:hint="eastAsia" w:ascii="Times New Roman" w:hAnsi="Times New Roman" w:eastAsia="宋体" w:cs="Times New Roman"/>
          <w:color w:val="auto"/>
          <w:kern w:val="2"/>
          <w:sz w:val="24"/>
          <w:szCs w:val="28"/>
          <w:highlight w:val="none"/>
          <w:lang w:val="en-US" w:eastAsia="zh-CN" w:bidi="ar-SA"/>
        </w:rPr>
        <w:t>南京市江宁区南区污水处理厂项目环</w:t>
      </w:r>
      <w:r>
        <w:rPr>
          <w:rFonts w:hint="default" w:ascii="Times New Roman" w:hAnsi="Times New Roman" w:eastAsia="宋体" w:cs="Times New Roman"/>
          <w:color w:val="auto"/>
          <w:kern w:val="2"/>
          <w:sz w:val="24"/>
          <w:szCs w:val="28"/>
          <w:highlight w:val="none"/>
          <w:lang w:val="en-US" w:eastAsia="zh-CN" w:bidi="ar-SA"/>
        </w:rPr>
        <w:t>境影响报告书》，2013年</w:t>
      </w:r>
      <w:r>
        <w:rPr>
          <w:rFonts w:hint="eastAsia" w:ascii="Times New Roman" w:hAnsi="Times New Roman" w:eastAsia="宋体" w:cs="Times New Roman"/>
          <w:color w:val="auto"/>
          <w:kern w:val="2"/>
          <w:sz w:val="24"/>
          <w:szCs w:val="28"/>
          <w:highlight w:val="none"/>
          <w:lang w:val="en-US" w:eastAsia="zh-CN" w:bidi="ar-SA"/>
        </w:rPr>
        <w:t>9</w:t>
      </w:r>
      <w:r>
        <w:rPr>
          <w:rFonts w:hint="default" w:ascii="Times New Roman" w:hAnsi="Times New Roman" w:eastAsia="宋体" w:cs="Times New Roman"/>
          <w:color w:val="auto"/>
          <w:kern w:val="2"/>
          <w:sz w:val="24"/>
          <w:szCs w:val="28"/>
          <w:highlight w:val="none"/>
          <w:lang w:val="en-US" w:eastAsia="zh-CN" w:bidi="ar-SA"/>
        </w:rPr>
        <w:t>月江苏省环保厅（苏环审</w:t>
      </w:r>
      <w:r>
        <w:rPr>
          <w:rFonts w:hint="eastAsia" w:ascii="Times New Roman" w:hAnsi="Times New Roman" w:eastAsia="Times New Roman" w:cs="Times New Roman"/>
          <w:color w:val="auto"/>
          <w:sz w:val="24"/>
          <w:szCs w:val="24"/>
          <w:highlight w:val="none"/>
        </w:rPr>
        <w:t>〔20</w:t>
      </w:r>
      <w:r>
        <w:rPr>
          <w:rFonts w:hint="eastAsia" w:ascii="Times New Roman" w:hAnsi="Times New Roman" w:eastAsia="宋体" w:cs="Times New Roman"/>
          <w:color w:val="auto"/>
          <w:sz w:val="24"/>
          <w:szCs w:val="24"/>
          <w:highlight w:val="none"/>
          <w:lang w:val="en-US" w:eastAsia="zh-CN"/>
        </w:rPr>
        <w:t>13</w:t>
      </w:r>
      <w:r>
        <w:rPr>
          <w:rFonts w:hint="eastAsia" w:ascii="Times New Roman" w:hAnsi="Times New Roman" w:eastAsia="Times New Roman" w:cs="Times New Roman"/>
          <w:color w:val="auto"/>
          <w:sz w:val="24"/>
          <w:szCs w:val="24"/>
          <w:highlight w:val="none"/>
        </w:rPr>
        <w:t>〕</w:t>
      </w:r>
      <w:r>
        <w:rPr>
          <w:rFonts w:hint="default" w:ascii="Times New Roman" w:hAnsi="Times New Roman" w:eastAsia="宋体" w:cs="Times New Roman"/>
          <w:color w:val="auto"/>
          <w:kern w:val="2"/>
          <w:sz w:val="24"/>
          <w:szCs w:val="28"/>
          <w:highlight w:val="none"/>
          <w:lang w:val="en-US" w:eastAsia="zh-CN" w:bidi="ar-SA"/>
        </w:rPr>
        <w:t>178号）对该环评进行了批复</w:t>
      </w:r>
      <w:r>
        <w:rPr>
          <w:rFonts w:hint="eastAsia" w:ascii="Times New Roman" w:hAnsi="Times New Roman" w:eastAsia="宋体" w:cs="Times New Roman"/>
          <w:color w:val="auto"/>
          <w:kern w:val="2"/>
          <w:sz w:val="24"/>
          <w:szCs w:val="28"/>
          <w:highlight w:val="none"/>
          <w:lang w:val="en-US" w:eastAsia="zh-CN" w:bidi="ar-SA"/>
        </w:rPr>
        <w:t>。一期项目包含</w:t>
      </w:r>
      <w:r>
        <w:rPr>
          <w:rFonts w:hint="default" w:ascii="Times New Roman" w:hAnsi="Times New Roman" w:eastAsia="宋体" w:cs="Times New Roman"/>
          <w:color w:val="auto"/>
          <w:kern w:val="2"/>
          <w:sz w:val="24"/>
          <w:szCs w:val="28"/>
          <w:highlight w:val="none"/>
          <w:lang w:val="en-US" w:eastAsia="zh-CN" w:bidi="ar-SA"/>
        </w:rPr>
        <w:t>6万m</w:t>
      </w:r>
      <w:r>
        <w:rPr>
          <w:rFonts w:hint="default" w:ascii="Times New Roman" w:hAnsi="Times New Roman" w:eastAsia="宋体" w:cs="Times New Roman"/>
          <w:color w:val="auto"/>
          <w:kern w:val="2"/>
          <w:sz w:val="24"/>
          <w:szCs w:val="28"/>
          <w:highlight w:val="none"/>
          <w:vertAlign w:val="superscript"/>
          <w:lang w:val="en-US" w:eastAsia="zh-CN" w:bidi="ar-SA"/>
        </w:rPr>
        <w:t>3</w:t>
      </w:r>
      <w:r>
        <w:rPr>
          <w:rFonts w:hint="default" w:ascii="Times New Roman" w:hAnsi="Times New Roman" w:eastAsia="宋体" w:cs="Times New Roman"/>
          <w:color w:val="auto"/>
          <w:kern w:val="2"/>
          <w:sz w:val="24"/>
          <w:szCs w:val="28"/>
          <w:highlight w:val="none"/>
          <w:lang w:val="en-US" w:eastAsia="zh-CN" w:bidi="ar-SA"/>
        </w:rPr>
        <w:t>/d</w:t>
      </w:r>
      <w:r>
        <w:rPr>
          <w:rFonts w:hint="eastAsia" w:ascii="Times New Roman" w:hAnsi="Times New Roman" w:eastAsia="宋体" w:cs="Times New Roman"/>
          <w:color w:val="auto"/>
          <w:kern w:val="2"/>
          <w:sz w:val="24"/>
          <w:szCs w:val="28"/>
          <w:highlight w:val="none"/>
          <w:lang w:val="en-US" w:eastAsia="zh-CN" w:bidi="ar-SA"/>
        </w:rPr>
        <w:t>污水处理工程和1.5</w:t>
      </w:r>
      <w:r>
        <w:rPr>
          <w:rFonts w:hint="default" w:ascii="Times New Roman" w:hAnsi="Times New Roman" w:eastAsia="宋体" w:cs="Times New Roman"/>
          <w:color w:val="auto"/>
          <w:kern w:val="2"/>
          <w:sz w:val="24"/>
          <w:szCs w:val="28"/>
          <w:highlight w:val="none"/>
          <w:lang w:val="en-US" w:eastAsia="zh-CN" w:bidi="ar-SA"/>
        </w:rPr>
        <w:t>万m</w:t>
      </w:r>
      <w:r>
        <w:rPr>
          <w:rFonts w:hint="default" w:ascii="Times New Roman" w:hAnsi="Times New Roman" w:eastAsia="宋体" w:cs="Times New Roman"/>
          <w:color w:val="auto"/>
          <w:kern w:val="2"/>
          <w:sz w:val="24"/>
          <w:szCs w:val="28"/>
          <w:highlight w:val="none"/>
          <w:vertAlign w:val="superscript"/>
          <w:lang w:val="en-US" w:eastAsia="zh-CN" w:bidi="ar-SA"/>
        </w:rPr>
        <w:t>3</w:t>
      </w:r>
      <w:r>
        <w:rPr>
          <w:rFonts w:hint="default" w:ascii="Times New Roman" w:hAnsi="Times New Roman" w:eastAsia="宋体" w:cs="Times New Roman"/>
          <w:color w:val="auto"/>
          <w:kern w:val="2"/>
          <w:sz w:val="24"/>
          <w:szCs w:val="28"/>
          <w:highlight w:val="none"/>
          <w:lang w:val="en-US" w:eastAsia="zh-CN" w:bidi="ar-SA"/>
        </w:rPr>
        <w:t>/d</w:t>
      </w:r>
      <w:r>
        <w:rPr>
          <w:rFonts w:hint="eastAsia" w:ascii="Times New Roman" w:hAnsi="Times New Roman" w:eastAsia="宋体" w:cs="Times New Roman"/>
          <w:color w:val="auto"/>
          <w:kern w:val="2"/>
          <w:sz w:val="24"/>
          <w:szCs w:val="28"/>
          <w:highlight w:val="none"/>
          <w:lang w:val="en-US" w:eastAsia="zh-CN" w:bidi="ar-SA"/>
        </w:rPr>
        <w:t>中水回用工程，实际建设过程，建设单位对项目进行了分期建设，其中的一阶段工程（</w:t>
      </w:r>
      <w:r>
        <w:rPr>
          <w:rFonts w:hint="default" w:ascii="Times New Roman" w:hAnsi="Times New Roman" w:eastAsia="宋体" w:cs="Times New Roman"/>
          <w:color w:val="auto"/>
          <w:kern w:val="2"/>
          <w:sz w:val="24"/>
          <w:szCs w:val="28"/>
          <w:highlight w:val="none"/>
          <w:lang w:val="en-US" w:eastAsia="zh-CN" w:bidi="ar-SA"/>
        </w:rPr>
        <w:t>6万m</w:t>
      </w:r>
      <w:r>
        <w:rPr>
          <w:rFonts w:hint="default" w:ascii="Times New Roman" w:hAnsi="Times New Roman" w:eastAsia="宋体" w:cs="Times New Roman"/>
          <w:color w:val="auto"/>
          <w:kern w:val="2"/>
          <w:sz w:val="24"/>
          <w:szCs w:val="28"/>
          <w:highlight w:val="none"/>
          <w:vertAlign w:val="superscript"/>
          <w:lang w:val="en-US" w:eastAsia="zh-CN" w:bidi="ar-SA"/>
        </w:rPr>
        <w:t>3</w:t>
      </w:r>
      <w:r>
        <w:rPr>
          <w:rFonts w:hint="default" w:ascii="Times New Roman" w:hAnsi="Times New Roman" w:eastAsia="宋体" w:cs="Times New Roman"/>
          <w:color w:val="auto"/>
          <w:kern w:val="2"/>
          <w:sz w:val="24"/>
          <w:szCs w:val="28"/>
          <w:highlight w:val="none"/>
          <w:lang w:val="en-US" w:eastAsia="zh-CN" w:bidi="ar-SA"/>
        </w:rPr>
        <w:t>/d</w:t>
      </w:r>
      <w:r>
        <w:rPr>
          <w:rFonts w:hint="eastAsia" w:ascii="Times New Roman" w:hAnsi="Times New Roman" w:eastAsia="宋体" w:cs="Times New Roman"/>
          <w:color w:val="auto"/>
          <w:kern w:val="2"/>
          <w:sz w:val="24"/>
          <w:szCs w:val="28"/>
          <w:highlight w:val="none"/>
          <w:lang w:val="en-US" w:eastAsia="zh-CN" w:bidi="ar-SA"/>
        </w:rPr>
        <w:t>污水处理工程）于</w:t>
      </w:r>
      <w:r>
        <w:rPr>
          <w:rFonts w:hint="default" w:ascii="Times New Roman" w:hAnsi="Times New Roman" w:eastAsia="宋体" w:cs="Times New Roman"/>
          <w:color w:val="auto"/>
          <w:kern w:val="2"/>
          <w:sz w:val="24"/>
          <w:szCs w:val="28"/>
          <w:highlight w:val="none"/>
          <w:lang w:val="en-US" w:eastAsia="zh-CN" w:bidi="ar-SA"/>
        </w:rPr>
        <w:t>2017年2月</w:t>
      </w:r>
      <w:r>
        <w:rPr>
          <w:rFonts w:hint="eastAsia" w:ascii="Times New Roman" w:hAnsi="Times New Roman" w:eastAsia="宋体" w:cs="Times New Roman"/>
          <w:color w:val="auto"/>
          <w:kern w:val="2"/>
          <w:sz w:val="24"/>
          <w:szCs w:val="28"/>
          <w:highlight w:val="none"/>
          <w:lang w:val="en-US" w:eastAsia="zh-CN" w:bidi="ar-SA"/>
        </w:rPr>
        <w:t>通过</w:t>
      </w:r>
      <w:r>
        <w:rPr>
          <w:rFonts w:hint="default" w:ascii="Times New Roman" w:hAnsi="Times New Roman" w:eastAsia="宋体" w:cs="Times New Roman"/>
          <w:color w:val="auto"/>
          <w:kern w:val="2"/>
          <w:sz w:val="24"/>
          <w:szCs w:val="28"/>
          <w:highlight w:val="none"/>
          <w:lang w:val="en-US" w:eastAsia="zh-CN" w:bidi="ar-SA"/>
        </w:rPr>
        <w:t>江宁区环保局（江宁环函字</w:t>
      </w:r>
      <w:r>
        <w:rPr>
          <w:rFonts w:hint="eastAsia" w:ascii="Times New Roman" w:hAnsi="Times New Roman" w:eastAsia="Times New Roman" w:cs="Times New Roman"/>
          <w:color w:val="auto"/>
          <w:sz w:val="24"/>
          <w:szCs w:val="24"/>
          <w:highlight w:val="none"/>
        </w:rPr>
        <w:t>〔20</w:t>
      </w:r>
      <w:r>
        <w:rPr>
          <w:rFonts w:hint="eastAsia" w:ascii="Times New Roman" w:hAnsi="Times New Roman" w:eastAsia="宋体" w:cs="Times New Roman"/>
          <w:color w:val="auto"/>
          <w:sz w:val="24"/>
          <w:szCs w:val="24"/>
          <w:highlight w:val="none"/>
          <w:lang w:val="en-US" w:eastAsia="zh-CN"/>
        </w:rPr>
        <w:t>17</w:t>
      </w:r>
      <w:r>
        <w:rPr>
          <w:rFonts w:hint="eastAsia" w:ascii="Times New Roman" w:hAnsi="Times New Roman" w:eastAsia="Times New Roman" w:cs="Times New Roman"/>
          <w:color w:val="auto"/>
          <w:sz w:val="24"/>
          <w:szCs w:val="24"/>
          <w:highlight w:val="none"/>
        </w:rPr>
        <w:t>〕</w:t>
      </w:r>
      <w:r>
        <w:rPr>
          <w:rFonts w:hint="default" w:ascii="Times New Roman" w:hAnsi="Times New Roman" w:eastAsia="宋体" w:cs="Times New Roman"/>
          <w:color w:val="auto"/>
          <w:kern w:val="2"/>
          <w:sz w:val="24"/>
          <w:szCs w:val="28"/>
          <w:highlight w:val="none"/>
          <w:lang w:val="en-US" w:eastAsia="zh-CN" w:bidi="ar-SA"/>
        </w:rPr>
        <w:t>K005号）初步环保验收，2019年</w:t>
      </w:r>
      <w:r>
        <w:rPr>
          <w:rFonts w:hint="eastAsia" w:ascii="Times New Roman" w:hAnsi="Times New Roman" w:eastAsia="宋体" w:cs="Times New Roman"/>
          <w:color w:val="auto"/>
          <w:kern w:val="2"/>
          <w:sz w:val="24"/>
          <w:szCs w:val="28"/>
          <w:highlight w:val="none"/>
          <w:lang w:val="en-US" w:eastAsia="zh-CN" w:bidi="ar-SA"/>
        </w:rPr>
        <w:t>5</w:t>
      </w:r>
      <w:r>
        <w:rPr>
          <w:rFonts w:hint="default" w:ascii="Times New Roman" w:hAnsi="Times New Roman" w:eastAsia="宋体" w:cs="Times New Roman"/>
          <w:color w:val="auto"/>
          <w:kern w:val="2"/>
          <w:sz w:val="24"/>
          <w:szCs w:val="28"/>
          <w:highlight w:val="none"/>
          <w:lang w:val="en-US" w:eastAsia="zh-CN" w:bidi="ar-SA"/>
        </w:rPr>
        <w:t>月</w:t>
      </w:r>
      <w:r>
        <w:rPr>
          <w:rFonts w:hint="eastAsia" w:ascii="Times New Roman" w:hAnsi="Times New Roman" w:eastAsia="宋体" w:cs="Times New Roman"/>
          <w:color w:val="auto"/>
          <w:kern w:val="2"/>
          <w:sz w:val="24"/>
          <w:szCs w:val="28"/>
          <w:highlight w:val="none"/>
          <w:lang w:val="en-US" w:eastAsia="zh-CN" w:bidi="ar-SA"/>
        </w:rPr>
        <w:t>通过竣工环境保护验收，</w:t>
      </w:r>
      <w:r>
        <w:rPr>
          <w:rFonts w:hint="default" w:ascii="Times New Roman" w:hAnsi="Times New Roman" w:eastAsia="宋体" w:cs="Times New Roman"/>
          <w:color w:val="auto"/>
          <w:kern w:val="2"/>
          <w:sz w:val="24"/>
          <w:szCs w:val="28"/>
          <w:highlight w:val="none"/>
          <w:lang w:val="en-US" w:eastAsia="zh-CN" w:bidi="ar-SA"/>
        </w:rPr>
        <w:t>固体废物污染防治设施通过南京市生态环境局验收</w:t>
      </w:r>
      <w:r>
        <w:rPr>
          <w:rFonts w:hint="eastAsia" w:ascii="Times New Roman" w:hAnsi="Times New Roman" w:eastAsia="宋体" w:cs="Times New Roman"/>
          <w:color w:val="auto"/>
          <w:kern w:val="2"/>
          <w:sz w:val="24"/>
          <w:szCs w:val="28"/>
          <w:highlight w:val="none"/>
          <w:lang w:val="en-US" w:eastAsia="zh-CN" w:bidi="ar-SA"/>
        </w:rPr>
        <w:t>（</w:t>
      </w:r>
      <w:r>
        <w:rPr>
          <w:rFonts w:hint="default" w:ascii="Times New Roman" w:hAnsi="Times New Roman" w:eastAsia="宋体" w:cs="Times New Roman"/>
          <w:color w:val="auto"/>
          <w:kern w:val="2"/>
          <w:sz w:val="24"/>
          <w:szCs w:val="28"/>
          <w:highlight w:val="none"/>
          <w:lang w:val="en-US" w:eastAsia="zh-CN" w:bidi="ar-SA"/>
        </w:rPr>
        <w:t>苏委环验</w:t>
      </w:r>
      <w:r>
        <w:rPr>
          <w:rFonts w:hint="eastAsia" w:ascii="Times New Roman" w:hAnsi="Times New Roman" w:eastAsia="Times New Roman" w:cs="Times New Roman"/>
          <w:color w:val="auto"/>
          <w:sz w:val="24"/>
          <w:szCs w:val="24"/>
          <w:highlight w:val="none"/>
        </w:rPr>
        <w:t>〔20</w:t>
      </w:r>
      <w:r>
        <w:rPr>
          <w:rFonts w:hint="eastAsia" w:ascii="Times New Roman" w:hAnsi="Times New Roman" w:eastAsia="宋体" w:cs="Times New Roman"/>
          <w:color w:val="auto"/>
          <w:sz w:val="24"/>
          <w:szCs w:val="24"/>
          <w:highlight w:val="none"/>
          <w:lang w:val="en-US" w:eastAsia="zh-CN"/>
        </w:rPr>
        <w:t>19</w:t>
      </w:r>
      <w:r>
        <w:rPr>
          <w:rFonts w:hint="eastAsia" w:ascii="Times New Roman" w:hAnsi="Times New Roman" w:eastAsia="Times New Roman" w:cs="Times New Roman"/>
          <w:color w:val="auto"/>
          <w:sz w:val="24"/>
          <w:szCs w:val="24"/>
          <w:highlight w:val="none"/>
        </w:rPr>
        <w:t>〕</w:t>
      </w:r>
      <w:r>
        <w:rPr>
          <w:rFonts w:hint="default" w:ascii="Times New Roman" w:hAnsi="Times New Roman" w:eastAsia="宋体" w:cs="Times New Roman"/>
          <w:color w:val="auto"/>
          <w:kern w:val="2"/>
          <w:sz w:val="24"/>
          <w:szCs w:val="28"/>
          <w:highlight w:val="none"/>
          <w:lang w:val="en-US" w:eastAsia="zh-CN" w:bidi="ar-SA"/>
        </w:rPr>
        <w:t>1号</w:t>
      </w:r>
      <w:r>
        <w:rPr>
          <w:rFonts w:hint="eastAsia" w:ascii="Times New Roman" w:hAnsi="Times New Roman" w:eastAsia="宋体" w:cs="Times New Roman"/>
          <w:color w:val="auto"/>
          <w:kern w:val="2"/>
          <w:sz w:val="24"/>
          <w:szCs w:val="28"/>
          <w:highlight w:val="none"/>
          <w:lang w:val="en-US" w:eastAsia="zh-CN" w:bidi="ar-SA"/>
        </w:rPr>
        <w:t>），由于一期二阶段工程（1.5</w:t>
      </w:r>
      <w:r>
        <w:rPr>
          <w:rFonts w:hint="default" w:ascii="Times New Roman" w:hAnsi="Times New Roman" w:eastAsia="宋体" w:cs="Times New Roman"/>
          <w:color w:val="auto"/>
          <w:kern w:val="2"/>
          <w:sz w:val="24"/>
          <w:szCs w:val="28"/>
          <w:highlight w:val="none"/>
          <w:lang w:val="en-US" w:eastAsia="zh-CN" w:bidi="ar-SA"/>
        </w:rPr>
        <w:t>万m</w:t>
      </w:r>
      <w:r>
        <w:rPr>
          <w:rFonts w:hint="default" w:ascii="Times New Roman" w:hAnsi="Times New Roman" w:eastAsia="宋体" w:cs="Times New Roman"/>
          <w:color w:val="auto"/>
          <w:kern w:val="2"/>
          <w:sz w:val="24"/>
          <w:szCs w:val="28"/>
          <w:highlight w:val="none"/>
          <w:vertAlign w:val="superscript"/>
          <w:lang w:val="en-US" w:eastAsia="zh-CN" w:bidi="ar-SA"/>
        </w:rPr>
        <w:t>3</w:t>
      </w:r>
      <w:r>
        <w:rPr>
          <w:rFonts w:hint="default" w:ascii="Times New Roman" w:hAnsi="Times New Roman" w:eastAsia="宋体" w:cs="Times New Roman"/>
          <w:color w:val="auto"/>
          <w:kern w:val="2"/>
          <w:sz w:val="24"/>
          <w:szCs w:val="28"/>
          <w:highlight w:val="none"/>
          <w:lang w:val="en-US" w:eastAsia="zh-CN" w:bidi="ar-SA"/>
        </w:rPr>
        <w:t>/d</w:t>
      </w:r>
      <w:r>
        <w:rPr>
          <w:rFonts w:hint="eastAsia" w:ascii="Times New Roman" w:hAnsi="Times New Roman" w:eastAsia="宋体" w:cs="Times New Roman"/>
          <w:color w:val="auto"/>
          <w:kern w:val="2"/>
          <w:sz w:val="24"/>
          <w:szCs w:val="28"/>
          <w:highlight w:val="none"/>
          <w:lang w:val="en-US" w:eastAsia="zh-CN" w:bidi="ar-SA"/>
        </w:rPr>
        <w:t>中水回用工程）与二期项目1.0</w:t>
      </w:r>
      <w:r>
        <w:rPr>
          <w:rFonts w:hint="default" w:ascii="Times New Roman" w:hAnsi="Times New Roman" w:eastAsia="宋体" w:cs="Times New Roman"/>
          <w:color w:val="auto"/>
          <w:kern w:val="2"/>
          <w:sz w:val="24"/>
          <w:szCs w:val="28"/>
          <w:highlight w:val="none"/>
          <w:lang w:val="en-US" w:eastAsia="zh-CN" w:bidi="ar-SA"/>
        </w:rPr>
        <w:t>万m</w:t>
      </w:r>
      <w:r>
        <w:rPr>
          <w:rFonts w:hint="default" w:ascii="Times New Roman" w:hAnsi="Times New Roman" w:eastAsia="宋体" w:cs="Times New Roman"/>
          <w:color w:val="auto"/>
          <w:kern w:val="2"/>
          <w:sz w:val="24"/>
          <w:szCs w:val="28"/>
          <w:highlight w:val="none"/>
          <w:vertAlign w:val="superscript"/>
          <w:lang w:val="en-US" w:eastAsia="zh-CN" w:bidi="ar-SA"/>
        </w:rPr>
        <w:t>3</w:t>
      </w:r>
      <w:r>
        <w:rPr>
          <w:rFonts w:hint="default" w:ascii="Times New Roman" w:hAnsi="Times New Roman" w:eastAsia="宋体" w:cs="Times New Roman"/>
          <w:color w:val="auto"/>
          <w:kern w:val="2"/>
          <w:sz w:val="24"/>
          <w:szCs w:val="28"/>
          <w:highlight w:val="none"/>
          <w:lang w:val="en-US" w:eastAsia="zh-CN" w:bidi="ar-SA"/>
        </w:rPr>
        <w:t>/d</w:t>
      </w:r>
      <w:r>
        <w:rPr>
          <w:rFonts w:hint="eastAsia" w:ascii="Times New Roman" w:hAnsi="Times New Roman" w:eastAsia="宋体" w:cs="Times New Roman"/>
          <w:color w:val="auto"/>
          <w:kern w:val="2"/>
          <w:sz w:val="24"/>
          <w:szCs w:val="28"/>
          <w:highlight w:val="none"/>
          <w:lang w:val="en-US" w:eastAsia="zh-CN" w:bidi="ar-SA"/>
        </w:rPr>
        <w:t>中水回用工程设备相互依托使用，故一期二阶段工程纳入二期项目进行验收，二期项目已于2020年10月26日通过竣工环境保护验收。</w:t>
      </w:r>
    </w:p>
    <w:p w14:paraId="1C709A37">
      <w:pPr>
        <w:keepNext w:val="0"/>
        <w:keepLines w:val="0"/>
        <w:pageBreakBefore w:val="0"/>
        <w:widowControl/>
        <w:kinsoku/>
        <w:wordWrap/>
        <w:overflowPunct/>
        <w:topLinePunct w:val="0"/>
        <w:autoSpaceDE w:val="0"/>
        <w:autoSpaceDN w:val="0"/>
        <w:bidi w:val="0"/>
        <w:adjustRightInd w:val="0"/>
        <w:snapToGrid w:val="0"/>
        <w:spacing w:before="33" w:line="360" w:lineRule="auto"/>
        <w:ind w:firstLine="480" w:firstLineChars="200"/>
        <w:textAlignment w:val="baseline"/>
        <w:rPr>
          <w:rFonts w:hint="default" w:ascii="Times New Roman" w:hAnsi="Times New Roman" w:eastAsia="宋体" w:cs="Times New Roman"/>
          <w:color w:val="auto"/>
          <w:kern w:val="2"/>
          <w:sz w:val="24"/>
          <w:szCs w:val="28"/>
          <w:highlight w:val="none"/>
          <w:lang w:val="en-US" w:eastAsia="zh-CN" w:bidi="ar-SA"/>
        </w:rPr>
      </w:pPr>
      <w:r>
        <w:rPr>
          <w:rFonts w:hint="default" w:ascii="Times New Roman" w:hAnsi="Times New Roman" w:eastAsia="宋体" w:cs="Times New Roman"/>
          <w:color w:val="auto"/>
          <w:kern w:val="2"/>
          <w:sz w:val="24"/>
          <w:szCs w:val="28"/>
          <w:highlight w:val="none"/>
          <w:lang w:val="en-US" w:eastAsia="zh-CN" w:bidi="ar-SA"/>
        </w:rPr>
        <w:t>二期项目处理规模为4万m</w:t>
      </w:r>
      <w:r>
        <w:rPr>
          <w:rFonts w:hint="default" w:ascii="Times New Roman" w:hAnsi="Times New Roman" w:eastAsia="宋体" w:cs="Times New Roman"/>
          <w:color w:val="auto"/>
          <w:kern w:val="2"/>
          <w:sz w:val="24"/>
          <w:szCs w:val="28"/>
          <w:highlight w:val="none"/>
          <w:vertAlign w:val="superscript"/>
          <w:lang w:val="en-US" w:eastAsia="zh-CN" w:bidi="ar-SA"/>
        </w:rPr>
        <w:t>3</w:t>
      </w:r>
      <w:r>
        <w:rPr>
          <w:rFonts w:hint="default" w:ascii="Times New Roman" w:hAnsi="Times New Roman" w:eastAsia="宋体" w:cs="Times New Roman"/>
          <w:color w:val="auto"/>
          <w:kern w:val="2"/>
          <w:sz w:val="24"/>
          <w:szCs w:val="28"/>
          <w:highlight w:val="none"/>
          <w:lang w:val="en-US" w:eastAsia="zh-CN" w:bidi="ar-SA"/>
        </w:rPr>
        <w:t>/d，处理工艺采用改良A</w:t>
      </w:r>
      <w:r>
        <w:rPr>
          <w:rFonts w:hint="default" w:ascii="Times New Roman" w:hAnsi="Times New Roman" w:eastAsia="宋体" w:cs="Times New Roman"/>
          <w:color w:val="auto"/>
          <w:kern w:val="2"/>
          <w:sz w:val="24"/>
          <w:szCs w:val="28"/>
          <w:highlight w:val="none"/>
          <w:vertAlign w:val="superscript"/>
          <w:lang w:val="en-US" w:eastAsia="zh-CN" w:bidi="ar-SA"/>
        </w:rPr>
        <w:t>2</w:t>
      </w:r>
      <w:r>
        <w:rPr>
          <w:rFonts w:hint="default" w:ascii="Times New Roman" w:hAnsi="Times New Roman" w:eastAsia="宋体" w:cs="Times New Roman"/>
          <w:color w:val="auto"/>
          <w:kern w:val="2"/>
          <w:sz w:val="24"/>
          <w:szCs w:val="28"/>
          <w:highlight w:val="none"/>
          <w:lang w:val="en-US" w:eastAsia="zh-CN" w:bidi="ar-SA"/>
        </w:rPr>
        <w:t>/O生化池+反硝化滤池+次氯酸钠+紫外线消毒，2018年</w:t>
      </w:r>
      <w:r>
        <w:rPr>
          <w:rFonts w:hint="eastAsia" w:ascii="Times New Roman" w:hAnsi="Times New Roman" w:eastAsia="宋体" w:cs="Times New Roman"/>
          <w:color w:val="auto"/>
          <w:kern w:val="2"/>
          <w:sz w:val="24"/>
          <w:szCs w:val="28"/>
          <w:highlight w:val="none"/>
          <w:lang w:val="en-US" w:eastAsia="zh-CN" w:bidi="ar-SA"/>
        </w:rPr>
        <w:t>12</w:t>
      </w:r>
      <w:r>
        <w:rPr>
          <w:rFonts w:hint="default" w:ascii="Times New Roman" w:hAnsi="Times New Roman" w:eastAsia="宋体" w:cs="Times New Roman"/>
          <w:color w:val="auto"/>
          <w:kern w:val="2"/>
          <w:sz w:val="24"/>
          <w:szCs w:val="28"/>
          <w:highlight w:val="none"/>
          <w:lang w:val="en-US" w:eastAsia="zh-CN" w:bidi="ar-SA"/>
        </w:rPr>
        <w:t>月取得批复（江宁环建字</w:t>
      </w:r>
      <w:r>
        <w:rPr>
          <w:rFonts w:hint="eastAsia" w:ascii="Times New Roman" w:hAnsi="Times New Roman" w:eastAsia="宋体" w:cs="Times New Roman"/>
          <w:color w:val="auto"/>
          <w:kern w:val="2"/>
          <w:sz w:val="24"/>
          <w:szCs w:val="28"/>
          <w:highlight w:val="none"/>
          <w:lang w:val="en-US" w:eastAsia="zh-CN" w:bidi="ar-SA"/>
        </w:rPr>
        <w:t>〔2018〕10号</w:t>
      </w:r>
      <w:r>
        <w:rPr>
          <w:rFonts w:hint="default" w:ascii="Times New Roman" w:hAnsi="Times New Roman" w:eastAsia="宋体" w:cs="Times New Roman"/>
          <w:color w:val="auto"/>
          <w:kern w:val="2"/>
          <w:sz w:val="24"/>
          <w:szCs w:val="28"/>
          <w:highlight w:val="none"/>
          <w:lang w:val="en-US" w:eastAsia="zh-CN" w:bidi="ar-SA"/>
        </w:rPr>
        <w:t>）</w:t>
      </w:r>
      <w:r>
        <w:rPr>
          <w:rFonts w:hint="eastAsia" w:ascii="Times New Roman" w:hAnsi="Times New Roman" w:eastAsia="宋体" w:cs="Times New Roman"/>
          <w:color w:val="auto"/>
          <w:kern w:val="2"/>
          <w:sz w:val="24"/>
          <w:szCs w:val="28"/>
          <w:highlight w:val="none"/>
          <w:lang w:val="en-US" w:eastAsia="zh-CN" w:bidi="ar-SA"/>
        </w:rPr>
        <w:t>，并于2020年10月26日通过竣工环境保护验收。</w:t>
      </w:r>
    </w:p>
    <w:p w14:paraId="7F9EFEE8">
      <w:pPr>
        <w:keepNext w:val="0"/>
        <w:keepLines w:val="0"/>
        <w:pageBreakBefore w:val="0"/>
        <w:widowControl/>
        <w:kinsoku/>
        <w:wordWrap/>
        <w:overflowPunct/>
        <w:topLinePunct w:val="0"/>
        <w:autoSpaceDE w:val="0"/>
        <w:autoSpaceDN w:val="0"/>
        <w:bidi w:val="0"/>
        <w:adjustRightInd w:val="0"/>
        <w:snapToGrid w:val="0"/>
        <w:spacing w:before="33" w:line="360" w:lineRule="auto"/>
        <w:ind w:firstLine="480" w:firstLineChars="200"/>
        <w:textAlignment w:val="baseline"/>
        <w:rPr>
          <w:rFonts w:hint="eastAsia" w:ascii="Times New Roman" w:hAnsi="Times New Roman" w:eastAsia="宋体" w:cs="Times New Roman"/>
          <w:color w:val="auto"/>
          <w:kern w:val="2"/>
          <w:sz w:val="24"/>
          <w:szCs w:val="28"/>
          <w:highlight w:val="none"/>
          <w:lang w:val="en-US" w:eastAsia="zh-CN" w:bidi="ar-SA"/>
        </w:rPr>
      </w:pPr>
      <w:r>
        <w:rPr>
          <w:rFonts w:hint="default" w:ascii="Times New Roman" w:hAnsi="Times New Roman" w:eastAsia="宋体" w:cs="Times New Roman"/>
          <w:color w:val="auto"/>
          <w:kern w:val="2"/>
          <w:sz w:val="24"/>
          <w:szCs w:val="28"/>
          <w:highlight w:val="none"/>
          <w:lang w:val="en-US" w:eastAsia="zh-CN" w:bidi="ar-SA"/>
        </w:rPr>
        <w:t>2020年</w:t>
      </w:r>
      <w:r>
        <w:rPr>
          <w:rFonts w:hint="eastAsia" w:ascii="Times New Roman" w:hAnsi="Times New Roman" w:eastAsia="宋体" w:cs="Times New Roman"/>
          <w:color w:val="auto"/>
          <w:kern w:val="2"/>
          <w:sz w:val="24"/>
          <w:szCs w:val="28"/>
          <w:highlight w:val="none"/>
          <w:lang w:val="en-US" w:eastAsia="zh-CN" w:bidi="ar-SA"/>
        </w:rPr>
        <w:t>，</w:t>
      </w:r>
      <w:r>
        <w:rPr>
          <w:rFonts w:hint="default" w:ascii="Times New Roman" w:hAnsi="Times New Roman" w:eastAsia="宋体" w:cs="Times New Roman"/>
          <w:color w:val="auto"/>
          <w:kern w:val="2"/>
          <w:sz w:val="24"/>
          <w:szCs w:val="28"/>
          <w:highlight w:val="none"/>
          <w:lang w:val="en-US" w:eastAsia="zh-CN" w:bidi="ar-SA"/>
        </w:rPr>
        <w:t>南京市江宁开发区南区污水处理厂三期工程项目取得批复，新增规模5万m</w:t>
      </w:r>
      <w:r>
        <w:rPr>
          <w:rFonts w:hint="default" w:ascii="Times New Roman" w:hAnsi="Times New Roman" w:eastAsia="宋体" w:cs="Times New Roman"/>
          <w:color w:val="auto"/>
          <w:kern w:val="2"/>
          <w:sz w:val="24"/>
          <w:szCs w:val="28"/>
          <w:highlight w:val="none"/>
          <w:vertAlign w:val="superscript"/>
          <w:lang w:val="en-US" w:eastAsia="zh-CN" w:bidi="ar-SA"/>
        </w:rPr>
        <w:t>3</w:t>
      </w:r>
      <w:r>
        <w:rPr>
          <w:rFonts w:hint="default" w:ascii="Times New Roman" w:hAnsi="Times New Roman" w:eastAsia="宋体" w:cs="Times New Roman"/>
          <w:color w:val="auto"/>
          <w:kern w:val="2"/>
          <w:sz w:val="24"/>
          <w:szCs w:val="28"/>
          <w:highlight w:val="none"/>
          <w:lang w:val="en-US" w:eastAsia="zh-CN" w:bidi="ar-SA"/>
        </w:rPr>
        <w:t>/d，尾水主要因子达地表准Ⅳ类水水质标准，TN执行《城镇污水处理厂污染物排放标准》</w:t>
      </w:r>
      <w:r>
        <w:rPr>
          <w:rFonts w:hint="eastAsia" w:ascii="Times New Roman" w:hAnsi="Times New Roman" w:eastAsia="宋体" w:cs="Times New Roman"/>
          <w:color w:val="auto"/>
          <w:kern w:val="2"/>
          <w:sz w:val="24"/>
          <w:szCs w:val="28"/>
          <w:highlight w:val="none"/>
          <w:lang w:val="en-US" w:eastAsia="zh-CN" w:bidi="ar-SA"/>
        </w:rPr>
        <w:t>（</w:t>
      </w:r>
      <w:r>
        <w:rPr>
          <w:rFonts w:hint="default" w:ascii="Times New Roman" w:hAnsi="Times New Roman" w:eastAsia="宋体" w:cs="Times New Roman"/>
          <w:color w:val="auto"/>
          <w:kern w:val="2"/>
          <w:sz w:val="24"/>
          <w:szCs w:val="28"/>
          <w:highlight w:val="none"/>
          <w:lang w:val="en-US" w:eastAsia="zh-CN" w:bidi="ar-SA"/>
        </w:rPr>
        <w:t>GB18918-2002</w:t>
      </w:r>
      <w:r>
        <w:rPr>
          <w:rFonts w:hint="eastAsia" w:ascii="Times New Roman" w:hAnsi="Times New Roman" w:eastAsia="宋体" w:cs="Times New Roman"/>
          <w:color w:val="auto"/>
          <w:kern w:val="2"/>
          <w:sz w:val="24"/>
          <w:szCs w:val="28"/>
          <w:highlight w:val="none"/>
          <w:lang w:val="en-US" w:eastAsia="zh-CN" w:bidi="ar-SA"/>
        </w:rPr>
        <w:t>）</w:t>
      </w:r>
      <w:r>
        <w:rPr>
          <w:rFonts w:hint="default" w:ascii="Times New Roman" w:hAnsi="Times New Roman" w:eastAsia="宋体" w:cs="Times New Roman"/>
          <w:color w:val="auto"/>
          <w:kern w:val="2"/>
          <w:sz w:val="24"/>
          <w:szCs w:val="28"/>
          <w:highlight w:val="none"/>
          <w:lang w:val="en-US" w:eastAsia="zh-CN" w:bidi="ar-SA"/>
        </w:rPr>
        <w:t>一级A标准</w:t>
      </w:r>
      <w:r>
        <w:rPr>
          <w:rFonts w:hint="eastAsia" w:ascii="Times New Roman" w:hAnsi="Times New Roman" w:eastAsia="宋体" w:cs="Times New Roman"/>
          <w:color w:val="auto"/>
          <w:kern w:val="2"/>
          <w:sz w:val="24"/>
          <w:szCs w:val="28"/>
          <w:highlight w:val="none"/>
          <w:lang w:val="en-US" w:eastAsia="zh-CN" w:bidi="ar-SA"/>
        </w:rPr>
        <w:t>，2020年7月取得批复（宁经管委行审环许</w:t>
      </w:r>
      <w:r>
        <w:rPr>
          <w:rFonts w:hint="eastAsia" w:ascii="Times New Roman" w:hAnsi="Times New Roman" w:eastAsia="Times New Roman" w:cs="Times New Roman"/>
          <w:color w:val="auto"/>
          <w:sz w:val="24"/>
          <w:szCs w:val="24"/>
          <w:highlight w:val="none"/>
        </w:rPr>
        <w:t>〔202</w:t>
      </w:r>
      <w:r>
        <w:rPr>
          <w:rFonts w:hint="eastAsia" w:ascii="Times New Roman" w:hAnsi="Times New Roman" w:eastAsia="宋体" w:cs="Times New Roman"/>
          <w:color w:val="auto"/>
          <w:sz w:val="24"/>
          <w:szCs w:val="24"/>
          <w:highlight w:val="none"/>
          <w:lang w:val="en-US" w:eastAsia="zh-CN"/>
        </w:rPr>
        <w:t>0</w:t>
      </w:r>
      <w:r>
        <w:rPr>
          <w:rFonts w:hint="eastAsia" w:ascii="Times New Roman" w:hAnsi="Times New Roman" w:eastAsia="Times New Roman" w:cs="Times New Roman"/>
          <w:color w:val="auto"/>
          <w:sz w:val="24"/>
          <w:szCs w:val="24"/>
          <w:highlight w:val="none"/>
        </w:rPr>
        <w:t>〕</w:t>
      </w:r>
      <w:r>
        <w:rPr>
          <w:rFonts w:hint="eastAsia" w:ascii="Times New Roman" w:hAnsi="Times New Roman" w:eastAsia="宋体" w:cs="Times New Roman"/>
          <w:color w:val="auto"/>
          <w:kern w:val="2"/>
          <w:sz w:val="24"/>
          <w:szCs w:val="28"/>
          <w:highlight w:val="none"/>
          <w:lang w:val="en-US" w:eastAsia="zh-CN" w:bidi="ar-SA"/>
        </w:rPr>
        <w:t>100号），并于2022年10月26日通过竣工环境保护验收。</w:t>
      </w:r>
    </w:p>
    <w:p w14:paraId="598FD74D">
      <w:pPr>
        <w:keepNext w:val="0"/>
        <w:keepLines w:val="0"/>
        <w:pageBreakBefore w:val="0"/>
        <w:widowControl/>
        <w:kinsoku/>
        <w:wordWrap/>
        <w:overflowPunct/>
        <w:topLinePunct w:val="0"/>
        <w:autoSpaceDE w:val="0"/>
        <w:autoSpaceDN w:val="0"/>
        <w:bidi w:val="0"/>
        <w:adjustRightInd w:val="0"/>
        <w:snapToGrid w:val="0"/>
        <w:spacing w:before="33" w:line="240" w:lineRule="auto"/>
        <w:jc w:val="center"/>
        <w:textAlignment w:val="baseline"/>
        <w:rPr>
          <w:rFonts w:hint="default" w:ascii="Times New Roman" w:hAnsi="Times New Roman" w:eastAsia="宋体" w:cs="Times New Roman"/>
          <w:b/>
          <w:bCs/>
          <w:color w:val="auto"/>
          <w:spacing w:val="-9"/>
          <w:sz w:val="24"/>
          <w:szCs w:val="24"/>
          <w:highlight w:val="none"/>
          <w:lang w:val="en-US" w:eastAsia="zh-CN"/>
        </w:rPr>
      </w:pPr>
      <w:r>
        <w:rPr>
          <w:rFonts w:hint="default" w:ascii="Times New Roman" w:hAnsi="Times New Roman" w:eastAsia="宋体" w:cs="Times New Roman"/>
          <w:b/>
          <w:bCs/>
          <w:color w:val="auto"/>
          <w:spacing w:val="-9"/>
          <w:sz w:val="24"/>
          <w:szCs w:val="24"/>
          <w:highlight w:val="none"/>
          <w:lang w:val="en-US" w:eastAsia="zh-CN"/>
        </w:rPr>
        <w:t>表6.4-</w:t>
      </w:r>
      <w:r>
        <w:rPr>
          <w:rFonts w:hint="eastAsia" w:ascii="Times New Roman" w:hAnsi="Times New Roman" w:eastAsia="宋体" w:cs="Times New Roman"/>
          <w:b/>
          <w:bCs/>
          <w:color w:val="auto"/>
          <w:spacing w:val="-9"/>
          <w:sz w:val="24"/>
          <w:szCs w:val="24"/>
          <w:highlight w:val="none"/>
          <w:lang w:val="en-US" w:eastAsia="zh-CN"/>
        </w:rPr>
        <w:t>5</w:t>
      </w:r>
      <w:r>
        <w:rPr>
          <w:rFonts w:hint="default" w:ascii="Times New Roman" w:hAnsi="Times New Roman" w:eastAsia="宋体" w:cs="Times New Roman"/>
          <w:b/>
          <w:bCs/>
          <w:color w:val="auto"/>
          <w:spacing w:val="-9"/>
          <w:sz w:val="24"/>
          <w:szCs w:val="24"/>
          <w:highlight w:val="none"/>
          <w:lang w:val="en-US" w:eastAsia="zh-CN"/>
        </w:rPr>
        <w:t xml:space="preserve">  </w:t>
      </w:r>
      <w:r>
        <w:rPr>
          <w:rFonts w:hint="eastAsia" w:ascii="Times New Roman" w:hAnsi="Times New Roman" w:eastAsia="宋体" w:cs="Times New Roman"/>
          <w:b/>
          <w:bCs/>
          <w:color w:val="auto"/>
          <w:spacing w:val="-9"/>
          <w:sz w:val="24"/>
          <w:szCs w:val="24"/>
          <w:highlight w:val="none"/>
          <w:lang w:val="en-US" w:eastAsia="zh-CN"/>
        </w:rPr>
        <w:t>污水处理厂</w:t>
      </w:r>
      <w:r>
        <w:rPr>
          <w:rFonts w:hint="default" w:ascii="Times New Roman" w:hAnsi="Times New Roman" w:eastAsia="宋体" w:cs="Times New Roman"/>
          <w:b/>
          <w:bCs/>
          <w:color w:val="auto"/>
          <w:spacing w:val="-9"/>
          <w:sz w:val="24"/>
          <w:szCs w:val="24"/>
          <w:highlight w:val="none"/>
          <w:lang w:val="en-US" w:eastAsia="zh-CN"/>
        </w:rPr>
        <w:t>建设情况一览表</w:t>
      </w:r>
      <w:bookmarkStart w:id="1784" w:name="pindex12353"/>
      <w:bookmarkEnd w:id="1784"/>
    </w:p>
    <w:tbl>
      <w:tblPr>
        <w:tblStyle w:val="19"/>
        <w:tblW w:w="5000" w:type="pct"/>
        <w:tblInd w:w="0" w:type="dxa"/>
        <w:tblLayout w:type="autofit"/>
        <w:tblCellMar>
          <w:top w:w="0" w:type="dxa"/>
          <w:left w:w="0" w:type="dxa"/>
          <w:bottom w:w="0" w:type="dxa"/>
          <w:right w:w="0" w:type="dxa"/>
        </w:tblCellMar>
      </w:tblPr>
      <w:tblGrid>
        <w:gridCol w:w="617"/>
        <w:gridCol w:w="1578"/>
        <w:gridCol w:w="852"/>
        <w:gridCol w:w="1408"/>
        <w:gridCol w:w="1250"/>
        <w:gridCol w:w="1306"/>
        <w:gridCol w:w="1436"/>
      </w:tblGrid>
      <w:tr w14:paraId="0DB17220">
        <w:tblPrEx>
          <w:tblCellMar>
            <w:top w:w="0" w:type="dxa"/>
            <w:left w:w="0" w:type="dxa"/>
            <w:bottom w:w="0" w:type="dxa"/>
            <w:right w:w="0" w:type="dxa"/>
          </w:tblCellMar>
        </w:tblPrEx>
        <w:trPr>
          <w:trHeight w:val="23" w:hRule="atLeast"/>
        </w:trPr>
        <w:tc>
          <w:tcPr>
            <w:tcW w:w="365" w:type="pct"/>
            <w:vMerge w:val="restart"/>
            <w:tcBorders>
              <w:top w:val="single" w:color="000000" w:sz="12" w:space="0"/>
              <w:left w:val="nil"/>
              <w:bottom w:val="single" w:color="000000" w:sz="6" w:space="0"/>
              <w:right w:val="single" w:color="000000" w:sz="6" w:space="0"/>
            </w:tcBorders>
            <w:noWrap w:val="0"/>
            <w:vAlign w:val="center"/>
          </w:tcPr>
          <w:p w14:paraId="62B510C9">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序号</w:t>
            </w:r>
          </w:p>
        </w:tc>
        <w:tc>
          <w:tcPr>
            <w:tcW w:w="934" w:type="pct"/>
            <w:vMerge w:val="restart"/>
            <w:tcBorders>
              <w:top w:val="single" w:color="000000" w:sz="12" w:space="0"/>
              <w:left w:val="single" w:color="000000" w:sz="6" w:space="0"/>
              <w:bottom w:val="single" w:color="000000" w:sz="6" w:space="0"/>
              <w:right w:val="single" w:color="000000" w:sz="6" w:space="0"/>
            </w:tcBorders>
            <w:noWrap w:val="0"/>
            <w:vAlign w:val="center"/>
          </w:tcPr>
          <w:p w14:paraId="5FF8F7DA">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项目名称</w:t>
            </w:r>
          </w:p>
        </w:tc>
        <w:tc>
          <w:tcPr>
            <w:tcW w:w="504" w:type="pct"/>
            <w:vMerge w:val="restart"/>
            <w:tcBorders>
              <w:top w:val="single" w:color="000000" w:sz="12" w:space="0"/>
              <w:left w:val="single" w:color="000000" w:sz="6" w:space="0"/>
              <w:bottom w:val="single" w:color="000000" w:sz="6" w:space="0"/>
              <w:right w:val="single" w:color="000000" w:sz="6" w:space="0"/>
            </w:tcBorders>
            <w:noWrap w:val="0"/>
            <w:vAlign w:val="center"/>
          </w:tcPr>
          <w:p w14:paraId="2D24167C">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规模</w:t>
            </w:r>
          </w:p>
        </w:tc>
        <w:tc>
          <w:tcPr>
            <w:tcW w:w="1573" w:type="pct"/>
            <w:gridSpan w:val="2"/>
            <w:tcBorders>
              <w:top w:val="single" w:color="000000" w:sz="12" w:space="0"/>
              <w:left w:val="single" w:color="000000" w:sz="6" w:space="0"/>
              <w:bottom w:val="single" w:color="000000" w:sz="6" w:space="0"/>
              <w:right w:val="single" w:color="000000" w:sz="6" w:space="0"/>
            </w:tcBorders>
            <w:noWrap w:val="0"/>
            <w:vAlign w:val="center"/>
          </w:tcPr>
          <w:p w14:paraId="2D8EE02A">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批复情况</w:t>
            </w:r>
          </w:p>
        </w:tc>
        <w:tc>
          <w:tcPr>
            <w:tcW w:w="1623" w:type="pct"/>
            <w:gridSpan w:val="2"/>
            <w:tcBorders>
              <w:top w:val="single" w:color="000000" w:sz="12" w:space="0"/>
              <w:left w:val="single" w:color="000000" w:sz="6" w:space="0"/>
              <w:bottom w:val="single" w:color="000000" w:sz="6" w:space="0"/>
              <w:right w:val="nil"/>
            </w:tcBorders>
            <w:noWrap w:val="0"/>
            <w:vAlign w:val="center"/>
          </w:tcPr>
          <w:p w14:paraId="6880B45A">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竣工验收情况</w:t>
            </w:r>
          </w:p>
        </w:tc>
      </w:tr>
      <w:tr w14:paraId="08B21913">
        <w:tblPrEx>
          <w:tblCellMar>
            <w:top w:w="0" w:type="dxa"/>
            <w:left w:w="0" w:type="dxa"/>
            <w:bottom w:w="0" w:type="dxa"/>
            <w:right w:w="0" w:type="dxa"/>
          </w:tblCellMar>
        </w:tblPrEx>
        <w:trPr>
          <w:trHeight w:val="23" w:hRule="atLeast"/>
        </w:trPr>
        <w:tc>
          <w:tcPr>
            <w:tcW w:w="365" w:type="pct"/>
            <w:vMerge w:val="continue"/>
            <w:tcBorders>
              <w:top w:val="single" w:color="000000" w:sz="6" w:space="0"/>
              <w:left w:val="nil"/>
              <w:bottom w:val="single" w:color="000000" w:sz="6" w:space="0"/>
              <w:right w:val="single" w:color="000000" w:sz="6" w:space="0"/>
            </w:tcBorders>
            <w:noWrap w:val="0"/>
            <w:vAlign w:val="center"/>
          </w:tcPr>
          <w:p w14:paraId="18C9B436">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p>
        </w:tc>
        <w:tc>
          <w:tcPr>
            <w:tcW w:w="934" w:type="pct"/>
            <w:vMerge w:val="continue"/>
            <w:tcBorders>
              <w:top w:val="single" w:color="000000" w:sz="6" w:space="0"/>
              <w:left w:val="single" w:color="000000" w:sz="6" w:space="0"/>
              <w:bottom w:val="single" w:color="000000" w:sz="6" w:space="0"/>
              <w:right w:val="single" w:color="000000" w:sz="6" w:space="0"/>
            </w:tcBorders>
            <w:noWrap w:val="0"/>
            <w:vAlign w:val="center"/>
          </w:tcPr>
          <w:p w14:paraId="041E1076">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p>
        </w:tc>
        <w:tc>
          <w:tcPr>
            <w:tcW w:w="504" w:type="pct"/>
            <w:vMerge w:val="continue"/>
            <w:tcBorders>
              <w:top w:val="single" w:color="000000" w:sz="6" w:space="0"/>
              <w:left w:val="single" w:color="000000" w:sz="6" w:space="0"/>
              <w:bottom w:val="single" w:color="000000" w:sz="6" w:space="0"/>
              <w:right w:val="single" w:color="000000" w:sz="6" w:space="0"/>
            </w:tcBorders>
            <w:noWrap w:val="0"/>
            <w:vAlign w:val="center"/>
          </w:tcPr>
          <w:p w14:paraId="2F7151C9">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p>
        </w:tc>
        <w:tc>
          <w:tcPr>
            <w:tcW w:w="833" w:type="pct"/>
            <w:tcBorders>
              <w:top w:val="single" w:color="000000" w:sz="6" w:space="0"/>
              <w:left w:val="single" w:color="000000" w:sz="6" w:space="0"/>
              <w:bottom w:val="single" w:color="000000" w:sz="6" w:space="0"/>
              <w:right w:val="single" w:color="000000" w:sz="6" w:space="0"/>
            </w:tcBorders>
            <w:noWrap w:val="0"/>
            <w:vAlign w:val="center"/>
          </w:tcPr>
          <w:p w14:paraId="0CF29475">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审批单位</w:t>
            </w:r>
          </w:p>
        </w:tc>
        <w:tc>
          <w:tcPr>
            <w:tcW w:w="739" w:type="pct"/>
            <w:tcBorders>
              <w:top w:val="single" w:color="000000" w:sz="6" w:space="0"/>
              <w:left w:val="single" w:color="000000" w:sz="6" w:space="0"/>
              <w:bottom w:val="single" w:color="000000" w:sz="6" w:space="0"/>
              <w:right w:val="single" w:color="000000" w:sz="6" w:space="0"/>
            </w:tcBorders>
            <w:noWrap w:val="0"/>
            <w:vAlign w:val="center"/>
          </w:tcPr>
          <w:p w14:paraId="4F968989">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文号或日期</w:t>
            </w:r>
          </w:p>
        </w:tc>
        <w:tc>
          <w:tcPr>
            <w:tcW w:w="773" w:type="pct"/>
            <w:tcBorders>
              <w:top w:val="single" w:color="000000" w:sz="6" w:space="0"/>
              <w:left w:val="single" w:color="000000" w:sz="6" w:space="0"/>
              <w:bottom w:val="single" w:color="000000" w:sz="6" w:space="0"/>
              <w:right w:val="single" w:color="000000" w:sz="6" w:space="0"/>
            </w:tcBorders>
            <w:noWrap w:val="0"/>
            <w:vAlign w:val="center"/>
          </w:tcPr>
          <w:p w14:paraId="0D3AF896">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审批单位</w:t>
            </w:r>
          </w:p>
        </w:tc>
        <w:tc>
          <w:tcPr>
            <w:tcW w:w="849" w:type="pct"/>
            <w:tcBorders>
              <w:top w:val="single" w:color="000000" w:sz="6" w:space="0"/>
              <w:left w:val="single" w:color="000000" w:sz="6" w:space="0"/>
              <w:bottom w:val="single" w:color="000000" w:sz="6" w:space="0"/>
              <w:right w:val="nil"/>
            </w:tcBorders>
            <w:noWrap w:val="0"/>
            <w:vAlign w:val="center"/>
          </w:tcPr>
          <w:p w14:paraId="704DCAA8">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文号或日期</w:t>
            </w:r>
          </w:p>
        </w:tc>
      </w:tr>
      <w:tr w14:paraId="2BDB69A1">
        <w:tblPrEx>
          <w:tblCellMar>
            <w:top w:w="0" w:type="dxa"/>
            <w:left w:w="0" w:type="dxa"/>
            <w:bottom w:w="0" w:type="dxa"/>
            <w:right w:w="0" w:type="dxa"/>
          </w:tblCellMar>
        </w:tblPrEx>
        <w:trPr>
          <w:trHeight w:val="401" w:hRule="atLeast"/>
        </w:trPr>
        <w:tc>
          <w:tcPr>
            <w:tcW w:w="365" w:type="pct"/>
            <w:vMerge w:val="restart"/>
            <w:tcBorders>
              <w:top w:val="single" w:color="000000" w:sz="6" w:space="0"/>
              <w:left w:val="nil"/>
              <w:bottom w:val="single" w:color="000000" w:sz="6" w:space="0"/>
              <w:right w:val="single" w:color="000000" w:sz="6" w:space="0"/>
            </w:tcBorders>
            <w:noWrap w:val="0"/>
            <w:vAlign w:val="center"/>
          </w:tcPr>
          <w:p w14:paraId="1AE44413">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w:t>
            </w:r>
          </w:p>
        </w:tc>
        <w:tc>
          <w:tcPr>
            <w:tcW w:w="934" w:type="pct"/>
            <w:vMerge w:val="restart"/>
            <w:tcBorders>
              <w:top w:val="single" w:color="000000" w:sz="6" w:space="0"/>
              <w:left w:val="single" w:color="000000" w:sz="6" w:space="0"/>
              <w:bottom w:val="single" w:color="000000" w:sz="6" w:space="0"/>
              <w:right w:val="single" w:color="000000" w:sz="6" w:space="0"/>
            </w:tcBorders>
            <w:noWrap w:val="0"/>
            <w:vAlign w:val="center"/>
          </w:tcPr>
          <w:p w14:paraId="16F72F0A">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南京市江宁区南区污水处理厂项目环</w:t>
            </w:r>
            <w:r>
              <w:rPr>
                <w:rFonts w:hint="default" w:ascii="Times New Roman" w:hAnsi="Times New Roman" w:eastAsia="宋体" w:cs="Times New Roman"/>
                <w:color w:val="auto"/>
                <w:sz w:val="21"/>
                <w:szCs w:val="21"/>
                <w:highlight w:val="none"/>
                <w:lang w:val="en-US" w:eastAsia="zh-CN"/>
              </w:rPr>
              <w:t>境影响报告书</w:t>
            </w:r>
          </w:p>
        </w:tc>
        <w:tc>
          <w:tcPr>
            <w:tcW w:w="504" w:type="pct"/>
            <w:vMerge w:val="restart"/>
            <w:tcBorders>
              <w:top w:val="single" w:color="000000" w:sz="6" w:space="0"/>
              <w:left w:val="single" w:color="000000" w:sz="6" w:space="0"/>
              <w:bottom w:val="single" w:color="000000" w:sz="6" w:space="0"/>
              <w:right w:val="single" w:color="000000" w:sz="6" w:space="0"/>
            </w:tcBorders>
            <w:noWrap w:val="0"/>
            <w:vAlign w:val="center"/>
          </w:tcPr>
          <w:p w14:paraId="3A0FF96D">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eastAsia="zh-CN"/>
              </w:rPr>
              <w:t>万m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lang w:eastAsia="zh-CN"/>
              </w:rPr>
              <w:t>/d</w:t>
            </w:r>
          </w:p>
        </w:tc>
        <w:tc>
          <w:tcPr>
            <w:tcW w:w="833" w:type="pct"/>
            <w:vMerge w:val="restart"/>
            <w:tcBorders>
              <w:top w:val="single" w:color="000000" w:sz="6" w:space="0"/>
              <w:left w:val="single" w:color="000000" w:sz="6" w:space="0"/>
              <w:bottom w:val="single" w:color="000000" w:sz="6" w:space="0"/>
              <w:right w:val="single" w:color="000000" w:sz="6" w:space="0"/>
            </w:tcBorders>
            <w:noWrap w:val="0"/>
            <w:vAlign w:val="center"/>
          </w:tcPr>
          <w:p w14:paraId="00E4F98E">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江苏省环境保护厅</w:t>
            </w:r>
          </w:p>
        </w:tc>
        <w:tc>
          <w:tcPr>
            <w:tcW w:w="739" w:type="pct"/>
            <w:vMerge w:val="restart"/>
            <w:tcBorders>
              <w:top w:val="single" w:color="000000" w:sz="6" w:space="0"/>
              <w:left w:val="single" w:color="000000" w:sz="6" w:space="0"/>
              <w:bottom w:val="single" w:color="000000" w:sz="6" w:space="0"/>
              <w:right w:val="single" w:color="000000" w:sz="6" w:space="0"/>
            </w:tcBorders>
            <w:noWrap w:val="0"/>
            <w:vAlign w:val="center"/>
          </w:tcPr>
          <w:p w14:paraId="6DB7DA6D">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苏环审〔2013〕178号</w:t>
            </w:r>
          </w:p>
        </w:tc>
        <w:tc>
          <w:tcPr>
            <w:tcW w:w="773" w:type="pct"/>
            <w:tcBorders>
              <w:top w:val="single" w:color="000000" w:sz="6" w:space="0"/>
              <w:left w:val="single" w:color="000000" w:sz="6" w:space="0"/>
              <w:bottom w:val="single" w:color="000000" w:sz="6" w:space="0"/>
              <w:right w:val="single" w:color="000000" w:sz="6" w:space="0"/>
            </w:tcBorders>
            <w:noWrap w:val="0"/>
            <w:vAlign w:val="center"/>
          </w:tcPr>
          <w:p w14:paraId="30B623D2">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南京市生态环境局</w:t>
            </w:r>
          </w:p>
        </w:tc>
        <w:tc>
          <w:tcPr>
            <w:tcW w:w="849" w:type="pct"/>
            <w:tcBorders>
              <w:top w:val="single" w:color="000000" w:sz="6" w:space="0"/>
              <w:left w:val="single" w:color="000000" w:sz="6" w:space="0"/>
              <w:bottom w:val="single" w:color="000000" w:sz="6" w:space="0"/>
              <w:right w:val="nil"/>
            </w:tcBorders>
            <w:noWrap w:val="0"/>
            <w:vAlign w:val="center"/>
          </w:tcPr>
          <w:p w14:paraId="2263ACF5">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苏委环验</w:t>
            </w:r>
            <w:r>
              <w:rPr>
                <w:rFonts w:hint="eastAsia" w:ascii="Times New Roman" w:hAnsi="Times New Roman" w:eastAsia="宋体" w:cs="Times New Roman"/>
                <w:color w:val="auto"/>
                <w:spacing w:val="-9"/>
                <w:sz w:val="21"/>
                <w:szCs w:val="21"/>
                <w:highlight w:val="none"/>
                <w:lang w:eastAsia="zh-CN"/>
              </w:rPr>
              <w:t>〔</w:t>
            </w:r>
            <w:r>
              <w:rPr>
                <w:rFonts w:hint="default" w:ascii="Times New Roman" w:hAnsi="Times New Roman" w:eastAsia="宋体" w:cs="Times New Roman"/>
                <w:color w:val="auto"/>
                <w:sz w:val="21"/>
                <w:szCs w:val="21"/>
                <w:highlight w:val="none"/>
                <w:lang w:eastAsia="zh-CN"/>
              </w:rPr>
              <w:t>2019</w:t>
            </w:r>
            <w:r>
              <w:rPr>
                <w:rFonts w:hint="default" w:ascii="Times New Roman" w:hAnsi="Times New Roman" w:eastAsia="宋体" w:cs="Times New Roman"/>
                <w:color w:val="auto"/>
                <w:spacing w:val="-9"/>
                <w:sz w:val="21"/>
                <w:szCs w:val="21"/>
                <w:highlight w:val="none"/>
              </w:rPr>
              <w:t>〕</w:t>
            </w:r>
            <w:r>
              <w:rPr>
                <w:rFonts w:hint="default" w:ascii="Times New Roman" w:hAnsi="Times New Roman" w:eastAsia="宋体" w:cs="Times New Roman"/>
                <w:color w:val="auto"/>
                <w:sz w:val="21"/>
                <w:szCs w:val="21"/>
                <w:highlight w:val="none"/>
                <w:lang w:eastAsia="zh-CN"/>
              </w:rPr>
              <w:t>1号</w:t>
            </w:r>
          </w:p>
        </w:tc>
      </w:tr>
      <w:tr w14:paraId="7876D28C">
        <w:tblPrEx>
          <w:tblCellMar>
            <w:top w:w="0" w:type="dxa"/>
            <w:left w:w="0" w:type="dxa"/>
            <w:bottom w:w="0" w:type="dxa"/>
            <w:right w:w="0" w:type="dxa"/>
          </w:tblCellMar>
        </w:tblPrEx>
        <w:trPr>
          <w:trHeight w:val="345" w:hRule="atLeast"/>
        </w:trPr>
        <w:tc>
          <w:tcPr>
            <w:tcW w:w="365" w:type="pct"/>
            <w:vMerge w:val="continue"/>
            <w:tcBorders>
              <w:top w:val="single" w:color="000000" w:sz="6" w:space="0"/>
              <w:left w:val="nil"/>
              <w:bottom w:val="single" w:color="000000" w:sz="6" w:space="0"/>
              <w:right w:val="single" w:color="000000" w:sz="6" w:space="0"/>
            </w:tcBorders>
            <w:noWrap w:val="0"/>
            <w:vAlign w:val="center"/>
          </w:tcPr>
          <w:p w14:paraId="3362535A">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color w:val="auto"/>
                <w:highlight w:val="none"/>
              </w:rPr>
            </w:pPr>
          </w:p>
        </w:tc>
        <w:tc>
          <w:tcPr>
            <w:tcW w:w="934" w:type="pct"/>
            <w:vMerge w:val="continue"/>
            <w:tcBorders>
              <w:top w:val="single" w:color="000000" w:sz="6" w:space="0"/>
              <w:left w:val="single" w:color="000000" w:sz="6" w:space="0"/>
              <w:bottom w:val="single" w:color="000000" w:sz="6" w:space="0"/>
              <w:right w:val="single" w:color="000000" w:sz="6" w:space="0"/>
            </w:tcBorders>
            <w:noWrap w:val="0"/>
            <w:vAlign w:val="center"/>
          </w:tcPr>
          <w:p w14:paraId="557B3208">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color w:val="auto"/>
                <w:highlight w:val="none"/>
              </w:rPr>
            </w:pPr>
          </w:p>
        </w:tc>
        <w:tc>
          <w:tcPr>
            <w:tcW w:w="504" w:type="pct"/>
            <w:vMerge w:val="continue"/>
            <w:tcBorders>
              <w:top w:val="single" w:color="000000" w:sz="6" w:space="0"/>
              <w:left w:val="single" w:color="000000" w:sz="6" w:space="0"/>
              <w:bottom w:val="single" w:color="000000" w:sz="6" w:space="0"/>
              <w:right w:val="single" w:color="000000" w:sz="6" w:space="0"/>
            </w:tcBorders>
            <w:noWrap w:val="0"/>
            <w:vAlign w:val="center"/>
          </w:tcPr>
          <w:p w14:paraId="010421D3">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color w:val="auto"/>
                <w:highlight w:val="none"/>
              </w:rPr>
            </w:pPr>
          </w:p>
        </w:tc>
        <w:tc>
          <w:tcPr>
            <w:tcW w:w="833" w:type="pct"/>
            <w:vMerge w:val="continue"/>
            <w:tcBorders>
              <w:top w:val="single" w:color="000000" w:sz="6" w:space="0"/>
              <w:left w:val="single" w:color="000000" w:sz="6" w:space="0"/>
              <w:bottom w:val="single" w:color="000000" w:sz="6" w:space="0"/>
              <w:right w:val="single" w:color="000000" w:sz="6" w:space="0"/>
            </w:tcBorders>
            <w:noWrap w:val="0"/>
            <w:vAlign w:val="center"/>
          </w:tcPr>
          <w:p w14:paraId="73408F03">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color w:val="auto"/>
                <w:highlight w:val="none"/>
              </w:rPr>
            </w:pPr>
          </w:p>
        </w:tc>
        <w:tc>
          <w:tcPr>
            <w:tcW w:w="739" w:type="pct"/>
            <w:vMerge w:val="continue"/>
            <w:tcBorders>
              <w:top w:val="single" w:color="000000" w:sz="6" w:space="0"/>
              <w:left w:val="single" w:color="000000" w:sz="6" w:space="0"/>
              <w:bottom w:val="single" w:color="000000" w:sz="6" w:space="0"/>
              <w:right w:val="single" w:color="000000" w:sz="6" w:space="0"/>
            </w:tcBorders>
            <w:noWrap w:val="0"/>
            <w:vAlign w:val="center"/>
          </w:tcPr>
          <w:p w14:paraId="75783332">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color w:val="auto"/>
                <w:highlight w:val="none"/>
              </w:rPr>
            </w:pPr>
          </w:p>
        </w:tc>
        <w:tc>
          <w:tcPr>
            <w:tcW w:w="773" w:type="pct"/>
            <w:vMerge w:val="restart"/>
            <w:tcBorders>
              <w:top w:val="single" w:color="000000" w:sz="6" w:space="0"/>
              <w:left w:val="single" w:color="000000" w:sz="6" w:space="0"/>
              <w:bottom w:val="single" w:color="000000" w:sz="6" w:space="0"/>
              <w:right w:val="single" w:color="000000" w:sz="6" w:space="0"/>
            </w:tcBorders>
            <w:noWrap w:val="0"/>
            <w:vAlign w:val="center"/>
          </w:tcPr>
          <w:p w14:paraId="3AAAC945">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自主验收</w:t>
            </w:r>
          </w:p>
        </w:tc>
        <w:tc>
          <w:tcPr>
            <w:tcW w:w="849" w:type="pct"/>
            <w:vMerge w:val="restart"/>
            <w:tcBorders>
              <w:top w:val="single" w:color="000000" w:sz="6" w:space="0"/>
              <w:left w:val="single" w:color="000000" w:sz="6" w:space="0"/>
              <w:bottom w:val="single" w:color="000000" w:sz="6" w:space="0"/>
              <w:right w:val="nil"/>
            </w:tcBorders>
            <w:noWrap w:val="0"/>
            <w:vAlign w:val="center"/>
          </w:tcPr>
          <w:p w14:paraId="0412B14A">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2022年10月26日</w:t>
            </w:r>
          </w:p>
        </w:tc>
      </w:tr>
      <w:tr w14:paraId="6F413326">
        <w:tblPrEx>
          <w:tblCellMar>
            <w:top w:w="0" w:type="dxa"/>
            <w:left w:w="0" w:type="dxa"/>
            <w:bottom w:w="0" w:type="dxa"/>
            <w:right w:w="0" w:type="dxa"/>
          </w:tblCellMar>
        </w:tblPrEx>
        <w:trPr>
          <w:trHeight w:val="23" w:hRule="atLeast"/>
        </w:trPr>
        <w:tc>
          <w:tcPr>
            <w:tcW w:w="365" w:type="pct"/>
            <w:tcBorders>
              <w:top w:val="single" w:color="000000" w:sz="6" w:space="0"/>
              <w:left w:val="nil"/>
              <w:bottom w:val="single" w:color="000000" w:sz="6" w:space="0"/>
              <w:right w:val="single" w:color="000000" w:sz="6" w:space="0"/>
            </w:tcBorders>
            <w:noWrap w:val="0"/>
            <w:vAlign w:val="center"/>
          </w:tcPr>
          <w:p w14:paraId="59D17D92">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2</w:t>
            </w:r>
          </w:p>
        </w:tc>
        <w:tc>
          <w:tcPr>
            <w:tcW w:w="934" w:type="pct"/>
            <w:tcBorders>
              <w:top w:val="single" w:color="000000" w:sz="6" w:space="0"/>
              <w:left w:val="single" w:color="000000" w:sz="6" w:space="0"/>
              <w:bottom w:val="single" w:color="000000" w:sz="6" w:space="0"/>
              <w:right w:val="single" w:color="000000" w:sz="6" w:space="0"/>
            </w:tcBorders>
            <w:noWrap w:val="0"/>
            <w:vAlign w:val="center"/>
          </w:tcPr>
          <w:p w14:paraId="7404F270">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南京市江宁水务集团开展南区污水处理厂二期项目环境影响评价</w:t>
            </w:r>
          </w:p>
        </w:tc>
        <w:tc>
          <w:tcPr>
            <w:tcW w:w="504" w:type="pct"/>
            <w:tcBorders>
              <w:top w:val="single" w:color="000000" w:sz="6" w:space="0"/>
              <w:left w:val="single" w:color="000000" w:sz="6" w:space="0"/>
              <w:bottom w:val="single" w:color="000000" w:sz="6" w:space="0"/>
              <w:right w:val="single" w:color="000000" w:sz="6" w:space="0"/>
            </w:tcBorders>
            <w:noWrap w:val="0"/>
            <w:vAlign w:val="center"/>
          </w:tcPr>
          <w:p w14:paraId="0619EADF">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4万m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lang w:eastAsia="zh-CN"/>
              </w:rPr>
              <w:t>/d</w:t>
            </w:r>
          </w:p>
        </w:tc>
        <w:tc>
          <w:tcPr>
            <w:tcW w:w="833" w:type="pct"/>
            <w:tcBorders>
              <w:top w:val="single" w:color="000000" w:sz="6" w:space="0"/>
              <w:left w:val="single" w:color="000000" w:sz="6" w:space="0"/>
              <w:bottom w:val="single" w:color="000000" w:sz="6" w:space="0"/>
              <w:right w:val="single" w:color="000000" w:sz="6" w:space="0"/>
            </w:tcBorders>
            <w:noWrap w:val="0"/>
            <w:vAlign w:val="center"/>
          </w:tcPr>
          <w:p w14:paraId="0E25BA5D">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南京市江宁区环境保护局</w:t>
            </w:r>
          </w:p>
        </w:tc>
        <w:tc>
          <w:tcPr>
            <w:tcW w:w="739" w:type="pct"/>
            <w:tcBorders>
              <w:top w:val="single" w:color="000000" w:sz="6" w:space="0"/>
              <w:left w:val="single" w:color="000000" w:sz="6" w:space="0"/>
              <w:bottom w:val="single" w:color="000000" w:sz="6" w:space="0"/>
              <w:right w:val="single" w:color="000000" w:sz="6" w:space="0"/>
            </w:tcBorders>
            <w:noWrap w:val="0"/>
            <w:vAlign w:val="center"/>
          </w:tcPr>
          <w:p w14:paraId="72DAD7CB">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江宁环建字〔2018〕10号</w:t>
            </w:r>
          </w:p>
        </w:tc>
        <w:tc>
          <w:tcPr>
            <w:tcW w:w="773" w:type="pct"/>
            <w:vMerge w:val="continue"/>
            <w:tcBorders>
              <w:top w:val="single" w:color="000000" w:sz="6" w:space="0"/>
              <w:left w:val="single" w:color="000000" w:sz="6" w:space="0"/>
              <w:bottom w:val="single" w:color="000000" w:sz="6" w:space="0"/>
              <w:right w:val="single" w:color="000000" w:sz="6" w:space="0"/>
            </w:tcBorders>
            <w:noWrap w:val="0"/>
            <w:vAlign w:val="center"/>
          </w:tcPr>
          <w:p w14:paraId="1FDA5867">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849" w:type="pct"/>
            <w:vMerge w:val="continue"/>
            <w:tcBorders>
              <w:top w:val="single" w:color="000000" w:sz="6" w:space="0"/>
              <w:left w:val="single" w:color="000000" w:sz="6" w:space="0"/>
              <w:bottom w:val="single" w:color="000000" w:sz="6" w:space="0"/>
              <w:right w:val="nil"/>
            </w:tcBorders>
            <w:noWrap w:val="0"/>
            <w:vAlign w:val="center"/>
          </w:tcPr>
          <w:p w14:paraId="11D3C7B2">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77033291">
        <w:tblPrEx>
          <w:tblCellMar>
            <w:top w:w="0" w:type="dxa"/>
            <w:left w:w="0" w:type="dxa"/>
            <w:bottom w:w="0" w:type="dxa"/>
            <w:right w:w="0" w:type="dxa"/>
          </w:tblCellMar>
        </w:tblPrEx>
        <w:trPr>
          <w:trHeight w:val="23" w:hRule="atLeast"/>
        </w:trPr>
        <w:tc>
          <w:tcPr>
            <w:tcW w:w="365" w:type="pct"/>
            <w:tcBorders>
              <w:top w:val="single" w:color="000000" w:sz="6" w:space="0"/>
              <w:left w:val="nil"/>
              <w:bottom w:val="single" w:color="000000" w:sz="12" w:space="0"/>
              <w:right w:val="single" w:color="000000" w:sz="6" w:space="0"/>
            </w:tcBorders>
            <w:noWrap w:val="0"/>
            <w:vAlign w:val="center"/>
          </w:tcPr>
          <w:p w14:paraId="7214D39E">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3</w:t>
            </w:r>
          </w:p>
        </w:tc>
        <w:tc>
          <w:tcPr>
            <w:tcW w:w="934" w:type="pct"/>
            <w:tcBorders>
              <w:top w:val="single" w:color="000000" w:sz="6" w:space="0"/>
              <w:left w:val="single" w:color="000000" w:sz="6" w:space="0"/>
              <w:bottom w:val="single" w:color="000000" w:sz="12" w:space="0"/>
              <w:right w:val="single" w:color="000000" w:sz="6" w:space="0"/>
            </w:tcBorders>
            <w:noWrap w:val="0"/>
            <w:vAlign w:val="center"/>
          </w:tcPr>
          <w:p w14:paraId="16B50766">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南京市江宁开发区南区污水处理厂三期工程项目</w:t>
            </w:r>
          </w:p>
        </w:tc>
        <w:tc>
          <w:tcPr>
            <w:tcW w:w="504" w:type="pct"/>
            <w:tcBorders>
              <w:top w:val="single" w:color="000000" w:sz="6" w:space="0"/>
              <w:left w:val="single" w:color="000000" w:sz="6" w:space="0"/>
              <w:bottom w:val="single" w:color="000000" w:sz="12" w:space="0"/>
              <w:right w:val="single" w:color="000000" w:sz="6" w:space="0"/>
            </w:tcBorders>
            <w:noWrap w:val="0"/>
            <w:vAlign w:val="center"/>
          </w:tcPr>
          <w:p w14:paraId="36EC9502">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eastAsia="zh-CN"/>
              </w:rPr>
              <w:t>万m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lang w:eastAsia="zh-CN"/>
              </w:rPr>
              <w:t>/d</w:t>
            </w:r>
          </w:p>
        </w:tc>
        <w:tc>
          <w:tcPr>
            <w:tcW w:w="833" w:type="pct"/>
            <w:tcBorders>
              <w:top w:val="single" w:color="000000" w:sz="6" w:space="0"/>
              <w:left w:val="single" w:color="000000" w:sz="6" w:space="0"/>
              <w:bottom w:val="single" w:color="000000" w:sz="12" w:space="0"/>
              <w:right w:val="single" w:color="000000" w:sz="6" w:space="0"/>
            </w:tcBorders>
            <w:noWrap w:val="0"/>
            <w:vAlign w:val="center"/>
          </w:tcPr>
          <w:p w14:paraId="2CFBEDA2">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南京江宁经济技术开发区管理委员会行政审批局</w:t>
            </w:r>
          </w:p>
        </w:tc>
        <w:tc>
          <w:tcPr>
            <w:tcW w:w="739" w:type="pct"/>
            <w:tcBorders>
              <w:top w:val="single" w:color="000000" w:sz="6" w:space="0"/>
              <w:left w:val="single" w:color="000000" w:sz="6" w:space="0"/>
              <w:bottom w:val="single" w:color="000000" w:sz="12" w:space="0"/>
              <w:right w:val="single" w:color="000000" w:sz="6" w:space="0"/>
            </w:tcBorders>
            <w:noWrap w:val="0"/>
            <w:vAlign w:val="center"/>
          </w:tcPr>
          <w:p w14:paraId="350F1352">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宁经管委行审环许〔2020〕100号</w:t>
            </w:r>
          </w:p>
        </w:tc>
        <w:tc>
          <w:tcPr>
            <w:tcW w:w="773" w:type="pct"/>
            <w:tcBorders>
              <w:top w:val="single" w:color="000000" w:sz="6" w:space="0"/>
              <w:left w:val="single" w:color="000000" w:sz="6" w:space="0"/>
              <w:bottom w:val="single" w:color="000000" w:sz="12" w:space="0"/>
              <w:right w:val="single" w:color="000000" w:sz="6" w:space="0"/>
            </w:tcBorders>
            <w:noWrap w:val="0"/>
            <w:vAlign w:val="center"/>
          </w:tcPr>
          <w:p w14:paraId="346F0842">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自主验收</w:t>
            </w:r>
          </w:p>
        </w:tc>
        <w:tc>
          <w:tcPr>
            <w:tcW w:w="849" w:type="pct"/>
            <w:tcBorders>
              <w:top w:val="single" w:color="000000" w:sz="6" w:space="0"/>
              <w:left w:val="single" w:color="000000" w:sz="6" w:space="0"/>
              <w:bottom w:val="single" w:color="000000" w:sz="12" w:space="0"/>
              <w:right w:val="nil"/>
            </w:tcBorders>
            <w:noWrap w:val="0"/>
            <w:vAlign w:val="center"/>
          </w:tcPr>
          <w:p w14:paraId="6E51AE8E">
            <w:pPr>
              <w:keepNext w:val="0"/>
              <w:keepLines w:val="0"/>
              <w:pageBreakBefore w:val="0"/>
              <w:widowControl w:val="0"/>
              <w:shd w:val="clear" w:color="auto" w:fill="auto"/>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2022年10月26日</w:t>
            </w:r>
          </w:p>
        </w:tc>
      </w:tr>
    </w:tbl>
    <w:p w14:paraId="4FA459C6">
      <w:pPr>
        <w:keepNext w:val="0"/>
        <w:keepLines w:val="0"/>
        <w:pageBreakBefore w:val="0"/>
        <w:widowControl w:val="0"/>
        <w:shd w:val="clear" w:color="auto" w:fill="auto"/>
        <w:kinsoku/>
        <w:wordWrap/>
        <w:overflowPunct/>
        <w:topLinePunct w:val="0"/>
        <w:autoSpaceDE/>
        <w:autoSpaceDN/>
        <w:bidi w:val="0"/>
        <w:snapToGrid w:val="0"/>
        <w:spacing w:line="500" w:lineRule="exact"/>
        <w:ind w:firstLine="482"/>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南区污水处理厂污水提升泵站建设情况见下表：</w:t>
      </w:r>
    </w:p>
    <w:p w14:paraId="39446876">
      <w:pPr>
        <w:pStyle w:val="5"/>
        <w:keepNext w:val="0"/>
        <w:keepLines w:val="0"/>
        <w:pageBreakBefore w:val="0"/>
        <w:widowControl w:val="0"/>
        <w:numPr>
          <w:ilvl w:val="4"/>
          <w:numId w:val="0"/>
        </w:numPr>
        <w:shd w:val="clear" w:color="auto" w:fill="auto"/>
        <w:tabs>
          <w:tab w:val="left" w:pos="420"/>
          <w:tab w:val="clear" w:pos="431"/>
        </w:tabs>
        <w:kinsoku/>
        <w:wordWrap/>
        <w:overflowPunct/>
        <w:topLinePunct w:val="0"/>
        <w:autoSpaceDE/>
        <w:autoSpaceDN/>
        <w:bidi w:val="0"/>
        <w:adjustRightInd w:val="0"/>
        <w:snapToGrid w:val="0"/>
        <w:spacing w:line="240" w:lineRule="auto"/>
        <w:ind w:leftChars="0"/>
        <w:jc w:val="center"/>
        <w:textAlignment w:val="auto"/>
        <w:rPr>
          <w:rFonts w:hint="default" w:ascii="Times New Roman" w:hAnsi="Times New Roman" w:eastAsia="宋体" w:cs="Times New Roman"/>
          <w:b/>
          <w:bCs/>
          <w:snapToGrid w:val="0"/>
          <w:color w:val="auto"/>
          <w:spacing w:val="-9"/>
          <w:kern w:val="0"/>
          <w:sz w:val="24"/>
          <w:szCs w:val="24"/>
          <w:highlight w:val="none"/>
          <w:lang w:val="en-US" w:eastAsia="zh-CN" w:bidi="ar-SA"/>
        </w:rPr>
      </w:pPr>
      <w:r>
        <w:rPr>
          <w:rFonts w:hint="default" w:ascii="Times New Roman" w:hAnsi="Times New Roman" w:eastAsia="宋体" w:cs="Times New Roman"/>
          <w:b/>
          <w:bCs/>
          <w:color w:val="auto"/>
          <w:spacing w:val="-9"/>
          <w:sz w:val="24"/>
          <w:szCs w:val="24"/>
          <w:highlight w:val="none"/>
          <w:lang w:val="en-US" w:eastAsia="zh-CN"/>
        </w:rPr>
        <w:t>表6.4-</w:t>
      </w:r>
      <w:r>
        <w:rPr>
          <w:rFonts w:hint="eastAsia" w:ascii="Times New Roman" w:hAnsi="Times New Roman" w:eastAsia="宋体" w:cs="Times New Roman"/>
          <w:b/>
          <w:bCs/>
          <w:color w:val="auto"/>
          <w:spacing w:val="-9"/>
          <w:sz w:val="24"/>
          <w:szCs w:val="24"/>
          <w:highlight w:val="none"/>
          <w:lang w:val="en-US" w:eastAsia="zh-CN"/>
        </w:rPr>
        <w:t>6</w:t>
      </w:r>
      <w:r>
        <w:rPr>
          <w:rFonts w:hint="default" w:ascii="Times New Roman" w:hAnsi="Times New Roman" w:eastAsia="宋体" w:cs="Times New Roman"/>
          <w:b/>
          <w:bCs/>
          <w:color w:val="auto"/>
          <w:spacing w:val="-9"/>
          <w:sz w:val="24"/>
          <w:szCs w:val="24"/>
          <w:highlight w:val="none"/>
          <w:lang w:val="en-US" w:eastAsia="zh-CN"/>
        </w:rPr>
        <w:t xml:space="preserve">  </w:t>
      </w:r>
      <w:r>
        <w:rPr>
          <w:rFonts w:hint="default" w:ascii="Times New Roman" w:hAnsi="Times New Roman" w:eastAsia="宋体" w:cs="Times New Roman"/>
          <w:b/>
          <w:bCs/>
          <w:snapToGrid w:val="0"/>
          <w:color w:val="auto"/>
          <w:spacing w:val="-9"/>
          <w:kern w:val="0"/>
          <w:sz w:val="24"/>
          <w:szCs w:val="24"/>
          <w:highlight w:val="none"/>
          <w:lang w:val="en-US" w:eastAsia="zh-CN" w:bidi="ar-SA"/>
        </w:rPr>
        <w:t>南区污水处理厂污水提升泵站一览表</w:t>
      </w:r>
      <w:bookmarkStart w:id="1785" w:name="pindex12395"/>
      <w:bookmarkEnd w:id="1785"/>
    </w:p>
    <w:tbl>
      <w:tblPr>
        <w:tblStyle w:val="20"/>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1808"/>
        <w:gridCol w:w="1506"/>
        <w:gridCol w:w="1971"/>
        <w:gridCol w:w="2672"/>
      </w:tblGrid>
      <w:tr w14:paraId="31BFD0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402" w:type="pct"/>
            <w:tcBorders>
              <w:tl2br w:val="nil"/>
              <w:tr2bl w:val="nil"/>
            </w:tcBorders>
            <w:noWrap w:val="0"/>
            <w:vAlign w:val="center"/>
          </w:tcPr>
          <w:p w14:paraId="1FF9D07B">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1044" w:type="pct"/>
            <w:tcBorders>
              <w:tl2br w:val="nil"/>
              <w:tr2bl w:val="nil"/>
            </w:tcBorders>
            <w:noWrap w:val="0"/>
            <w:vAlign w:val="center"/>
          </w:tcPr>
          <w:p w14:paraId="4EB09C48">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870" w:type="pct"/>
            <w:tcBorders>
              <w:tl2br w:val="nil"/>
              <w:tr2bl w:val="nil"/>
            </w:tcBorders>
            <w:noWrap w:val="0"/>
            <w:vAlign w:val="center"/>
          </w:tcPr>
          <w:p w14:paraId="59A3C83C">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规模</w:t>
            </w:r>
          </w:p>
          <w:p w14:paraId="3098A5D7">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（万m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/d）</w:t>
            </w:r>
          </w:p>
        </w:tc>
        <w:tc>
          <w:tcPr>
            <w:tcW w:w="1138" w:type="pct"/>
            <w:tcBorders>
              <w:tl2br w:val="nil"/>
              <w:tr2bl w:val="nil"/>
            </w:tcBorders>
            <w:noWrap w:val="0"/>
            <w:vAlign w:val="center"/>
          </w:tcPr>
          <w:p w14:paraId="3915E84A">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位置</w:t>
            </w:r>
          </w:p>
        </w:tc>
        <w:tc>
          <w:tcPr>
            <w:tcW w:w="1543" w:type="pct"/>
            <w:tcBorders>
              <w:tl2br w:val="nil"/>
              <w:tr2bl w:val="nil"/>
            </w:tcBorders>
            <w:noWrap w:val="0"/>
            <w:vAlign w:val="center"/>
          </w:tcPr>
          <w:p w14:paraId="5AC596E8">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所属污水系统</w:t>
            </w:r>
          </w:p>
        </w:tc>
      </w:tr>
      <w:tr w14:paraId="418FD8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tcBorders>
              <w:tl2br w:val="nil"/>
              <w:tr2bl w:val="nil"/>
            </w:tcBorders>
            <w:noWrap w:val="0"/>
            <w:vAlign w:val="center"/>
          </w:tcPr>
          <w:p w14:paraId="3E363D40">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w:t>
            </w:r>
          </w:p>
        </w:tc>
        <w:tc>
          <w:tcPr>
            <w:tcW w:w="1044" w:type="pct"/>
            <w:tcBorders>
              <w:tl2br w:val="nil"/>
              <w:tr2bl w:val="nil"/>
            </w:tcBorders>
            <w:noWrap w:val="0"/>
            <w:vAlign w:val="center"/>
          </w:tcPr>
          <w:p w14:paraId="6B1AD3B2">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开发区4#污水泵站</w:t>
            </w:r>
          </w:p>
        </w:tc>
        <w:tc>
          <w:tcPr>
            <w:tcW w:w="870" w:type="pct"/>
            <w:tcBorders>
              <w:tl2br w:val="nil"/>
              <w:tr2bl w:val="nil"/>
            </w:tcBorders>
            <w:noWrap w:val="0"/>
            <w:vAlign w:val="center"/>
          </w:tcPr>
          <w:p w14:paraId="4F927CAD">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1138" w:type="pct"/>
            <w:tcBorders>
              <w:tl2br w:val="nil"/>
              <w:tr2bl w:val="nil"/>
            </w:tcBorders>
            <w:noWrap w:val="0"/>
            <w:vAlign w:val="center"/>
          </w:tcPr>
          <w:p w14:paraId="58AA0FCB">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九竹路以南</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殷华街以西</w:t>
            </w:r>
          </w:p>
        </w:tc>
        <w:tc>
          <w:tcPr>
            <w:tcW w:w="1543" w:type="pct"/>
            <w:tcBorders>
              <w:tl2br w:val="nil"/>
              <w:tr2bl w:val="nil"/>
            </w:tcBorders>
            <w:noWrap w:val="0"/>
            <w:vAlign w:val="center"/>
          </w:tcPr>
          <w:p w14:paraId="4322EA44">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排入高新区、南区污水处理厂</w:t>
            </w:r>
          </w:p>
        </w:tc>
      </w:tr>
      <w:tr w14:paraId="5442F5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tcBorders>
              <w:tl2br w:val="nil"/>
              <w:tr2bl w:val="nil"/>
            </w:tcBorders>
            <w:noWrap w:val="0"/>
            <w:vAlign w:val="center"/>
          </w:tcPr>
          <w:p w14:paraId="05FAD61B">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1044" w:type="pct"/>
            <w:tcBorders>
              <w:tl2br w:val="nil"/>
              <w:tr2bl w:val="nil"/>
            </w:tcBorders>
            <w:noWrap w:val="0"/>
            <w:vAlign w:val="center"/>
          </w:tcPr>
          <w:p w14:paraId="257E7F8E">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开发区1#污水泵站</w:t>
            </w:r>
          </w:p>
        </w:tc>
        <w:tc>
          <w:tcPr>
            <w:tcW w:w="870" w:type="pct"/>
            <w:tcBorders>
              <w:tl2br w:val="nil"/>
              <w:tr2bl w:val="nil"/>
            </w:tcBorders>
            <w:noWrap w:val="0"/>
            <w:vAlign w:val="center"/>
          </w:tcPr>
          <w:p w14:paraId="1DAC79EF">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1138" w:type="pct"/>
            <w:tcBorders>
              <w:tl2br w:val="nil"/>
              <w:tr2bl w:val="nil"/>
            </w:tcBorders>
            <w:noWrap w:val="0"/>
            <w:vAlign w:val="center"/>
          </w:tcPr>
          <w:p w14:paraId="0714EA2F">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马浦街和天元西路交界处</w:t>
            </w:r>
          </w:p>
        </w:tc>
        <w:tc>
          <w:tcPr>
            <w:tcW w:w="1543" w:type="pct"/>
            <w:tcBorders>
              <w:tl2br w:val="nil"/>
              <w:tr2bl w:val="nil"/>
            </w:tcBorders>
            <w:noWrap w:val="0"/>
            <w:vAlign w:val="center"/>
          </w:tcPr>
          <w:p w14:paraId="45F01826">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排入开发区</w:t>
            </w:r>
            <w:r>
              <w:rPr>
                <w:rFonts w:hint="eastAsia" w:ascii="Times New Roman" w:hAnsi="Times New Roman" w:eastAsia="宋体" w:cs="Times New Roman"/>
                <w:i w:val="0"/>
                <w:iCs w:val="0"/>
                <w:color w:val="auto"/>
                <w:kern w:val="0"/>
                <w:sz w:val="21"/>
                <w:szCs w:val="21"/>
                <w:highlight w:val="none"/>
                <w:u w:val="none"/>
                <w:lang w:val="en-US" w:eastAsia="zh-CN" w:bidi="ar"/>
              </w:rPr>
              <w:t>5#污水泵站</w:t>
            </w:r>
          </w:p>
        </w:tc>
      </w:tr>
      <w:tr w14:paraId="7BA034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402" w:type="pct"/>
            <w:tcBorders>
              <w:tl2br w:val="nil"/>
              <w:tr2bl w:val="nil"/>
            </w:tcBorders>
            <w:noWrap w:val="0"/>
            <w:vAlign w:val="center"/>
          </w:tcPr>
          <w:p w14:paraId="3FAC8D0D">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w:t>
            </w:r>
          </w:p>
        </w:tc>
        <w:tc>
          <w:tcPr>
            <w:tcW w:w="1044" w:type="pct"/>
            <w:tcBorders>
              <w:tl2br w:val="nil"/>
              <w:tr2bl w:val="nil"/>
            </w:tcBorders>
            <w:noWrap w:val="0"/>
            <w:vAlign w:val="center"/>
          </w:tcPr>
          <w:p w14:paraId="20DC0AB6">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开发区</w:t>
            </w:r>
            <w:r>
              <w:rPr>
                <w:rFonts w:hint="eastAsia" w:ascii="Times New Roman" w:hAnsi="Times New Roman" w:eastAsia="宋体" w:cs="Times New Roman"/>
                <w:i w:val="0"/>
                <w:iCs w:val="0"/>
                <w:color w:val="auto"/>
                <w:kern w:val="0"/>
                <w:sz w:val="21"/>
                <w:szCs w:val="21"/>
                <w:highlight w:val="none"/>
                <w:u w:val="none"/>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#污水泵站</w:t>
            </w:r>
          </w:p>
        </w:tc>
        <w:tc>
          <w:tcPr>
            <w:tcW w:w="870" w:type="pct"/>
            <w:tcBorders>
              <w:tl2br w:val="nil"/>
              <w:tr2bl w:val="nil"/>
            </w:tcBorders>
            <w:noWrap w:val="0"/>
            <w:vAlign w:val="center"/>
          </w:tcPr>
          <w:p w14:paraId="197BD2CD">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9</w:t>
            </w:r>
          </w:p>
        </w:tc>
        <w:tc>
          <w:tcPr>
            <w:tcW w:w="1138" w:type="pct"/>
            <w:tcBorders>
              <w:tl2br w:val="nil"/>
              <w:tr2bl w:val="nil"/>
            </w:tcBorders>
            <w:noWrap w:val="0"/>
            <w:vAlign w:val="center"/>
          </w:tcPr>
          <w:p w14:paraId="098ADFB0">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佛城东路，开发区垃圾中转站处</w:t>
            </w:r>
          </w:p>
        </w:tc>
        <w:tc>
          <w:tcPr>
            <w:tcW w:w="1543" w:type="pct"/>
            <w:tcBorders>
              <w:tl2br w:val="nil"/>
              <w:tr2bl w:val="nil"/>
            </w:tcBorders>
            <w:noWrap w:val="0"/>
            <w:vAlign w:val="center"/>
          </w:tcPr>
          <w:p w14:paraId="662C26ED">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排入开发区</w:t>
            </w:r>
            <w:r>
              <w:rPr>
                <w:rFonts w:hint="eastAsia" w:ascii="Times New Roman" w:hAnsi="Times New Roman" w:eastAsia="宋体" w:cs="Times New Roman"/>
                <w:i w:val="0"/>
                <w:iCs w:val="0"/>
                <w:color w:val="auto"/>
                <w:kern w:val="0"/>
                <w:sz w:val="21"/>
                <w:szCs w:val="21"/>
                <w:highlight w:val="none"/>
                <w:u w:val="none"/>
                <w:lang w:val="en-US" w:eastAsia="zh-CN" w:bidi="ar"/>
              </w:rPr>
              <w:t>5#污水泵站</w:t>
            </w:r>
          </w:p>
        </w:tc>
      </w:tr>
      <w:tr w14:paraId="798186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tcBorders>
              <w:tl2br w:val="nil"/>
              <w:tr2bl w:val="nil"/>
            </w:tcBorders>
            <w:noWrap w:val="0"/>
            <w:vAlign w:val="center"/>
          </w:tcPr>
          <w:p w14:paraId="0573202D">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1044" w:type="pct"/>
            <w:tcBorders>
              <w:tl2br w:val="nil"/>
              <w:tr2bl w:val="nil"/>
            </w:tcBorders>
            <w:noWrap w:val="0"/>
            <w:vAlign w:val="center"/>
          </w:tcPr>
          <w:p w14:paraId="192E54E8">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开发区</w:t>
            </w:r>
            <w:r>
              <w:rPr>
                <w:rFonts w:hint="eastAsia" w:ascii="Times New Roman" w:hAnsi="Times New Roman" w:eastAsia="宋体"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#污水泵站</w:t>
            </w:r>
          </w:p>
        </w:tc>
        <w:tc>
          <w:tcPr>
            <w:tcW w:w="870" w:type="pct"/>
            <w:tcBorders>
              <w:tl2br w:val="nil"/>
              <w:tr2bl w:val="nil"/>
            </w:tcBorders>
            <w:noWrap w:val="0"/>
            <w:vAlign w:val="center"/>
          </w:tcPr>
          <w:p w14:paraId="5EE078EA">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1138" w:type="pct"/>
            <w:tcBorders>
              <w:tl2br w:val="nil"/>
              <w:tr2bl w:val="nil"/>
            </w:tcBorders>
            <w:noWrap w:val="0"/>
            <w:vAlign w:val="center"/>
          </w:tcPr>
          <w:p w14:paraId="4C6A4CAE">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苏源大道不过牛首河桥西南角</w:t>
            </w:r>
          </w:p>
        </w:tc>
        <w:tc>
          <w:tcPr>
            <w:tcW w:w="1543" w:type="pct"/>
            <w:tcBorders>
              <w:tl2br w:val="nil"/>
              <w:tr2bl w:val="nil"/>
            </w:tcBorders>
            <w:noWrap w:val="0"/>
            <w:vAlign w:val="center"/>
          </w:tcPr>
          <w:p w14:paraId="0956544C">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排入开发区</w:t>
            </w:r>
            <w:r>
              <w:rPr>
                <w:rFonts w:hint="eastAsia" w:ascii="Times New Roman" w:hAnsi="Times New Roman" w:eastAsia="宋体" w:cs="Times New Roman"/>
                <w:i w:val="0"/>
                <w:iCs w:val="0"/>
                <w:color w:val="auto"/>
                <w:kern w:val="0"/>
                <w:sz w:val="21"/>
                <w:szCs w:val="21"/>
                <w:highlight w:val="none"/>
                <w:u w:val="none"/>
                <w:lang w:val="en-US" w:eastAsia="zh-CN" w:bidi="ar"/>
              </w:rPr>
              <w:t>4#污水泵站</w:t>
            </w:r>
          </w:p>
        </w:tc>
      </w:tr>
      <w:tr w14:paraId="53F072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2" w:type="pct"/>
            <w:tcBorders>
              <w:tl2br w:val="nil"/>
              <w:tr2bl w:val="nil"/>
            </w:tcBorders>
            <w:noWrap w:val="0"/>
            <w:vAlign w:val="center"/>
          </w:tcPr>
          <w:p w14:paraId="353FA4ED">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w:t>
            </w:r>
          </w:p>
        </w:tc>
        <w:tc>
          <w:tcPr>
            <w:tcW w:w="1044" w:type="pct"/>
            <w:tcBorders>
              <w:tl2br w:val="nil"/>
              <w:tr2bl w:val="nil"/>
            </w:tcBorders>
            <w:noWrap w:val="0"/>
            <w:vAlign w:val="center"/>
          </w:tcPr>
          <w:p w14:paraId="27F857A7">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南旺沟泵站</w:t>
            </w:r>
          </w:p>
        </w:tc>
        <w:tc>
          <w:tcPr>
            <w:tcW w:w="870" w:type="pct"/>
            <w:tcBorders>
              <w:tl2br w:val="nil"/>
              <w:tr2bl w:val="nil"/>
            </w:tcBorders>
            <w:noWrap w:val="0"/>
            <w:vAlign w:val="center"/>
          </w:tcPr>
          <w:p w14:paraId="41C7C07C">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1138" w:type="pct"/>
            <w:tcBorders>
              <w:tl2br w:val="nil"/>
              <w:tr2bl w:val="nil"/>
            </w:tcBorders>
            <w:noWrap w:val="0"/>
            <w:vAlign w:val="center"/>
          </w:tcPr>
          <w:p w14:paraId="0CD0E79C">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南区污水处理厂南面</w:t>
            </w:r>
          </w:p>
        </w:tc>
        <w:tc>
          <w:tcPr>
            <w:tcW w:w="1543" w:type="pct"/>
            <w:tcBorders>
              <w:tl2br w:val="nil"/>
              <w:tr2bl w:val="nil"/>
            </w:tcBorders>
            <w:noWrap w:val="0"/>
            <w:vAlign w:val="center"/>
          </w:tcPr>
          <w:p w14:paraId="0596DFD5">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排入南区</w:t>
            </w:r>
            <w:r>
              <w:rPr>
                <w:rFonts w:hint="eastAsia" w:ascii="Times New Roman" w:hAnsi="Times New Roman" w:eastAsia="宋体" w:cs="Times New Roman"/>
                <w:i w:val="0"/>
                <w:iCs w:val="0"/>
                <w:color w:val="auto"/>
                <w:kern w:val="0"/>
                <w:sz w:val="21"/>
                <w:szCs w:val="21"/>
                <w:highlight w:val="none"/>
                <w:u w:val="none"/>
                <w:lang w:val="en-US" w:eastAsia="zh-CN" w:bidi="ar"/>
              </w:rPr>
              <w:t>污水处理厂（未来科技城片区）</w:t>
            </w:r>
          </w:p>
        </w:tc>
      </w:tr>
    </w:tbl>
    <w:p w14:paraId="5DADC54A">
      <w:pPr>
        <w:pStyle w:val="5"/>
        <w:keepNext w:val="0"/>
        <w:keepLines w:val="0"/>
        <w:pageBreakBefore w:val="0"/>
        <w:widowControl w:val="0"/>
        <w:numPr>
          <w:ilvl w:val="4"/>
          <w:numId w:val="0"/>
        </w:numPr>
        <w:shd w:val="clear" w:color="auto" w:fill="auto"/>
        <w:tabs>
          <w:tab w:val="left" w:pos="420"/>
          <w:tab w:val="clear" w:pos="431"/>
        </w:tabs>
        <w:kinsoku/>
        <w:wordWrap/>
        <w:overflowPunct/>
        <w:topLinePunct w:val="0"/>
        <w:autoSpaceDE/>
        <w:autoSpaceDN/>
        <w:bidi w:val="0"/>
        <w:adjustRightInd w:val="0"/>
        <w:snapToGrid w:val="0"/>
        <w:spacing w:line="240" w:lineRule="auto"/>
        <w:ind w:leftChars="0"/>
        <w:jc w:val="center"/>
        <w:textAlignment w:val="auto"/>
        <w:rPr>
          <w:rFonts w:hint="eastAsia" w:ascii="Times New Roman" w:hAnsi="Times New Roman" w:eastAsia="宋体" w:cs="Times New Roman"/>
          <w:b/>
          <w:bCs/>
          <w:color w:val="auto"/>
          <w:spacing w:val="-9"/>
          <w:sz w:val="24"/>
          <w:szCs w:val="24"/>
          <w:highlight w:val="none"/>
          <w:lang w:val="en-US" w:eastAsia="zh-CN"/>
        </w:rPr>
      </w:pPr>
      <w:bookmarkStart w:id="1786" w:name="sys12427030"/>
      <w:r>
        <w:rPr>
          <w:rFonts w:hint="default" w:ascii="Times New Roman" w:hAnsi="Times New Roman" w:eastAsia="宋体" w:cs="Times New Roman"/>
          <w:b/>
          <w:bCs/>
          <w:color w:val="auto"/>
          <w:spacing w:val="-9"/>
          <w:sz w:val="24"/>
          <w:szCs w:val="24"/>
          <w:highlight w:val="none"/>
          <w:lang w:val="en-US" w:eastAsia="zh-CN"/>
        </w:rPr>
        <w:t>表6.4-</w:t>
      </w:r>
      <w:r>
        <w:rPr>
          <w:rFonts w:hint="eastAsia" w:ascii="Times New Roman" w:hAnsi="Times New Roman" w:eastAsia="宋体" w:cs="Times New Roman"/>
          <w:b/>
          <w:bCs/>
          <w:color w:val="auto"/>
          <w:spacing w:val="-9"/>
          <w:sz w:val="24"/>
          <w:szCs w:val="24"/>
          <w:highlight w:val="none"/>
          <w:lang w:val="en-US" w:eastAsia="zh-CN"/>
        </w:rPr>
        <w:t>7</w:t>
      </w:r>
      <w:r>
        <w:rPr>
          <w:rFonts w:hint="default" w:ascii="Times New Roman" w:hAnsi="Times New Roman" w:eastAsia="宋体" w:cs="Times New Roman"/>
          <w:b/>
          <w:bCs/>
          <w:color w:val="auto"/>
          <w:spacing w:val="-9"/>
          <w:sz w:val="24"/>
          <w:szCs w:val="24"/>
          <w:highlight w:val="none"/>
          <w:lang w:val="en-US" w:eastAsia="zh-CN"/>
        </w:rPr>
        <w:t xml:space="preserve">  </w:t>
      </w:r>
      <w:r>
        <w:rPr>
          <w:rFonts w:hint="eastAsia" w:ascii="Times New Roman" w:hAnsi="Times New Roman" w:eastAsia="宋体" w:cs="Times New Roman"/>
          <w:b/>
          <w:bCs/>
          <w:color w:val="auto"/>
          <w:spacing w:val="-9"/>
          <w:sz w:val="24"/>
          <w:szCs w:val="24"/>
          <w:highlight w:val="none"/>
          <w:lang w:val="en-US" w:eastAsia="zh-CN"/>
        </w:rPr>
        <w:t>南区污水处理厂接管及尾水排放标准  mg/L</w:t>
      </w:r>
      <w:bookmarkEnd w:id="1786"/>
      <w:bookmarkStart w:id="1787" w:name="pindex12427"/>
      <w:bookmarkEnd w:id="1787"/>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1947"/>
        <w:gridCol w:w="1880"/>
        <w:gridCol w:w="1885"/>
        <w:gridCol w:w="2156"/>
      </w:tblGrid>
      <w:tr w14:paraId="366DBC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57" w:type="pct"/>
            <w:vMerge w:val="restart"/>
            <w:tcBorders>
              <w:tl2br w:val="nil"/>
              <w:tr2bl w:val="nil"/>
            </w:tcBorders>
            <w:noWrap w:val="0"/>
            <w:vAlign w:val="center"/>
          </w:tcPr>
          <w:p w14:paraId="7DA5FB47">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序号</w:t>
            </w:r>
          </w:p>
        </w:tc>
        <w:tc>
          <w:tcPr>
            <w:tcW w:w="1124" w:type="pct"/>
            <w:vMerge w:val="restart"/>
            <w:tcBorders>
              <w:tl2br w:val="nil"/>
              <w:tr2bl w:val="nil"/>
            </w:tcBorders>
            <w:noWrap w:val="0"/>
            <w:vAlign w:val="center"/>
          </w:tcPr>
          <w:p w14:paraId="4B2627C5">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项目</w:t>
            </w:r>
          </w:p>
        </w:tc>
        <w:tc>
          <w:tcPr>
            <w:tcW w:w="2173" w:type="pct"/>
            <w:gridSpan w:val="2"/>
            <w:tcBorders>
              <w:tl2br w:val="nil"/>
              <w:tr2bl w:val="nil"/>
            </w:tcBorders>
            <w:noWrap w:val="0"/>
            <w:vAlign w:val="center"/>
          </w:tcPr>
          <w:p w14:paraId="3013B24F">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接管标准</w:t>
            </w:r>
          </w:p>
        </w:tc>
        <w:tc>
          <w:tcPr>
            <w:tcW w:w="1244" w:type="pct"/>
            <w:vMerge w:val="restart"/>
            <w:tcBorders>
              <w:tl2br w:val="nil"/>
              <w:tr2bl w:val="nil"/>
            </w:tcBorders>
            <w:noWrap w:val="0"/>
            <w:vAlign w:val="center"/>
          </w:tcPr>
          <w:p w14:paraId="06DB0AB4">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尾水排放标准</w:t>
            </w:r>
          </w:p>
        </w:tc>
      </w:tr>
      <w:tr w14:paraId="7115FF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vMerge w:val="continue"/>
            <w:tcBorders>
              <w:tl2br w:val="nil"/>
              <w:tr2bl w:val="nil"/>
            </w:tcBorders>
            <w:noWrap w:val="0"/>
            <w:vAlign w:val="center"/>
          </w:tcPr>
          <w:p w14:paraId="27E6A3CD">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bCs/>
                <w:i w:val="0"/>
                <w:iCs w:val="0"/>
                <w:color w:val="auto"/>
                <w:kern w:val="0"/>
                <w:sz w:val="21"/>
                <w:szCs w:val="21"/>
                <w:highlight w:val="none"/>
                <w:u w:val="none"/>
                <w:lang w:val="en-US" w:eastAsia="zh-CN" w:bidi="ar"/>
              </w:rPr>
            </w:pPr>
          </w:p>
        </w:tc>
        <w:tc>
          <w:tcPr>
            <w:tcW w:w="1124" w:type="pct"/>
            <w:vMerge w:val="continue"/>
            <w:tcBorders>
              <w:tl2br w:val="nil"/>
              <w:tr2bl w:val="nil"/>
            </w:tcBorders>
            <w:noWrap w:val="0"/>
            <w:vAlign w:val="center"/>
          </w:tcPr>
          <w:p w14:paraId="6ACF1D9F">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bCs/>
                <w:i w:val="0"/>
                <w:iCs w:val="0"/>
                <w:color w:val="auto"/>
                <w:kern w:val="0"/>
                <w:sz w:val="21"/>
                <w:szCs w:val="21"/>
                <w:highlight w:val="none"/>
                <w:u w:val="none"/>
                <w:lang w:val="en-US" w:eastAsia="zh-CN" w:bidi="ar"/>
              </w:rPr>
            </w:pPr>
          </w:p>
        </w:tc>
        <w:tc>
          <w:tcPr>
            <w:tcW w:w="1085" w:type="pct"/>
            <w:tcBorders>
              <w:tl2br w:val="nil"/>
              <w:tr2bl w:val="nil"/>
            </w:tcBorders>
            <w:noWrap w:val="0"/>
            <w:vAlign w:val="center"/>
          </w:tcPr>
          <w:p w14:paraId="26DDC0C5">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一二期</w:t>
            </w:r>
          </w:p>
        </w:tc>
        <w:tc>
          <w:tcPr>
            <w:tcW w:w="1088" w:type="pct"/>
            <w:tcBorders>
              <w:tl2br w:val="nil"/>
              <w:tr2bl w:val="nil"/>
            </w:tcBorders>
            <w:noWrap w:val="0"/>
            <w:vAlign w:val="center"/>
          </w:tcPr>
          <w:p w14:paraId="32D0F7A2">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bCs/>
                <w:i w:val="0"/>
                <w:iCs w:val="0"/>
                <w:color w:val="auto"/>
                <w:kern w:val="0"/>
                <w:sz w:val="21"/>
                <w:szCs w:val="21"/>
                <w:highlight w:val="none"/>
                <w:u w:val="none"/>
                <w:lang w:val="en-US" w:eastAsia="zh-CN" w:bidi="ar"/>
              </w:rPr>
              <w:t>三期</w:t>
            </w:r>
          </w:p>
        </w:tc>
        <w:tc>
          <w:tcPr>
            <w:tcW w:w="1244" w:type="pct"/>
            <w:vMerge w:val="continue"/>
            <w:tcBorders>
              <w:tl2br w:val="nil"/>
              <w:tr2bl w:val="nil"/>
            </w:tcBorders>
            <w:noWrap w:val="0"/>
            <w:vAlign w:val="center"/>
          </w:tcPr>
          <w:p w14:paraId="17417E05">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bCs/>
                <w:i w:val="0"/>
                <w:iCs w:val="0"/>
                <w:color w:val="auto"/>
                <w:kern w:val="0"/>
                <w:sz w:val="21"/>
                <w:szCs w:val="21"/>
                <w:highlight w:val="none"/>
                <w:u w:val="none"/>
                <w:lang w:val="en-US" w:eastAsia="zh-CN" w:bidi="ar"/>
              </w:rPr>
            </w:pPr>
          </w:p>
        </w:tc>
      </w:tr>
      <w:tr w14:paraId="6EEE1C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tcBorders>
              <w:tl2br w:val="nil"/>
              <w:tr2bl w:val="nil"/>
            </w:tcBorders>
            <w:noWrap w:val="0"/>
            <w:vAlign w:val="center"/>
          </w:tcPr>
          <w:p w14:paraId="41C42AE6">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w:t>
            </w:r>
          </w:p>
        </w:tc>
        <w:tc>
          <w:tcPr>
            <w:tcW w:w="1124" w:type="pct"/>
            <w:tcBorders>
              <w:tl2br w:val="nil"/>
              <w:tr2bl w:val="nil"/>
            </w:tcBorders>
            <w:noWrap w:val="0"/>
            <w:vAlign w:val="center"/>
          </w:tcPr>
          <w:p w14:paraId="000147D4">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pH值</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（无量纲）</w:t>
            </w:r>
          </w:p>
        </w:tc>
        <w:tc>
          <w:tcPr>
            <w:tcW w:w="1085" w:type="pct"/>
            <w:tcBorders>
              <w:tl2br w:val="nil"/>
              <w:tr2bl w:val="nil"/>
            </w:tcBorders>
            <w:noWrap w:val="0"/>
            <w:vAlign w:val="center"/>
          </w:tcPr>
          <w:p w14:paraId="5A7FB358">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6-9</w:t>
            </w:r>
          </w:p>
        </w:tc>
        <w:tc>
          <w:tcPr>
            <w:tcW w:w="1088" w:type="pct"/>
            <w:tcBorders>
              <w:tl2br w:val="nil"/>
              <w:tr2bl w:val="nil"/>
            </w:tcBorders>
            <w:noWrap w:val="0"/>
            <w:vAlign w:val="center"/>
          </w:tcPr>
          <w:p w14:paraId="21EFF71E">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6-9</w:t>
            </w:r>
          </w:p>
        </w:tc>
        <w:tc>
          <w:tcPr>
            <w:tcW w:w="1244" w:type="pct"/>
            <w:tcBorders>
              <w:tl2br w:val="nil"/>
              <w:tr2bl w:val="nil"/>
            </w:tcBorders>
            <w:noWrap w:val="0"/>
            <w:vAlign w:val="center"/>
          </w:tcPr>
          <w:p w14:paraId="675F1411">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r>
      <w:tr w14:paraId="6B771F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tcBorders>
              <w:tl2br w:val="nil"/>
              <w:tr2bl w:val="nil"/>
            </w:tcBorders>
            <w:noWrap w:val="0"/>
            <w:vAlign w:val="center"/>
          </w:tcPr>
          <w:p w14:paraId="15652BC8">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1124" w:type="pct"/>
            <w:tcBorders>
              <w:tl2br w:val="nil"/>
              <w:tr2bl w:val="nil"/>
            </w:tcBorders>
            <w:noWrap w:val="0"/>
            <w:vAlign w:val="center"/>
          </w:tcPr>
          <w:p w14:paraId="415FA705">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COD</w:t>
            </w:r>
          </w:p>
        </w:tc>
        <w:tc>
          <w:tcPr>
            <w:tcW w:w="1085" w:type="pct"/>
            <w:tcBorders>
              <w:tl2br w:val="nil"/>
              <w:tr2bl w:val="nil"/>
            </w:tcBorders>
            <w:noWrap w:val="0"/>
            <w:vAlign w:val="center"/>
          </w:tcPr>
          <w:p w14:paraId="2DD3346A">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500</w:t>
            </w:r>
          </w:p>
        </w:tc>
        <w:tc>
          <w:tcPr>
            <w:tcW w:w="1088" w:type="pct"/>
            <w:tcBorders>
              <w:tl2br w:val="nil"/>
              <w:tr2bl w:val="nil"/>
            </w:tcBorders>
            <w:noWrap w:val="0"/>
            <w:vAlign w:val="center"/>
          </w:tcPr>
          <w:p w14:paraId="4229317F">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500</w:t>
            </w:r>
          </w:p>
        </w:tc>
        <w:tc>
          <w:tcPr>
            <w:tcW w:w="1244" w:type="pct"/>
            <w:tcBorders>
              <w:tl2br w:val="nil"/>
              <w:tr2bl w:val="nil"/>
            </w:tcBorders>
            <w:noWrap w:val="0"/>
            <w:vAlign w:val="center"/>
          </w:tcPr>
          <w:p w14:paraId="34B307E0">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30</w:t>
            </w:r>
          </w:p>
        </w:tc>
      </w:tr>
      <w:tr w14:paraId="7D9C18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457" w:type="pct"/>
            <w:tcBorders>
              <w:tl2br w:val="nil"/>
              <w:tr2bl w:val="nil"/>
            </w:tcBorders>
            <w:noWrap w:val="0"/>
            <w:vAlign w:val="center"/>
          </w:tcPr>
          <w:p w14:paraId="031A2820">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w:t>
            </w:r>
          </w:p>
        </w:tc>
        <w:tc>
          <w:tcPr>
            <w:tcW w:w="1124" w:type="pct"/>
            <w:tcBorders>
              <w:tl2br w:val="nil"/>
              <w:tr2bl w:val="nil"/>
            </w:tcBorders>
            <w:noWrap w:val="0"/>
            <w:vAlign w:val="center"/>
          </w:tcPr>
          <w:p w14:paraId="211207E0">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BOD</w:t>
            </w:r>
            <w:r>
              <w:rPr>
                <w:rFonts w:hint="eastAsia" w:ascii="Times New Roman" w:hAnsi="Times New Roman" w:eastAsia="宋体" w:cs="Times New Roman"/>
                <w:b w:val="0"/>
                <w:bCs w:val="0"/>
                <w:i w:val="0"/>
                <w:iCs w:val="0"/>
                <w:color w:val="auto"/>
                <w:kern w:val="0"/>
                <w:sz w:val="21"/>
                <w:szCs w:val="21"/>
                <w:highlight w:val="none"/>
                <w:u w:val="none"/>
                <w:vertAlign w:val="subscript"/>
                <w:lang w:val="en-US" w:eastAsia="zh-CN" w:bidi="ar"/>
              </w:rPr>
              <w:t>5</w:t>
            </w:r>
          </w:p>
        </w:tc>
        <w:tc>
          <w:tcPr>
            <w:tcW w:w="1085" w:type="pct"/>
            <w:tcBorders>
              <w:tl2br w:val="nil"/>
              <w:tr2bl w:val="nil"/>
            </w:tcBorders>
            <w:noWrap w:val="0"/>
            <w:vAlign w:val="center"/>
          </w:tcPr>
          <w:p w14:paraId="0B3FD70B">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350</w:t>
            </w:r>
          </w:p>
        </w:tc>
        <w:tc>
          <w:tcPr>
            <w:tcW w:w="1088" w:type="pct"/>
            <w:tcBorders>
              <w:tl2br w:val="nil"/>
              <w:tr2bl w:val="nil"/>
            </w:tcBorders>
            <w:noWrap w:val="0"/>
            <w:vAlign w:val="center"/>
          </w:tcPr>
          <w:p w14:paraId="5648EF80">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350</w:t>
            </w:r>
          </w:p>
        </w:tc>
        <w:tc>
          <w:tcPr>
            <w:tcW w:w="1244" w:type="pct"/>
            <w:tcBorders>
              <w:tl2br w:val="nil"/>
              <w:tr2bl w:val="nil"/>
            </w:tcBorders>
            <w:noWrap w:val="0"/>
            <w:vAlign w:val="center"/>
          </w:tcPr>
          <w:p w14:paraId="0C6B814C">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6</w:t>
            </w:r>
          </w:p>
        </w:tc>
      </w:tr>
      <w:tr w14:paraId="47D8A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tcBorders>
              <w:tl2br w:val="nil"/>
              <w:tr2bl w:val="nil"/>
            </w:tcBorders>
            <w:noWrap w:val="0"/>
            <w:vAlign w:val="center"/>
          </w:tcPr>
          <w:p w14:paraId="21DE9D1E">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1124" w:type="pct"/>
            <w:tcBorders>
              <w:tl2br w:val="nil"/>
              <w:tr2bl w:val="nil"/>
            </w:tcBorders>
            <w:noWrap w:val="0"/>
            <w:vAlign w:val="center"/>
          </w:tcPr>
          <w:p w14:paraId="0089F03B">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SS</w:t>
            </w:r>
          </w:p>
        </w:tc>
        <w:tc>
          <w:tcPr>
            <w:tcW w:w="1085" w:type="pct"/>
            <w:tcBorders>
              <w:tl2br w:val="nil"/>
              <w:tr2bl w:val="nil"/>
            </w:tcBorders>
            <w:noWrap w:val="0"/>
            <w:vAlign w:val="center"/>
          </w:tcPr>
          <w:p w14:paraId="2127BC4C">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400</w:t>
            </w:r>
          </w:p>
        </w:tc>
        <w:tc>
          <w:tcPr>
            <w:tcW w:w="1088" w:type="pct"/>
            <w:tcBorders>
              <w:tl2br w:val="nil"/>
              <w:tr2bl w:val="nil"/>
            </w:tcBorders>
            <w:noWrap w:val="0"/>
            <w:vAlign w:val="center"/>
          </w:tcPr>
          <w:p w14:paraId="53AAC32D">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400</w:t>
            </w:r>
          </w:p>
        </w:tc>
        <w:tc>
          <w:tcPr>
            <w:tcW w:w="1244" w:type="pct"/>
            <w:tcBorders>
              <w:tl2br w:val="nil"/>
              <w:tr2bl w:val="nil"/>
            </w:tcBorders>
            <w:noWrap w:val="0"/>
            <w:vAlign w:val="center"/>
          </w:tcPr>
          <w:p w14:paraId="218A7369">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w:t>
            </w:r>
          </w:p>
        </w:tc>
      </w:tr>
      <w:tr w14:paraId="4B256F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tcBorders>
              <w:tl2br w:val="nil"/>
              <w:tr2bl w:val="nil"/>
            </w:tcBorders>
            <w:noWrap w:val="0"/>
            <w:vAlign w:val="center"/>
          </w:tcPr>
          <w:p w14:paraId="44438FB3">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w:t>
            </w:r>
          </w:p>
        </w:tc>
        <w:tc>
          <w:tcPr>
            <w:tcW w:w="1124" w:type="pct"/>
            <w:tcBorders>
              <w:tl2br w:val="nil"/>
              <w:tr2bl w:val="nil"/>
            </w:tcBorders>
            <w:noWrap w:val="0"/>
            <w:vAlign w:val="center"/>
          </w:tcPr>
          <w:p w14:paraId="0FBEE630">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NH</w:t>
            </w:r>
            <w:r>
              <w:rPr>
                <w:rFonts w:hint="eastAsia" w:ascii="Times New Roman" w:hAnsi="Times New Roman" w:eastAsia="宋体" w:cs="Times New Roman"/>
                <w:b w:val="0"/>
                <w:bCs w:val="0"/>
                <w:i w:val="0"/>
                <w:iCs w:val="0"/>
                <w:color w:val="auto"/>
                <w:kern w:val="0"/>
                <w:sz w:val="21"/>
                <w:szCs w:val="21"/>
                <w:highlight w:val="none"/>
                <w:u w:val="none"/>
                <w:vertAlign w:val="subscript"/>
                <w:lang w:val="en-US" w:eastAsia="zh-CN" w:bidi="ar"/>
              </w:rPr>
              <w:t>3</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-N</w:t>
            </w:r>
          </w:p>
        </w:tc>
        <w:tc>
          <w:tcPr>
            <w:tcW w:w="1085" w:type="pct"/>
            <w:tcBorders>
              <w:tl2br w:val="nil"/>
              <w:tr2bl w:val="nil"/>
            </w:tcBorders>
            <w:noWrap w:val="0"/>
            <w:vAlign w:val="center"/>
          </w:tcPr>
          <w:p w14:paraId="3A63BEE3">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35</w:t>
            </w:r>
          </w:p>
        </w:tc>
        <w:tc>
          <w:tcPr>
            <w:tcW w:w="1088" w:type="pct"/>
            <w:tcBorders>
              <w:tl2br w:val="nil"/>
              <w:tr2bl w:val="nil"/>
            </w:tcBorders>
            <w:noWrap w:val="0"/>
            <w:vAlign w:val="center"/>
          </w:tcPr>
          <w:p w14:paraId="4DB717D4">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35</w:t>
            </w:r>
          </w:p>
        </w:tc>
        <w:tc>
          <w:tcPr>
            <w:tcW w:w="1244" w:type="pct"/>
            <w:tcBorders>
              <w:tl2br w:val="nil"/>
              <w:tr2bl w:val="nil"/>
            </w:tcBorders>
            <w:noWrap w:val="0"/>
            <w:vAlign w:val="center"/>
          </w:tcPr>
          <w:p w14:paraId="4FAB3E3F">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1.5（3）</w:t>
            </w:r>
          </w:p>
        </w:tc>
      </w:tr>
      <w:tr w14:paraId="6B736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tcBorders>
              <w:tl2br w:val="nil"/>
              <w:tr2bl w:val="nil"/>
            </w:tcBorders>
            <w:noWrap w:val="0"/>
            <w:vAlign w:val="center"/>
          </w:tcPr>
          <w:p w14:paraId="7D52E31B">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6</w:t>
            </w:r>
          </w:p>
        </w:tc>
        <w:tc>
          <w:tcPr>
            <w:tcW w:w="1124" w:type="pct"/>
            <w:tcBorders>
              <w:tl2br w:val="nil"/>
              <w:tr2bl w:val="nil"/>
            </w:tcBorders>
            <w:noWrap w:val="0"/>
            <w:vAlign w:val="center"/>
          </w:tcPr>
          <w:p w14:paraId="2294CB21">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TP</w:t>
            </w:r>
          </w:p>
        </w:tc>
        <w:tc>
          <w:tcPr>
            <w:tcW w:w="1085" w:type="pct"/>
            <w:tcBorders>
              <w:tl2br w:val="nil"/>
              <w:tr2bl w:val="nil"/>
            </w:tcBorders>
            <w:noWrap w:val="0"/>
            <w:vAlign w:val="center"/>
          </w:tcPr>
          <w:p w14:paraId="39C18EBF">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1088" w:type="pct"/>
            <w:tcBorders>
              <w:tl2br w:val="nil"/>
              <w:tr2bl w:val="nil"/>
            </w:tcBorders>
            <w:noWrap w:val="0"/>
            <w:vAlign w:val="center"/>
          </w:tcPr>
          <w:p w14:paraId="4666A4C5">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1244" w:type="pct"/>
            <w:tcBorders>
              <w:tl2br w:val="nil"/>
              <w:tr2bl w:val="nil"/>
            </w:tcBorders>
            <w:noWrap w:val="0"/>
            <w:vAlign w:val="center"/>
          </w:tcPr>
          <w:p w14:paraId="0BC51EEF">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w:t>
            </w:r>
          </w:p>
        </w:tc>
      </w:tr>
      <w:tr w14:paraId="0261C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tcBorders>
              <w:tl2br w:val="nil"/>
              <w:tr2bl w:val="nil"/>
            </w:tcBorders>
            <w:noWrap w:val="0"/>
            <w:vAlign w:val="center"/>
          </w:tcPr>
          <w:p w14:paraId="6A1314F6">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7</w:t>
            </w:r>
          </w:p>
        </w:tc>
        <w:tc>
          <w:tcPr>
            <w:tcW w:w="1124" w:type="pct"/>
            <w:tcBorders>
              <w:tl2br w:val="nil"/>
              <w:tr2bl w:val="nil"/>
            </w:tcBorders>
            <w:noWrap w:val="0"/>
            <w:vAlign w:val="center"/>
          </w:tcPr>
          <w:p w14:paraId="772700C0">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TN</w:t>
            </w:r>
          </w:p>
        </w:tc>
        <w:tc>
          <w:tcPr>
            <w:tcW w:w="1085" w:type="pct"/>
            <w:tcBorders>
              <w:tl2br w:val="nil"/>
              <w:tr2bl w:val="nil"/>
            </w:tcBorders>
            <w:noWrap w:val="0"/>
            <w:vAlign w:val="center"/>
          </w:tcPr>
          <w:p w14:paraId="719C153F">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45</w:t>
            </w:r>
          </w:p>
        </w:tc>
        <w:tc>
          <w:tcPr>
            <w:tcW w:w="1088" w:type="pct"/>
            <w:tcBorders>
              <w:tl2br w:val="nil"/>
              <w:tr2bl w:val="nil"/>
            </w:tcBorders>
            <w:noWrap w:val="0"/>
            <w:vAlign w:val="center"/>
          </w:tcPr>
          <w:p w14:paraId="4C5D7222">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45</w:t>
            </w:r>
          </w:p>
        </w:tc>
        <w:tc>
          <w:tcPr>
            <w:tcW w:w="1244" w:type="pct"/>
            <w:tcBorders>
              <w:tl2br w:val="nil"/>
              <w:tr2bl w:val="nil"/>
            </w:tcBorders>
            <w:noWrap w:val="0"/>
            <w:vAlign w:val="center"/>
          </w:tcPr>
          <w:p w14:paraId="1BE383FF">
            <w:pPr>
              <w:keepNext w:val="0"/>
              <w:keepLines w:val="0"/>
              <w:pageBreakBefore w:val="0"/>
              <w:widowControl/>
              <w:suppressLineNumbers w:val="0"/>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15</w:t>
            </w:r>
          </w:p>
        </w:tc>
      </w:tr>
    </w:tbl>
    <w:p w14:paraId="68205532">
      <w:pPr>
        <w:pageBreakBefore w:val="0"/>
        <w:widowControl w:val="0"/>
        <w:shd w:val="clear" w:color="auto" w:fill="auto"/>
        <w:kinsoku/>
        <w:wordWrap/>
        <w:overflowPunct/>
        <w:topLinePunct w:val="0"/>
        <w:autoSpaceDE/>
        <w:autoSpaceDN/>
        <w:bidi w:val="0"/>
        <w:snapToGrid w:val="0"/>
        <w:spacing w:line="240" w:lineRule="auto"/>
        <w:ind w:firstLine="482"/>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注：根据统计，纳管至南区污水处理厂的企业涉及的</w:t>
      </w:r>
      <w:r>
        <w:rPr>
          <w:rFonts w:hint="default" w:ascii="Times New Roman" w:hAnsi="Times New Roman" w:eastAsia="宋体" w:cs="Times New Roman"/>
          <w:b/>
          <w:bCs/>
          <w:color w:val="auto"/>
          <w:kern w:val="2"/>
          <w:sz w:val="21"/>
          <w:szCs w:val="21"/>
          <w:highlight w:val="none"/>
          <w:lang w:val="en-US" w:eastAsia="zh-CN" w:bidi="ar-SA"/>
        </w:rPr>
        <w:t>特征污染物为</w:t>
      </w:r>
      <w:r>
        <w:rPr>
          <w:rFonts w:hint="eastAsia" w:ascii="Times New Roman" w:hAnsi="Times New Roman" w:eastAsia="宋体" w:cs="Times New Roman"/>
          <w:b/>
          <w:bCs/>
          <w:color w:val="auto"/>
          <w:kern w:val="2"/>
          <w:sz w:val="21"/>
          <w:szCs w:val="21"/>
          <w:highlight w:val="none"/>
          <w:lang w:val="en-US" w:eastAsia="zh-CN" w:bidi="ar-SA"/>
        </w:rPr>
        <w:t>氟化物、总锌、总铜、总镉、总铬、六价铬、总氰化物、总镍、急性毒性、总余氯、甲醛、总银、苯胺，南区污水处理厂对上述因子无接管要求。</w:t>
      </w:r>
      <w:bookmarkStart w:id="1788" w:name="sys124729338"/>
      <w:r>
        <w:rPr>
          <w:rFonts w:hint="eastAsia" w:ascii="Times New Roman" w:hAnsi="Times New Roman" w:eastAsia="宋体" w:cs="Times New Roman"/>
          <w:b/>
          <w:bCs/>
          <w:color w:val="auto"/>
          <w:kern w:val="2"/>
          <w:sz w:val="21"/>
          <w:szCs w:val="21"/>
          <w:highlight w:val="none"/>
          <w:lang w:val="en-US" w:eastAsia="zh-CN" w:bidi="ar-SA"/>
        </w:rPr>
        <w:t>括号外数值为水温&gt;12</w:t>
      </w:r>
      <w:r>
        <w:rPr>
          <w:rFonts w:hint="eastAsia" w:ascii="宋体" w:hAnsi="宋体" w:eastAsia="宋体" w:cs="宋体"/>
          <w:b/>
          <w:bCs/>
          <w:color w:val="auto"/>
          <w:kern w:val="2"/>
          <w:sz w:val="21"/>
          <w:szCs w:val="21"/>
          <w:highlight w:val="none"/>
          <w:lang w:val="en-US" w:eastAsia="zh-CN" w:bidi="ar-SA"/>
        </w:rPr>
        <w:t>℃</w:t>
      </w:r>
      <w:r>
        <w:rPr>
          <w:rFonts w:hint="eastAsia" w:ascii="Times New Roman" w:hAnsi="Times New Roman" w:eastAsia="宋体" w:cs="Times New Roman"/>
          <w:b/>
          <w:bCs/>
          <w:color w:val="auto"/>
          <w:kern w:val="2"/>
          <w:sz w:val="21"/>
          <w:szCs w:val="21"/>
          <w:highlight w:val="none"/>
          <w:lang w:val="en-US" w:eastAsia="zh-CN" w:bidi="ar-SA"/>
        </w:rPr>
        <w:t>时的控制指标，括号内数值为水温≤12</w:t>
      </w:r>
      <w:r>
        <w:rPr>
          <w:rFonts w:hint="eastAsia" w:ascii="宋体" w:hAnsi="宋体" w:eastAsia="宋体" w:cs="宋体"/>
          <w:b/>
          <w:bCs/>
          <w:color w:val="auto"/>
          <w:kern w:val="2"/>
          <w:sz w:val="21"/>
          <w:szCs w:val="21"/>
          <w:highlight w:val="none"/>
          <w:lang w:val="en-US" w:eastAsia="zh-CN" w:bidi="ar-SA"/>
        </w:rPr>
        <w:t>℃</w:t>
      </w:r>
      <w:r>
        <w:rPr>
          <w:rFonts w:hint="eastAsia" w:ascii="Times New Roman" w:hAnsi="Times New Roman" w:eastAsia="宋体" w:cs="Times New Roman"/>
          <w:b/>
          <w:bCs/>
          <w:color w:val="auto"/>
          <w:kern w:val="2"/>
          <w:sz w:val="21"/>
          <w:szCs w:val="21"/>
          <w:highlight w:val="none"/>
          <w:lang w:val="en-US" w:eastAsia="zh-CN" w:bidi="ar-SA"/>
        </w:rPr>
        <w:t>时的控制指标。</w:t>
      </w:r>
      <w:bookmarkEnd w:id="1788"/>
    </w:p>
    <w:p w14:paraId="58BF3CDC">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3" w:line="360" w:lineRule="auto"/>
        <w:ind w:left="527" w:leftChars="0"/>
        <w:textAlignment w:val="baseline"/>
        <w:rPr>
          <w:rFonts w:hint="eastAsia" w:ascii="宋体" w:hAnsi="宋体" w:eastAsia="宋体" w:cs="宋体"/>
          <w:b/>
          <w:bCs/>
          <w:color w:val="auto"/>
          <w:spacing w:val="-4"/>
          <w:sz w:val="24"/>
          <w:szCs w:val="24"/>
          <w:highlight w:val="none"/>
          <w:lang w:val="en-US" w:eastAsia="zh-CN"/>
        </w:rPr>
      </w:pPr>
      <w:r>
        <w:rPr>
          <w:rFonts w:hint="eastAsia" w:ascii="宋体" w:hAnsi="宋体" w:eastAsia="宋体" w:cs="宋体"/>
          <w:b/>
          <w:bCs/>
          <w:snapToGrid w:val="0"/>
          <w:color w:val="auto"/>
          <w:spacing w:val="-4"/>
          <w:kern w:val="0"/>
          <w:sz w:val="24"/>
          <w:szCs w:val="24"/>
          <w:highlight w:val="none"/>
          <w:lang w:val="en-US" w:eastAsia="zh-CN" w:bidi="ar-SA"/>
        </w:rPr>
        <w:t>2）</w:t>
      </w:r>
      <w:r>
        <w:rPr>
          <w:rFonts w:hint="eastAsia" w:ascii="宋体" w:hAnsi="宋体" w:eastAsia="宋体" w:cs="宋体"/>
          <w:b/>
          <w:bCs/>
          <w:color w:val="auto"/>
          <w:spacing w:val="-4"/>
          <w:sz w:val="24"/>
          <w:szCs w:val="24"/>
          <w:highlight w:val="none"/>
          <w:lang w:val="en-US" w:eastAsia="zh-CN"/>
        </w:rPr>
        <w:t>污水处理工艺</w:t>
      </w:r>
      <w:bookmarkStart w:id="1789" w:name="pindex12473"/>
      <w:bookmarkEnd w:id="1789"/>
    </w:p>
    <w:p w14:paraId="2064411D">
      <w:pPr>
        <w:keepNext w:val="0"/>
        <w:keepLines w:val="0"/>
        <w:pageBreakBefore w:val="0"/>
        <w:widowControl/>
        <w:numPr>
          <w:ilvl w:val="0"/>
          <w:numId w:val="0"/>
        </w:numPr>
        <w:kinsoku/>
        <w:wordWrap/>
        <w:overflowPunct/>
        <w:topLinePunct w:val="0"/>
        <w:autoSpaceDE w:val="0"/>
        <w:autoSpaceDN w:val="0"/>
        <w:bidi w:val="0"/>
        <w:adjustRightInd w:val="0"/>
        <w:snapToGrid w:val="0"/>
        <w:spacing w:before="33" w:line="360" w:lineRule="auto"/>
        <w:ind w:firstLine="464" w:firstLineChars="200"/>
        <w:textAlignment w:val="baseline"/>
        <w:rPr>
          <w:rFonts w:hint="default" w:ascii="Times New Roman" w:hAnsi="Times New Roman" w:eastAsia="宋体" w:cs="Times New Roman"/>
          <w:color w:val="auto"/>
          <w:spacing w:val="-3"/>
          <w:sz w:val="24"/>
          <w:szCs w:val="24"/>
          <w:highlight w:val="none"/>
          <w:lang w:eastAsia="zh-CN"/>
        </w:rPr>
      </w:pPr>
      <w:r>
        <w:rPr>
          <w:rFonts w:hint="default" w:ascii="Times New Roman" w:hAnsi="Times New Roman" w:eastAsia="宋体" w:cs="Times New Roman"/>
          <w:color w:val="auto"/>
          <w:spacing w:val="-4"/>
          <w:sz w:val="24"/>
          <w:szCs w:val="24"/>
          <w:highlight w:val="none"/>
          <w:lang w:val="en-US" w:eastAsia="zh-CN"/>
        </w:rPr>
        <w:t>南区污水处理厂一期工程，</w:t>
      </w:r>
      <w:r>
        <w:rPr>
          <w:rFonts w:hint="default" w:ascii="Times New Roman" w:hAnsi="Times New Roman" w:cs="Times New Roman"/>
          <w:color w:val="auto"/>
          <w:spacing w:val="-4"/>
          <w:sz w:val="24"/>
          <w:szCs w:val="24"/>
          <w:highlight w:val="none"/>
        </w:rPr>
        <w:t>处理工艺采用改良</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position w:val="8"/>
          <w:sz w:val="15"/>
          <w:szCs w:val="24"/>
          <w:highlight w:val="none"/>
        </w:rPr>
        <w:t>2</w:t>
      </w:r>
      <w:r>
        <w:rPr>
          <w:rFonts w:hint="default" w:ascii="Times New Roman" w:hAnsi="Times New Roman" w:eastAsia="Times New Roman" w:cs="Times New Roman"/>
          <w:color w:val="auto"/>
          <w:sz w:val="24"/>
          <w:szCs w:val="24"/>
          <w:highlight w:val="none"/>
        </w:rPr>
        <w:t>/O</w:t>
      </w:r>
      <w:r>
        <w:rPr>
          <w:rFonts w:hint="default" w:ascii="Times New Roman" w:hAnsi="Times New Roman" w:cs="Times New Roman"/>
          <w:color w:val="auto"/>
          <w:spacing w:val="-3"/>
          <w:sz w:val="24"/>
          <w:szCs w:val="24"/>
          <w:highlight w:val="none"/>
        </w:rPr>
        <w:t>生化池</w:t>
      </w:r>
      <w:r>
        <w:rPr>
          <w:rFonts w:hint="default" w:ascii="Times New Roman" w:hAnsi="Times New Roman" w:eastAsia="Times New Roman" w:cs="Times New Roman"/>
          <w:color w:val="auto"/>
          <w:spacing w:val="-3"/>
          <w:sz w:val="24"/>
          <w:szCs w:val="24"/>
          <w:highlight w:val="none"/>
        </w:rPr>
        <w:t>+</w:t>
      </w:r>
      <w:r>
        <w:rPr>
          <w:rFonts w:hint="default" w:ascii="Times New Roman" w:hAnsi="Times New Roman" w:cs="Times New Roman"/>
          <w:color w:val="auto"/>
          <w:spacing w:val="-3"/>
          <w:sz w:val="24"/>
          <w:szCs w:val="24"/>
          <w:highlight w:val="none"/>
        </w:rPr>
        <w:t>纤维滤池，处理规模为</w:t>
      </w:r>
      <w:r>
        <w:rPr>
          <w:rFonts w:hint="default" w:ascii="Times New Roman" w:hAnsi="Times New Roman" w:cs="Times New Roman"/>
          <w:color w:val="auto"/>
          <w:spacing w:val="-72"/>
          <w:sz w:val="24"/>
          <w:szCs w:val="24"/>
          <w:highlight w:val="none"/>
        </w:rPr>
        <w:t xml:space="preserve"> </w:t>
      </w:r>
      <w:r>
        <w:rPr>
          <w:rFonts w:hint="default" w:ascii="Times New Roman" w:hAnsi="Times New Roman" w:eastAsia="Times New Roman" w:cs="Times New Roman"/>
          <w:color w:val="auto"/>
          <w:sz w:val="24"/>
          <w:szCs w:val="24"/>
          <w:highlight w:val="none"/>
        </w:rPr>
        <w:t>6</w:t>
      </w:r>
      <w:r>
        <w:rPr>
          <w:rFonts w:hint="default" w:ascii="Times New Roman" w:hAnsi="Times New Roman" w:cs="Times New Roman"/>
          <w:color w:val="auto"/>
          <w:sz w:val="24"/>
          <w:szCs w:val="24"/>
          <w:highlight w:val="none"/>
        </w:rPr>
        <w:t>万</w:t>
      </w:r>
      <w:r>
        <w:rPr>
          <w:rFonts w:hint="default" w:ascii="Times New Roman" w:hAnsi="Times New Roman" w:cs="Times New Roman"/>
          <w:color w:val="auto"/>
          <w:spacing w:val="-72"/>
          <w:sz w:val="24"/>
          <w:szCs w:val="24"/>
          <w:highlight w:val="none"/>
        </w:rPr>
        <w:t xml:space="preserve"> </w:t>
      </w:r>
      <w:r>
        <w:rPr>
          <w:rFonts w:hint="default" w:ascii="Times New Roman" w:hAnsi="Times New Roman" w:eastAsia="Times New Roman" w:cs="Times New Roman"/>
          <w:color w:val="auto"/>
          <w:sz w:val="24"/>
          <w:szCs w:val="24"/>
          <w:highlight w:val="none"/>
        </w:rPr>
        <w:t>m</w:t>
      </w:r>
      <w:r>
        <w:rPr>
          <w:rFonts w:hint="default" w:ascii="Times New Roman" w:hAnsi="Times New Roman" w:eastAsia="Times New Roman" w:cs="Times New Roman"/>
          <w:color w:val="auto"/>
          <w:position w:val="8"/>
          <w:sz w:val="15"/>
          <w:szCs w:val="24"/>
          <w:highlight w:val="none"/>
        </w:rPr>
        <w:t>3</w:t>
      </w:r>
      <w:r>
        <w:rPr>
          <w:rFonts w:hint="default" w:ascii="Times New Roman" w:hAnsi="Times New Roman" w:eastAsia="Times New Roman" w:cs="Times New Roman"/>
          <w:color w:val="auto"/>
          <w:sz w:val="24"/>
          <w:szCs w:val="24"/>
          <w:highlight w:val="none"/>
        </w:rPr>
        <w:t>/d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rPr>
        <w:t>二期工程主要为扩建</w:t>
      </w:r>
      <w:r>
        <w:rPr>
          <w:rFonts w:hint="default" w:ascii="Times New Roman" w:hAnsi="Times New Roman" w:eastAsia="Times New Roman" w:cs="Times New Roman"/>
          <w:color w:val="auto"/>
          <w:sz w:val="24"/>
          <w:szCs w:val="24"/>
          <w:highlight w:val="none"/>
        </w:rPr>
        <w:t>4.0</w:t>
      </w:r>
      <w:r>
        <w:rPr>
          <w:rFonts w:hint="default" w:ascii="Times New Roman" w:hAnsi="Times New Roman" w:cs="Times New Roman"/>
          <w:color w:val="auto"/>
          <w:sz w:val="24"/>
          <w:szCs w:val="24"/>
          <w:highlight w:val="none"/>
        </w:rPr>
        <w:t>万</w:t>
      </w:r>
      <w:r>
        <w:rPr>
          <w:rFonts w:hint="default" w:ascii="Times New Roman" w:hAnsi="Times New Roman" w:cs="Times New Roman"/>
          <w:color w:val="auto"/>
          <w:spacing w:val="-75"/>
          <w:sz w:val="24"/>
          <w:szCs w:val="24"/>
          <w:highlight w:val="none"/>
        </w:rPr>
        <w:t xml:space="preserve"> </w:t>
      </w:r>
      <w:r>
        <w:rPr>
          <w:rFonts w:hint="default" w:ascii="Times New Roman" w:hAnsi="Times New Roman" w:eastAsia="Times New Roman" w:cs="Times New Roman"/>
          <w:color w:val="auto"/>
          <w:sz w:val="24"/>
          <w:szCs w:val="24"/>
          <w:highlight w:val="none"/>
        </w:rPr>
        <w:t>m</w:t>
      </w:r>
      <w:r>
        <w:rPr>
          <w:rFonts w:hint="default" w:ascii="Times New Roman" w:hAnsi="Times New Roman" w:eastAsia="Times New Roman" w:cs="Times New Roman"/>
          <w:color w:val="auto"/>
          <w:position w:val="8"/>
          <w:sz w:val="15"/>
          <w:szCs w:val="24"/>
          <w:highlight w:val="none"/>
        </w:rPr>
        <w:t>3</w:t>
      </w:r>
      <w:r>
        <w:rPr>
          <w:rFonts w:hint="default" w:ascii="Times New Roman" w:hAnsi="Times New Roman" w:eastAsia="Times New Roman" w:cs="Times New Roman"/>
          <w:color w:val="auto"/>
          <w:sz w:val="24"/>
          <w:szCs w:val="24"/>
          <w:highlight w:val="none"/>
        </w:rPr>
        <w:t>/d</w:t>
      </w:r>
      <w:r>
        <w:rPr>
          <w:rFonts w:hint="default" w:ascii="Times New Roman" w:hAnsi="Times New Roman" w:cs="Times New Roman"/>
          <w:color w:val="auto"/>
          <w:sz w:val="24"/>
          <w:szCs w:val="24"/>
          <w:highlight w:val="none"/>
        </w:rPr>
        <w:t xml:space="preserve">的污水处理 </w:t>
      </w:r>
      <w:r>
        <w:rPr>
          <w:rFonts w:hint="default" w:ascii="Times New Roman" w:hAnsi="Times New Roman" w:cs="Times New Roman"/>
          <w:color w:val="auto"/>
          <w:spacing w:val="-4"/>
          <w:sz w:val="24"/>
          <w:szCs w:val="24"/>
          <w:highlight w:val="none"/>
        </w:rPr>
        <w:t>设施，处理工艺采用改良</w:t>
      </w:r>
      <w:r>
        <w:rPr>
          <w:rFonts w:hint="default" w:ascii="Times New Roman" w:hAnsi="Times New Roman" w:eastAsia="Times New Roman" w:cs="Times New Roman"/>
          <w:color w:val="auto"/>
          <w:sz w:val="24"/>
          <w:szCs w:val="24"/>
          <w:highlight w:val="none"/>
        </w:rPr>
        <w:t>A</w:t>
      </w:r>
      <w:r>
        <w:rPr>
          <w:rFonts w:hint="default" w:ascii="Times New Roman" w:hAnsi="Times New Roman" w:eastAsia="Times New Roman" w:cs="Times New Roman"/>
          <w:color w:val="auto"/>
          <w:position w:val="8"/>
          <w:sz w:val="15"/>
          <w:szCs w:val="24"/>
          <w:highlight w:val="none"/>
        </w:rPr>
        <w:t>2</w:t>
      </w:r>
      <w:r>
        <w:rPr>
          <w:rFonts w:hint="default" w:ascii="Times New Roman" w:hAnsi="Times New Roman" w:eastAsia="Times New Roman" w:cs="Times New Roman"/>
          <w:color w:val="auto"/>
          <w:sz w:val="24"/>
          <w:szCs w:val="24"/>
          <w:highlight w:val="none"/>
        </w:rPr>
        <w:t>/O</w:t>
      </w:r>
      <w:r>
        <w:rPr>
          <w:rFonts w:hint="default" w:ascii="Times New Roman" w:hAnsi="Times New Roman" w:cs="Times New Roman"/>
          <w:color w:val="auto"/>
          <w:sz w:val="24"/>
          <w:szCs w:val="24"/>
          <w:highlight w:val="none"/>
        </w:rPr>
        <w:t>生化池</w:t>
      </w:r>
      <w:r>
        <w:rPr>
          <w:rFonts w:hint="default" w:ascii="Times New Roman" w:hAnsi="Times New Roman" w:eastAsia="Times New Roman" w:cs="Times New Roman"/>
          <w:color w:val="auto"/>
          <w:sz w:val="24"/>
          <w:szCs w:val="24"/>
          <w:highlight w:val="none"/>
        </w:rPr>
        <w:t>+</w:t>
      </w:r>
      <w:r>
        <w:rPr>
          <w:rFonts w:hint="default" w:ascii="Times New Roman" w:hAnsi="Times New Roman" w:cs="Times New Roman"/>
          <w:color w:val="auto"/>
          <w:sz w:val="24"/>
          <w:szCs w:val="24"/>
          <w:highlight w:val="none"/>
        </w:rPr>
        <w:t>反硝化滤池</w:t>
      </w:r>
      <w:r>
        <w:rPr>
          <w:rFonts w:hint="default" w:ascii="Times New Roman" w:hAnsi="Times New Roman" w:eastAsia="Times New Roman" w:cs="Times New Roman"/>
          <w:color w:val="auto"/>
          <w:sz w:val="24"/>
          <w:szCs w:val="24"/>
          <w:highlight w:val="none"/>
        </w:rPr>
        <w:t>+</w:t>
      </w:r>
      <w:r>
        <w:rPr>
          <w:rFonts w:hint="default" w:ascii="Times New Roman" w:hAnsi="Times New Roman" w:cs="Times New Roman"/>
          <w:color w:val="auto"/>
          <w:sz w:val="24"/>
          <w:szCs w:val="24"/>
          <w:highlight w:val="none"/>
        </w:rPr>
        <w:t>次氯酸钠消毒</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二期扩建后全厂处理能</w:t>
      </w:r>
      <w:r>
        <w:rPr>
          <w:rFonts w:hint="default" w:ascii="Times New Roman" w:hAnsi="Times New Roman" w:cs="Times New Roman"/>
          <w:color w:val="auto"/>
          <w:sz w:val="24"/>
          <w:szCs w:val="24"/>
          <w:highlight w:val="none"/>
          <w:lang w:val="en-US" w:eastAsia="zh-CN"/>
        </w:rPr>
        <w:t>力为10</w:t>
      </w:r>
      <w:r>
        <w:rPr>
          <w:rFonts w:hint="default" w:ascii="Times New Roman" w:hAnsi="Times New Roman" w:cs="Times New Roman"/>
          <w:color w:val="auto"/>
          <w:sz w:val="24"/>
          <w:szCs w:val="24"/>
          <w:highlight w:val="none"/>
        </w:rPr>
        <w:t>万</w:t>
      </w:r>
      <w:r>
        <w:rPr>
          <w:rFonts w:hint="default" w:ascii="Times New Roman" w:hAnsi="Times New Roman" w:eastAsia="Times New Roman" w:cs="Times New Roman"/>
          <w:color w:val="auto"/>
          <w:sz w:val="24"/>
          <w:szCs w:val="24"/>
          <w:highlight w:val="none"/>
        </w:rPr>
        <w:t>m</w:t>
      </w:r>
      <w:r>
        <w:rPr>
          <w:rFonts w:hint="default" w:ascii="Times New Roman" w:hAnsi="Times New Roman" w:eastAsia="Times New Roman" w:cs="Times New Roman"/>
          <w:color w:val="auto"/>
          <w:position w:val="8"/>
          <w:sz w:val="15"/>
          <w:szCs w:val="24"/>
          <w:highlight w:val="none"/>
        </w:rPr>
        <w:t>3</w:t>
      </w:r>
      <w:r>
        <w:rPr>
          <w:rFonts w:hint="default" w:ascii="Times New Roman" w:hAnsi="Times New Roman" w:eastAsia="Times New Roman" w:cs="Times New Roman"/>
          <w:color w:val="auto"/>
          <w:sz w:val="24"/>
          <w:szCs w:val="24"/>
          <w:highlight w:val="none"/>
        </w:rPr>
        <w:t>/d</w:t>
      </w:r>
      <w:r>
        <w:rPr>
          <w:rFonts w:hint="default" w:ascii="Times New Roman" w:hAnsi="Times New Roman" w:cs="Times New Roman"/>
          <w:color w:val="auto"/>
          <w:sz w:val="24"/>
          <w:szCs w:val="24"/>
          <w:highlight w:val="none"/>
        </w:rPr>
        <w:t xml:space="preserve">；对一期工程增加 </w:t>
      </w:r>
      <w:r>
        <w:rPr>
          <w:rFonts w:hint="default" w:ascii="Times New Roman" w:hAnsi="Times New Roman" w:cs="Times New Roman"/>
          <w:color w:val="auto"/>
          <w:spacing w:val="2"/>
          <w:sz w:val="24"/>
          <w:szCs w:val="24"/>
          <w:highlight w:val="none"/>
        </w:rPr>
        <w:t>深度处理进行提标改造</w:t>
      </w:r>
      <w:r>
        <w:rPr>
          <w:rFonts w:hint="default" w:ascii="Times New Roman" w:hAnsi="Times New Roman" w:eastAsia="宋体" w:cs="Times New Roman"/>
          <w:color w:val="auto"/>
          <w:spacing w:val="2"/>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三</w:t>
      </w:r>
      <w:r>
        <w:rPr>
          <w:rFonts w:hint="default" w:ascii="Times New Roman" w:hAnsi="Times New Roman" w:eastAsia="Times New Roman" w:cs="Times New Roman"/>
          <w:color w:val="auto"/>
          <w:sz w:val="24"/>
          <w:szCs w:val="24"/>
          <w:highlight w:val="none"/>
        </w:rPr>
        <w:t>期工程</w:t>
      </w:r>
      <w:r>
        <w:rPr>
          <w:rFonts w:hint="default" w:ascii="Times New Roman" w:hAnsi="Times New Roman" w:eastAsia="Times New Roman" w:cs="Times New Roman"/>
          <w:color w:val="auto"/>
          <w:sz w:val="24"/>
          <w:szCs w:val="24"/>
          <w:highlight w:val="none"/>
          <w:lang w:eastAsia="zh-CN"/>
        </w:rPr>
        <w:t>处理规模为5万m</w:t>
      </w:r>
      <w:r>
        <w:rPr>
          <w:rFonts w:hint="default" w:ascii="Times New Roman" w:hAnsi="Times New Roman" w:eastAsia="Times New Roman" w:cs="Times New Roman"/>
          <w:color w:val="auto"/>
          <w:sz w:val="24"/>
          <w:szCs w:val="24"/>
          <w:highlight w:val="none"/>
          <w:vertAlign w:val="superscript"/>
          <w:lang w:eastAsia="zh-CN"/>
        </w:rPr>
        <w:t>3</w:t>
      </w:r>
      <w:r>
        <w:rPr>
          <w:rFonts w:hint="default" w:ascii="Times New Roman" w:hAnsi="Times New Roman" w:eastAsia="Times New Roman" w:cs="Times New Roman"/>
          <w:color w:val="auto"/>
          <w:sz w:val="24"/>
          <w:szCs w:val="24"/>
          <w:highlight w:val="none"/>
          <w:lang w:eastAsia="zh-CN"/>
        </w:rPr>
        <w:t>/d</w:t>
      </w:r>
      <w:r>
        <w:rPr>
          <w:rFonts w:hint="default" w:ascii="Times New Roman" w:hAnsi="Times New Roman" w:eastAsia="Times New Roman" w:cs="Times New Roman"/>
          <w:color w:val="auto"/>
          <w:sz w:val="24"/>
          <w:szCs w:val="24"/>
          <w:highlight w:val="none"/>
          <w:lang w:val="en-US" w:eastAsia="zh-CN"/>
        </w:rPr>
        <w:t>三期接收的污水为城市生活污水，采用以“改良A</w:t>
      </w:r>
      <w:r>
        <w:rPr>
          <w:rFonts w:hint="default" w:ascii="Times New Roman" w:hAnsi="Times New Roman" w:eastAsia="Times New Roman" w:cs="Times New Roman"/>
          <w:color w:val="auto"/>
          <w:sz w:val="24"/>
          <w:szCs w:val="24"/>
          <w:highlight w:val="none"/>
          <w:vertAlign w:val="superscript"/>
          <w:lang w:val="en-US" w:eastAsia="zh-CN"/>
        </w:rPr>
        <w:t>2</w:t>
      </w:r>
      <w:r>
        <w:rPr>
          <w:rFonts w:hint="default" w:ascii="Times New Roman" w:hAnsi="Times New Roman" w:eastAsia="Times New Roman" w:cs="Times New Roman"/>
          <w:color w:val="auto"/>
          <w:sz w:val="24"/>
          <w:szCs w:val="24"/>
          <w:highlight w:val="none"/>
          <w:lang w:val="en-US" w:eastAsia="zh-CN"/>
        </w:rPr>
        <w:t>/O生化池+反硝化滤池”为主体的三级处理工艺。</w:t>
      </w:r>
      <w:r>
        <w:rPr>
          <w:rFonts w:hint="default" w:ascii="Times New Roman" w:hAnsi="Times New Roman" w:eastAsia="宋体" w:cs="Times New Roman"/>
          <w:color w:val="auto"/>
          <w:spacing w:val="-3"/>
          <w:sz w:val="24"/>
          <w:szCs w:val="24"/>
          <w:highlight w:val="none"/>
        </w:rPr>
        <w:t>其主要流程图见</w:t>
      </w:r>
      <w:r>
        <w:rPr>
          <w:rFonts w:hint="eastAsia" w:ascii="Times New Roman" w:hAnsi="Times New Roman" w:eastAsia="宋体" w:cs="Times New Roman"/>
          <w:color w:val="auto"/>
          <w:spacing w:val="-3"/>
          <w:sz w:val="24"/>
          <w:szCs w:val="24"/>
          <w:highlight w:val="none"/>
          <w:lang w:val="en-US" w:eastAsia="zh-CN"/>
        </w:rPr>
        <w:t>下图</w:t>
      </w:r>
      <w:r>
        <w:rPr>
          <w:rFonts w:hint="default" w:ascii="Times New Roman" w:hAnsi="Times New Roman" w:eastAsia="宋体" w:cs="Times New Roman"/>
          <w:color w:val="auto"/>
          <w:spacing w:val="-3"/>
          <w:sz w:val="24"/>
          <w:szCs w:val="24"/>
          <w:highlight w:val="none"/>
        </w:rPr>
        <w:t>所示</w:t>
      </w:r>
      <w:r>
        <w:rPr>
          <w:rFonts w:hint="default" w:ascii="Times New Roman" w:hAnsi="Times New Roman" w:eastAsia="宋体" w:cs="Times New Roman"/>
          <w:color w:val="auto"/>
          <w:spacing w:val="-3"/>
          <w:sz w:val="24"/>
          <w:szCs w:val="24"/>
          <w:highlight w:val="none"/>
          <w:lang w:eastAsia="zh-CN"/>
        </w:rPr>
        <w:t>。</w:t>
      </w:r>
    </w:p>
    <w:p w14:paraId="3AD1DD05">
      <w:pPr>
        <w:pStyle w:val="8"/>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val="0"/>
        <w:snapToGrid/>
        <w:spacing w:after="0" w:line="240" w:lineRule="auto"/>
        <w:ind w:firstLine="0" w:firstLineChars="0"/>
        <w:jc w:val="center"/>
        <w:textAlignment w:val="auto"/>
        <w:rPr>
          <w:rFonts w:hint="default" w:ascii="Times New Roman" w:hAnsi="Times New Roman" w:eastAsia="宋体" w:cs="Times New Roman"/>
          <w:b/>
          <w:bCs/>
          <w:color w:val="auto"/>
          <w:sz w:val="24"/>
          <w:szCs w:val="24"/>
          <w:highlight w:val="none"/>
        </w:rPr>
      </w:pPr>
      <w:r>
        <w:rPr>
          <w:rFonts w:hint="eastAsia" w:eastAsia="宋体"/>
          <w:b/>
          <w:bCs/>
          <w:color w:val="auto"/>
          <w:sz w:val="21"/>
          <w:szCs w:val="21"/>
          <w:highlight w:val="none"/>
          <w:lang w:eastAsia="zh-CN"/>
        </w:rPr>
        <w:object>
          <v:shape id="_x0000_i1027" o:spt="75" type="#_x0000_t75" style="height:215.25pt;width:429.1pt;" o:ole="t" filled="f" o:preferrelative="t" stroked="f" coordsize="21600,21600">
            <v:path/>
            <v:fill on="f" focussize="0,0"/>
            <v:stroke on="f"/>
            <v:imagedata r:id="rId57" o:title=""/>
            <o:lock v:ext="edit" aspectratio="f"/>
            <w10:wrap type="none"/>
            <w10:anchorlock/>
          </v:shape>
          <o:OLEObject Type="Embed" ProgID="Visio.Drawing.11" ShapeID="_x0000_i1027" DrawAspect="Content" ObjectID="_1468075727" r:id="rId56">
            <o:LockedField>false</o:LockedField>
          </o:OLEObject>
        </w:object>
      </w: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6.4-4</w:t>
      </w:r>
      <w:r>
        <w:rPr>
          <w:rFonts w:hint="default" w:ascii="Times New Roman" w:hAnsi="Times New Roman" w:eastAsia="宋体" w:cs="Times New Roman"/>
          <w:b/>
          <w:bCs/>
          <w:color w:val="auto"/>
          <w:sz w:val="24"/>
          <w:szCs w:val="24"/>
          <w:highlight w:val="none"/>
        </w:rPr>
        <w:t xml:space="preserve">  </w:t>
      </w:r>
      <w:r>
        <w:rPr>
          <w:rFonts w:hint="default" w:ascii="Times New Roman" w:hAnsi="Times New Roman" w:eastAsia="宋体" w:cs="Times New Roman"/>
          <w:b/>
          <w:bCs/>
          <w:color w:val="auto"/>
          <w:sz w:val="24"/>
          <w:szCs w:val="24"/>
          <w:highlight w:val="none"/>
          <w:lang w:eastAsia="zh-CN"/>
        </w:rPr>
        <w:t>南区污水处理厂</w:t>
      </w:r>
      <w:r>
        <w:rPr>
          <w:rFonts w:hint="default" w:ascii="Times New Roman" w:hAnsi="Times New Roman" w:eastAsia="宋体" w:cs="Times New Roman"/>
          <w:b/>
          <w:bCs/>
          <w:color w:val="auto"/>
          <w:sz w:val="24"/>
          <w:szCs w:val="24"/>
          <w:highlight w:val="none"/>
          <w:lang w:val="en-US" w:eastAsia="zh-CN"/>
        </w:rPr>
        <w:t>现有项目</w:t>
      </w:r>
      <w:r>
        <w:rPr>
          <w:rFonts w:hint="default" w:ascii="Times New Roman" w:hAnsi="Times New Roman" w:eastAsia="宋体" w:cs="Times New Roman"/>
          <w:b/>
          <w:bCs/>
          <w:color w:val="auto"/>
          <w:sz w:val="24"/>
          <w:szCs w:val="24"/>
          <w:highlight w:val="none"/>
        </w:rPr>
        <w:t>工艺流程图</w:t>
      </w:r>
      <w:bookmarkStart w:id="1790" w:name="pindex12475"/>
      <w:bookmarkEnd w:id="1790"/>
    </w:p>
    <w:p w14:paraId="7CBFBF1F">
      <w:pPr>
        <w:spacing w:before="184" w:line="344" w:lineRule="auto"/>
        <w:ind w:left="39" w:right="30" w:firstLine="480"/>
        <w:rPr>
          <w:rFonts w:hint="default" w:ascii="Times New Roman" w:hAnsi="Times New Roman" w:eastAsia="宋体" w:cs="Times New Roman"/>
          <w:color w:val="auto"/>
          <w:spacing w:val="-3"/>
          <w:sz w:val="24"/>
          <w:szCs w:val="24"/>
          <w:highlight w:val="none"/>
        </w:rPr>
      </w:pPr>
      <w:r>
        <w:rPr>
          <w:rFonts w:hint="default" w:ascii="Times New Roman" w:hAnsi="Times New Roman" w:eastAsia="宋体" w:cs="Times New Roman"/>
          <w:color w:val="auto"/>
          <w:spacing w:val="-3"/>
          <w:sz w:val="24"/>
          <w:szCs w:val="24"/>
          <w:highlight w:val="none"/>
        </w:rPr>
        <w:t>南区污水处理厂的剩余污泥交由江宁国联环保科技有限公司处理，泥饼外运焚烧该公司将江宁区各污水处理厂产生的剩余污泥采用</w:t>
      </w:r>
      <w:r>
        <w:rPr>
          <w:rFonts w:hint="eastAsia" w:ascii="宋体" w:hAnsi="宋体" w:eastAsia="宋体" w:cs="宋体"/>
          <w:color w:val="auto"/>
          <w:spacing w:val="-3"/>
          <w:sz w:val="24"/>
          <w:szCs w:val="24"/>
          <w:highlight w:val="none"/>
        </w:rPr>
        <w:t>“化学调理+机械压榨”</w:t>
      </w:r>
      <w:r>
        <w:rPr>
          <w:rFonts w:hint="default" w:ascii="Times New Roman" w:hAnsi="Times New Roman" w:eastAsia="宋体" w:cs="Times New Roman"/>
          <w:color w:val="auto"/>
          <w:spacing w:val="-3"/>
          <w:sz w:val="24"/>
          <w:szCs w:val="24"/>
          <w:highlight w:val="none"/>
        </w:rPr>
        <w:t>脱水技术将含水率80%的污泥高干脱水到60%形成干化泥饼，送至光大能源南京有限公司和镇江谏壁电厂焚烧处置。该公司在科学园污水处理厂内和南区污水处理厂建有污泥干化中心，南区污水处理厂污泥干化中心于2016年6月底建成，处置规模为150t/d。</w:t>
      </w:r>
    </w:p>
    <w:p w14:paraId="248BF899">
      <w:pPr>
        <w:spacing w:before="36" w:line="220" w:lineRule="auto"/>
        <w:outlineLvl w:val="2"/>
        <w:rPr>
          <w:rFonts w:ascii="Times New Roman" w:hAnsi="Times New Roman" w:eastAsia="Times New Roman" w:cs="Times New Roman"/>
          <w:b/>
          <w:bCs/>
          <w:color w:val="auto"/>
          <w:spacing w:val="-2"/>
          <w:sz w:val="24"/>
          <w:szCs w:val="24"/>
          <w:highlight w:val="none"/>
        </w:rPr>
      </w:pPr>
      <w:bookmarkStart w:id="1791" w:name="_Toc16916"/>
      <w:r>
        <w:rPr>
          <w:rFonts w:ascii="Times New Roman" w:hAnsi="Times New Roman" w:eastAsia="Times New Roman" w:cs="Times New Roman"/>
          <w:b/>
          <w:bCs/>
          <w:color w:val="auto"/>
          <w:spacing w:val="-2"/>
          <w:sz w:val="24"/>
          <w:szCs w:val="24"/>
          <w:highlight w:val="none"/>
        </w:rPr>
        <w:t>6.4.3供热设施</w:t>
      </w:r>
      <w:bookmarkEnd w:id="1791"/>
      <w:bookmarkStart w:id="1792" w:name="pindex12477"/>
      <w:bookmarkEnd w:id="1792"/>
    </w:p>
    <w:p w14:paraId="7A3EF5D6">
      <w:pPr>
        <w:numPr>
          <w:ilvl w:val="0"/>
          <w:numId w:val="0"/>
        </w:numPr>
        <w:spacing w:before="181" w:line="219" w:lineRule="auto"/>
        <w:ind w:left="526" w:leftChars="0"/>
        <w:rPr>
          <w:rFonts w:hint="default" w:ascii="Times New Roman" w:hAnsi="Times New Roman" w:eastAsia="宋体" w:cs="Times New Roman"/>
          <w:b/>
          <w:bCs/>
          <w:color w:val="auto"/>
          <w:spacing w:val="-4"/>
          <w:sz w:val="24"/>
          <w:szCs w:val="24"/>
          <w:highlight w:val="none"/>
        </w:rPr>
      </w:pPr>
      <w:r>
        <w:rPr>
          <w:rFonts w:hint="default" w:ascii="Times New Roman" w:hAnsi="Times New Roman" w:eastAsia="宋体" w:cs="Times New Roman"/>
          <w:b/>
          <w:bCs/>
          <w:snapToGrid w:val="0"/>
          <w:color w:val="auto"/>
          <w:spacing w:val="-4"/>
          <w:kern w:val="0"/>
          <w:sz w:val="24"/>
          <w:szCs w:val="24"/>
          <w:highlight w:val="none"/>
          <w:lang w:val="en-US" w:eastAsia="en-US" w:bidi="ar-SA"/>
        </w:rPr>
        <w:t>（1）</w:t>
      </w:r>
      <w:r>
        <w:rPr>
          <w:rFonts w:hint="default" w:ascii="Times New Roman" w:hAnsi="Times New Roman" w:eastAsia="宋体" w:cs="Times New Roman"/>
          <w:b/>
          <w:bCs/>
          <w:color w:val="auto"/>
          <w:spacing w:val="-4"/>
          <w:sz w:val="24"/>
          <w:szCs w:val="24"/>
          <w:highlight w:val="none"/>
        </w:rPr>
        <w:t>集中供热工程</w:t>
      </w:r>
      <w:bookmarkStart w:id="1793" w:name="pindex12478"/>
      <w:bookmarkEnd w:id="1793"/>
    </w:p>
    <w:p w14:paraId="766697D7">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181" w:line="360" w:lineRule="auto"/>
        <w:ind w:firstLine="466" w:firstLineChars="200"/>
        <w:jc w:val="left"/>
        <w:textAlignment w:val="baseline"/>
        <w:rPr>
          <w:rFonts w:hint="eastAsia" w:ascii="宋体" w:hAnsi="宋体" w:eastAsia="宋体" w:cs="宋体"/>
          <w:b/>
          <w:bCs/>
          <w:color w:val="auto"/>
          <w:spacing w:val="-4"/>
          <w:sz w:val="24"/>
          <w:szCs w:val="24"/>
          <w:highlight w:val="none"/>
          <w:lang w:val="en-US" w:eastAsia="zh-CN"/>
        </w:rPr>
      </w:pPr>
      <w:r>
        <w:rPr>
          <w:rFonts w:hint="default" w:ascii="Times New Roman" w:hAnsi="Times New Roman" w:eastAsia="宋体" w:cs="Times New Roman"/>
          <w:b/>
          <w:bCs/>
          <w:snapToGrid w:val="0"/>
          <w:color w:val="auto"/>
          <w:spacing w:val="-4"/>
          <w:kern w:val="0"/>
          <w:sz w:val="24"/>
          <w:szCs w:val="24"/>
          <w:highlight w:val="none"/>
          <w:lang w:val="en-US" w:eastAsia="zh-CN" w:bidi="ar-SA"/>
        </w:rPr>
        <w:t>1）</w:t>
      </w:r>
      <w:r>
        <w:rPr>
          <w:rFonts w:hint="eastAsia" w:ascii="宋体" w:hAnsi="宋体" w:eastAsia="宋体" w:cs="宋体"/>
          <w:b/>
          <w:bCs/>
          <w:color w:val="auto"/>
          <w:spacing w:val="-4"/>
          <w:sz w:val="24"/>
          <w:szCs w:val="24"/>
          <w:highlight w:val="none"/>
          <w:lang w:val="en-US" w:eastAsia="zh-CN"/>
        </w:rPr>
        <w:t>南京蓝天燃机热电联产项目情况</w:t>
      </w:r>
      <w:bookmarkStart w:id="1794" w:name="pindex12479"/>
      <w:bookmarkEnd w:id="1794"/>
    </w:p>
    <w:p w14:paraId="4CCA62A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南京协鑫燃机热电有限公司南京蓝天燃机热电联产项目，位于南京市江宁区内，厂址西靠前庄路，北望南京绕城高速，东眺秦淮河，南、北、西三面被老秦淮河环绕。根据江宁区统一协调规划，南京市规划局于2014年4月21日在《关于南京蓝天燃气热电项目选址意见函》中同意将南京蓝天燃机热电联产项目迁址至江宁区绕城高速以南、规划前庄路以西地块，厂址东侧紧邻规划前庄路，主</w:t>
      </w:r>
      <w:sdt>
        <w:sdtPr>
          <w:rPr>
            <w:color w:val="auto"/>
          </w:rPr>
          <w:alias w:val="易错词检查"/>
          <w:tag w:val="auto"/>
          <w:id w:val="2003345"/>
        </w:sdtPr>
        <w:sdtEndPr>
          <w:rPr>
            <w:color w:val="auto"/>
          </w:rPr>
        </w:sdtEndPr>
        <w:sdtContent>
          <w:bookmarkStart w:id="1795" w:name="bkReivew2003345"/>
          <w:r>
            <w:rPr>
              <w:rFonts w:hint="default" w:ascii="Times New Roman" w:hAnsi="Times New Roman" w:eastAsia="宋体" w:cs="Times New Roman"/>
              <w:color w:val="auto"/>
              <w:sz w:val="24"/>
              <w:szCs w:val="24"/>
              <w:lang w:val="en-US" w:eastAsia="zh-CN"/>
            </w:rPr>
            <w:t>次入口</w:t>
          </w:r>
          <w:bookmarkEnd w:id="1795"/>
        </w:sdtContent>
      </w:sdt>
      <w:r>
        <w:rPr>
          <w:rFonts w:hint="default" w:ascii="Times New Roman" w:hAnsi="Times New Roman" w:eastAsia="宋体" w:cs="Times New Roman"/>
          <w:color w:val="auto"/>
          <w:sz w:val="24"/>
          <w:szCs w:val="24"/>
          <w:lang w:val="en-US" w:eastAsia="zh-CN"/>
        </w:rPr>
        <w:t>仍设在靠前庄路一侧。南京市环境保护局2014年7月28日以《关于南京蓝天燃机热电联产项目环境影响修编报告的预审意见》（宁环建</w:t>
      </w:r>
      <w:r>
        <w:rPr>
          <w:rFonts w:hint="eastAsia" w:ascii="Times New Roman" w:hAnsi="Times New Roman" w:eastAsia="宋体" w:cs="Times New Roman"/>
          <w:color w:val="auto"/>
          <w:sz w:val="24"/>
          <w:szCs w:val="24"/>
          <w:lang w:val="en-US" w:eastAsia="zh-CN"/>
        </w:rPr>
        <w:t>〔2014〕92号</w:t>
      </w:r>
      <w:r>
        <w:rPr>
          <w:rFonts w:hint="default" w:ascii="Times New Roman" w:hAnsi="Times New Roman" w:eastAsia="宋体" w:cs="Times New Roman"/>
          <w:color w:val="auto"/>
          <w:sz w:val="24"/>
          <w:szCs w:val="24"/>
          <w:lang w:val="en-US" w:eastAsia="zh-CN"/>
        </w:rPr>
        <w:t>）和江苏省环境保护厅2014年8月11日以《关于南京蓝天燃机热电联产项目环境影响修编报告的复函》（苏环</w:t>
      </w:r>
      <w:r>
        <w:rPr>
          <w:rFonts w:hint="eastAsia" w:ascii="Times New Roman" w:hAnsi="Times New Roman" w:eastAsia="宋体" w:cs="Times New Roman"/>
          <w:color w:val="auto"/>
          <w:sz w:val="24"/>
          <w:szCs w:val="24"/>
          <w:lang w:val="en-US" w:eastAsia="zh-CN"/>
        </w:rPr>
        <w:t>编管〔2014〕76号</w:t>
      </w:r>
      <w:r>
        <w:rPr>
          <w:rFonts w:hint="default" w:ascii="Times New Roman" w:hAnsi="Times New Roman" w:eastAsia="宋体" w:cs="Times New Roman"/>
          <w:color w:val="auto"/>
          <w:sz w:val="24"/>
          <w:szCs w:val="24"/>
          <w:lang w:val="en-US" w:eastAsia="zh-CN"/>
        </w:rPr>
        <w:t>）对南京江宁蓝天燃机热电项目做出相应批复要求，江苏省发展和改革委员会于2016年3月29日以苏发改能源发</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2016</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262号文《省发展改革委关于核准南京蓝天燃机热电联产项目的批复》核准本项目建设单位为“南京协鑫燃机热电有限公司”。该项目已建成总容量2×180MW燃气-蒸汽联合循环热电联产机组，于2020年6月16日通过自主验收，固体废物污染防治设施于2020年7月13日通过南京市生态环境局竣工环保验收</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宁环验</w:t>
      </w:r>
      <w:r>
        <w:rPr>
          <w:rFonts w:hint="eastAsia" w:ascii="Times New Roman" w:hAnsi="Times New Roman" w:eastAsia="宋体" w:cs="Times New Roman"/>
          <w:color w:val="auto"/>
          <w:sz w:val="24"/>
          <w:szCs w:val="24"/>
          <w:lang w:val="en-US" w:eastAsia="zh-CN"/>
        </w:rPr>
        <w:t>〔2020〕</w:t>
      </w:r>
      <w:r>
        <w:rPr>
          <w:rFonts w:hint="default" w:ascii="Times New Roman" w:hAnsi="Times New Roman" w:eastAsia="宋体" w:cs="Times New Roman"/>
          <w:color w:val="auto"/>
          <w:sz w:val="24"/>
          <w:szCs w:val="24"/>
          <w:lang w:val="en-US" w:eastAsia="zh-CN"/>
        </w:rPr>
        <w:t>5号</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w:t>
      </w:r>
    </w:p>
    <w:p w14:paraId="27BC3738">
      <w:pPr>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2）污染控制措施</w:t>
      </w:r>
      <w:bookmarkStart w:id="1796" w:name="pindex12481"/>
      <w:bookmarkEnd w:id="1796"/>
    </w:p>
    <w:p w14:paraId="4A40F2A5">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该项目已建成总容量2</w:t>
      </w:r>
      <w:r>
        <w:rPr>
          <w:rFonts w:hint="eastAsia" w:ascii="Times New Roman" w:hAnsi="Times New Roman" w:eastAsia="宋体" w:cs="Times New Roman"/>
          <w:color w:val="auto"/>
          <w:sz w:val="24"/>
          <w:szCs w:val="24"/>
          <w:lang w:val="en-US" w:eastAsia="zh-CN"/>
        </w:rPr>
        <w:t>台</w:t>
      </w:r>
      <w:r>
        <w:rPr>
          <w:rFonts w:hint="default" w:ascii="Times New Roman" w:hAnsi="Times New Roman" w:eastAsia="宋体" w:cs="Times New Roman"/>
          <w:color w:val="auto"/>
          <w:sz w:val="24"/>
          <w:szCs w:val="24"/>
        </w:rPr>
        <w:t>180MW燃气-蒸汽联合循环热电联产机组，本项目建设的机组是清洁高效的燃气</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蒸汽联合循环机组，采用清洁能源天然气作为燃料。本项目不设除尘和脱硫装置，燃机采用低氮燃烧器来控制NOx的排放浓度，其主要原理是</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通过预混燃烧室燃料和空气预先混合成为均相稀释的可燃混合物，使之按照火焰传播方式进行燃烧，从而控制火焰温度达到降低NOx的目的。采用低氨燃烧技术的E级联合循环机组，本工程主要采用低氮燃烧装置，充分降低NOx的排放。联合循环机组烟囱高度为60m，内径为5m。</w:t>
      </w:r>
      <w:r>
        <w:rPr>
          <w:rFonts w:hint="default" w:ascii="Times New Roman" w:hAnsi="Times New Roman" w:eastAsia="宋体" w:cs="Times New Roman"/>
          <w:color w:val="auto"/>
          <w:sz w:val="24"/>
          <w:szCs w:val="24"/>
          <w:lang w:val="en-US" w:eastAsia="zh-CN"/>
        </w:rPr>
        <w:t>具体废气排放及治理措施见表6</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lang w:val="en-US" w:eastAsia="zh-CN"/>
        </w:rPr>
        <w:t>及图6</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w:t>
      </w:r>
    </w:p>
    <w:p w14:paraId="7C1C7AE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pacing w:val="-4"/>
          <w:sz w:val="24"/>
          <w:szCs w:val="24"/>
          <w:lang w:val="en-US" w:eastAsia="zh-CN"/>
        </w:rPr>
      </w:pPr>
      <w:r>
        <w:rPr>
          <w:rFonts w:hint="default" w:ascii="Times New Roman" w:hAnsi="Times New Roman" w:eastAsia="宋体" w:cs="Times New Roman"/>
          <w:b/>
          <w:bCs/>
          <w:color w:val="auto"/>
          <w:spacing w:val="-4"/>
          <w:sz w:val="24"/>
          <w:szCs w:val="24"/>
          <w:lang w:val="en-US" w:eastAsia="zh-CN"/>
        </w:rPr>
        <w:t>表6.4-</w:t>
      </w:r>
      <w:r>
        <w:rPr>
          <w:rFonts w:hint="eastAsia" w:ascii="Times New Roman" w:hAnsi="Times New Roman" w:eastAsia="宋体" w:cs="Times New Roman"/>
          <w:b/>
          <w:bCs/>
          <w:color w:val="auto"/>
          <w:spacing w:val="-4"/>
          <w:sz w:val="24"/>
          <w:szCs w:val="24"/>
          <w:lang w:val="en-US" w:eastAsia="zh-CN"/>
        </w:rPr>
        <w:t>8</w:t>
      </w:r>
      <w:r>
        <w:rPr>
          <w:rFonts w:hint="default" w:ascii="Times New Roman" w:hAnsi="Times New Roman" w:eastAsia="宋体" w:cs="Times New Roman"/>
          <w:b/>
          <w:bCs/>
          <w:color w:val="auto"/>
          <w:spacing w:val="-4"/>
          <w:sz w:val="24"/>
          <w:szCs w:val="24"/>
          <w:lang w:val="en-US" w:eastAsia="zh-CN"/>
        </w:rPr>
        <w:t xml:space="preserve">  废气排放及处理措施</w:t>
      </w:r>
      <w:bookmarkStart w:id="1797" w:name="pindex12483"/>
      <w:bookmarkEnd w:id="1797"/>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57"/>
        <w:gridCol w:w="2158"/>
        <w:gridCol w:w="2158"/>
        <w:gridCol w:w="2158"/>
      </w:tblGrid>
      <w:tr w14:paraId="0A5A2D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2157" w:type="dxa"/>
            <w:tcBorders>
              <w:tl2br w:val="nil"/>
              <w:tr2bl w:val="nil"/>
            </w:tcBorders>
            <w:vAlign w:val="center"/>
          </w:tcPr>
          <w:p w14:paraId="517EB0C0">
            <w:pPr>
              <w:widowControl w:val="0"/>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装置/排放源</w:t>
            </w:r>
          </w:p>
        </w:tc>
        <w:tc>
          <w:tcPr>
            <w:tcW w:w="2158" w:type="dxa"/>
            <w:tcBorders>
              <w:tl2br w:val="nil"/>
              <w:tr2bl w:val="nil"/>
            </w:tcBorders>
            <w:vAlign w:val="center"/>
          </w:tcPr>
          <w:p w14:paraId="01A066A0">
            <w:pPr>
              <w:widowControl w:val="0"/>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环评废气量（m</w:t>
            </w:r>
            <w:r>
              <w:rPr>
                <w:rFonts w:hint="eastAsia" w:ascii="Times New Roman" w:hAnsi="Times New Roman" w:eastAsia="宋体" w:cs="Times New Roman"/>
                <w:b/>
                <w:bCs/>
                <w:color w:val="auto"/>
                <w:sz w:val="21"/>
                <w:szCs w:val="21"/>
                <w:vertAlign w:val="superscript"/>
                <w:lang w:val="en-US" w:eastAsia="zh-CN"/>
              </w:rPr>
              <w:t>3</w:t>
            </w:r>
            <w:r>
              <w:rPr>
                <w:rFonts w:hint="eastAsia" w:ascii="Times New Roman" w:hAnsi="Times New Roman" w:eastAsia="宋体" w:cs="Times New Roman"/>
                <w:b/>
                <w:bCs/>
                <w:color w:val="auto"/>
                <w:sz w:val="21"/>
                <w:szCs w:val="21"/>
                <w:lang w:val="en-US" w:eastAsia="zh-CN"/>
              </w:rPr>
              <w:t>/s）</w:t>
            </w:r>
          </w:p>
        </w:tc>
        <w:tc>
          <w:tcPr>
            <w:tcW w:w="2158" w:type="dxa"/>
            <w:tcBorders>
              <w:tl2br w:val="nil"/>
              <w:tr2bl w:val="nil"/>
            </w:tcBorders>
            <w:vAlign w:val="center"/>
          </w:tcPr>
          <w:p w14:paraId="04B3E368">
            <w:pPr>
              <w:widowControl w:val="0"/>
              <w:bidi w:val="0"/>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污染物</w:t>
            </w:r>
          </w:p>
        </w:tc>
        <w:tc>
          <w:tcPr>
            <w:tcW w:w="2158" w:type="dxa"/>
            <w:tcBorders>
              <w:tl2br w:val="nil"/>
              <w:tr2bl w:val="nil"/>
            </w:tcBorders>
            <w:vAlign w:val="center"/>
          </w:tcPr>
          <w:p w14:paraId="5A3B2469">
            <w:pPr>
              <w:widowControl w:val="0"/>
              <w:bidi w:val="0"/>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污染防治措施</w:t>
            </w:r>
          </w:p>
        </w:tc>
      </w:tr>
      <w:tr w14:paraId="47B7C1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57" w:type="dxa"/>
            <w:tcBorders>
              <w:tl2br w:val="nil"/>
              <w:tr2bl w:val="nil"/>
            </w:tcBorders>
            <w:vAlign w:val="center"/>
          </w:tcPr>
          <w:p w14:paraId="225295AD">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低碳燃烧装置+余热锅炉</w:t>
            </w:r>
          </w:p>
        </w:tc>
        <w:tc>
          <w:tcPr>
            <w:tcW w:w="2158" w:type="dxa"/>
            <w:tcBorders>
              <w:tl2br w:val="nil"/>
              <w:tr2bl w:val="nil"/>
            </w:tcBorders>
            <w:vAlign w:val="center"/>
          </w:tcPr>
          <w:p w14:paraId="2985D236">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2×433.4（干烟气）</w:t>
            </w:r>
          </w:p>
        </w:tc>
        <w:tc>
          <w:tcPr>
            <w:tcW w:w="2158" w:type="dxa"/>
            <w:tcBorders>
              <w:tl2br w:val="nil"/>
              <w:tr2bl w:val="nil"/>
            </w:tcBorders>
            <w:vAlign w:val="center"/>
          </w:tcPr>
          <w:p w14:paraId="6821DBD6">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颗粒物、二氧化硫、氮氧化物等</w:t>
            </w:r>
          </w:p>
        </w:tc>
        <w:tc>
          <w:tcPr>
            <w:tcW w:w="2158" w:type="dxa"/>
            <w:tcBorders>
              <w:tl2br w:val="nil"/>
              <w:tr2bl w:val="nil"/>
            </w:tcBorders>
            <w:vAlign w:val="center"/>
          </w:tcPr>
          <w:p w14:paraId="53543CD0">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低氮燃烧装置，每台余热锅炉配一座60m高烟囱，共2个烟囱</w:t>
            </w:r>
          </w:p>
        </w:tc>
      </w:tr>
    </w:tbl>
    <w:p w14:paraId="024D2261">
      <w:pPr>
        <w:spacing w:before="183" w:line="345" w:lineRule="auto"/>
        <w:ind w:right="92"/>
        <w:jc w:val="center"/>
        <w:rPr>
          <w:color w:val="auto"/>
        </w:rPr>
      </w:pPr>
      <w:r>
        <w:rPr>
          <w:color w:val="auto"/>
        </w:rPr>
        <w:object>
          <v:shape id="_x0000_i1028" o:spt="75" type="#_x0000_t75" style="height:72.75pt;width:328.45pt;" o:ole="t" filled="f" o:preferrelative="t" stroked="f" coordsize="21600,21600">
            <v:path/>
            <v:fill on="f" focussize="0,0"/>
            <v:stroke on="f"/>
            <v:imagedata r:id="rId59" o:title=""/>
            <o:lock v:ext="edit" aspectratio="f"/>
            <w10:wrap type="none"/>
            <w10:anchorlock/>
          </v:shape>
          <o:OLEObject Type="Embed" ProgID="Visio.Drawing.11" ShapeID="_x0000_i1028" DrawAspect="Content" ObjectID="_1468075728" r:id="rId58">
            <o:LockedField>false</o:LockedField>
          </o:OLEObject>
        </w:object>
      </w:r>
    </w:p>
    <w:p w14:paraId="07CDA1B7">
      <w:pPr>
        <w:keepNext w:val="0"/>
        <w:keepLines w:val="0"/>
        <w:pageBreakBefore w:val="0"/>
        <w:widowControl/>
        <w:kinsoku w:val="0"/>
        <w:wordWrap/>
        <w:overflowPunct/>
        <w:topLinePunct w:val="0"/>
        <w:autoSpaceDE w:val="0"/>
        <w:autoSpaceDN w:val="0"/>
        <w:bidi w:val="0"/>
        <w:adjustRightInd w:val="0"/>
        <w:snapToGrid w:val="0"/>
        <w:spacing w:before="183" w:line="240" w:lineRule="auto"/>
        <w:ind w:right="91"/>
        <w:jc w:val="center"/>
        <w:textAlignment w:val="baseline"/>
        <w:rPr>
          <w:rFonts w:hint="default" w:ascii="Times New Roman" w:hAnsi="Times New Roman" w:eastAsia="宋体" w:cs="Times New Roman"/>
          <w:b/>
          <w:bCs/>
          <w:color w:val="auto"/>
          <w:sz w:val="24"/>
          <w:szCs w:val="24"/>
          <w:highlight w:val="yellow"/>
          <w:lang w:val="en-US" w:eastAsia="zh-CN"/>
        </w:rPr>
      </w:pPr>
      <w:r>
        <w:rPr>
          <w:rFonts w:hint="default" w:ascii="Times New Roman" w:hAnsi="Times New Roman" w:eastAsia="宋体" w:cs="Times New Roman"/>
          <w:b/>
          <w:bCs/>
          <w:color w:val="auto"/>
          <w:sz w:val="24"/>
          <w:szCs w:val="24"/>
          <w:highlight w:val="none"/>
          <w:lang w:val="en-US" w:eastAsia="zh-CN"/>
        </w:rPr>
        <w:t>图6</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 xml:space="preserve">  烟气处理工艺流程图</w:t>
      </w:r>
      <w:bookmarkStart w:id="1798" w:name="pindex12493"/>
      <w:bookmarkEnd w:id="1798"/>
    </w:p>
    <w:p w14:paraId="3D57D8E1">
      <w:pPr>
        <w:numPr>
          <w:ilvl w:val="0"/>
          <w:numId w:val="0"/>
        </w:numPr>
        <w:spacing w:before="181" w:line="219" w:lineRule="auto"/>
        <w:ind w:left="526" w:leftChars="0"/>
        <w:rPr>
          <w:rFonts w:hint="default" w:ascii="宋体" w:hAnsi="宋体" w:eastAsia="宋体" w:cs="宋体"/>
          <w:b/>
          <w:bCs/>
          <w:color w:val="auto"/>
          <w:spacing w:val="-4"/>
          <w:sz w:val="24"/>
          <w:szCs w:val="24"/>
          <w:lang w:val="en-US" w:eastAsia="zh-CN"/>
        </w:rPr>
      </w:pPr>
      <w:r>
        <w:rPr>
          <w:rFonts w:hint="default" w:ascii="Times New Roman" w:hAnsi="Times New Roman" w:eastAsia="宋体" w:cs="Times New Roman"/>
          <w:b/>
          <w:bCs/>
          <w:snapToGrid w:val="0"/>
          <w:color w:val="auto"/>
          <w:spacing w:val="-4"/>
          <w:kern w:val="0"/>
          <w:sz w:val="24"/>
          <w:szCs w:val="24"/>
          <w:lang w:val="en-US" w:eastAsia="en-US" w:bidi="ar-SA"/>
        </w:rPr>
        <w:t>（</w:t>
      </w:r>
      <w:r>
        <w:rPr>
          <w:rFonts w:hint="default" w:ascii="Times New Roman" w:hAnsi="Times New Roman" w:eastAsia="宋体" w:cs="Times New Roman"/>
          <w:b/>
          <w:bCs/>
          <w:snapToGrid w:val="0"/>
          <w:color w:val="auto"/>
          <w:spacing w:val="-4"/>
          <w:kern w:val="0"/>
          <w:sz w:val="24"/>
          <w:szCs w:val="24"/>
          <w:lang w:val="en-US" w:eastAsia="zh-CN" w:bidi="ar-SA"/>
        </w:rPr>
        <w:t>2</w:t>
      </w:r>
      <w:r>
        <w:rPr>
          <w:rFonts w:hint="default" w:ascii="Times New Roman" w:hAnsi="Times New Roman" w:eastAsia="宋体" w:cs="Times New Roman"/>
          <w:b/>
          <w:bCs/>
          <w:snapToGrid w:val="0"/>
          <w:color w:val="auto"/>
          <w:spacing w:val="-4"/>
          <w:kern w:val="0"/>
          <w:sz w:val="24"/>
          <w:szCs w:val="24"/>
          <w:lang w:val="en-US" w:eastAsia="en-US" w:bidi="ar-SA"/>
        </w:rPr>
        <w:t>）</w:t>
      </w:r>
      <w:r>
        <w:rPr>
          <w:rFonts w:hint="default" w:ascii="Times New Roman" w:hAnsi="Times New Roman" w:eastAsia="宋体" w:cs="Times New Roman"/>
          <w:b/>
          <w:bCs/>
          <w:color w:val="auto"/>
          <w:spacing w:val="-4"/>
          <w:sz w:val="24"/>
          <w:szCs w:val="24"/>
          <w:lang w:val="en-US" w:eastAsia="zh-CN"/>
        </w:rPr>
        <w:t>企业自备</w:t>
      </w:r>
      <w:r>
        <w:rPr>
          <w:rFonts w:hint="eastAsia" w:ascii="宋体" w:hAnsi="宋体" w:eastAsia="宋体" w:cs="宋体"/>
          <w:b/>
          <w:bCs/>
          <w:color w:val="auto"/>
          <w:spacing w:val="-4"/>
          <w:sz w:val="24"/>
          <w:szCs w:val="24"/>
          <w:lang w:val="en-US" w:eastAsia="zh-CN"/>
        </w:rPr>
        <w:t>工业锅炉建设情况</w:t>
      </w:r>
      <w:bookmarkStart w:id="1799" w:name="pindex12494"/>
      <w:bookmarkEnd w:id="1799"/>
    </w:p>
    <w:p w14:paraId="159E2A83">
      <w:pPr>
        <w:spacing w:before="183" w:line="345" w:lineRule="auto"/>
        <w:ind w:left="47" w:right="92" w:firstLine="471"/>
        <w:rPr>
          <w:rFonts w:hint="eastAsia" w:ascii="宋体" w:hAnsi="宋体" w:eastAsia="宋体" w:cs="宋体"/>
          <w:color w:val="auto"/>
          <w:spacing w:val="-4"/>
          <w:sz w:val="24"/>
          <w:szCs w:val="24"/>
          <w:lang w:val="en-US" w:eastAsia="zh-CN"/>
        </w:rPr>
      </w:pPr>
      <w:r>
        <w:rPr>
          <w:rFonts w:hint="eastAsia" w:ascii="宋体" w:hAnsi="宋体" w:eastAsia="宋体" w:cs="宋体"/>
          <w:color w:val="auto"/>
          <w:spacing w:val="-4"/>
          <w:sz w:val="24"/>
          <w:szCs w:val="24"/>
        </w:rPr>
        <w:t>开发区已经关停南京协鑫生活污泥发电有限公司燃煤机组，区内供热主要依托南京协鑫燃机热电有限公司现有燃气机组，并对规划区内企业自备锅炉完成了禁煤改造，按照宜电则电、宜气则气等原则进行整治，开发区内目前燃煤锅炉已全部关停或进行了煤改气改造，并严格落实《关于进一步明确燃气锅炉低氮改造相关要求的通知》</w:t>
      </w:r>
      <w:r>
        <w:rPr>
          <w:rFonts w:hint="eastAsia" w:ascii="宋体" w:hAnsi="宋体" w:eastAsia="宋体" w:cs="宋体"/>
          <w:color w:val="auto"/>
          <w:spacing w:val="-4"/>
          <w:sz w:val="24"/>
          <w:szCs w:val="24"/>
          <w:lang w:eastAsia="zh-CN"/>
        </w:rPr>
        <w:t>（</w:t>
      </w:r>
      <w:r>
        <w:rPr>
          <w:rFonts w:hint="eastAsia" w:ascii="宋体" w:hAnsi="宋体" w:eastAsia="宋体" w:cs="宋体"/>
          <w:color w:val="auto"/>
          <w:spacing w:val="-4"/>
          <w:sz w:val="24"/>
          <w:szCs w:val="24"/>
        </w:rPr>
        <w:t>宁环办</w:t>
      </w:r>
      <w:r>
        <w:rPr>
          <w:rFonts w:hint="eastAsia" w:ascii="宋体" w:hAnsi="宋体" w:eastAsia="宋体" w:cs="宋体"/>
          <w:color w:val="auto"/>
          <w:spacing w:val="-4"/>
          <w:sz w:val="24"/>
          <w:szCs w:val="24"/>
          <w:lang w:eastAsia="zh-CN"/>
        </w:rPr>
        <w:t>〔</w:t>
      </w:r>
      <w:r>
        <w:rPr>
          <w:rFonts w:hint="default" w:ascii="Times New Roman" w:hAnsi="Times New Roman" w:eastAsia="宋体" w:cs="Times New Roman"/>
          <w:color w:val="auto"/>
          <w:spacing w:val="-4"/>
          <w:sz w:val="24"/>
          <w:szCs w:val="24"/>
        </w:rPr>
        <w:t>2019</w:t>
      </w:r>
      <w:r>
        <w:rPr>
          <w:rFonts w:hint="eastAsia"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4"/>
          <w:sz w:val="24"/>
          <w:szCs w:val="24"/>
        </w:rPr>
        <w:t>62</w:t>
      </w:r>
      <w:r>
        <w:rPr>
          <w:rFonts w:hint="eastAsia" w:ascii="宋体" w:hAnsi="宋体" w:eastAsia="宋体" w:cs="宋体"/>
          <w:color w:val="auto"/>
          <w:spacing w:val="-4"/>
          <w:sz w:val="24"/>
          <w:szCs w:val="24"/>
        </w:rPr>
        <w:t>号</w:t>
      </w:r>
      <w:r>
        <w:rPr>
          <w:rFonts w:hint="eastAsia" w:ascii="宋体" w:hAnsi="宋体" w:eastAsia="宋体" w:cs="宋体"/>
          <w:color w:val="auto"/>
          <w:spacing w:val="-4"/>
          <w:sz w:val="24"/>
          <w:szCs w:val="24"/>
          <w:lang w:eastAsia="zh-CN"/>
        </w:rPr>
        <w:t>）</w:t>
      </w:r>
      <w:r>
        <w:rPr>
          <w:rFonts w:hint="eastAsia" w:ascii="宋体" w:hAnsi="宋体" w:eastAsia="宋体" w:cs="宋体"/>
          <w:color w:val="auto"/>
          <w:spacing w:val="-4"/>
          <w:sz w:val="24"/>
          <w:szCs w:val="24"/>
        </w:rPr>
        <w:t>，燃气锅炉已完成低氮改造，城市建成区生物质锅炉实施超低排放改造。</w:t>
      </w:r>
      <w:r>
        <w:rPr>
          <w:rFonts w:hint="eastAsia" w:ascii="宋体" w:hAnsi="宋体" w:eastAsia="宋体" w:cs="宋体"/>
          <w:color w:val="auto"/>
          <w:spacing w:val="-4"/>
          <w:sz w:val="24"/>
          <w:szCs w:val="24"/>
          <w:lang w:val="en-US" w:eastAsia="zh-CN"/>
        </w:rPr>
        <w:t>开发区将进一步推进全域实现集中供热，逐步淘汰企业自建锅炉。</w:t>
      </w:r>
    </w:p>
    <w:p w14:paraId="3AA03336">
      <w:pPr>
        <w:keepNext w:val="0"/>
        <w:keepLines w:val="0"/>
        <w:pageBreakBefore w:val="0"/>
        <w:widowControl/>
        <w:kinsoku w:val="0"/>
        <w:wordWrap/>
        <w:overflowPunct/>
        <w:topLinePunct w:val="0"/>
        <w:autoSpaceDE w:val="0"/>
        <w:autoSpaceDN w:val="0"/>
        <w:bidi w:val="0"/>
        <w:adjustRightInd w:val="0"/>
        <w:snapToGrid w:val="0"/>
        <w:spacing w:before="183" w:line="240" w:lineRule="auto"/>
        <w:ind w:right="91"/>
        <w:jc w:val="center"/>
        <w:textAlignment w:val="baseline"/>
        <w:rPr>
          <w:rFonts w:hint="default" w:ascii="宋体" w:hAnsi="宋体" w:eastAsia="宋体" w:cs="宋体"/>
          <w:b/>
          <w:bCs/>
          <w:color w:val="auto"/>
          <w:spacing w:val="-4"/>
          <w:sz w:val="24"/>
          <w:szCs w:val="24"/>
          <w:lang w:val="en-US" w:eastAsia="zh-CN"/>
        </w:rPr>
      </w:pPr>
      <w:r>
        <w:rPr>
          <w:rFonts w:hint="default" w:ascii="Times New Roman" w:hAnsi="Times New Roman" w:eastAsia="宋体" w:cs="Times New Roman"/>
          <w:b/>
          <w:bCs/>
          <w:color w:val="auto"/>
          <w:spacing w:val="-4"/>
          <w:sz w:val="24"/>
          <w:szCs w:val="24"/>
          <w:lang w:val="en-US" w:eastAsia="zh-CN"/>
        </w:rPr>
        <w:t>表6.4-</w:t>
      </w:r>
      <w:r>
        <w:rPr>
          <w:rFonts w:hint="eastAsia" w:ascii="Times New Roman" w:hAnsi="Times New Roman" w:eastAsia="宋体" w:cs="Times New Roman"/>
          <w:b/>
          <w:bCs/>
          <w:color w:val="auto"/>
          <w:spacing w:val="-4"/>
          <w:sz w:val="24"/>
          <w:szCs w:val="24"/>
          <w:lang w:val="en-US" w:eastAsia="zh-CN"/>
        </w:rPr>
        <w:t>9</w:t>
      </w:r>
      <w:r>
        <w:rPr>
          <w:rFonts w:hint="default" w:ascii="Times New Roman" w:hAnsi="Times New Roman" w:eastAsia="宋体" w:cs="Times New Roman"/>
          <w:b/>
          <w:bCs/>
          <w:color w:val="auto"/>
          <w:spacing w:val="-4"/>
          <w:sz w:val="24"/>
          <w:szCs w:val="24"/>
          <w:lang w:val="en-US" w:eastAsia="zh-CN"/>
        </w:rPr>
        <w:t xml:space="preserve">  </w:t>
      </w:r>
      <w:r>
        <w:rPr>
          <w:rFonts w:hint="default" w:ascii="Times New Roman" w:hAnsi="Times New Roman" w:eastAsia="宋体" w:cs="Times New Roman"/>
          <w:b/>
          <w:bCs/>
          <w:color w:val="auto"/>
          <w:spacing w:val="-4"/>
          <w:sz w:val="24"/>
          <w:szCs w:val="24"/>
          <w:highlight w:val="none"/>
          <w:lang w:val="en-US" w:eastAsia="zh-CN"/>
        </w:rPr>
        <w:t>开发区在用工业锅炉统计表</w:t>
      </w:r>
      <w:bookmarkStart w:id="1800" w:name="pindex12496"/>
      <w:bookmarkEnd w:id="1800"/>
    </w:p>
    <w:tbl>
      <w:tblPr>
        <w:tblStyle w:val="2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1506"/>
        <w:gridCol w:w="2155"/>
        <w:gridCol w:w="1467"/>
        <w:gridCol w:w="720"/>
        <w:gridCol w:w="1072"/>
        <w:gridCol w:w="1073"/>
      </w:tblGrid>
      <w:tr w14:paraId="614C46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199B9D4F">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序号</w:t>
            </w:r>
          </w:p>
        </w:tc>
        <w:tc>
          <w:tcPr>
            <w:tcW w:w="1506" w:type="dxa"/>
            <w:tcBorders>
              <w:tl2br w:val="nil"/>
              <w:tr2bl w:val="nil"/>
            </w:tcBorders>
            <w:vAlign w:val="center"/>
          </w:tcPr>
          <w:p w14:paraId="5D67055A">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单位名称</w:t>
            </w:r>
          </w:p>
        </w:tc>
        <w:tc>
          <w:tcPr>
            <w:tcW w:w="2155" w:type="dxa"/>
            <w:tcBorders>
              <w:tl2br w:val="nil"/>
              <w:tr2bl w:val="nil"/>
            </w:tcBorders>
            <w:vAlign w:val="center"/>
          </w:tcPr>
          <w:p w14:paraId="633D136B">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锅炉型号</w:t>
            </w:r>
          </w:p>
        </w:tc>
        <w:tc>
          <w:tcPr>
            <w:tcW w:w="1467" w:type="dxa"/>
            <w:tcBorders>
              <w:tl2br w:val="nil"/>
              <w:tr2bl w:val="nil"/>
            </w:tcBorders>
            <w:vAlign w:val="center"/>
          </w:tcPr>
          <w:p w14:paraId="436285AA">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额定出力（蒸吨/小时）</w:t>
            </w:r>
          </w:p>
        </w:tc>
        <w:tc>
          <w:tcPr>
            <w:tcW w:w="720" w:type="dxa"/>
            <w:tcBorders>
              <w:tl2br w:val="nil"/>
              <w:tr2bl w:val="nil"/>
            </w:tcBorders>
            <w:vAlign w:val="center"/>
          </w:tcPr>
          <w:p w14:paraId="406C0BB4">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数量</w:t>
            </w:r>
          </w:p>
        </w:tc>
        <w:tc>
          <w:tcPr>
            <w:tcW w:w="1072" w:type="dxa"/>
            <w:tcBorders>
              <w:tl2br w:val="nil"/>
              <w:tr2bl w:val="nil"/>
            </w:tcBorders>
            <w:vAlign w:val="center"/>
          </w:tcPr>
          <w:p w14:paraId="4579F9D3">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治理措施</w:t>
            </w:r>
          </w:p>
        </w:tc>
        <w:tc>
          <w:tcPr>
            <w:tcW w:w="1073" w:type="dxa"/>
            <w:tcBorders>
              <w:tl2br w:val="nil"/>
              <w:tr2bl w:val="nil"/>
            </w:tcBorders>
            <w:vAlign w:val="center"/>
          </w:tcPr>
          <w:p w14:paraId="07BC7205">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备注</w:t>
            </w:r>
          </w:p>
        </w:tc>
      </w:tr>
      <w:tr w14:paraId="1F0839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077CAE13">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506" w:type="dxa"/>
            <w:tcBorders>
              <w:tl2br w:val="nil"/>
              <w:tr2bl w:val="nil"/>
            </w:tcBorders>
            <w:vAlign w:val="center"/>
          </w:tcPr>
          <w:p w14:paraId="55F8B2B2">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上</w:t>
            </w:r>
            <w:r>
              <w:rPr>
                <w:rFonts w:hint="eastAsia" w:ascii="Times New Roman" w:hAnsi="Times New Roman" w:eastAsia="宋体" w:cs="Times New Roman"/>
                <w:color w:val="auto"/>
                <w:sz w:val="21"/>
                <w:szCs w:val="21"/>
                <w:lang w:val="en-US" w:eastAsia="zh-CN"/>
              </w:rPr>
              <w:t>汽</w:t>
            </w:r>
            <w:r>
              <w:rPr>
                <w:rFonts w:hint="default" w:ascii="Times New Roman" w:hAnsi="Times New Roman" w:eastAsia="宋体" w:cs="Times New Roman"/>
                <w:color w:val="auto"/>
                <w:sz w:val="21"/>
                <w:szCs w:val="21"/>
                <w:lang w:val="en-US" w:eastAsia="zh-CN"/>
              </w:rPr>
              <w:t>大众汽车有限公司南京分公司</w:t>
            </w:r>
          </w:p>
        </w:tc>
        <w:tc>
          <w:tcPr>
            <w:tcW w:w="2155" w:type="dxa"/>
            <w:tcBorders>
              <w:tl2br w:val="nil"/>
              <w:tr2bl w:val="nil"/>
            </w:tcBorders>
            <w:vAlign w:val="center"/>
          </w:tcPr>
          <w:p w14:paraId="54D52603">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ZFR30000×16+ECOI</w:t>
            </w:r>
          </w:p>
        </w:tc>
        <w:tc>
          <w:tcPr>
            <w:tcW w:w="1467" w:type="dxa"/>
            <w:tcBorders>
              <w:tl2br w:val="nil"/>
              <w:tr2bl w:val="nil"/>
            </w:tcBorders>
            <w:vAlign w:val="center"/>
          </w:tcPr>
          <w:p w14:paraId="7F9CEBEB">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p>
        </w:tc>
        <w:tc>
          <w:tcPr>
            <w:tcW w:w="720" w:type="dxa"/>
            <w:tcBorders>
              <w:tl2br w:val="nil"/>
              <w:tr2bl w:val="nil"/>
            </w:tcBorders>
            <w:vAlign w:val="center"/>
          </w:tcPr>
          <w:p w14:paraId="549FBAA1">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072" w:type="dxa"/>
            <w:tcBorders>
              <w:tl2br w:val="nil"/>
              <w:tr2bl w:val="nil"/>
            </w:tcBorders>
            <w:vAlign w:val="center"/>
          </w:tcPr>
          <w:p w14:paraId="43D2A696">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低氮燃烧</w:t>
            </w:r>
          </w:p>
        </w:tc>
        <w:tc>
          <w:tcPr>
            <w:tcW w:w="1073" w:type="dxa"/>
            <w:tcBorders>
              <w:tl2br w:val="nil"/>
              <w:tr2bl w:val="nil"/>
            </w:tcBorders>
            <w:vAlign w:val="center"/>
          </w:tcPr>
          <w:p w14:paraId="1FC3ACB8">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p>
        </w:tc>
      </w:tr>
      <w:tr w14:paraId="33E638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638" w:type="dxa"/>
            <w:vMerge w:val="restart"/>
            <w:tcBorders>
              <w:tl2br w:val="nil"/>
              <w:tr2bl w:val="nil"/>
            </w:tcBorders>
            <w:vAlign w:val="center"/>
          </w:tcPr>
          <w:p w14:paraId="42F6EEA1">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1506" w:type="dxa"/>
            <w:vMerge w:val="restart"/>
            <w:tcBorders>
              <w:tl2br w:val="nil"/>
              <w:tr2bl w:val="nil"/>
            </w:tcBorders>
            <w:vAlign w:val="center"/>
          </w:tcPr>
          <w:p w14:paraId="4B8CB5CF">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长安马自达汽车有限公司</w:t>
            </w:r>
          </w:p>
        </w:tc>
        <w:tc>
          <w:tcPr>
            <w:tcW w:w="2155" w:type="dxa"/>
            <w:tcBorders>
              <w:bottom w:val="single" w:color="000000" w:sz="4" w:space="0"/>
              <w:tl2br w:val="nil"/>
              <w:tr2bl w:val="nil"/>
            </w:tcBorders>
            <w:vAlign w:val="center"/>
          </w:tcPr>
          <w:p w14:paraId="27C68EDF">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WNS2.1-1.0/95/70-Y（Q）</w:t>
            </w:r>
          </w:p>
        </w:tc>
        <w:tc>
          <w:tcPr>
            <w:tcW w:w="1467" w:type="dxa"/>
            <w:tcBorders>
              <w:bottom w:val="single" w:color="000000" w:sz="4" w:space="0"/>
              <w:tl2br w:val="nil"/>
              <w:tr2bl w:val="nil"/>
            </w:tcBorders>
            <w:vAlign w:val="center"/>
          </w:tcPr>
          <w:p w14:paraId="0A2111C6">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720" w:type="dxa"/>
            <w:tcBorders>
              <w:bottom w:val="single" w:color="000000" w:sz="4" w:space="0"/>
              <w:tl2br w:val="nil"/>
              <w:tr2bl w:val="nil"/>
            </w:tcBorders>
            <w:vAlign w:val="center"/>
          </w:tcPr>
          <w:p w14:paraId="3879D3E4">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072" w:type="dxa"/>
            <w:tcBorders>
              <w:bottom w:val="single" w:color="000000" w:sz="4" w:space="0"/>
              <w:tl2br w:val="nil"/>
              <w:tr2bl w:val="nil"/>
            </w:tcBorders>
            <w:vAlign w:val="center"/>
          </w:tcPr>
          <w:p w14:paraId="51FD21AA">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低氮燃烧</w:t>
            </w:r>
          </w:p>
        </w:tc>
        <w:tc>
          <w:tcPr>
            <w:tcW w:w="1073" w:type="dxa"/>
            <w:vMerge w:val="restart"/>
            <w:tcBorders>
              <w:tl2br w:val="nil"/>
              <w:tr2bl w:val="nil"/>
            </w:tcBorders>
            <w:vAlign w:val="center"/>
          </w:tcPr>
          <w:p w14:paraId="07721054">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p>
        </w:tc>
      </w:tr>
      <w:tr w14:paraId="2C80D2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638" w:type="dxa"/>
            <w:vMerge w:val="continue"/>
            <w:tcBorders>
              <w:tl2br w:val="nil"/>
              <w:tr2bl w:val="nil"/>
            </w:tcBorders>
            <w:vAlign w:val="center"/>
          </w:tcPr>
          <w:p w14:paraId="78C76311">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1506" w:type="dxa"/>
            <w:vMerge w:val="continue"/>
            <w:tcBorders>
              <w:tl2br w:val="nil"/>
              <w:tr2bl w:val="nil"/>
            </w:tcBorders>
            <w:vAlign w:val="center"/>
          </w:tcPr>
          <w:p w14:paraId="5926D208">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2155" w:type="dxa"/>
            <w:tcBorders>
              <w:top w:val="single" w:color="000000" w:sz="4" w:space="0"/>
              <w:tl2br w:val="nil"/>
              <w:tr2bl w:val="nil"/>
            </w:tcBorders>
            <w:vAlign w:val="center"/>
          </w:tcPr>
          <w:p w14:paraId="79A41FF5">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WNS2.1-1.0/95/70-Y（Q）</w:t>
            </w:r>
          </w:p>
        </w:tc>
        <w:tc>
          <w:tcPr>
            <w:tcW w:w="1467" w:type="dxa"/>
            <w:tcBorders>
              <w:top w:val="single" w:color="000000" w:sz="4" w:space="0"/>
              <w:tl2br w:val="nil"/>
              <w:tr2bl w:val="nil"/>
            </w:tcBorders>
            <w:vAlign w:val="center"/>
          </w:tcPr>
          <w:p w14:paraId="01FFD987">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720" w:type="dxa"/>
            <w:tcBorders>
              <w:top w:val="single" w:color="000000" w:sz="4" w:space="0"/>
              <w:tl2br w:val="nil"/>
              <w:tr2bl w:val="nil"/>
            </w:tcBorders>
            <w:vAlign w:val="center"/>
          </w:tcPr>
          <w:p w14:paraId="7E694CE4">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072" w:type="dxa"/>
            <w:tcBorders>
              <w:top w:val="single" w:color="000000" w:sz="4" w:space="0"/>
              <w:tl2br w:val="nil"/>
              <w:tr2bl w:val="nil"/>
            </w:tcBorders>
            <w:vAlign w:val="center"/>
          </w:tcPr>
          <w:p w14:paraId="74C3E861">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低氮燃烧</w:t>
            </w:r>
          </w:p>
        </w:tc>
        <w:tc>
          <w:tcPr>
            <w:tcW w:w="1073" w:type="dxa"/>
            <w:vMerge w:val="continue"/>
            <w:tcBorders>
              <w:tl2br w:val="nil"/>
              <w:tr2bl w:val="nil"/>
            </w:tcBorders>
            <w:vAlign w:val="center"/>
          </w:tcPr>
          <w:p w14:paraId="19560C15">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p>
        </w:tc>
      </w:tr>
      <w:tr w14:paraId="72DADE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4C0D93A8">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506" w:type="dxa"/>
            <w:tcBorders>
              <w:tl2br w:val="nil"/>
              <w:tr2bl w:val="nil"/>
            </w:tcBorders>
            <w:vAlign w:val="center"/>
          </w:tcPr>
          <w:p w14:paraId="09757674">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长安马自达发动机有限公司</w:t>
            </w:r>
          </w:p>
        </w:tc>
        <w:tc>
          <w:tcPr>
            <w:tcW w:w="2155" w:type="dxa"/>
            <w:tcBorders>
              <w:tl2br w:val="nil"/>
              <w:tr2bl w:val="nil"/>
            </w:tcBorders>
            <w:vAlign w:val="center"/>
          </w:tcPr>
          <w:p w14:paraId="57DAB186">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Vitomax200</w:t>
            </w:r>
          </w:p>
        </w:tc>
        <w:tc>
          <w:tcPr>
            <w:tcW w:w="1467" w:type="dxa"/>
            <w:tcBorders>
              <w:tl2br w:val="nil"/>
              <w:tr2bl w:val="nil"/>
            </w:tcBorders>
            <w:vAlign w:val="center"/>
          </w:tcPr>
          <w:p w14:paraId="63F93D13">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720" w:type="dxa"/>
            <w:tcBorders>
              <w:tl2br w:val="nil"/>
              <w:tr2bl w:val="nil"/>
            </w:tcBorders>
            <w:vAlign w:val="center"/>
          </w:tcPr>
          <w:p w14:paraId="7AB81080">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072" w:type="dxa"/>
            <w:tcBorders>
              <w:tl2br w:val="nil"/>
              <w:tr2bl w:val="nil"/>
            </w:tcBorders>
            <w:vAlign w:val="center"/>
          </w:tcPr>
          <w:p w14:paraId="69F1AE7A">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低氮燃烧</w:t>
            </w:r>
          </w:p>
        </w:tc>
        <w:tc>
          <w:tcPr>
            <w:tcW w:w="1073" w:type="dxa"/>
            <w:tcBorders>
              <w:tl2br w:val="nil"/>
              <w:tr2bl w:val="nil"/>
            </w:tcBorders>
            <w:vAlign w:val="center"/>
          </w:tcPr>
          <w:p w14:paraId="62324EC8">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p>
        </w:tc>
      </w:tr>
      <w:tr w14:paraId="70A252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638" w:type="dxa"/>
            <w:vMerge w:val="restart"/>
            <w:tcBorders>
              <w:tl2br w:val="nil"/>
              <w:tr2bl w:val="nil"/>
            </w:tcBorders>
            <w:vAlign w:val="center"/>
          </w:tcPr>
          <w:p w14:paraId="2E5C8DF7">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506" w:type="dxa"/>
            <w:vMerge w:val="restart"/>
            <w:tcBorders>
              <w:tl2br w:val="nil"/>
              <w:tr2bl w:val="nil"/>
            </w:tcBorders>
            <w:shd w:val="clear" w:color="auto" w:fill="auto"/>
            <w:vAlign w:val="center"/>
          </w:tcPr>
          <w:p w14:paraId="333542B0">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菲尼克斯亚太电气（南京）有限公司</w:t>
            </w:r>
          </w:p>
        </w:tc>
        <w:tc>
          <w:tcPr>
            <w:tcW w:w="2155" w:type="dxa"/>
            <w:tcBorders>
              <w:bottom w:val="single" w:color="000000" w:sz="4" w:space="0"/>
              <w:tl2br w:val="nil"/>
              <w:tr2bl w:val="nil"/>
            </w:tcBorders>
            <w:shd w:val="clear" w:color="auto" w:fill="auto"/>
            <w:vAlign w:val="center"/>
          </w:tcPr>
          <w:p w14:paraId="32E53418">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LSS0.7-0.7/95/70-YQ</w:t>
            </w:r>
          </w:p>
        </w:tc>
        <w:tc>
          <w:tcPr>
            <w:tcW w:w="1467" w:type="dxa"/>
            <w:tcBorders>
              <w:bottom w:val="single" w:color="000000" w:sz="4" w:space="0"/>
              <w:tl2br w:val="nil"/>
              <w:tr2bl w:val="nil"/>
            </w:tcBorders>
            <w:shd w:val="clear" w:color="auto" w:fill="auto"/>
            <w:vAlign w:val="center"/>
          </w:tcPr>
          <w:p w14:paraId="6D1BD1CD">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720" w:type="dxa"/>
            <w:tcBorders>
              <w:bottom w:val="single" w:color="000000" w:sz="4" w:space="0"/>
              <w:tl2br w:val="nil"/>
              <w:tr2bl w:val="nil"/>
            </w:tcBorders>
            <w:shd w:val="clear" w:color="auto" w:fill="auto"/>
            <w:vAlign w:val="center"/>
          </w:tcPr>
          <w:p w14:paraId="6E5B50F4">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w:t>
            </w:r>
          </w:p>
        </w:tc>
        <w:tc>
          <w:tcPr>
            <w:tcW w:w="1072" w:type="dxa"/>
            <w:tcBorders>
              <w:bottom w:val="single" w:color="000000" w:sz="4" w:space="0"/>
              <w:tl2br w:val="nil"/>
              <w:tr2bl w:val="nil"/>
            </w:tcBorders>
            <w:shd w:val="clear" w:color="auto" w:fill="auto"/>
            <w:vAlign w:val="center"/>
          </w:tcPr>
          <w:p w14:paraId="69CB2F6D">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lang w:val="en-US" w:eastAsia="zh-CN"/>
              </w:rPr>
              <w:t>低氮燃烧</w:t>
            </w:r>
          </w:p>
        </w:tc>
        <w:tc>
          <w:tcPr>
            <w:tcW w:w="1073" w:type="dxa"/>
            <w:vMerge w:val="restart"/>
            <w:tcBorders>
              <w:tl2br w:val="nil"/>
              <w:tr2bl w:val="nil"/>
            </w:tcBorders>
            <w:vAlign w:val="center"/>
          </w:tcPr>
          <w:p w14:paraId="222E93FC">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p>
        </w:tc>
      </w:tr>
      <w:tr w14:paraId="3553FB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638" w:type="dxa"/>
            <w:vMerge w:val="continue"/>
            <w:tcBorders>
              <w:tl2br w:val="nil"/>
              <w:tr2bl w:val="nil"/>
            </w:tcBorders>
            <w:vAlign w:val="center"/>
          </w:tcPr>
          <w:p w14:paraId="37DA24EA">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1506" w:type="dxa"/>
            <w:vMerge w:val="continue"/>
            <w:tcBorders>
              <w:tl2br w:val="nil"/>
              <w:tr2bl w:val="nil"/>
            </w:tcBorders>
            <w:vAlign w:val="center"/>
          </w:tcPr>
          <w:p w14:paraId="2D942A8F">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2155" w:type="dxa"/>
            <w:tcBorders>
              <w:top w:val="single" w:color="000000" w:sz="4" w:space="0"/>
              <w:tl2br w:val="nil"/>
              <w:tr2bl w:val="nil"/>
            </w:tcBorders>
            <w:shd w:val="clear" w:color="auto" w:fill="auto"/>
            <w:vAlign w:val="center"/>
          </w:tcPr>
          <w:p w14:paraId="7217820E">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GE615</w:t>
            </w:r>
          </w:p>
        </w:tc>
        <w:tc>
          <w:tcPr>
            <w:tcW w:w="1467" w:type="dxa"/>
            <w:tcBorders>
              <w:top w:val="single" w:color="000000" w:sz="4" w:space="0"/>
              <w:tl2br w:val="nil"/>
              <w:tr2bl w:val="nil"/>
            </w:tcBorders>
            <w:shd w:val="clear" w:color="auto" w:fill="auto"/>
            <w:vAlign w:val="center"/>
          </w:tcPr>
          <w:p w14:paraId="5DEA32F1">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720" w:type="dxa"/>
            <w:tcBorders>
              <w:top w:val="single" w:color="000000" w:sz="4" w:space="0"/>
              <w:tl2br w:val="nil"/>
              <w:tr2bl w:val="nil"/>
            </w:tcBorders>
            <w:shd w:val="clear" w:color="auto" w:fill="auto"/>
            <w:vAlign w:val="center"/>
          </w:tcPr>
          <w:p w14:paraId="445D3903">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1072" w:type="dxa"/>
            <w:tcBorders>
              <w:top w:val="single" w:color="000000" w:sz="4" w:space="0"/>
              <w:tl2br w:val="nil"/>
              <w:tr2bl w:val="nil"/>
            </w:tcBorders>
            <w:shd w:val="clear" w:color="auto" w:fill="auto"/>
            <w:vAlign w:val="center"/>
          </w:tcPr>
          <w:p w14:paraId="091DF60F">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lang w:val="en-US" w:eastAsia="zh-CN"/>
              </w:rPr>
              <w:t>低氮燃烧</w:t>
            </w:r>
          </w:p>
        </w:tc>
        <w:tc>
          <w:tcPr>
            <w:tcW w:w="1073" w:type="dxa"/>
            <w:vMerge w:val="continue"/>
            <w:tcBorders>
              <w:tl2br w:val="nil"/>
              <w:tr2bl w:val="nil"/>
            </w:tcBorders>
            <w:vAlign w:val="center"/>
          </w:tcPr>
          <w:p w14:paraId="22BEF56D">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p>
        </w:tc>
      </w:tr>
      <w:tr w14:paraId="2F6B1D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3A426090">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506" w:type="dxa"/>
            <w:tcBorders>
              <w:tl2br w:val="nil"/>
              <w:tr2bl w:val="nil"/>
            </w:tcBorders>
            <w:vAlign w:val="center"/>
          </w:tcPr>
          <w:p w14:paraId="65B6104A">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国电南瑞科技股份有限公司</w:t>
            </w:r>
          </w:p>
        </w:tc>
        <w:tc>
          <w:tcPr>
            <w:tcW w:w="2155" w:type="dxa"/>
            <w:tcBorders>
              <w:tl2br w:val="nil"/>
              <w:tr2bl w:val="nil"/>
            </w:tcBorders>
            <w:vAlign w:val="center"/>
          </w:tcPr>
          <w:p w14:paraId="7AB0AC7F">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WDR2.73-1.0/119/20</w:t>
            </w:r>
          </w:p>
        </w:tc>
        <w:tc>
          <w:tcPr>
            <w:tcW w:w="1467" w:type="dxa"/>
            <w:tcBorders>
              <w:tl2br w:val="nil"/>
              <w:tr2bl w:val="nil"/>
            </w:tcBorders>
            <w:vAlign w:val="center"/>
          </w:tcPr>
          <w:p w14:paraId="1F1C0A09">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3.9</w:t>
            </w:r>
          </w:p>
        </w:tc>
        <w:tc>
          <w:tcPr>
            <w:tcW w:w="720" w:type="dxa"/>
            <w:tcBorders>
              <w:tl2br w:val="nil"/>
              <w:tr2bl w:val="nil"/>
            </w:tcBorders>
            <w:vAlign w:val="center"/>
          </w:tcPr>
          <w:p w14:paraId="6CD0AF9E">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072" w:type="dxa"/>
            <w:tcBorders>
              <w:tl2br w:val="nil"/>
              <w:tr2bl w:val="nil"/>
            </w:tcBorders>
            <w:vAlign w:val="center"/>
          </w:tcPr>
          <w:p w14:paraId="07EF369E">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073" w:type="dxa"/>
            <w:tcBorders>
              <w:tl2br w:val="nil"/>
              <w:tr2bl w:val="nil"/>
            </w:tcBorders>
            <w:vAlign w:val="center"/>
          </w:tcPr>
          <w:p w14:paraId="421F9AA0">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电锅炉</w:t>
            </w:r>
          </w:p>
        </w:tc>
      </w:tr>
      <w:tr w14:paraId="0C4AF8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2A864565">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1506" w:type="dxa"/>
            <w:tcBorders>
              <w:tl2br w:val="nil"/>
              <w:tr2bl w:val="nil"/>
            </w:tcBorders>
            <w:vAlign w:val="center"/>
          </w:tcPr>
          <w:p w14:paraId="15CCB388">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通用磨坊食品（南京）有限公司</w:t>
            </w:r>
          </w:p>
        </w:tc>
        <w:tc>
          <w:tcPr>
            <w:tcW w:w="2155" w:type="dxa"/>
            <w:tcBorders>
              <w:tl2br w:val="nil"/>
              <w:tr2bl w:val="nil"/>
            </w:tcBorders>
            <w:vAlign w:val="center"/>
          </w:tcPr>
          <w:p w14:paraId="0BD4D0D5">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WNS3-1.25-Y</w:t>
            </w:r>
          </w:p>
        </w:tc>
        <w:tc>
          <w:tcPr>
            <w:tcW w:w="1467" w:type="dxa"/>
            <w:tcBorders>
              <w:tl2br w:val="nil"/>
              <w:tr2bl w:val="nil"/>
            </w:tcBorders>
            <w:vAlign w:val="center"/>
          </w:tcPr>
          <w:p w14:paraId="045014BA">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720" w:type="dxa"/>
            <w:tcBorders>
              <w:tl2br w:val="nil"/>
              <w:tr2bl w:val="nil"/>
            </w:tcBorders>
            <w:vAlign w:val="center"/>
          </w:tcPr>
          <w:p w14:paraId="0EB2BD1C">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072" w:type="dxa"/>
            <w:tcBorders>
              <w:tl2br w:val="nil"/>
              <w:tr2bl w:val="nil"/>
            </w:tcBorders>
            <w:vAlign w:val="center"/>
          </w:tcPr>
          <w:p w14:paraId="206FA306">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低氮燃烧</w:t>
            </w:r>
          </w:p>
        </w:tc>
        <w:tc>
          <w:tcPr>
            <w:tcW w:w="1073" w:type="dxa"/>
            <w:tcBorders>
              <w:tl2br w:val="nil"/>
              <w:tr2bl w:val="nil"/>
            </w:tcBorders>
            <w:vAlign w:val="center"/>
          </w:tcPr>
          <w:p w14:paraId="08E3DD2B">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p>
        </w:tc>
      </w:tr>
      <w:tr w14:paraId="2B2C08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9" w:type="dxa"/>
            <w:gridSpan w:val="3"/>
            <w:tcBorders>
              <w:tl2br w:val="nil"/>
              <w:tr2bl w:val="nil"/>
            </w:tcBorders>
            <w:vAlign w:val="center"/>
          </w:tcPr>
          <w:p w14:paraId="0CE69ED4">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合计</w:t>
            </w:r>
          </w:p>
        </w:tc>
        <w:tc>
          <w:tcPr>
            <w:tcW w:w="1467" w:type="dxa"/>
            <w:tcBorders>
              <w:tl2br w:val="nil"/>
              <w:tr2bl w:val="nil"/>
            </w:tcBorders>
            <w:vAlign w:val="center"/>
          </w:tcPr>
          <w:p w14:paraId="10840428">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50.9</w:t>
            </w:r>
          </w:p>
        </w:tc>
        <w:tc>
          <w:tcPr>
            <w:tcW w:w="720" w:type="dxa"/>
            <w:tcBorders>
              <w:tl2br w:val="nil"/>
              <w:tr2bl w:val="nil"/>
            </w:tcBorders>
            <w:vAlign w:val="center"/>
          </w:tcPr>
          <w:p w14:paraId="5B20FB42">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w:t>
            </w:r>
          </w:p>
        </w:tc>
        <w:tc>
          <w:tcPr>
            <w:tcW w:w="1072" w:type="dxa"/>
            <w:tcBorders>
              <w:tl2br w:val="nil"/>
              <w:tr2bl w:val="nil"/>
            </w:tcBorders>
            <w:vAlign w:val="center"/>
          </w:tcPr>
          <w:p w14:paraId="4649F343">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073" w:type="dxa"/>
            <w:tcBorders>
              <w:tl2br w:val="nil"/>
              <w:tr2bl w:val="nil"/>
            </w:tcBorders>
            <w:vAlign w:val="center"/>
          </w:tcPr>
          <w:p w14:paraId="514346E5">
            <w:pPr>
              <w:keepNext w:val="0"/>
              <w:keepLines w:val="0"/>
              <w:pageBreakBefore w:val="0"/>
              <w:widowControl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bl>
    <w:p w14:paraId="12FEC086">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2"/>
        <w:rPr>
          <w:rFonts w:ascii="Times New Roman" w:hAnsi="Times New Roman" w:eastAsia="Times New Roman" w:cs="Times New Roman"/>
          <w:b/>
          <w:bCs/>
          <w:color w:val="auto"/>
          <w:spacing w:val="-2"/>
          <w:sz w:val="24"/>
          <w:szCs w:val="24"/>
        </w:rPr>
      </w:pPr>
      <w:bookmarkStart w:id="1801" w:name="_Toc12171"/>
      <w:r>
        <w:rPr>
          <w:rFonts w:ascii="Times New Roman" w:hAnsi="Times New Roman" w:eastAsia="Times New Roman" w:cs="Times New Roman"/>
          <w:b/>
          <w:bCs/>
          <w:color w:val="auto"/>
          <w:spacing w:val="-2"/>
          <w:sz w:val="24"/>
          <w:szCs w:val="24"/>
        </w:rPr>
        <w:t>6.4.</w:t>
      </w:r>
      <w:r>
        <w:rPr>
          <w:rFonts w:hint="eastAsia" w:ascii="Times New Roman" w:hAnsi="Times New Roman" w:eastAsia="Times New Roman" w:cs="Times New Roman"/>
          <w:b/>
          <w:bCs/>
          <w:color w:val="auto"/>
          <w:spacing w:val="-2"/>
          <w:sz w:val="24"/>
          <w:szCs w:val="24"/>
          <w:lang w:val="en-US" w:eastAsia="zh-CN"/>
        </w:rPr>
        <w:t>4危险废物</w:t>
      </w:r>
      <w:r>
        <w:rPr>
          <w:rFonts w:ascii="Times New Roman" w:hAnsi="Times New Roman" w:eastAsia="Times New Roman" w:cs="Times New Roman"/>
          <w:b/>
          <w:bCs/>
          <w:color w:val="auto"/>
          <w:spacing w:val="-2"/>
          <w:sz w:val="24"/>
          <w:szCs w:val="24"/>
        </w:rPr>
        <w:t>处置设施</w:t>
      </w:r>
      <w:bookmarkEnd w:id="1801"/>
      <w:bookmarkStart w:id="1802" w:name="pindex12565"/>
      <w:bookmarkEnd w:id="1802"/>
    </w:p>
    <w:p w14:paraId="5FDBF5CB">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3" w:line="360" w:lineRule="auto"/>
        <w:ind w:firstLine="466" w:firstLineChars="200"/>
        <w:textAlignment w:val="baseline"/>
        <w:rPr>
          <w:rFonts w:hint="eastAsia" w:ascii="宋体" w:hAnsi="宋体" w:eastAsia="宋体" w:cs="宋体"/>
          <w:b/>
          <w:bCs/>
          <w:color w:val="auto"/>
          <w:spacing w:val="-4"/>
          <w:sz w:val="24"/>
          <w:szCs w:val="24"/>
          <w:lang w:val="en-US" w:eastAsia="zh-CN"/>
        </w:rPr>
      </w:pPr>
      <w:r>
        <w:rPr>
          <w:rFonts w:hint="eastAsia" w:ascii="宋体" w:hAnsi="宋体" w:eastAsia="宋体" w:cs="宋体"/>
          <w:b/>
          <w:bCs/>
          <w:snapToGrid w:val="0"/>
          <w:color w:val="auto"/>
          <w:spacing w:val="-4"/>
          <w:kern w:val="0"/>
          <w:sz w:val="24"/>
          <w:szCs w:val="24"/>
          <w:lang w:val="en-US" w:eastAsia="zh-CN" w:bidi="ar-SA"/>
        </w:rPr>
        <w:t>（1）</w:t>
      </w:r>
      <w:r>
        <w:rPr>
          <w:rFonts w:hint="eastAsia" w:ascii="宋体" w:hAnsi="宋体" w:eastAsia="宋体" w:cs="宋体"/>
          <w:b/>
          <w:bCs/>
          <w:color w:val="auto"/>
          <w:spacing w:val="-4"/>
          <w:sz w:val="24"/>
          <w:szCs w:val="24"/>
          <w:lang w:val="en-US" w:eastAsia="zh-CN"/>
        </w:rPr>
        <w:t>危险废物处置单位情况</w:t>
      </w:r>
      <w:bookmarkStart w:id="1803" w:name="pindex12566"/>
      <w:bookmarkEnd w:id="1803"/>
    </w:p>
    <w:p w14:paraId="6871F5CA">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3" w:line="360" w:lineRule="auto"/>
        <w:ind w:firstLine="464" w:firstLineChars="200"/>
        <w:textAlignment w:val="baseline"/>
        <w:rPr>
          <w:rFonts w:hint="eastAsia" w:ascii="宋体" w:hAnsi="宋体" w:eastAsia="宋体" w:cs="宋体"/>
          <w:color w:val="auto"/>
          <w:spacing w:val="-4"/>
          <w:sz w:val="24"/>
          <w:szCs w:val="24"/>
          <w:highlight w:val="none"/>
        </w:rPr>
      </w:pPr>
      <w:r>
        <w:rPr>
          <w:rFonts w:hint="default" w:ascii="Times New Roman" w:hAnsi="Times New Roman" w:eastAsia="宋体" w:cs="Times New Roman"/>
          <w:color w:val="auto"/>
          <w:spacing w:val="-4"/>
          <w:sz w:val="24"/>
          <w:szCs w:val="24"/>
        </w:rPr>
        <w:t>开发区内现有大唐南京环保科技有限责任公司1家危险废物处置单位</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4"/>
          <w:sz w:val="24"/>
          <w:szCs w:val="24"/>
        </w:rPr>
        <w:t>公司位于开发区将军大道以西、金鑫中路以南、金鑫西路以东、汤佳路以北地块，项目占地约9.7万平方米。企业主要从事脱硝催化剂的再生</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4"/>
          <w:sz w:val="24"/>
          <w:szCs w:val="24"/>
        </w:rPr>
        <w:t>目前共有三期项目</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4"/>
          <w:sz w:val="24"/>
          <w:szCs w:val="24"/>
        </w:rPr>
        <w:t>一期项目年产30000m</w:t>
      </w:r>
      <w:r>
        <w:rPr>
          <w:rFonts w:hint="default" w:ascii="Times New Roman" w:hAnsi="Times New Roman" w:eastAsia="宋体" w:cs="Times New Roman"/>
          <w:color w:val="auto"/>
          <w:spacing w:val="-4"/>
          <w:sz w:val="24"/>
          <w:szCs w:val="24"/>
          <w:vertAlign w:val="superscript"/>
          <w:lang w:val="en-US" w:eastAsia="zh-CN"/>
        </w:rPr>
        <w:t>3</w:t>
      </w:r>
      <w:r>
        <w:rPr>
          <w:rFonts w:hint="default" w:ascii="Times New Roman" w:hAnsi="Times New Roman" w:eastAsia="宋体" w:cs="Times New Roman"/>
          <w:color w:val="auto"/>
          <w:spacing w:val="-4"/>
          <w:sz w:val="24"/>
          <w:szCs w:val="24"/>
        </w:rPr>
        <w:t>脱硝催化剂制造，于2013年12月6日取得南京市江宁区环境影响保护局批复，2014年1月26日通过竣工环保验收。二期项目年产10000m</w:t>
      </w:r>
      <w:r>
        <w:rPr>
          <w:rFonts w:hint="default" w:ascii="Times New Roman" w:hAnsi="Times New Roman" w:eastAsia="宋体" w:cs="Times New Roman"/>
          <w:color w:val="auto"/>
          <w:spacing w:val="-4"/>
          <w:sz w:val="24"/>
          <w:szCs w:val="24"/>
          <w:vertAlign w:val="superscript"/>
          <w:lang w:val="en-US" w:eastAsia="zh-CN"/>
        </w:rPr>
        <w:t>3</w:t>
      </w:r>
      <w:r>
        <w:rPr>
          <w:rFonts w:hint="default" w:ascii="Times New Roman" w:hAnsi="Times New Roman" w:eastAsia="宋体" w:cs="Times New Roman"/>
          <w:color w:val="auto"/>
          <w:spacing w:val="-4"/>
          <w:sz w:val="24"/>
          <w:szCs w:val="24"/>
        </w:rPr>
        <w:t>再生脱硝催化剂项目，于2017年4月13日取得南京市江宁区环境影响保护局批复，2017年11月6日通过了竣工环保验</w:t>
      </w:r>
      <w:r>
        <w:rPr>
          <w:rFonts w:hint="default" w:ascii="Times New Roman" w:hAnsi="Times New Roman" w:eastAsia="宋体" w:cs="Times New Roman"/>
          <w:color w:val="auto"/>
          <w:spacing w:val="-4"/>
          <w:sz w:val="24"/>
          <w:szCs w:val="24"/>
          <w:highlight w:val="none"/>
        </w:rPr>
        <w:t>收。三期项目脱硝催化剂再生项目，于2018年1月29日，取得江宁生态环境局批复江宁环审</w:t>
      </w:r>
      <w:r>
        <w:rPr>
          <w:rFonts w:hint="eastAsia" w:ascii="Times New Roman" w:hAnsi="Times New Roman" w:eastAsia="Times New Roman" w:cs="Times New Roman"/>
          <w:color w:val="auto"/>
          <w:sz w:val="24"/>
          <w:szCs w:val="24"/>
          <w:highlight w:val="none"/>
        </w:rPr>
        <w:t>〔20</w:t>
      </w:r>
      <w:r>
        <w:rPr>
          <w:rFonts w:hint="eastAsia" w:ascii="Times New Roman" w:hAnsi="Times New Roman" w:eastAsia="宋体" w:cs="Times New Roman"/>
          <w:color w:val="auto"/>
          <w:sz w:val="24"/>
          <w:szCs w:val="24"/>
          <w:highlight w:val="none"/>
          <w:lang w:val="en-US" w:eastAsia="zh-CN"/>
        </w:rPr>
        <w:t>18</w:t>
      </w:r>
      <w:r>
        <w:rPr>
          <w:rFonts w:hint="eastAsia" w:ascii="Times New Roman" w:hAnsi="Times New Roman" w:eastAsia="Times New Roman" w:cs="Times New Roman"/>
          <w:color w:val="auto"/>
          <w:sz w:val="24"/>
          <w:szCs w:val="24"/>
          <w:highlight w:val="none"/>
        </w:rPr>
        <w:t>〕</w:t>
      </w:r>
      <w:r>
        <w:rPr>
          <w:rFonts w:hint="default" w:ascii="Times New Roman" w:hAnsi="Times New Roman" w:eastAsia="宋体" w:cs="Times New Roman"/>
          <w:color w:val="auto"/>
          <w:spacing w:val="-4"/>
          <w:sz w:val="24"/>
          <w:szCs w:val="24"/>
          <w:highlight w:val="none"/>
        </w:rPr>
        <w:t>02007号，目前正在验收中。</w:t>
      </w:r>
      <w:bookmarkStart w:id="1804" w:name="sys1256730776"/>
      <w:r>
        <w:rPr>
          <w:rFonts w:hint="default" w:ascii="Times New Roman" w:hAnsi="Times New Roman" w:eastAsia="宋体" w:cs="Times New Roman"/>
          <w:color w:val="auto"/>
          <w:spacing w:val="-4"/>
          <w:sz w:val="24"/>
          <w:szCs w:val="24"/>
          <w:highlight w:val="none"/>
        </w:rPr>
        <w:t>企业危险废物经营类别为收集、贮存、处置综合经营，处置类别为HW50烟气脱硝过程中产生的废钒钛系催化剂</w:t>
      </w:r>
      <w:r>
        <w:rPr>
          <w:rFonts w:hint="eastAsia" w:ascii="Times New Roman" w:hAnsi="Times New Roman" w:eastAsia="宋体" w:cs="Times New Roman"/>
          <w:color w:val="auto"/>
          <w:spacing w:val="-4"/>
          <w:sz w:val="24"/>
          <w:szCs w:val="24"/>
          <w:highlight w:val="none"/>
          <w:lang w:eastAsia="zh-CN"/>
        </w:rPr>
        <w:t>（</w:t>
      </w:r>
      <w:r>
        <w:rPr>
          <w:rFonts w:hint="default" w:ascii="Times New Roman" w:hAnsi="Times New Roman" w:eastAsia="宋体" w:cs="Times New Roman"/>
          <w:color w:val="auto"/>
          <w:spacing w:val="-4"/>
          <w:sz w:val="24"/>
          <w:szCs w:val="24"/>
          <w:highlight w:val="none"/>
        </w:rPr>
        <w:t>772-007-50</w:t>
      </w:r>
      <w:r>
        <w:rPr>
          <w:rFonts w:hint="eastAsia" w:ascii="Times New Roman" w:hAnsi="Times New Roman" w:eastAsia="宋体" w:cs="Times New Roman"/>
          <w:color w:val="auto"/>
          <w:spacing w:val="-4"/>
          <w:sz w:val="24"/>
          <w:szCs w:val="24"/>
          <w:highlight w:val="none"/>
          <w:lang w:eastAsia="zh-CN"/>
        </w:rPr>
        <w:t>）</w:t>
      </w:r>
      <w:r>
        <w:rPr>
          <w:rFonts w:hint="default" w:ascii="Times New Roman" w:hAnsi="Times New Roman" w:eastAsia="宋体" w:cs="Times New Roman"/>
          <w:color w:val="auto"/>
          <w:spacing w:val="-4"/>
          <w:sz w:val="24"/>
          <w:szCs w:val="24"/>
          <w:highlight w:val="none"/>
          <w:lang w:eastAsia="zh-CN"/>
        </w:rPr>
        <w:t>，</w:t>
      </w:r>
      <w:r>
        <w:rPr>
          <w:rFonts w:hint="default" w:ascii="Times New Roman" w:hAnsi="Times New Roman" w:eastAsia="宋体" w:cs="Times New Roman"/>
          <w:color w:val="auto"/>
          <w:spacing w:val="-4"/>
          <w:sz w:val="24"/>
          <w:szCs w:val="24"/>
          <w:highlight w:val="none"/>
        </w:rPr>
        <w:t>处置规模为8300t/a。</w:t>
      </w:r>
      <w:bookmarkEnd w:id="1804"/>
      <w:r>
        <w:rPr>
          <w:rFonts w:hint="default" w:ascii="Times New Roman" w:hAnsi="Times New Roman" w:eastAsia="宋体" w:cs="Times New Roman"/>
          <w:color w:val="auto"/>
          <w:spacing w:val="-4"/>
          <w:sz w:val="24"/>
          <w:szCs w:val="24"/>
          <w:highlight w:val="none"/>
        </w:rPr>
        <w:t>企业主要收集大唐环保集团内部废脱硝催化剂，2019年再生废脱硝催化剂4000余吨。</w:t>
      </w:r>
    </w:p>
    <w:p w14:paraId="7FE61BFA">
      <w:pPr>
        <w:keepNext w:val="0"/>
        <w:keepLines w:val="0"/>
        <w:pageBreakBefore w:val="0"/>
        <w:widowControl/>
        <w:kinsoku w:val="0"/>
        <w:wordWrap/>
        <w:overflowPunct/>
        <w:topLinePunct w:val="0"/>
        <w:autoSpaceDE w:val="0"/>
        <w:autoSpaceDN w:val="0"/>
        <w:bidi w:val="0"/>
        <w:adjustRightInd w:val="0"/>
        <w:snapToGrid w:val="0"/>
        <w:spacing w:before="184" w:line="360" w:lineRule="auto"/>
        <w:ind w:left="617"/>
        <w:textAlignment w:val="baseline"/>
        <w:rPr>
          <w:rFonts w:hint="default" w:ascii="宋体" w:hAnsi="宋体" w:eastAsia="宋体" w:cs="宋体"/>
          <w:color w:val="auto"/>
          <w:sz w:val="24"/>
          <w:szCs w:val="24"/>
          <w:highlight w:val="none"/>
          <w:lang w:val="en-US" w:eastAsia="zh-CN"/>
        </w:rPr>
      </w:pPr>
      <w:r>
        <w:rPr>
          <w:rFonts w:hint="default" w:ascii="Times New Roman" w:hAnsi="Times New Roman" w:eastAsia="宋体" w:cs="Times New Roman"/>
          <w:color w:val="auto"/>
          <w:spacing w:val="-2"/>
          <w:sz w:val="24"/>
          <w:szCs w:val="24"/>
          <w:highlight w:val="none"/>
          <w:lang w:val="en-US" w:eastAsia="zh-CN"/>
        </w:rPr>
        <w:t>1）</w:t>
      </w:r>
      <w:r>
        <w:rPr>
          <w:rFonts w:hint="eastAsia" w:ascii="宋体" w:hAnsi="宋体" w:eastAsia="宋体" w:cs="宋体"/>
          <w:color w:val="auto"/>
          <w:spacing w:val="-2"/>
          <w:sz w:val="24"/>
          <w:szCs w:val="24"/>
          <w:highlight w:val="none"/>
          <w:lang w:val="en-US" w:eastAsia="zh-CN"/>
        </w:rPr>
        <w:t>生产工艺流程</w:t>
      </w:r>
      <w:bookmarkStart w:id="1805" w:name="pindex12568"/>
      <w:bookmarkEnd w:id="1805"/>
    </w:p>
    <w:p w14:paraId="0C3C3FE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①</w:t>
      </w:r>
      <w:r>
        <w:rPr>
          <w:rFonts w:hint="default" w:ascii="Times New Roman" w:hAnsi="Times New Roman" w:eastAsia="宋体" w:cs="Times New Roman"/>
          <w:color w:val="auto"/>
          <w:sz w:val="24"/>
          <w:szCs w:val="24"/>
          <w:lang w:val="en-US" w:eastAsia="zh-CN"/>
        </w:rPr>
        <w:t>脱硝催化剂生产工艺流程：</w:t>
      </w:r>
      <w:bookmarkStart w:id="1806" w:name="pindex12569"/>
      <w:bookmarkEnd w:id="1806"/>
    </w:p>
    <w:p w14:paraId="221B92EF">
      <w:pPr>
        <w:keepNext w:val="0"/>
        <w:keepLines w:val="0"/>
        <w:pageBreakBefore w:val="0"/>
        <w:widowControl/>
        <w:kinsoku w:val="0"/>
        <w:wordWrap/>
        <w:overflowPunct/>
        <w:topLinePunct w:val="0"/>
        <w:autoSpaceDE w:val="0"/>
        <w:autoSpaceDN w:val="0"/>
        <w:bidi w:val="0"/>
        <w:adjustRightInd w:val="0"/>
        <w:snapToGrid w:val="0"/>
        <w:spacing w:before="295" w:line="356" w:lineRule="auto"/>
        <w:jc w:val="center"/>
        <w:textAlignment w:val="baseline"/>
        <w:rPr>
          <w:color w:val="auto"/>
        </w:rPr>
      </w:pPr>
      <w:r>
        <w:rPr>
          <w:color w:val="auto"/>
        </w:rPr>
        <w:drawing>
          <wp:inline distT="0" distB="0" distL="114300" distR="114300">
            <wp:extent cx="4752975" cy="4105275"/>
            <wp:effectExtent l="0" t="0" r="9525" b="952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60"/>
                    <a:stretch>
                      <a:fillRect/>
                    </a:stretch>
                  </pic:blipFill>
                  <pic:spPr>
                    <a:xfrm>
                      <a:off x="0" y="0"/>
                      <a:ext cx="4752975" cy="4105275"/>
                    </a:xfrm>
                    <a:prstGeom prst="rect">
                      <a:avLst/>
                    </a:prstGeom>
                    <a:noFill/>
                    <a:ln>
                      <a:noFill/>
                    </a:ln>
                  </pic:spPr>
                </pic:pic>
              </a:graphicData>
            </a:graphic>
          </wp:inline>
        </w:drawing>
      </w:r>
    </w:p>
    <w:p w14:paraId="1D4EDF92">
      <w:pPr>
        <w:keepNext w:val="0"/>
        <w:keepLines w:val="0"/>
        <w:pageBreakBefore w:val="0"/>
        <w:widowControl/>
        <w:kinsoku w:val="0"/>
        <w:wordWrap/>
        <w:overflowPunct/>
        <w:topLinePunct w:val="0"/>
        <w:autoSpaceDE w:val="0"/>
        <w:autoSpaceDN w:val="0"/>
        <w:bidi w:val="0"/>
        <w:adjustRightInd w:val="0"/>
        <w:snapToGrid w:val="0"/>
        <w:spacing w:before="295" w:line="240" w:lineRule="auto"/>
        <w:jc w:val="center"/>
        <w:textAlignment w:val="baseline"/>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图6</w:t>
      </w:r>
      <w:r>
        <w:rPr>
          <w:rFonts w:hint="eastAsia"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lang w:val="en-US" w:eastAsia="zh-CN"/>
        </w:rPr>
        <w:t>-</w:t>
      </w:r>
      <w:r>
        <w:rPr>
          <w:rFonts w:hint="eastAsia" w:ascii="Times New Roman" w:hAnsi="Times New Roman" w:eastAsia="宋体" w:cs="Times New Roman"/>
          <w:b/>
          <w:bCs/>
          <w:color w:val="auto"/>
          <w:sz w:val="24"/>
          <w:szCs w:val="24"/>
          <w:lang w:val="en-US" w:eastAsia="zh-CN"/>
        </w:rPr>
        <w:t>6</w:t>
      </w:r>
      <w:r>
        <w:rPr>
          <w:rFonts w:hint="default" w:ascii="Times New Roman" w:hAnsi="Times New Roman" w:eastAsia="宋体" w:cs="Times New Roman"/>
          <w:b/>
          <w:bCs/>
          <w:color w:val="auto"/>
          <w:sz w:val="24"/>
          <w:szCs w:val="24"/>
          <w:lang w:val="en-US" w:eastAsia="zh-CN"/>
        </w:rPr>
        <w:t xml:space="preserve">  脱硝催化剂生产工艺流程</w:t>
      </w:r>
      <w:bookmarkStart w:id="1807" w:name="pindex12571"/>
      <w:bookmarkEnd w:id="1807"/>
    </w:p>
    <w:p w14:paraId="046E3B2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②再生</w:t>
      </w:r>
      <w:r>
        <w:rPr>
          <w:rFonts w:hint="default" w:ascii="Times New Roman" w:hAnsi="Times New Roman" w:eastAsia="宋体" w:cs="Times New Roman"/>
          <w:color w:val="auto"/>
          <w:sz w:val="24"/>
          <w:szCs w:val="24"/>
          <w:lang w:val="en-US" w:eastAsia="zh-CN"/>
        </w:rPr>
        <w:t>脱硝催化剂生产工艺流程：</w:t>
      </w:r>
      <w:bookmarkStart w:id="1808" w:name="pindex12572"/>
      <w:bookmarkEnd w:id="1808"/>
    </w:p>
    <w:p w14:paraId="24D86DBF">
      <w:pPr>
        <w:keepNext w:val="0"/>
        <w:keepLines w:val="0"/>
        <w:pageBreakBefore w:val="0"/>
        <w:widowControl/>
        <w:kinsoku w:val="0"/>
        <w:wordWrap/>
        <w:overflowPunct/>
        <w:topLinePunct w:val="0"/>
        <w:autoSpaceDE w:val="0"/>
        <w:autoSpaceDN w:val="0"/>
        <w:bidi w:val="0"/>
        <w:adjustRightInd w:val="0"/>
        <w:snapToGrid w:val="0"/>
        <w:spacing w:before="295" w:line="356" w:lineRule="auto"/>
        <w:jc w:val="center"/>
        <w:textAlignment w:val="baseline"/>
        <w:rPr>
          <w:color w:val="auto"/>
        </w:rPr>
      </w:pPr>
      <w:r>
        <w:rPr>
          <w:color w:val="auto"/>
        </w:rPr>
        <w:drawing>
          <wp:inline distT="0" distB="0" distL="114300" distR="114300">
            <wp:extent cx="4172585" cy="5640705"/>
            <wp:effectExtent l="0" t="0" r="18415" b="17145"/>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61"/>
                    <a:stretch>
                      <a:fillRect/>
                    </a:stretch>
                  </pic:blipFill>
                  <pic:spPr>
                    <a:xfrm>
                      <a:off x="0" y="0"/>
                      <a:ext cx="4172585" cy="5640705"/>
                    </a:xfrm>
                    <a:prstGeom prst="rect">
                      <a:avLst/>
                    </a:prstGeom>
                    <a:noFill/>
                    <a:ln>
                      <a:noFill/>
                    </a:ln>
                  </pic:spPr>
                </pic:pic>
              </a:graphicData>
            </a:graphic>
          </wp:inline>
        </w:drawing>
      </w:r>
    </w:p>
    <w:p w14:paraId="30A8769B">
      <w:pPr>
        <w:keepNext w:val="0"/>
        <w:keepLines w:val="0"/>
        <w:pageBreakBefore w:val="0"/>
        <w:widowControl/>
        <w:kinsoku w:val="0"/>
        <w:wordWrap/>
        <w:overflowPunct/>
        <w:topLinePunct w:val="0"/>
        <w:autoSpaceDE w:val="0"/>
        <w:autoSpaceDN w:val="0"/>
        <w:bidi w:val="0"/>
        <w:adjustRightInd w:val="0"/>
        <w:snapToGrid w:val="0"/>
        <w:spacing w:before="295" w:line="240" w:lineRule="auto"/>
        <w:jc w:val="center"/>
        <w:textAlignment w:val="baseline"/>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图6</w:t>
      </w:r>
      <w:r>
        <w:rPr>
          <w:rFonts w:hint="eastAsia"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lang w:val="en-US" w:eastAsia="zh-CN"/>
        </w:rPr>
        <w:t>-</w:t>
      </w:r>
      <w:r>
        <w:rPr>
          <w:rFonts w:hint="eastAsia" w:ascii="Times New Roman" w:hAnsi="Times New Roman" w:eastAsia="宋体" w:cs="Times New Roman"/>
          <w:b/>
          <w:bCs/>
          <w:color w:val="auto"/>
          <w:sz w:val="24"/>
          <w:szCs w:val="24"/>
          <w:lang w:val="en-US" w:eastAsia="zh-CN"/>
        </w:rPr>
        <w:t>7</w:t>
      </w:r>
      <w:r>
        <w:rPr>
          <w:rFonts w:hint="default" w:ascii="Times New Roman" w:hAnsi="Times New Roman" w:eastAsia="宋体" w:cs="Times New Roman"/>
          <w:b/>
          <w:bCs/>
          <w:color w:val="auto"/>
          <w:sz w:val="24"/>
          <w:szCs w:val="24"/>
          <w:lang w:val="en-US" w:eastAsia="zh-CN"/>
        </w:rPr>
        <w:t xml:space="preserve">  再生脱硝催化剂生产工艺流程</w:t>
      </w:r>
      <w:bookmarkStart w:id="1809" w:name="pindex12574"/>
      <w:bookmarkEnd w:id="1809"/>
    </w:p>
    <w:p w14:paraId="6C24628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2）污染防治措施</w:t>
      </w:r>
      <w:bookmarkStart w:id="1810" w:name="pindex12575"/>
      <w:bookmarkEnd w:id="1810"/>
    </w:p>
    <w:p w14:paraId="600BFBE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①废水治理</w:t>
      </w:r>
      <w:r>
        <w:rPr>
          <w:rFonts w:hint="default" w:ascii="Times New Roman" w:hAnsi="Times New Roman" w:eastAsia="宋体" w:cs="Times New Roman"/>
          <w:color w:val="auto"/>
          <w:sz w:val="24"/>
          <w:szCs w:val="24"/>
        </w:rPr>
        <w:t>企业采用雨污分流体制，雨水进入周边雨水管网直接排放</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废水主要为生活污水、生产废水、洗涤塔废水、车间清洗废水等</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纯水制备过程中产生的弃水作为清下水排放酸洗废水、清洗循环系统排水、地面及设备清洗废水经车间内污水处理站处理</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其中钒车间排口达《钒工业污染物排放标准》</w:t>
      </w:r>
      <w:sdt>
        <w:sdtPr>
          <w:rPr>
            <w:color w:val="auto"/>
          </w:rPr>
          <w:alias w:val="标点符号检查"/>
          <w:tag w:val="auto"/>
          <w:id w:val="31233"/>
        </w:sdtPr>
        <w:sdtEndPr>
          <w:rPr>
            <w:color w:val="auto"/>
          </w:rPr>
        </w:sdtEndPr>
        <w:sdtContent>
          <w:bookmarkStart w:id="1811" w:name="bkReivew31233"/>
          <w:r>
            <w:rPr>
              <w:rFonts w:hint="eastAsia" w:ascii="Times New Roman" w:hAnsi="Times New Roman" w:eastAsia="宋体" w:cs="Times New Roman"/>
              <w:color w:val="auto"/>
              <w:sz w:val="24"/>
              <w:szCs w:val="24"/>
              <w:lang w:eastAsia="zh-CN"/>
            </w:rPr>
            <w:t>（</w:t>
          </w:r>
          <w:bookmarkEnd w:id="1811"/>
        </w:sdtContent>
      </w:sdt>
      <w:r>
        <w:rPr>
          <w:rFonts w:hint="default" w:ascii="Times New Roman" w:hAnsi="Times New Roman" w:eastAsia="宋体" w:cs="Times New Roman"/>
          <w:color w:val="auto"/>
          <w:sz w:val="24"/>
          <w:szCs w:val="24"/>
        </w:rPr>
        <w:t>GB26452-2011</w:t>
      </w:r>
      <w:sdt>
        <w:sdtPr>
          <w:rPr>
            <w:color w:val="auto"/>
          </w:rPr>
          <w:alias w:val="标点符号检查"/>
          <w:tag w:val="auto"/>
          <w:id w:val="2146"/>
        </w:sdtPr>
        <w:sdtEndPr>
          <w:rPr>
            <w:color w:val="auto"/>
          </w:rPr>
        </w:sdtEndPr>
        <w:sdtContent>
          <w:bookmarkStart w:id="1812" w:name="bkReivew2146"/>
          <w:r>
            <w:rPr>
              <w:rFonts w:hint="eastAsia" w:ascii="Times New Roman" w:hAnsi="Times New Roman" w:eastAsia="宋体" w:cs="Times New Roman"/>
              <w:color w:val="auto"/>
              <w:sz w:val="24"/>
              <w:szCs w:val="24"/>
              <w:lang w:eastAsia="zh-CN"/>
            </w:rPr>
            <w:t>）</w:t>
          </w:r>
          <w:bookmarkEnd w:id="1812"/>
        </w:sdtContent>
      </w:sdt>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，最终综合污水达到空港污水处理厂接管标准后，经市政管网进入空港污水处理厂处理，达标尾水排入云台山河</w:t>
      </w:r>
      <w:r>
        <w:rPr>
          <w:rFonts w:hint="default" w:ascii="Times New Roman" w:hAnsi="Times New Roman" w:eastAsia="宋体" w:cs="Times New Roman"/>
          <w:color w:val="auto"/>
          <w:sz w:val="24"/>
          <w:szCs w:val="24"/>
          <w:lang w:eastAsia="zh-CN"/>
        </w:rPr>
        <w:t>。</w:t>
      </w:r>
      <w:bookmarkStart w:id="1813" w:name="pindex12576"/>
      <w:bookmarkEnd w:id="1813"/>
    </w:p>
    <w:p w14:paraId="7373C4B7">
      <w:pPr>
        <w:keepNext w:val="0"/>
        <w:keepLines w:val="0"/>
        <w:pageBreakBefore w:val="0"/>
        <w:widowControl/>
        <w:kinsoku w:val="0"/>
        <w:wordWrap/>
        <w:overflowPunct/>
        <w:topLinePunct w:val="0"/>
        <w:autoSpaceDE w:val="0"/>
        <w:autoSpaceDN w:val="0"/>
        <w:bidi w:val="0"/>
        <w:adjustRightInd w:val="0"/>
        <w:snapToGrid w:val="0"/>
        <w:spacing w:before="295" w:line="356" w:lineRule="auto"/>
        <w:jc w:val="both"/>
        <w:textAlignment w:val="baseline"/>
        <w:rPr>
          <w:color w:val="auto"/>
        </w:rPr>
      </w:pPr>
      <w:r>
        <w:rPr>
          <w:color w:val="auto"/>
        </w:rPr>
        <w:drawing>
          <wp:inline distT="0" distB="0" distL="114300" distR="114300">
            <wp:extent cx="5342890" cy="1974215"/>
            <wp:effectExtent l="0" t="0" r="10160" b="698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62"/>
                    <a:stretch>
                      <a:fillRect/>
                    </a:stretch>
                  </pic:blipFill>
                  <pic:spPr>
                    <a:xfrm>
                      <a:off x="0" y="0"/>
                      <a:ext cx="5342890" cy="1974215"/>
                    </a:xfrm>
                    <a:prstGeom prst="rect">
                      <a:avLst/>
                    </a:prstGeom>
                    <a:noFill/>
                    <a:ln>
                      <a:noFill/>
                    </a:ln>
                  </pic:spPr>
                </pic:pic>
              </a:graphicData>
            </a:graphic>
          </wp:inline>
        </w:drawing>
      </w:r>
    </w:p>
    <w:p w14:paraId="03850D42">
      <w:pPr>
        <w:keepNext w:val="0"/>
        <w:keepLines w:val="0"/>
        <w:pageBreakBefore w:val="0"/>
        <w:widowControl/>
        <w:kinsoku w:val="0"/>
        <w:wordWrap/>
        <w:overflowPunct/>
        <w:topLinePunct w:val="0"/>
        <w:autoSpaceDE w:val="0"/>
        <w:autoSpaceDN w:val="0"/>
        <w:bidi w:val="0"/>
        <w:adjustRightInd w:val="0"/>
        <w:snapToGrid w:val="0"/>
        <w:spacing w:before="295" w:line="240" w:lineRule="auto"/>
        <w:jc w:val="center"/>
        <w:textAlignment w:val="baseline"/>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图6</w:t>
      </w:r>
      <w:r>
        <w:rPr>
          <w:rFonts w:hint="eastAsia"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lang w:val="en-US" w:eastAsia="zh-CN"/>
        </w:rPr>
        <w:t>-</w:t>
      </w:r>
      <w:r>
        <w:rPr>
          <w:rFonts w:hint="eastAsia"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bCs/>
          <w:color w:val="auto"/>
          <w:sz w:val="24"/>
          <w:szCs w:val="24"/>
          <w:lang w:val="en-US" w:eastAsia="zh-CN"/>
        </w:rPr>
        <w:t xml:space="preserve">  大唐南京环保科技有限责任公司污水处理工艺流程图</w:t>
      </w:r>
      <w:bookmarkStart w:id="1814" w:name="pindex12578"/>
      <w:bookmarkEnd w:id="1814"/>
    </w:p>
    <w:p w14:paraId="50A568C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②废气治理</w:t>
      </w:r>
      <w:bookmarkStart w:id="1815" w:name="pindex12579"/>
      <w:bookmarkEnd w:id="1815"/>
    </w:p>
    <w:p w14:paraId="043050F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废气源包括含氨废气、粉尘废气、燃烧废气、酸雾、碱雾、非甲烷总烃。</w:t>
      </w:r>
    </w:p>
    <w:p w14:paraId="02ADA41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公司生产过程中混料、挤出产生的含氨及粉尘废气、涂覆干化、煅烧过程中产生的含粉尘及氨气废气一起经</w:t>
      </w:r>
      <w:r>
        <w:rPr>
          <w:rFonts w:hint="eastAsia" w:ascii="宋体" w:hAnsi="宋体" w:eastAsia="宋体" w:cs="宋体"/>
          <w:color w:val="auto"/>
          <w:sz w:val="24"/>
          <w:szCs w:val="24"/>
          <w:lang w:val="en-US" w:eastAsia="zh-CN"/>
        </w:rPr>
        <w:t>“夹弹式除尘器+脉冲布袋除尘器+二级稀酸喷淋”</w:t>
      </w:r>
      <w:r>
        <w:rPr>
          <w:rFonts w:hint="default" w:ascii="Times New Roman" w:hAnsi="Times New Roman" w:eastAsia="宋体" w:cs="Times New Roman"/>
          <w:color w:val="auto"/>
          <w:sz w:val="24"/>
          <w:szCs w:val="24"/>
          <w:lang w:val="en-US" w:eastAsia="zh-CN"/>
        </w:rPr>
        <w:t>装置处理达标准后，经一根25m高</w:t>
      </w:r>
      <w:r>
        <w:rPr>
          <w:rFonts w:hint="eastAsia" w:ascii="Times New Roman" w:hAnsi="Times New Roman" w:eastAsia="宋体" w:cs="Times New Roman"/>
          <w:color w:val="auto"/>
          <w:sz w:val="24"/>
          <w:szCs w:val="24"/>
          <w:lang w:val="en-US" w:eastAsia="zh-CN"/>
        </w:rPr>
        <w:t>排气筒</w:t>
      </w:r>
      <w:r>
        <w:rPr>
          <w:rFonts w:hint="default" w:ascii="Times New Roman" w:hAnsi="Times New Roman" w:eastAsia="宋体" w:cs="Times New Roman"/>
          <w:color w:val="auto"/>
          <w:sz w:val="24"/>
          <w:szCs w:val="24"/>
          <w:lang w:val="en-US" w:eastAsia="zh-CN"/>
        </w:rPr>
        <w:t>排放；涂覆料煅烧时产生的粉尘、有机物的废气经设置在煅烧炉后端的冷却室冷却后由炉顶密封集气管道吸出，经弹夹式除尘器+催化燃烧处理达标准后，经一根15m高</w:t>
      </w:r>
      <w:r>
        <w:rPr>
          <w:rFonts w:hint="eastAsia" w:ascii="Times New Roman" w:hAnsi="Times New Roman" w:eastAsia="宋体" w:cs="Times New Roman"/>
          <w:color w:val="auto"/>
          <w:sz w:val="24"/>
          <w:szCs w:val="24"/>
          <w:lang w:val="en-US" w:eastAsia="zh-CN"/>
        </w:rPr>
        <w:t>排气筒</w:t>
      </w:r>
      <w:r>
        <w:rPr>
          <w:rFonts w:hint="default" w:ascii="Times New Roman" w:hAnsi="Times New Roman" w:eastAsia="宋体" w:cs="Times New Roman"/>
          <w:color w:val="auto"/>
          <w:sz w:val="24"/>
          <w:szCs w:val="24"/>
          <w:lang w:val="en-US" w:eastAsia="zh-CN"/>
        </w:rPr>
        <w:t>排放；煅烧炉、火焰除油使用天然气为燃料，燃烧废气达《大气污染物综合排放标准》</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GB16297-1996</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表2中二级排放标准后经5根15m高排气筒排放。少量未收集到的废气在车间无组织排放，涂覆干化车间、混料车间挤出车间均设置100米卫生防护距离</w:t>
      </w:r>
      <w:bookmarkStart w:id="1816" w:name="pindex12581"/>
      <w:bookmarkEnd w:id="1816"/>
    </w:p>
    <w:p w14:paraId="1C92F8E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③固废治理</w:t>
      </w:r>
      <w:bookmarkStart w:id="1817" w:name="pindex12582"/>
      <w:bookmarkEnd w:id="1817"/>
    </w:p>
    <w:p w14:paraId="32076EB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固体废弃物主要来源于生产过程中和员工生活垃圾。包括废钢材、废油、煅烧集尘袋粉尘、除尘灰、污水处理站污泥等</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企业目前在厂区设置了单独的危险固废储存场所张贴了危险固废储存标识，采取防渗措施，满足危险废物贮存污染控制相关标准要求。</w:t>
      </w:r>
    </w:p>
    <w:p w14:paraId="1E5E31BF">
      <w:pPr>
        <w:keepNext w:val="0"/>
        <w:keepLines w:val="0"/>
        <w:pageBreakBefore w:val="0"/>
        <w:widowControl/>
        <w:kinsoku w:val="0"/>
        <w:wordWrap/>
        <w:overflowPunct/>
        <w:topLinePunct w:val="0"/>
        <w:autoSpaceDE w:val="0"/>
        <w:autoSpaceDN w:val="0"/>
        <w:bidi w:val="0"/>
        <w:adjustRightInd w:val="0"/>
        <w:snapToGrid w:val="0"/>
        <w:spacing w:before="33" w:line="360" w:lineRule="auto"/>
        <w:ind w:firstLine="466" w:firstLineChars="200"/>
        <w:textAlignment w:val="baseline"/>
        <w:rPr>
          <w:rFonts w:hint="default" w:ascii="宋体" w:hAnsi="宋体" w:eastAsia="宋体" w:cs="宋体"/>
          <w:color w:val="auto"/>
          <w:sz w:val="24"/>
          <w:szCs w:val="24"/>
          <w:lang w:val="en-US" w:eastAsia="zh-CN"/>
        </w:rPr>
      </w:pPr>
      <w:r>
        <w:rPr>
          <w:rFonts w:ascii="宋体" w:hAnsi="宋体" w:eastAsia="宋体" w:cs="宋体"/>
          <w:b/>
          <w:bCs/>
          <w:color w:val="auto"/>
          <w:spacing w:val="-4"/>
          <w:sz w:val="24"/>
          <w:szCs w:val="24"/>
        </w:rPr>
        <w:t>（</w:t>
      </w:r>
      <w:r>
        <w:rPr>
          <w:rFonts w:hint="eastAsia" w:ascii="Times New Roman" w:hAnsi="Times New Roman" w:eastAsia="宋体" w:cs="Times New Roman"/>
          <w:b/>
          <w:bCs/>
          <w:color w:val="auto"/>
          <w:spacing w:val="-4"/>
          <w:sz w:val="24"/>
          <w:szCs w:val="24"/>
          <w:lang w:val="en-US" w:eastAsia="zh-CN"/>
        </w:rPr>
        <w:t>2</w:t>
      </w:r>
      <w:r>
        <w:rPr>
          <w:rFonts w:ascii="宋体" w:hAnsi="宋体" w:eastAsia="宋体" w:cs="宋体"/>
          <w:b/>
          <w:bCs/>
          <w:color w:val="auto"/>
          <w:spacing w:val="-4"/>
          <w:sz w:val="24"/>
          <w:szCs w:val="24"/>
        </w:rPr>
        <w:t>）</w:t>
      </w:r>
      <w:r>
        <w:rPr>
          <w:rFonts w:hint="eastAsia" w:ascii="宋体" w:hAnsi="宋体" w:eastAsia="宋体" w:cs="宋体"/>
          <w:b/>
          <w:bCs/>
          <w:color w:val="auto"/>
          <w:spacing w:val="-4"/>
          <w:sz w:val="24"/>
          <w:szCs w:val="24"/>
          <w:lang w:val="en-US" w:eastAsia="zh-CN"/>
        </w:rPr>
        <w:t>危险废物集中收贮点建设情况</w:t>
      </w:r>
      <w:bookmarkStart w:id="1818" w:name="pindex12584"/>
      <w:bookmarkEnd w:id="1818"/>
    </w:p>
    <w:p w14:paraId="17AE0C8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2018年以来，开发区根据《省政府办公厅关于加强危险物污染防治工作的意见》</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苏政办发</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2018</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91号</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《省生态环境厅关于进一步加强危险废物污染防治工作的实施意见》</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苏环办</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2019</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327号</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和《关于申报“绿岛”建设试点项目的通知》</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江宁环控字</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2020</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3号</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文件精神，按照“集约建设，共享治污”的思路，大力推进环保公共基础设施建设，积极探索小区域内危险废物集中收集贮存，以质优价低的服务帮助企业规范环保行为、解决环保难题</w:t>
      </w:r>
      <w:r>
        <w:rPr>
          <w:rFonts w:hint="default" w:ascii="Times New Roman" w:hAnsi="Times New Roman" w:eastAsia="宋体" w:cs="Times New Roman"/>
          <w:color w:val="auto"/>
          <w:sz w:val="24"/>
          <w:szCs w:val="24"/>
          <w:lang w:eastAsia="zh-CN"/>
        </w:rPr>
        <w:t>。</w:t>
      </w:r>
    </w:p>
    <w:p w14:paraId="6BA152F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rPr>
        <w:t>开发区将生命科技小镇的北区1个空置库房、南区的2个空置库房分别改造为北区危废收集贮存库房和南区危废收集贮存库房，其中南区占地34269.2m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危废库</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库1</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占地258.64m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highlight w:val="none"/>
        </w:rPr>
        <w:t>北区占地19248.76m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rPr>
        <w:t>，危废库</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库2</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258.64m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开发区参股组建了南京伊环环境服务有限公司，专门负责危废集中收集贮存项目的建设、管理和经营。2018年12月，该项目获得省生态环境厅同意批复，成为全省两个试点之一。2019年2月通过了江宁区环保局的环评审批</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江宁环审</w:t>
      </w:r>
      <w:r>
        <w:rPr>
          <w:rFonts w:hint="eastAsia" w:ascii="Times New Roman" w:hAnsi="Times New Roman" w:eastAsia="宋体" w:cs="Times New Roman"/>
          <w:color w:val="auto"/>
          <w:sz w:val="24"/>
          <w:szCs w:val="24"/>
          <w:highlight w:val="none"/>
          <w:lang w:eastAsia="zh-CN"/>
        </w:rPr>
        <w:t>〔2019〕51号）</w:t>
      </w:r>
      <w:r>
        <w:rPr>
          <w:rFonts w:hint="default" w:ascii="Times New Roman" w:hAnsi="Times New Roman" w:eastAsia="宋体" w:cs="Times New Roman"/>
          <w:color w:val="auto"/>
          <w:sz w:val="24"/>
          <w:szCs w:val="24"/>
          <w:highlight w:val="none"/>
        </w:rPr>
        <w:t>。2020年5月通过了环保验收</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宁环验</w:t>
      </w:r>
      <w:r>
        <w:rPr>
          <w:rFonts w:hint="eastAsia" w:ascii="Times New Roman" w:hAnsi="Times New Roman" w:eastAsia="宋体" w:cs="Times New Roman"/>
          <w:color w:val="auto"/>
          <w:sz w:val="24"/>
          <w:szCs w:val="24"/>
          <w:highlight w:val="none"/>
          <w:lang w:eastAsia="zh-CN"/>
        </w:rPr>
        <w:t>〔2020〕</w:t>
      </w:r>
      <w:r>
        <w:rPr>
          <w:rFonts w:hint="default" w:ascii="Times New Roman" w:hAnsi="Times New Roman" w:eastAsia="宋体" w:cs="Times New Roman"/>
          <w:color w:val="auto"/>
          <w:sz w:val="24"/>
          <w:szCs w:val="24"/>
          <w:highlight w:val="none"/>
        </w:rPr>
        <w:t>15108号</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bookmarkStart w:id="1819" w:name="sys12586271159"/>
      <w:r>
        <w:rPr>
          <w:rFonts w:hint="default" w:ascii="Times New Roman" w:hAnsi="Times New Roman" w:eastAsia="宋体" w:cs="Times New Roman"/>
          <w:color w:val="auto"/>
          <w:sz w:val="24"/>
          <w:szCs w:val="24"/>
          <w:highlight w:val="none"/>
        </w:rPr>
        <w:t>2020年11月，取得危废经营许可证，核准经营范围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实验室废物HW49</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900-047-49</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、废药品HW49</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900-999-49</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、沾染物HW49</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900-041-49</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、废有机溶剂HW06</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900-401-06、900-402-06、900-403-06</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最大收集贮存量为2000t</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贮存周期不超过60天</w:t>
      </w:r>
      <w:r>
        <w:rPr>
          <w:rFonts w:hint="eastAsia" w:ascii="Times New Roman" w:hAnsi="Times New Roman" w:eastAsia="宋体" w:cs="Times New Roman"/>
          <w:color w:val="auto"/>
          <w:sz w:val="24"/>
          <w:szCs w:val="24"/>
          <w:highlight w:val="none"/>
          <w:lang w:val="en-US" w:eastAsia="zh-CN"/>
        </w:rPr>
        <w:t>。</w:t>
      </w:r>
      <w:bookmarkEnd w:id="1819"/>
    </w:p>
    <w:p w14:paraId="3274273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rPr>
        <w:t>项目所产生污染物主要为有机废气及固体废物。废气采用负压收集后，经活性炭装置处理后，通过15米高</w:t>
      </w:r>
      <w:r>
        <w:rPr>
          <w:rFonts w:hint="eastAsia" w:ascii="Times New Roman" w:hAnsi="Times New Roman" w:eastAsia="宋体" w:cs="Times New Roman"/>
          <w:color w:val="auto"/>
          <w:sz w:val="24"/>
          <w:szCs w:val="24"/>
          <w:highlight w:val="none"/>
          <w:lang w:eastAsia="zh-CN"/>
        </w:rPr>
        <w:t>排气</w:t>
      </w:r>
      <w:r>
        <w:rPr>
          <w:rFonts w:hint="eastAsia" w:ascii="Times New Roman" w:hAnsi="Times New Roman" w:eastAsia="宋体" w:cs="Times New Roman"/>
          <w:color w:val="auto"/>
          <w:sz w:val="24"/>
          <w:szCs w:val="24"/>
          <w:highlight w:val="none"/>
          <w:lang w:val="en-US" w:eastAsia="zh-CN"/>
        </w:rPr>
        <w:t>筒</w:t>
      </w:r>
      <w:r>
        <w:rPr>
          <w:rFonts w:hint="default" w:ascii="Times New Roman" w:hAnsi="Times New Roman" w:eastAsia="宋体" w:cs="Times New Roman"/>
          <w:color w:val="auto"/>
          <w:sz w:val="24"/>
          <w:szCs w:val="24"/>
          <w:highlight w:val="none"/>
        </w:rPr>
        <w:t>排放。项目营运期产生的固体废物包括</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废劳保用品</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废活性炭，项目收集的危废包括实验室废物、废药品以及沾染物。</w:t>
      </w:r>
      <w:r>
        <w:rPr>
          <w:rFonts w:hint="default" w:ascii="Times New Roman" w:hAnsi="Times New Roman" w:eastAsia="宋体" w:cs="Times New Roman"/>
          <w:color w:val="auto"/>
          <w:sz w:val="24"/>
          <w:szCs w:val="24"/>
        </w:rPr>
        <w:t>本项目收集的危险废物和产生的危险废物均委托南京卓越环保科技有限公司处理。所有固废均得到合理处置</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不会造成二次污染。</w:t>
      </w:r>
    </w:p>
    <w:p w14:paraId="194BD8A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w:t>
      </w:r>
      <w:bookmarkStart w:id="1820" w:name="OLE_LINK925"/>
      <w:bookmarkStart w:id="1821" w:name="OLE_LINK927"/>
      <w:r>
        <w:rPr>
          <w:rFonts w:hint="default" w:ascii="Times New Roman" w:hAnsi="Times New Roman" w:eastAsia="宋体" w:cs="Times New Roman"/>
          <w:color w:val="auto"/>
          <w:sz w:val="24"/>
          <w:szCs w:val="24"/>
        </w:rPr>
        <w:t>南京伊环环境服务有限公司</w:t>
      </w:r>
      <w:bookmarkEnd w:id="1820"/>
      <w:r>
        <w:rPr>
          <w:rFonts w:hint="default" w:ascii="Times New Roman" w:hAnsi="Times New Roman" w:eastAsia="宋体" w:cs="Times New Roman"/>
          <w:color w:val="auto"/>
          <w:sz w:val="24"/>
          <w:szCs w:val="24"/>
        </w:rPr>
        <w:t>2000吨/年危险废物集中收集贮存项目验收</w:t>
      </w:r>
      <w:bookmarkEnd w:id="1821"/>
      <w:r>
        <w:rPr>
          <w:rFonts w:hint="default" w:ascii="Times New Roman" w:hAnsi="Times New Roman" w:eastAsia="宋体" w:cs="Times New Roman"/>
          <w:color w:val="auto"/>
          <w:sz w:val="24"/>
          <w:szCs w:val="24"/>
        </w:rPr>
        <w:t>监测报告，验收监测期间南区、北区排口在2020.5.8和2020.5</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9废气排口非甲烷总烃、甲醇</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甲苯、氯化氢排放浓度均满足</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大气污染物综合排放标准</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DB32/4041-2021</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表</w:t>
      </w: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中标准</w:t>
      </w:r>
      <w:r>
        <w:rPr>
          <w:rFonts w:hint="default" w:ascii="Times New Roman" w:hAnsi="Times New Roman" w:eastAsia="宋体" w:cs="Times New Roman"/>
          <w:color w:val="auto"/>
          <w:sz w:val="24"/>
          <w:szCs w:val="24"/>
          <w:lang w:eastAsia="zh-CN"/>
        </w:rPr>
        <w:t>。</w:t>
      </w:r>
      <w:bookmarkStart w:id="1822" w:name="pindex12588"/>
      <w:bookmarkEnd w:id="1822"/>
    </w:p>
    <w:p w14:paraId="06A99A7C">
      <w:pPr>
        <w:keepNext w:val="0"/>
        <w:keepLines w:val="0"/>
        <w:pageBreakBefore w:val="0"/>
        <w:widowControl/>
        <w:kinsoku w:val="0"/>
        <w:wordWrap/>
        <w:overflowPunct/>
        <w:topLinePunct w:val="0"/>
        <w:autoSpaceDE w:val="0"/>
        <w:autoSpaceDN w:val="0"/>
        <w:bidi w:val="0"/>
        <w:adjustRightInd w:val="0"/>
        <w:snapToGrid w:val="0"/>
        <w:spacing w:before="36" w:line="360" w:lineRule="auto"/>
        <w:textAlignment w:val="baseline"/>
        <w:outlineLvl w:val="1"/>
        <w:rPr>
          <w:rFonts w:ascii="Times New Roman" w:hAnsi="Times New Roman" w:eastAsia="Times New Roman" w:cs="Times New Roman"/>
          <w:b/>
          <w:bCs/>
          <w:color w:val="auto"/>
          <w:spacing w:val="-3"/>
          <w:sz w:val="24"/>
          <w:szCs w:val="24"/>
        </w:rPr>
      </w:pPr>
      <w:bookmarkStart w:id="1823" w:name="bookmark61"/>
      <w:bookmarkEnd w:id="1823"/>
      <w:bookmarkStart w:id="1824" w:name="_Toc735"/>
      <w:r>
        <w:rPr>
          <w:rFonts w:ascii="Times New Roman" w:hAnsi="Times New Roman" w:eastAsia="Times New Roman" w:cs="Times New Roman"/>
          <w:b/>
          <w:bCs/>
          <w:color w:val="auto"/>
          <w:spacing w:val="-3"/>
          <w:sz w:val="24"/>
          <w:szCs w:val="24"/>
        </w:rPr>
        <w:t>6.5区域污染源调查</w:t>
      </w:r>
      <w:bookmarkEnd w:id="1824"/>
      <w:bookmarkStart w:id="1825" w:name="pindex12589"/>
      <w:bookmarkEnd w:id="1825"/>
    </w:p>
    <w:p w14:paraId="4944E36F">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default" w:ascii="Times New Roman" w:hAnsi="Times New Roman" w:cs="Times New Roman"/>
          <w:b/>
          <w:bCs/>
          <w:color w:val="auto"/>
          <w:sz w:val="24"/>
          <w:szCs w:val="24"/>
          <w:lang w:val="en-US" w:eastAsia="zh-CN"/>
        </w:rPr>
      </w:pPr>
      <w:bookmarkStart w:id="1826" w:name="_Toc4261"/>
      <w:bookmarkStart w:id="1827" w:name="OLE_LINK578"/>
      <w:r>
        <w:rPr>
          <w:rFonts w:hint="default" w:ascii="Times New Roman" w:hAnsi="Times New Roman" w:cs="Times New Roman"/>
          <w:b/>
          <w:bCs/>
          <w:color w:val="auto"/>
          <w:sz w:val="24"/>
          <w:szCs w:val="24"/>
          <w:lang w:val="en-US" w:eastAsia="zh-CN"/>
        </w:rPr>
        <w:t>6.5.1区域企业现状</w:t>
      </w:r>
      <w:bookmarkEnd w:id="1826"/>
      <w:bookmarkStart w:id="1828" w:name="pindex12590"/>
      <w:bookmarkEnd w:id="1828"/>
    </w:p>
    <w:bookmarkEnd w:id="1827"/>
    <w:p w14:paraId="38392D4E">
      <w:pPr>
        <w:spacing w:before="36" w:line="353" w:lineRule="auto"/>
        <w:ind w:left="39" w:right="30" w:firstLine="479"/>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开发区</w:t>
      </w:r>
      <w:r>
        <w:rPr>
          <w:rFonts w:hint="eastAsia" w:ascii="宋体" w:hAnsi="宋体" w:eastAsia="宋体" w:cs="宋体"/>
          <w:color w:val="auto"/>
          <w:spacing w:val="-4"/>
          <w:sz w:val="24"/>
          <w:szCs w:val="24"/>
          <w:highlight w:val="none"/>
          <w:lang w:val="en-US" w:eastAsia="zh-CN"/>
        </w:rPr>
        <w:t>评估范围</w:t>
      </w:r>
      <w:r>
        <w:rPr>
          <w:rFonts w:ascii="宋体" w:hAnsi="宋体" w:eastAsia="宋体" w:cs="宋体"/>
          <w:color w:val="auto"/>
          <w:spacing w:val="-4"/>
          <w:sz w:val="24"/>
          <w:szCs w:val="24"/>
          <w:highlight w:val="none"/>
        </w:rPr>
        <w:t>内现状产业组成见表</w:t>
      </w:r>
      <w:r>
        <w:rPr>
          <w:rFonts w:ascii="Times New Roman" w:hAnsi="Times New Roman" w:eastAsia="Times New Roman" w:cs="Times New Roman"/>
          <w:color w:val="auto"/>
          <w:spacing w:val="-4"/>
          <w:sz w:val="24"/>
          <w:szCs w:val="24"/>
          <w:highlight w:val="none"/>
        </w:rPr>
        <w:t>6.5-1</w:t>
      </w:r>
      <w:r>
        <w:rPr>
          <w:rFonts w:ascii="宋体" w:hAnsi="宋体" w:eastAsia="宋体" w:cs="宋体"/>
          <w:color w:val="auto"/>
          <w:spacing w:val="-4"/>
          <w:sz w:val="24"/>
          <w:szCs w:val="24"/>
          <w:highlight w:val="none"/>
        </w:rPr>
        <w:t>。现状产业结</w:t>
      </w:r>
      <w:r>
        <w:rPr>
          <w:rFonts w:ascii="宋体" w:hAnsi="宋体" w:eastAsia="宋体" w:cs="宋体"/>
          <w:color w:val="auto"/>
          <w:sz w:val="24"/>
          <w:szCs w:val="24"/>
          <w:highlight w:val="none"/>
        </w:rPr>
        <w:t>构分析结果表明，</w:t>
      </w:r>
      <w:r>
        <w:rPr>
          <w:rFonts w:hint="default" w:ascii="宋体" w:hAnsi="宋体" w:eastAsia="宋体" w:cs="宋体"/>
          <w:color w:val="auto"/>
          <w:sz w:val="24"/>
          <w:szCs w:val="24"/>
          <w:highlight w:val="none"/>
          <w:lang w:val="en-US" w:eastAsia="zh-CN"/>
        </w:rPr>
        <w:t>汽车制造业</w:t>
      </w:r>
      <w:r>
        <w:rPr>
          <w:rFonts w:ascii="宋体" w:hAnsi="宋体" w:eastAsia="宋体" w:cs="宋体"/>
          <w:color w:val="auto"/>
          <w:sz w:val="24"/>
          <w:szCs w:val="24"/>
          <w:highlight w:val="none"/>
        </w:rPr>
        <w:t>占现状主导地位，其所占</w:t>
      </w:r>
      <w:r>
        <w:rPr>
          <w:rFonts w:ascii="宋体" w:hAnsi="宋体" w:eastAsia="宋体" w:cs="宋体"/>
          <w:color w:val="auto"/>
          <w:spacing w:val="-1"/>
          <w:sz w:val="24"/>
          <w:szCs w:val="24"/>
          <w:highlight w:val="none"/>
        </w:rPr>
        <w:t>比例为</w:t>
      </w:r>
      <w:r>
        <w:rPr>
          <w:rFonts w:hint="eastAsia" w:ascii="Times New Roman" w:hAnsi="Times New Roman" w:eastAsia="宋体" w:cs="Times New Roman"/>
          <w:color w:val="auto"/>
          <w:spacing w:val="-1"/>
          <w:sz w:val="24"/>
          <w:szCs w:val="24"/>
          <w:highlight w:val="none"/>
          <w:lang w:val="en-US" w:eastAsia="zh-CN"/>
        </w:rPr>
        <w:t>20.16</w:t>
      </w:r>
      <w:r>
        <w:rPr>
          <w:rFonts w:ascii="Times New Roman" w:hAnsi="Times New Roman" w:eastAsia="Times New Roman" w:cs="Times New Roman"/>
          <w:color w:val="auto"/>
          <w:spacing w:val="-1"/>
          <w:sz w:val="24"/>
          <w:szCs w:val="24"/>
          <w:highlight w:val="none"/>
        </w:rPr>
        <w:t>%</w:t>
      </w:r>
      <w:r>
        <w:rPr>
          <w:rFonts w:ascii="宋体" w:hAnsi="宋体" w:eastAsia="宋体" w:cs="宋体"/>
          <w:color w:val="auto"/>
          <w:spacing w:val="-1"/>
          <w:sz w:val="24"/>
          <w:szCs w:val="24"/>
          <w:highlight w:val="none"/>
        </w:rPr>
        <w:t>，其次</w:t>
      </w:r>
      <w:r>
        <w:rPr>
          <w:rFonts w:ascii="宋体" w:hAnsi="宋体" w:eastAsia="宋体" w:cs="宋体"/>
          <w:color w:val="auto"/>
          <w:spacing w:val="-6"/>
          <w:sz w:val="24"/>
          <w:szCs w:val="24"/>
          <w:highlight w:val="none"/>
        </w:rPr>
        <w:t>是</w:t>
      </w:r>
      <w:r>
        <w:rPr>
          <w:rFonts w:hint="eastAsia" w:ascii="宋体" w:hAnsi="宋体" w:eastAsia="宋体" w:cs="宋体"/>
          <w:color w:val="auto"/>
          <w:spacing w:val="-6"/>
          <w:sz w:val="24"/>
          <w:szCs w:val="24"/>
          <w:highlight w:val="none"/>
        </w:rPr>
        <w:t>计算机、通信和其他电子设备制造业</w:t>
      </w:r>
      <w:r>
        <w:rPr>
          <w:rFonts w:ascii="宋体" w:hAnsi="宋体" w:eastAsia="宋体" w:cs="宋体"/>
          <w:color w:val="auto"/>
          <w:spacing w:val="-6"/>
          <w:sz w:val="24"/>
          <w:szCs w:val="24"/>
          <w:highlight w:val="none"/>
        </w:rPr>
        <w:t>、</w:t>
      </w:r>
      <w:r>
        <w:rPr>
          <w:rFonts w:hint="eastAsia" w:ascii="宋体" w:hAnsi="宋体" w:eastAsia="宋体" w:cs="宋体"/>
          <w:color w:val="auto"/>
          <w:spacing w:val="-6"/>
          <w:sz w:val="24"/>
          <w:szCs w:val="24"/>
          <w:highlight w:val="none"/>
        </w:rPr>
        <w:t>电气机械和器材制造业</w:t>
      </w:r>
      <w:r>
        <w:rPr>
          <w:rFonts w:ascii="宋体" w:hAnsi="宋体" w:eastAsia="宋体" w:cs="宋体"/>
          <w:color w:val="auto"/>
          <w:spacing w:val="-6"/>
          <w:sz w:val="24"/>
          <w:szCs w:val="24"/>
          <w:highlight w:val="none"/>
        </w:rPr>
        <w:t>，基本符</w:t>
      </w:r>
      <w:r>
        <w:rPr>
          <w:rFonts w:ascii="宋体" w:hAnsi="宋体" w:eastAsia="宋体" w:cs="宋体"/>
          <w:color w:val="auto"/>
          <w:spacing w:val="-7"/>
          <w:sz w:val="24"/>
          <w:szCs w:val="24"/>
          <w:highlight w:val="none"/>
        </w:rPr>
        <w:t>合开发区上一轮</w:t>
      </w:r>
      <w:r>
        <w:rPr>
          <w:rFonts w:ascii="宋体" w:hAnsi="宋体" w:eastAsia="宋体" w:cs="宋体"/>
          <w:color w:val="auto"/>
          <w:spacing w:val="-6"/>
          <w:sz w:val="24"/>
          <w:szCs w:val="24"/>
          <w:highlight w:val="none"/>
        </w:rPr>
        <w:t>规划产业定位。</w:t>
      </w:r>
    </w:p>
    <w:p w14:paraId="1DFD7B92">
      <w:pPr>
        <w:keepNext w:val="0"/>
        <w:keepLines w:val="0"/>
        <w:pageBreakBefore w:val="0"/>
        <w:widowControl/>
        <w:kinsoku w:val="0"/>
        <w:wordWrap/>
        <w:overflowPunct/>
        <w:topLinePunct w:val="0"/>
        <w:autoSpaceDE w:val="0"/>
        <w:autoSpaceDN w:val="0"/>
        <w:bidi w:val="0"/>
        <w:adjustRightInd w:val="0"/>
        <w:snapToGrid w:val="0"/>
        <w:spacing w:before="32" w:line="240" w:lineRule="auto"/>
        <w:ind w:left="1979"/>
        <w:textAlignment w:val="baseline"/>
        <w:rPr>
          <w:rFonts w:ascii="宋体" w:hAnsi="宋体" w:eastAsia="宋体" w:cs="宋体"/>
          <w:color w:val="auto"/>
          <w:sz w:val="24"/>
          <w:szCs w:val="24"/>
          <w:highlight w:val="none"/>
        </w:rPr>
      </w:pPr>
      <w:bookmarkStart w:id="1829" w:name="OLE_LINK1126"/>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6.5-1</w:t>
      </w:r>
      <w:r>
        <w:rPr>
          <w:rFonts w:hint="eastAsia" w:ascii="Times New Roman" w:hAnsi="Times New Roman" w:eastAsia="宋体" w:cs="Times New Roman"/>
          <w:b/>
          <w:bCs/>
          <w:color w:val="auto"/>
          <w:spacing w:val="-2"/>
          <w:sz w:val="24"/>
          <w:szCs w:val="24"/>
          <w:highlight w:val="none"/>
          <w:lang w:val="en-US" w:eastAsia="zh-CN"/>
        </w:rPr>
        <w:t xml:space="preserve">  </w:t>
      </w:r>
      <w:r>
        <w:rPr>
          <w:rFonts w:ascii="宋体" w:hAnsi="宋体" w:eastAsia="宋体" w:cs="宋体"/>
          <w:b/>
          <w:bCs/>
          <w:color w:val="auto"/>
          <w:spacing w:val="-2"/>
          <w:sz w:val="24"/>
          <w:szCs w:val="24"/>
          <w:highlight w:val="none"/>
        </w:rPr>
        <w:t>开发区片区内生产企业行业组成</w:t>
      </w:r>
      <w:bookmarkStart w:id="1830" w:name="pindex12592"/>
      <w:bookmarkEnd w:id="1830"/>
    </w:p>
    <w:bookmarkEnd w:id="1829"/>
    <w:tbl>
      <w:tblPr>
        <w:tblStyle w:val="26"/>
        <w:tblW w:w="8322" w:type="dxa"/>
        <w:tblInd w:w="1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634"/>
        <w:gridCol w:w="2730"/>
        <w:gridCol w:w="1958"/>
      </w:tblGrid>
      <w:tr w14:paraId="4FC419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3634" w:type="dxa"/>
            <w:tcBorders>
              <w:top w:val="single" w:color="000000" w:sz="10" w:space="0"/>
              <w:left w:val="nil"/>
            </w:tcBorders>
            <w:vAlign w:val="center"/>
          </w:tcPr>
          <w:p w14:paraId="79FC9979">
            <w:pPr>
              <w:pStyle w:val="27"/>
              <w:spacing w:before="36" w:line="207"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pacing w:val="-4"/>
                <w:sz w:val="21"/>
                <w:szCs w:val="21"/>
                <w:highlight w:val="none"/>
              </w:rPr>
              <w:t>项目类型</w:t>
            </w:r>
          </w:p>
        </w:tc>
        <w:tc>
          <w:tcPr>
            <w:tcW w:w="2730" w:type="dxa"/>
            <w:tcBorders>
              <w:top w:val="single" w:color="000000" w:sz="10" w:space="0"/>
            </w:tcBorders>
            <w:vAlign w:val="center"/>
          </w:tcPr>
          <w:p w14:paraId="23F633BC">
            <w:pPr>
              <w:pStyle w:val="27"/>
              <w:spacing w:before="36" w:line="207"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pacing w:val="-4"/>
                <w:sz w:val="21"/>
                <w:szCs w:val="21"/>
                <w:highlight w:val="none"/>
              </w:rPr>
              <w:t>涉及行业企业（个）</w:t>
            </w:r>
          </w:p>
        </w:tc>
        <w:tc>
          <w:tcPr>
            <w:tcW w:w="1958" w:type="dxa"/>
            <w:tcBorders>
              <w:top w:val="single" w:color="000000" w:sz="10" w:space="0"/>
              <w:right w:val="nil"/>
            </w:tcBorders>
            <w:vAlign w:val="center"/>
          </w:tcPr>
          <w:p w14:paraId="60AAAE62">
            <w:pPr>
              <w:pStyle w:val="27"/>
              <w:spacing w:before="36" w:line="207"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pacing w:val="-2"/>
                <w:sz w:val="21"/>
                <w:szCs w:val="21"/>
                <w:highlight w:val="none"/>
              </w:rPr>
              <w:t>所占比例（%）</w:t>
            </w:r>
          </w:p>
        </w:tc>
      </w:tr>
      <w:tr w14:paraId="1DB229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634" w:type="dxa"/>
            <w:tcBorders>
              <w:left w:val="nil"/>
            </w:tcBorders>
            <w:vAlign w:val="center"/>
          </w:tcPr>
          <w:p w14:paraId="0CFDFB2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snapToGrid w:val="0"/>
                <w:color w:val="auto"/>
                <w:kern w:val="0"/>
                <w:sz w:val="21"/>
                <w:szCs w:val="21"/>
                <w:u w:val="none"/>
                <w:lang w:val="en-US" w:eastAsia="zh-CN" w:bidi="ar"/>
              </w:rPr>
              <w:t>农副食品加工业</w:t>
            </w:r>
          </w:p>
        </w:tc>
        <w:tc>
          <w:tcPr>
            <w:tcW w:w="2730" w:type="dxa"/>
            <w:vAlign w:val="center"/>
          </w:tcPr>
          <w:p w14:paraId="7403BD6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snapToGrid w:val="0"/>
                <w:color w:val="auto"/>
                <w:kern w:val="0"/>
                <w:sz w:val="21"/>
                <w:szCs w:val="21"/>
                <w:u w:val="none"/>
                <w:lang w:val="en-US" w:eastAsia="zh-CN" w:bidi="ar"/>
              </w:rPr>
              <w:t>1</w:t>
            </w:r>
          </w:p>
        </w:tc>
        <w:tc>
          <w:tcPr>
            <w:tcW w:w="1958" w:type="dxa"/>
            <w:tcBorders>
              <w:right w:val="nil"/>
            </w:tcBorders>
            <w:vAlign w:val="center"/>
          </w:tcPr>
          <w:p w14:paraId="4D935D3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0.81%</w:t>
            </w:r>
          </w:p>
        </w:tc>
      </w:tr>
      <w:tr w14:paraId="3D92A5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3634" w:type="dxa"/>
            <w:tcBorders>
              <w:left w:val="nil"/>
            </w:tcBorders>
            <w:vAlign w:val="center"/>
          </w:tcPr>
          <w:p w14:paraId="6024586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食品制造业</w:t>
            </w:r>
          </w:p>
        </w:tc>
        <w:tc>
          <w:tcPr>
            <w:tcW w:w="2730" w:type="dxa"/>
            <w:vAlign w:val="center"/>
          </w:tcPr>
          <w:p w14:paraId="17B2913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w:t>
            </w:r>
          </w:p>
        </w:tc>
        <w:tc>
          <w:tcPr>
            <w:tcW w:w="1958" w:type="dxa"/>
            <w:tcBorders>
              <w:right w:val="nil"/>
            </w:tcBorders>
            <w:vAlign w:val="center"/>
          </w:tcPr>
          <w:p w14:paraId="70C31A1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2.42%</w:t>
            </w:r>
          </w:p>
        </w:tc>
      </w:tr>
      <w:tr w14:paraId="7DD4F1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634" w:type="dxa"/>
            <w:tcBorders>
              <w:left w:val="nil"/>
            </w:tcBorders>
            <w:vAlign w:val="center"/>
          </w:tcPr>
          <w:p w14:paraId="30EFC8D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酒、饮料和精制茶制造业</w:t>
            </w:r>
          </w:p>
        </w:tc>
        <w:tc>
          <w:tcPr>
            <w:tcW w:w="2730" w:type="dxa"/>
            <w:vAlign w:val="center"/>
          </w:tcPr>
          <w:p w14:paraId="402F2CE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w:t>
            </w:r>
          </w:p>
        </w:tc>
        <w:tc>
          <w:tcPr>
            <w:tcW w:w="1958" w:type="dxa"/>
            <w:tcBorders>
              <w:right w:val="nil"/>
            </w:tcBorders>
            <w:vAlign w:val="center"/>
          </w:tcPr>
          <w:p w14:paraId="6055E1B4">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0.81%</w:t>
            </w:r>
          </w:p>
        </w:tc>
      </w:tr>
      <w:tr w14:paraId="22415F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634" w:type="dxa"/>
            <w:tcBorders>
              <w:left w:val="nil"/>
            </w:tcBorders>
            <w:vAlign w:val="center"/>
          </w:tcPr>
          <w:p w14:paraId="5FD34F9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纺织业</w:t>
            </w:r>
          </w:p>
        </w:tc>
        <w:tc>
          <w:tcPr>
            <w:tcW w:w="2730" w:type="dxa"/>
            <w:vAlign w:val="center"/>
          </w:tcPr>
          <w:p w14:paraId="078380A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w:t>
            </w:r>
          </w:p>
        </w:tc>
        <w:tc>
          <w:tcPr>
            <w:tcW w:w="1958" w:type="dxa"/>
            <w:tcBorders>
              <w:right w:val="nil"/>
            </w:tcBorders>
            <w:vAlign w:val="center"/>
          </w:tcPr>
          <w:p w14:paraId="5C6DDA7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0.81%</w:t>
            </w:r>
          </w:p>
        </w:tc>
      </w:tr>
      <w:tr w14:paraId="600314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3634" w:type="dxa"/>
            <w:tcBorders>
              <w:left w:val="nil"/>
            </w:tcBorders>
            <w:vAlign w:val="center"/>
          </w:tcPr>
          <w:p w14:paraId="0554068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纺织服装、服饰业</w:t>
            </w:r>
          </w:p>
        </w:tc>
        <w:tc>
          <w:tcPr>
            <w:tcW w:w="2730" w:type="dxa"/>
            <w:vAlign w:val="center"/>
          </w:tcPr>
          <w:p w14:paraId="37DA615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w:t>
            </w:r>
          </w:p>
        </w:tc>
        <w:tc>
          <w:tcPr>
            <w:tcW w:w="1958" w:type="dxa"/>
            <w:tcBorders>
              <w:right w:val="nil"/>
            </w:tcBorders>
            <w:vAlign w:val="center"/>
          </w:tcPr>
          <w:p w14:paraId="7099615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4.03%</w:t>
            </w:r>
          </w:p>
        </w:tc>
      </w:tr>
      <w:tr w14:paraId="562A99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634" w:type="dxa"/>
            <w:tcBorders>
              <w:left w:val="nil"/>
            </w:tcBorders>
            <w:vAlign w:val="center"/>
          </w:tcPr>
          <w:p w14:paraId="09B2B8E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造纸和纸制品业</w:t>
            </w:r>
          </w:p>
        </w:tc>
        <w:tc>
          <w:tcPr>
            <w:tcW w:w="2730" w:type="dxa"/>
            <w:vAlign w:val="center"/>
          </w:tcPr>
          <w:p w14:paraId="06F82C3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w:t>
            </w:r>
          </w:p>
        </w:tc>
        <w:tc>
          <w:tcPr>
            <w:tcW w:w="1958" w:type="dxa"/>
            <w:tcBorders>
              <w:right w:val="nil"/>
            </w:tcBorders>
            <w:vAlign w:val="center"/>
          </w:tcPr>
          <w:p w14:paraId="6FC081B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1.61%</w:t>
            </w:r>
          </w:p>
        </w:tc>
      </w:tr>
      <w:tr w14:paraId="6157DC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634" w:type="dxa"/>
            <w:tcBorders>
              <w:left w:val="nil"/>
            </w:tcBorders>
            <w:vAlign w:val="center"/>
          </w:tcPr>
          <w:p w14:paraId="75CF867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印刷和记录媒介复制业</w:t>
            </w:r>
          </w:p>
        </w:tc>
        <w:tc>
          <w:tcPr>
            <w:tcW w:w="2730" w:type="dxa"/>
            <w:vAlign w:val="center"/>
          </w:tcPr>
          <w:p w14:paraId="1EA34D4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w:t>
            </w:r>
          </w:p>
        </w:tc>
        <w:tc>
          <w:tcPr>
            <w:tcW w:w="1958" w:type="dxa"/>
            <w:tcBorders>
              <w:right w:val="nil"/>
            </w:tcBorders>
            <w:vAlign w:val="center"/>
          </w:tcPr>
          <w:p w14:paraId="4693B849">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4.03%</w:t>
            </w:r>
          </w:p>
        </w:tc>
      </w:tr>
      <w:tr w14:paraId="03A47E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3634" w:type="dxa"/>
            <w:tcBorders>
              <w:left w:val="nil"/>
            </w:tcBorders>
            <w:vAlign w:val="center"/>
          </w:tcPr>
          <w:p w14:paraId="58B2095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生物医药业</w:t>
            </w:r>
          </w:p>
        </w:tc>
        <w:tc>
          <w:tcPr>
            <w:tcW w:w="2730" w:type="dxa"/>
            <w:vAlign w:val="center"/>
          </w:tcPr>
          <w:p w14:paraId="65C6F4E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w:t>
            </w:r>
          </w:p>
        </w:tc>
        <w:tc>
          <w:tcPr>
            <w:tcW w:w="1958" w:type="dxa"/>
            <w:tcBorders>
              <w:right w:val="nil"/>
            </w:tcBorders>
            <w:vAlign w:val="center"/>
          </w:tcPr>
          <w:p w14:paraId="2E0B94E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4.03%</w:t>
            </w:r>
          </w:p>
        </w:tc>
      </w:tr>
      <w:tr w14:paraId="0889B4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634" w:type="dxa"/>
            <w:tcBorders>
              <w:left w:val="nil"/>
            </w:tcBorders>
            <w:vAlign w:val="center"/>
          </w:tcPr>
          <w:p w14:paraId="191AA5B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橡胶和塑料制品业</w:t>
            </w:r>
          </w:p>
        </w:tc>
        <w:tc>
          <w:tcPr>
            <w:tcW w:w="2730" w:type="dxa"/>
            <w:vAlign w:val="center"/>
          </w:tcPr>
          <w:p w14:paraId="601CDBB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w:t>
            </w:r>
          </w:p>
        </w:tc>
        <w:tc>
          <w:tcPr>
            <w:tcW w:w="1958" w:type="dxa"/>
            <w:tcBorders>
              <w:right w:val="nil"/>
            </w:tcBorders>
            <w:vAlign w:val="center"/>
          </w:tcPr>
          <w:p w14:paraId="6A165B1D">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4.03%</w:t>
            </w:r>
          </w:p>
        </w:tc>
      </w:tr>
      <w:tr w14:paraId="35DFF1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634" w:type="dxa"/>
            <w:tcBorders>
              <w:left w:val="nil"/>
            </w:tcBorders>
            <w:vAlign w:val="center"/>
          </w:tcPr>
          <w:p w14:paraId="6A6578A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非金属矿物制品业</w:t>
            </w:r>
          </w:p>
        </w:tc>
        <w:tc>
          <w:tcPr>
            <w:tcW w:w="2730" w:type="dxa"/>
            <w:vAlign w:val="center"/>
          </w:tcPr>
          <w:p w14:paraId="01A0FD0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w:t>
            </w:r>
          </w:p>
        </w:tc>
        <w:tc>
          <w:tcPr>
            <w:tcW w:w="1958" w:type="dxa"/>
            <w:tcBorders>
              <w:right w:val="nil"/>
            </w:tcBorders>
            <w:vAlign w:val="center"/>
          </w:tcPr>
          <w:p w14:paraId="35DC3B91">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0.81%</w:t>
            </w:r>
          </w:p>
        </w:tc>
      </w:tr>
      <w:tr w14:paraId="57D3F2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3634" w:type="dxa"/>
            <w:tcBorders>
              <w:left w:val="nil"/>
            </w:tcBorders>
            <w:vAlign w:val="center"/>
          </w:tcPr>
          <w:p w14:paraId="1A8ADB4F">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有色金属冶炼和压延加工业</w:t>
            </w:r>
          </w:p>
        </w:tc>
        <w:tc>
          <w:tcPr>
            <w:tcW w:w="2730" w:type="dxa"/>
            <w:vAlign w:val="center"/>
          </w:tcPr>
          <w:p w14:paraId="22DDC71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w:t>
            </w:r>
          </w:p>
        </w:tc>
        <w:tc>
          <w:tcPr>
            <w:tcW w:w="1958" w:type="dxa"/>
            <w:tcBorders>
              <w:right w:val="nil"/>
            </w:tcBorders>
            <w:vAlign w:val="center"/>
          </w:tcPr>
          <w:p w14:paraId="1DA9BD5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2.42%</w:t>
            </w:r>
          </w:p>
        </w:tc>
      </w:tr>
      <w:tr w14:paraId="14F0C6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634" w:type="dxa"/>
            <w:tcBorders>
              <w:left w:val="nil"/>
            </w:tcBorders>
            <w:vAlign w:val="center"/>
          </w:tcPr>
          <w:p w14:paraId="36348BE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金属制品业</w:t>
            </w:r>
          </w:p>
        </w:tc>
        <w:tc>
          <w:tcPr>
            <w:tcW w:w="2730" w:type="dxa"/>
            <w:vAlign w:val="center"/>
          </w:tcPr>
          <w:p w14:paraId="249BAFA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5</w:t>
            </w:r>
          </w:p>
        </w:tc>
        <w:tc>
          <w:tcPr>
            <w:tcW w:w="1958" w:type="dxa"/>
            <w:tcBorders>
              <w:right w:val="nil"/>
            </w:tcBorders>
            <w:vAlign w:val="center"/>
          </w:tcPr>
          <w:p w14:paraId="48CD332B">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4.03%</w:t>
            </w:r>
          </w:p>
        </w:tc>
      </w:tr>
      <w:tr w14:paraId="06CAC2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634" w:type="dxa"/>
            <w:tcBorders>
              <w:left w:val="nil"/>
            </w:tcBorders>
            <w:vAlign w:val="center"/>
          </w:tcPr>
          <w:p w14:paraId="0032277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通用设备制造业</w:t>
            </w:r>
          </w:p>
        </w:tc>
        <w:tc>
          <w:tcPr>
            <w:tcW w:w="2730" w:type="dxa"/>
            <w:vAlign w:val="center"/>
          </w:tcPr>
          <w:p w14:paraId="0255269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7</w:t>
            </w:r>
          </w:p>
        </w:tc>
        <w:tc>
          <w:tcPr>
            <w:tcW w:w="1958" w:type="dxa"/>
            <w:tcBorders>
              <w:right w:val="nil"/>
            </w:tcBorders>
            <w:vAlign w:val="center"/>
          </w:tcPr>
          <w:p w14:paraId="179EC775">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5.65%</w:t>
            </w:r>
          </w:p>
        </w:tc>
      </w:tr>
      <w:tr w14:paraId="5BB8D8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3634" w:type="dxa"/>
            <w:tcBorders>
              <w:left w:val="nil"/>
            </w:tcBorders>
            <w:vAlign w:val="center"/>
          </w:tcPr>
          <w:p w14:paraId="6741D7C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专用设备制造业</w:t>
            </w:r>
          </w:p>
        </w:tc>
        <w:tc>
          <w:tcPr>
            <w:tcW w:w="2730" w:type="dxa"/>
            <w:vAlign w:val="center"/>
          </w:tcPr>
          <w:p w14:paraId="46CD532E">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i w:val="0"/>
                <w:iCs w:val="0"/>
                <w:snapToGrid w:val="0"/>
                <w:color w:val="auto"/>
                <w:kern w:val="0"/>
                <w:sz w:val="21"/>
                <w:szCs w:val="21"/>
                <w:u w:val="none"/>
                <w:lang w:val="en-US" w:eastAsia="zh-CN" w:bidi="ar"/>
              </w:rPr>
              <w:t>10</w:t>
            </w:r>
          </w:p>
        </w:tc>
        <w:tc>
          <w:tcPr>
            <w:tcW w:w="1958" w:type="dxa"/>
            <w:tcBorders>
              <w:right w:val="nil"/>
            </w:tcBorders>
            <w:vAlign w:val="center"/>
          </w:tcPr>
          <w:p w14:paraId="448C9BE7">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8.06%</w:t>
            </w:r>
          </w:p>
        </w:tc>
      </w:tr>
      <w:tr w14:paraId="05F751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634" w:type="dxa"/>
            <w:tcBorders>
              <w:left w:val="nil"/>
            </w:tcBorders>
            <w:vAlign w:val="center"/>
          </w:tcPr>
          <w:p w14:paraId="60D0382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汽车制造业</w:t>
            </w:r>
          </w:p>
        </w:tc>
        <w:tc>
          <w:tcPr>
            <w:tcW w:w="2730" w:type="dxa"/>
            <w:vAlign w:val="center"/>
          </w:tcPr>
          <w:p w14:paraId="0A89C84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25</w:t>
            </w:r>
          </w:p>
        </w:tc>
        <w:tc>
          <w:tcPr>
            <w:tcW w:w="1958" w:type="dxa"/>
            <w:tcBorders>
              <w:right w:val="nil"/>
            </w:tcBorders>
            <w:vAlign w:val="center"/>
          </w:tcPr>
          <w:p w14:paraId="4684A69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20.16%</w:t>
            </w:r>
          </w:p>
        </w:tc>
      </w:tr>
      <w:tr w14:paraId="266024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634" w:type="dxa"/>
            <w:tcBorders>
              <w:left w:val="nil"/>
            </w:tcBorders>
            <w:vAlign w:val="center"/>
          </w:tcPr>
          <w:p w14:paraId="6AA1755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铁路、船舶、航空航天和其他运输设备制造业</w:t>
            </w:r>
          </w:p>
        </w:tc>
        <w:tc>
          <w:tcPr>
            <w:tcW w:w="2730" w:type="dxa"/>
            <w:vAlign w:val="center"/>
          </w:tcPr>
          <w:p w14:paraId="7EFDB62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w:t>
            </w:r>
          </w:p>
        </w:tc>
        <w:tc>
          <w:tcPr>
            <w:tcW w:w="1958" w:type="dxa"/>
            <w:tcBorders>
              <w:right w:val="nil"/>
            </w:tcBorders>
            <w:vAlign w:val="center"/>
          </w:tcPr>
          <w:p w14:paraId="485E4A4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0.81%</w:t>
            </w:r>
          </w:p>
        </w:tc>
      </w:tr>
      <w:tr w14:paraId="03FFD3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634" w:type="dxa"/>
            <w:tcBorders>
              <w:left w:val="nil"/>
            </w:tcBorders>
            <w:vAlign w:val="center"/>
          </w:tcPr>
          <w:p w14:paraId="580250B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电气机械和器材制造业</w:t>
            </w:r>
          </w:p>
        </w:tc>
        <w:tc>
          <w:tcPr>
            <w:tcW w:w="2730" w:type="dxa"/>
            <w:vAlign w:val="center"/>
          </w:tcPr>
          <w:p w14:paraId="21EF15C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10</w:t>
            </w:r>
          </w:p>
        </w:tc>
        <w:tc>
          <w:tcPr>
            <w:tcW w:w="1958" w:type="dxa"/>
            <w:tcBorders>
              <w:right w:val="nil"/>
            </w:tcBorders>
            <w:vAlign w:val="center"/>
          </w:tcPr>
          <w:p w14:paraId="6255156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8.06%</w:t>
            </w:r>
          </w:p>
        </w:tc>
      </w:tr>
      <w:tr w14:paraId="565721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634" w:type="dxa"/>
            <w:tcBorders>
              <w:left w:val="nil"/>
            </w:tcBorders>
            <w:vAlign w:val="center"/>
          </w:tcPr>
          <w:p w14:paraId="2B8D4628">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计算机、通信和其他电子设备制造业</w:t>
            </w:r>
          </w:p>
        </w:tc>
        <w:tc>
          <w:tcPr>
            <w:tcW w:w="2730" w:type="dxa"/>
            <w:vAlign w:val="center"/>
          </w:tcPr>
          <w:p w14:paraId="1EFF513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w:t>
            </w:r>
            <w:r>
              <w:rPr>
                <w:rFonts w:hint="eastAsia" w:ascii="Times New Roman" w:hAnsi="Times New Roman" w:eastAsia="宋体" w:cs="Times New Roman"/>
                <w:i w:val="0"/>
                <w:iCs w:val="0"/>
                <w:snapToGrid w:val="0"/>
                <w:color w:val="auto"/>
                <w:kern w:val="0"/>
                <w:sz w:val="21"/>
                <w:szCs w:val="21"/>
                <w:u w:val="none"/>
                <w:lang w:val="en-US" w:eastAsia="zh-CN" w:bidi="ar"/>
              </w:rPr>
              <w:t>3</w:t>
            </w:r>
          </w:p>
        </w:tc>
        <w:tc>
          <w:tcPr>
            <w:tcW w:w="1958" w:type="dxa"/>
            <w:tcBorders>
              <w:right w:val="nil"/>
            </w:tcBorders>
            <w:vAlign w:val="center"/>
          </w:tcPr>
          <w:p w14:paraId="50C5BE3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18.55%</w:t>
            </w:r>
          </w:p>
        </w:tc>
      </w:tr>
      <w:tr w14:paraId="7B8E4B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634" w:type="dxa"/>
            <w:tcBorders>
              <w:left w:val="nil"/>
            </w:tcBorders>
            <w:vAlign w:val="center"/>
          </w:tcPr>
          <w:p w14:paraId="2243F58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仪器仪表制造业</w:t>
            </w:r>
          </w:p>
        </w:tc>
        <w:tc>
          <w:tcPr>
            <w:tcW w:w="2730" w:type="dxa"/>
            <w:vAlign w:val="center"/>
          </w:tcPr>
          <w:p w14:paraId="1EF4544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3</w:t>
            </w:r>
          </w:p>
        </w:tc>
        <w:tc>
          <w:tcPr>
            <w:tcW w:w="1958" w:type="dxa"/>
            <w:tcBorders>
              <w:right w:val="nil"/>
            </w:tcBorders>
            <w:vAlign w:val="center"/>
          </w:tcPr>
          <w:p w14:paraId="44D1FDFF">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2.42%</w:t>
            </w:r>
          </w:p>
        </w:tc>
      </w:tr>
      <w:tr w14:paraId="5B0790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634" w:type="dxa"/>
            <w:tcBorders>
              <w:left w:val="nil"/>
            </w:tcBorders>
            <w:vAlign w:val="center"/>
          </w:tcPr>
          <w:p w14:paraId="6BF2A0CE">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金属制品、机械和设备修理业</w:t>
            </w:r>
          </w:p>
        </w:tc>
        <w:tc>
          <w:tcPr>
            <w:tcW w:w="2730" w:type="dxa"/>
            <w:vAlign w:val="center"/>
          </w:tcPr>
          <w:p w14:paraId="42463A4D">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w:t>
            </w:r>
          </w:p>
        </w:tc>
        <w:tc>
          <w:tcPr>
            <w:tcW w:w="1958" w:type="dxa"/>
            <w:tcBorders>
              <w:right w:val="nil"/>
            </w:tcBorders>
            <w:vAlign w:val="center"/>
          </w:tcPr>
          <w:p w14:paraId="4E77300A">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0.81%</w:t>
            </w:r>
          </w:p>
        </w:tc>
      </w:tr>
      <w:tr w14:paraId="60DBEE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634" w:type="dxa"/>
            <w:tcBorders>
              <w:left w:val="nil"/>
            </w:tcBorders>
            <w:vAlign w:val="center"/>
          </w:tcPr>
          <w:p w14:paraId="149AB2F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装卸搬运和仓储业</w:t>
            </w:r>
          </w:p>
        </w:tc>
        <w:tc>
          <w:tcPr>
            <w:tcW w:w="2730" w:type="dxa"/>
            <w:vAlign w:val="center"/>
          </w:tcPr>
          <w:p w14:paraId="644F675B">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w:t>
            </w:r>
          </w:p>
        </w:tc>
        <w:tc>
          <w:tcPr>
            <w:tcW w:w="1958" w:type="dxa"/>
            <w:tcBorders>
              <w:right w:val="nil"/>
            </w:tcBorders>
            <w:vAlign w:val="center"/>
          </w:tcPr>
          <w:p w14:paraId="7A036FC8">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1.61%</w:t>
            </w:r>
          </w:p>
        </w:tc>
      </w:tr>
      <w:tr w14:paraId="63F693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634" w:type="dxa"/>
            <w:tcBorders>
              <w:left w:val="nil"/>
            </w:tcBorders>
            <w:vAlign w:val="center"/>
          </w:tcPr>
          <w:p w14:paraId="26C59202">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研究与试验发展</w:t>
            </w:r>
          </w:p>
        </w:tc>
        <w:tc>
          <w:tcPr>
            <w:tcW w:w="2730" w:type="dxa"/>
            <w:vAlign w:val="center"/>
          </w:tcPr>
          <w:p w14:paraId="7D52874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w:t>
            </w:r>
          </w:p>
        </w:tc>
        <w:tc>
          <w:tcPr>
            <w:tcW w:w="1958" w:type="dxa"/>
            <w:tcBorders>
              <w:right w:val="nil"/>
            </w:tcBorders>
            <w:vAlign w:val="center"/>
          </w:tcPr>
          <w:p w14:paraId="2335D70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1.61%</w:t>
            </w:r>
          </w:p>
        </w:tc>
      </w:tr>
      <w:tr w14:paraId="2E3DAE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634" w:type="dxa"/>
            <w:tcBorders>
              <w:left w:val="nil"/>
            </w:tcBorders>
            <w:vAlign w:val="center"/>
          </w:tcPr>
          <w:p w14:paraId="2E8A4321">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生态保护和环境治理业</w:t>
            </w:r>
          </w:p>
        </w:tc>
        <w:tc>
          <w:tcPr>
            <w:tcW w:w="2730" w:type="dxa"/>
            <w:vAlign w:val="center"/>
          </w:tcPr>
          <w:p w14:paraId="2EA722B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1</w:t>
            </w:r>
          </w:p>
        </w:tc>
        <w:tc>
          <w:tcPr>
            <w:tcW w:w="1958" w:type="dxa"/>
            <w:tcBorders>
              <w:right w:val="nil"/>
            </w:tcBorders>
            <w:vAlign w:val="center"/>
          </w:tcPr>
          <w:p w14:paraId="5375CE52">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0.81%</w:t>
            </w:r>
          </w:p>
        </w:tc>
      </w:tr>
      <w:tr w14:paraId="490EAF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634" w:type="dxa"/>
            <w:tcBorders>
              <w:left w:val="nil"/>
            </w:tcBorders>
            <w:vAlign w:val="center"/>
          </w:tcPr>
          <w:p w14:paraId="34473424">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其他服务业</w:t>
            </w:r>
          </w:p>
        </w:tc>
        <w:tc>
          <w:tcPr>
            <w:tcW w:w="2730" w:type="dxa"/>
            <w:vAlign w:val="center"/>
          </w:tcPr>
          <w:p w14:paraId="68F689A0">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1"/>
                <w:szCs w:val="21"/>
                <w:u w:val="none"/>
                <w:lang w:val="en-US" w:eastAsia="zh-CN" w:bidi="ar"/>
              </w:rPr>
              <w:t>2</w:t>
            </w:r>
          </w:p>
        </w:tc>
        <w:tc>
          <w:tcPr>
            <w:tcW w:w="1958" w:type="dxa"/>
            <w:tcBorders>
              <w:right w:val="nil"/>
            </w:tcBorders>
            <w:vAlign w:val="center"/>
          </w:tcPr>
          <w:p w14:paraId="0D4B17AC">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1.61%</w:t>
            </w:r>
          </w:p>
        </w:tc>
      </w:tr>
      <w:tr w14:paraId="545552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3634" w:type="dxa"/>
            <w:tcBorders>
              <w:left w:val="nil"/>
              <w:bottom w:val="single" w:color="000000" w:sz="10" w:space="0"/>
            </w:tcBorders>
            <w:vAlign w:val="center"/>
          </w:tcPr>
          <w:p w14:paraId="4533C363">
            <w:pPr>
              <w:pStyle w:val="27"/>
              <w:spacing w:before="50" w:line="209"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4"/>
                <w:sz w:val="21"/>
                <w:szCs w:val="21"/>
              </w:rPr>
              <w:t>合计</w:t>
            </w:r>
          </w:p>
        </w:tc>
        <w:tc>
          <w:tcPr>
            <w:tcW w:w="2730" w:type="dxa"/>
            <w:tcBorders>
              <w:bottom w:val="single" w:color="000000" w:sz="10" w:space="0"/>
            </w:tcBorders>
            <w:vAlign w:val="center"/>
          </w:tcPr>
          <w:p w14:paraId="3468C49C">
            <w:pPr>
              <w:spacing w:before="82" w:line="189"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b/>
                <w:bCs/>
                <w:color w:val="auto"/>
                <w:spacing w:val="-3"/>
                <w:sz w:val="21"/>
                <w:szCs w:val="21"/>
                <w:lang w:val="en-US" w:eastAsia="zh-CN"/>
              </w:rPr>
              <w:t>124</w:t>
            </w:r>
          </w:p>
        </w:tc>
        <w:tc>
          <w:tcPr>
            <w:tcW w:w="1958" w:type="dxa"/>
            <w:tcBorders>
              <w:bottom w:val="single" w:color="000000" w:sz="10" w:space="0"/>
              <w:right w:val="nil"/>
            </w:tcBorders>
            <w:vAlign w:val="center"/>
          </w:tcPr>
          <w:p w14:paraId="2194DD04">
            <w:pPr>
              <w:spacing w:before="82" w:line="189"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2"/>
                <w:sz w:val="21"/>
                <w:szCs w:val="21"/>
              </w:rPr>
              <w:t>100%</w:t>
            </w:r>
          </w:p>
        </w:tc>
      </w:tr>
    </w:tbl>
    <w:p w14:paraId="6184443C">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default" w:ascii="Times New Roman" w:hAnsi="Times New Roman" w:cs="Times New Roman"/>
          <w:b/>
          <w:bCs/>
          <w:color w:val="auto"/>
          <w:sz w:val="24"/>
          <w:szCs w:val="24"/>
          <w:lang w:val="en-US" w:eastAsia="zh-CN"/>
        </w:rPr>
      </w:pPr>
      <w:bookmarkStart w:id="1831" w:name="_Toc32574"/>
      <w:r>
        <w:rPr>
          <w:rFonts w:hint="default" w:ascii="Times New Roman" w:hAnsi="Times New Roman" w:cs="Times New Roman"/>
          <w:b/>
          <w:bCs/>
          <w:color w:val="auto"/>
          <w:sz w:val="24"/>
          <w:szCs w:val="24"/>
          <w:lang w:val="en-US" w:eastAsia="zh-CN"/>
        </w:rPr>
        <w:t>6.5.2产业园区污染源调查与评价</w:t>
      </w:r>
      <w:bookmarkEnd w:id="1831"/>
      <w:bookmarkStart w:id="1832" w:name="pindex12671"/>
      <w:bookmarkEnd w:id="1832"/>
    </w:p>
    <w:p w14:paraId="63F89122">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textAlignment w:val="baseline"/>
        <w:rPr>
          <w:rFonts w:ascii="宋体" w:hAnsi="宋体" w:eastAsia="宋体" w:cs="宋体"/>
          <w:b/>
          <w:bCs/>
          <w:color w:val="auto"/>
          <w:spacing w:val="-4"/>
          <w:sz w:val="24"/>
          <w:szCs w:val="24"/>
        </w:rPr>
      </w:pPr>
      <w:r>
        <w:rPr>
          <w:rFonts w:hint="default" w:ascii="Times New Roman" w:hAnsi="Times New Roman" w:eastAsia="宋体" w:cs="Times New Roman"/>
          <w:b/>
          <w:bCs/>
          <w:snapToGrid w:val="0"/>
          <w:color w:val="auto"/>
          <w:spacing w:val="-4"/>
          <w:kern w:val="0"/>
          <w:sz w:val="24"/>
          <w:szCs w:val="24"/>
          <w:lang w:val="en-US" w:eastAsia="en-US" w:bidi="ar-SA"/>
        </w:rPr>
        <w:t>（1）</w:t>
      </w:r>
      <w:r>
        <w:rPr>
          <w:rFonts w:hint="default" w:ascii="Times New Roman" w:hAnsi="Times New Roman" w:eastAsia="宋体" w:cs="Times New Roman"/>
          <w:b/>
          <w:bCs/>
          <w:color w:val="auto"/>
          <w:spacing w:val="-4"/>
          <w:sz w:val="24"/>
          <w:szCs w:val="24"/>
        </w:rPr>
        <w:t>废气污</w:t>
      </w:r>
      <w:r>
        <w:rPr>
          <w:rFonts w:ascii="宋体" w:hAnsi="宋体" w:eastAsia="宋体" w:cs="宋体"/>
          <w:b/>
          <w:bCs/>
          <w:color w:val="auto"/>
          <w:spacing w:val="-4"/>
          <w:sz w:val="24"/>
          <w:szCs w:val="24"/>
        </w:rPr>
        <w:t>染源</w:t>
      </w:r>
      <w:bookmarkStart w:id="1833" w:name="pindex12672"/>
      <w:bookmarkEnd w:id="1833"/>
    </w:p>
    <w:p w14:paraId="31D5B4E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4" w:firstLineChars="200"/>
        <w:textAlignment w:val="baseline"/>
        <w:rPr>
          <w:rFonts w:hint="eastAsia" w:ascii="宋体" w:hAnsi="宋体" w:eastAsia="宋体" w:cs="宋体"/>
          <w:color w:val="auto"/>
          <w:spacing w:val="-4"/>
          <w:sz w:val="24"/>
          <w:szCs w:val="24"/>
          <w:highlight w:val="none"/>
          <w:lang w:val="en-US" w:eastAsia="zh-CN"/>
        </w:rPr>
      </w:pPr>
      <w:r>
        <w:rPr>
          <w:rFonts w:hint="default" w:ascii="Times New Roman" w:hAnsi="Times New Roman" w:eastAsia="宋体" w:cs="Times New Roman"/>
          <w:snapToGrid w:val="0"/>
          <w:color w:val="auto"/>
          <w:spacing w:val="-4"/>
          <w:kern w:val="0"/>
          <w:sz w:val="24"/>
          <w:szCs w:val="24"/>
          <w:lang w:val="en-US" w:eastAsia="zh-CN" w:bidi="ar-SA"/>
        </w:rPr>
        <w:t>1）</w:t>
      </w:r>
      <w:r>
        <w:rPr>
          <w:rFonts w:hint="eastAsia" w:ascii="宋体" w:hAnsi="宋体" w:eastAsia="宋体" w:cs="宋体"/>
          <w:color w:val="auto"/>
          <w:spacing w:val="-4"/>
          <w:sz w:val="24"/>
          <w:szCs w:val="24"/>
          <w:highlight w:val="none"/>
          <w:lang w:val="en-US" w:eastAsia="zh-CN"/>
        </w:rPr>
        <w:t>生活污染源</w:t>
      </w:r>
      <w:bookmarkStart w:id="1834" w:name="pindex12673"/>
      <w:bookmarkEnd w:id="1834"/>
    </w:p>
    <w:p w14:paraId="5BA756A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4"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4"/>
          <w:sz w:val="24"/>
          <w:szCs w:val="24"/>
        </w:rPr>
        <w:t>目前评估范围内城镇建成区居民生活能源结构以天然气和液</w:t>
      </w:r>
      <w:r>
        <w:rPr>
          <w:rFonts w:hint="default" w:ascii="Times New Roman" w:hAnsi="Times New Roman" w:eastAsia="宋体" w:cs="Times New Roman"/>
          <w:color w:val="auto"/>
          <w:spacing w:val="-5"/>
          <w:sz w:val="24"/>
          <w:szCs w:val="24"/>
        </w:rPr>
        <w:t>化气为主，</w:t>
      </w:r>
      <w:r>
        <w:rPr>
          <w:rFonts w:hint="eastAsia" w:ascii="Times New Roman" w:hAnsi="Times New Roman" w:eastAsia="宋体" w:cs="Times New Roman"/>
          <w:color w:val="auto"/>
          <w:spacing w:val="-5"/>
          <w:sz w:val="24"/>
          <w:szCs w:val="24"/>
          <w:lang w:val="en-US" w:eastAsia="zh-CN"/>
        </w:rPr>
        <w:t>据统计，</w:t>
      </w:r>
      <w:r>
        <w:rPr>
          <w:rFonts w:hint="default" w:ascii="Times New Roman" w:hAnsi="Times New Roman" w:eastAsia="宋体" w:cs="Times New Roman"/>
          <w:color w:val="auto"/>
          <w:spacing w:val="-5"/>
          <w:sz w:val="24"/>
          <w:szCs w:val="24"/>
          <w:highlight w:val="none"/>
        </w:rPr>
        <w:t>城镇居民生活天然气用量为3560万m</w:t>
      </w:r>
      <w:r>
        <w:rPr>
          <w:rFonts w:hint="default" w:ascii="Times New Roman" w:hAnsi="Times New Roman" w:eastAsia="宋体" w:cs="Times New Roman"/>
          <w:color w:val="auto"/>
          <w:spacing w:val="-5"/>
          <w:sz w:val="24"/>
          <w:szCs w:val="24"/>
          <w:highlight w:val="none"/>
          <w:vertAlign w:val="superscript"/>
          <w:lang w:val="en-US" w:eastAsia="zh-CN"/>
        </w:rPr>
        <w:t>3</w:t>
      </w:r>
      <w:r>
        <w:rPr>
          <w:rFonts w:hint="default" w:ascii="Times New Roman" w:hAnsi="Times New Roman" w:eastAsia="宋体" w:cs="Times New Roman"/>
          <w:color w:val="auto"/>
          <w:spacing w:val="-5"/>
          <w:sz w:val="24"/>
          <w:szCs w:val="24"/>
          <w:highlight w:val="none"/>
        </w:rPr>
        <w:t>，液化气使用量为2.8万t</w:t>
      </w:r>
      <w:r>
        <w:rPr>
          <w:rFonts w:hint="default" w:ascii="Times New Roman" w:hAnsi="Times New Roman" w:eastAsia="宋体" w:cs="Times New Roman"/>
          <w:color w:val="auto"/>
          <w:spacing w:val="-5"/>
          <w:sz w:val="24"/>
          <w:szCs w:val="24"/>
        </w:rPr>
        <w:t>，天然气废气量、SO</w:t>
      </w:r>
      <w:r>
        <w:rPr>
          <w:rFonts w:hint="default" w:ascii="Times New Roman" w:hAnsi="Times New Roman" w:eastAsia="宋体" w:cs="Times New Roman"/>
          <w:color w:val="auto"/>
          <w:spacing w:val="-5"/>
          <w:sz w:val="24"/>
          <w:szCs w:val="24"/>
          <w:vertAlign w:val="subscript"/>
          <w:lang w:val="en-US" w:eastAsia="zh-CN"/>
        </w:rPr>
        <w:t>2</w:t>
      </w:r>
      <w:r>
        <w:rPr>
          <w:rFonts w:hint="default" w:ascii="Times New Roman" w:hAnsi="Times New Roman" w:eastAsia="宋体" w:cs="Times New Roman"/>
          <w:color w:val="auto"/>
          <w:spacing w:val="-5"/>
          <w:sz w:val="24"/>
          <w:szCs w:val="24"/>
        </w:rPr>
        <w:t>、NOx</w:t>
      </w:r>
      <w:r>
        <w:rPr>
          <w:rFonts w:hint="eastAsia" w:ascii="Times New Roman" w:hAnsi="Times New Roman" w:eastAsia="宋体" w:cs="Times New Roman"/>
          <w:color w:val="auto"/>
          <w:spacing w:val="-5"/>
          <w:sz w:val="24"/>
          <w:szCs w:val="24"/>
          <w:lang w:eastAsia="zh-CN"/>
        </w:rPr>
        <w:t>、</w:t>
      </w:r>
      <w:r>
        <w:rPr>
          <w:rFonts w:hint="default" w:ascii="Times New Roman" w:hAnsi="Times New Roman" w:eastAsia="宋体" w:cs="Times New Roman"/>
          <w:color w:val="auto"/>
          <w:spacing w:val="-5"/>
          <w:sz w:val="24"/>
          <w:szCs w:val="24"/>
        </w:rPr>
        <w:t>烟尘参照《</w:t>
      </w:r>
      <w:r>
        <w:rPr>
          <w:rFonts w:hint="eastAsia" w:ascii="Times New Roman" w:hAnsi="Times New Roman" w:eastAsia="宋体" w:cs="Times New Roman"/>
          <w:color w:val="auto"/>
          <w:spacing w:val="-5"/>
          <w:sz w:val="24"/>
          <w:szCs w:val="24"/>
          <w:lang w:val="en-US" w:eastAsia="zh-CN"/>
        </w:rPr>
        <w:t>排放源统计调查产排污核算方法和系数手册</w:t>
      </w:r>
      <w:r>
        <w:rPr>
          <w:rFonts w:hint="default" w:ascii="Times New Roman" w:hAnsi="Times New Roman" w:eastAsia="宋体" w:cs="Times New Roman"/>
          <w:color w:val="auto"/>
          <w:spacing w:val="-5"/>
          <w:sz w:val="24"/>
          <w:szCs w:val="24"/>
        </w:rPr>
        <w:t>》及《环境影响评价工程师职业资格登记培训教材社会区域类》</w:t>
      </w:r>
      <w:r>
        <w:rPr>
          <w:rFonts w:hint="eastAsia" w:ascii="Times New Roman" w:hAnsi="Times New Roman" w:eastAsia="宋体" w:cs="Times New Roman"/>
          <w:color w:val="auto"/>
          <w:spacing w:val="-5"/>
          <w:sz w:val="24"/>
          <w:szCs w:val="24"/>
          <w:lang w:eastAsia="zh-CN"/>
        </w:rPr>
        <w:t>（</w:t>
      </w:r>
      <w:r>
        <w:rPr>
          <w:rFonts w:hint="default" w:ascii="Times New Roman" w:hAnsi="Times New Roman" w:eastAsia="宋体" w:cs="Times New Roman"/>
          <w:color w:val="auto"/>
          <w:spacing w:val="-5"/>
          <w:sz w:val="24"/>
          <w:szCs w:val="24"/>
        </w:rPr>
        <w:t>中国环境科学出版社出版</w:t>
      </w:r>
      <w:r>
        <w:rPr>
          <w:rFonts w:hint="eastAsia" w:ascii="Times New Roman" w:hAnsi="Times New Roman" w:eastAsia="宋体" w:cs="Times New Roman"/>
          <w:color w:val="auto"/>
          <w:spacing w:val="-5"/>
          <w:sz w:val="24"/>
          <w:szCs w:val="24"/>
          <w:lang w:eastAsia="zh-CN"/>
        </w:rPr>
        <w:t>）；</w:t>
      </w:r>
      <w:r>
        <w:rPr>
          <w:rFonts w:hint="default" w:ascii="Times New Roman" w:hAnsi="Times New Roman" w:eastAsia="宋体" w:cs="Times New Roman"/>
          <w:color w:val="auto"/>
          <w:spacing w:val="-5"/>
          <w:sz w:val="24"/>
          <w:szCs w:val="24"/>
        </w:rPr>
        <w:t>液化气SO</w:t>
      </w:r>
      <w:r>
        <w:rPr>
          <w:rFonts w:hint="default" w:ascii="Times New Roman" w:hAnsi="Times New Roman" w:eastAsia="宋体" w:cs="Times New Roman"/>
          <w:color w:val="auto"/>
          <w:spacing w:val="-5"/>
          <w:sz w:val="24"/>
          <w:szCs w:val="24"/>
          <w:vertAlign w:val="subscript"/>
          <w:lang w:val="en-US" w:eastAsia="zh-CN"/>
        </w:rPr>
        <w:t>2</w:t>
      </w:r>
      <w:r>
        <w:rPr>
          <w:rFonts w:hint="default" w:ascii="Times New Roman" w:hAnsi="Times New Roman" w:eastAsia="宋体" w:cs="Times New Roman"/>
          <w:color w:val="auto"/>
          <w:spacing w:val="-5"/>
          <w:sz w:val="24"/>
          <w:szCs w:val="24"/>
        </w:rPr>
        <w:t>、NOx参照《</w:t>
      </w:r>
      <w:r>
        <w:rPr>
          <w:rFonts w:hint="eastAsia" w:ascii="Times New Roman" w:hAnsi="Times New Roman" w:eastAsia="宋体" w:cs="Times New Roman"/>
          <w:color w:val="auto"/>
          <w:spacing w:val="-5"/>
          <w:sz w:val="24"/>
          <w:szCs w:val="24"/>
          <w:lang w:val="en-US" w:eastAsia="zh-CN"/>
        </w:rPr>
        <w:t>排放源统计调查产排污核算方法和系数手册</w:t>
      </w:r>
      <w:r>
        <w:rPr>
          <w:rFonts w:hint="default" w:ascii="Times New Roman" w:hAnsi="Times New Roman" w:eastAsia="宋体" w:cs="Times New Roman"/>
          <w:color w:val="auto"/>
          <w:spacing w:val="-5"/>
          <w:sz w:val="24"/>
          <w:szCs w:val="24"/>
        </w:rPr>
        <w:t>》数据</w:t>
      </w:r>
      <w:r>
        <w:rPr>
          <w:rFonts w:hint="default" w:ascii="Times New Roman" w:hAnsi="Times New Roman" w:eastAsia="宋体" w:cs="Times New Roman"/>
          <w:color w:val="auto"/>
          <w:spacing w:val="-5"/>
          <w:sz w:val="24"/>
          <w:szCs w:val="24"/>
          <w:lang w:eastAsia="zh-CN"/>
        </w:rPr>
        <w:t>；</w:t>
      </w:r>
      <w:r>
        <w:rPr>
          <w:rFonts w:hint="eastAsia" w:eastAsia="宋体"/>
          <w:color w:val="auto"/>
          <w:lang w:val="en-US" w:eastAsia="zh-CN"/>
        </w:rPr>
        <w:t>烟尘</w:t>
      </w:r>
      <w:r>
        <w:rPr>
          <w:rFonts w:hint="default" w:ascii="Times New Roman" w:hAnsi="Times New Roman" w:eastAsia="宋体" w:cs="Times New Roman"/>
          <w:color w:val="auto"/>
          <w:spacing w:val="-5"/>
          <w:sz w:val="24"/>
          <w:szCs w:val="24"/>
        </w:rPr>
        <w:t>参照《生活污染源产排污系数手册》数据。</w:t>
      </w:r>
      <w:r>
        <w:rPr>
          <w:rFonts w:hint="default" w:ascii="Times New Roman" w:hAnsi="Times New Roman" w:eastAsia="宋体" w:cs="Times New Roman"/>
          <w:color w:val="auto"/>
          <w:spacing w:val="-4"/>
          <w:sz w:val="24"/>
          <w:szCs w:val="24"/>
        </w:rPr>
        <w:t>计算</w:t>
      </w:r>
      <w:r>
        <w:rPr>
          <w:rFonts w:hint="default" w:ascii="Times New Roman" w:hAnsi="Times New Roman" w:eastAsia="宋体" w:cs="Times New Roman"/>
          <w:color w:val="auto"/>
          <w:spacing w:val="-3"/>
          <w:sz w:val="24"/>
          <w:szCs w:val="24"/>
        </w:rPr>
        <w:t>见表6.5-2。</w:t>
      </w:r>
    </w:p>
    <w:p w14:paraId="20D40C63">
      <w:pPr>
        <w:keepNext w:val="0"/>
        <w:keepLines w:val="0"/>
        <w:pageBreakBefore w:val="0"/>
        <w:widowControl/>
        <w:kinsoku w:val="0"/>
        <w:wordWrap/>
        <w:overflowPunct/>
        <w:topLinePunct w:val="0"/>
        <w:autoSpaceDE w:val="0"/>
        <w:autoSpaceDN w:val="0"/>
        <w:bidi w:val="0"/>
        <w:adjustRightInd w:val="0"/>
        <w:snapToGrid w:val="0"/>
        <w:spacing w:before="38" w:line="240" w:lineRule="auto"/>
        <w:ind w:left="1979"/>
        <w:textAlignment w:val="baseline"/>
        <w:rPr>
          <w:rFonts w:ascii="宋体" w:hAnsi="宋体" w:eastAsia="宋体" w:cs="宋体"/>
          <w:color w:val="auto"/>
          <w:sz w:val="24"/>
          <w:szCs w:val="24"/>
        </w:rPr>
      </w:pPr>
      <w:r>
        <w:rPr>
          <w:rFonts w:ascii="宋体" w:hAnsi="宋体" w:eastAsia="宋体" w:cs="宋体"/>
          <w:b/>
          <w:bCs/>
          <w:color w:val="auto"/>
          <w:spacing w:val="-2"/>
          <w:sz w:val="24"/>
          <w:szCs w:val="24"/>
        </w:rPr>
        <w:t>表</w:t>
      </w:r>
      <w:r>
        <w:rPr>
          <w:rFonts w:ascii="Times New Roman" w:hAnsi="Times New Roman" w:eastAsia="Times New Roman" w:cs="Times New Roman"/>
          <w:b/>
          <w:bCs/>
          <w:color w:val="auto"/>
          <w:spacing w:val="-2"/>
          <w:sz w:val="24"/>
          <w:szCs w:val="24"/>
        </w:rPr>
        <w:t>6.5-2</w:t>
      </w:r>
      <w:r>
        <w:rPr>
          <w:rFonts w:hint="eastAsia" w:ascii="Times New Roman" w:hAnsi="Times New Roman" w:eastAsia="宋体" w:cs="Times New Roman"/>
          <w:b/>
          <w:bCs/>
          <w:color w:val="auto"/>
          <w:spacing w:val="-2"/>
          <w:sz w:val="24"/>
          <w:szCs w:val="24"/>
          <w:lang w:val="en-US" w:eastAsia="zh-CN"/>
        </w:rPr>
        <w:t xml:space="preserve">  </w:t>
      </w:r>
      <w:r>
        <w:rPr>
          <w:rFonts w:ascii="宋体" w:hAnsi="宋体" w:eastAsia="宋体" w:cs="宋体"/>
          <w:b/>
          <w:bCs/>
          <w:color w:val="auto"/>
          <w:spacing w:val="-2"/>
          <w:sz w:val="24"/>
          <w:szCs w:val="24"/>
        </w:rPr>
        <w:t>规划范围内生活废气计算统计表</w:t>
      </w:r>
      <w:bookmarkStart w:id="1835" w:name="pindex12675"/>
      <w:bookmarkEnd w:id="1835"/>
    </w:p>
    <w:tbl>
      <w:tblPr>
        <w:tblStyle w:val="26"/>
        <w:tblW w:w="8307" w:type="dxa"/>
        <w:tblInd w:w="28"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039"/>
        <w:gridCol w:w="1443"/>
        <w:gridCol w:w="1442"/>
        <w:gridCol w:w="1445"/>
        <w:gridCol w:w="1440"/>
        <w:gridCol w:w="1498"/>
      </w:tblGrid>
      <w:tr w14:paraId="3028806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039" w:type="dxa"/>
            <w:vMerge w:val="restart"/>
            <w:tcBorders>
              <w:tl2br w:val="nil"/>
              <w:tr2bl w:val="nil"/>
            </w:tcBorders>
            <w:vAlign w:val="center"/>
          </w:tcPr>
          <w:p w14:paraId="29DD9B35">
            <w:pPr>
              <w:pStyle w:val="27"/>
              <w:spacing w:before="68" w:line="221" w:lineRule="auto"/>
              <w:jc w:val="center"/>
              <w:rPr>
                <w:rFonts w:ascii="宋体" w:hAnsi="宋体" w:eastAsia="宋体" w:cs="宋体"/>
                <w:b/>
                <w:bCs/>
                <w:color w:val="auto"/>
                <w:spacing w:val="-2"/>
              </w:rPr>
            </w:pPr>
            <w:r>
              <w:rPr>
                <w:rFonts w:ascii="宋体" w:hAnsi="宋体" w:eastAsia="宋体" w:cs="宋体"/>
                <w:b/>
                <w:bCs/>
                <w:color w:val="auto"/>
                <w:spacing w:val="-2"/>
              </w:rPr>
              <w:t>能源类型</w:t>
            </w:r>
          </w:p>
        </w:tc>
        <w:tc>
          <w:tcPr>
            <w:tcW w:w="1443" w:type="dxa"/>
            <w:vMerge w:val="restart"/>
            <w:tcBorders>
              <w:tl2br w:val="nil"/>
              <w:tr2bl w:val="nil"/>
            </w:tcBorders>
            <w:vAlign w:val="center"/>
          </w:tcPr>
          <w:p w14:paraId="4DE99FEE">
            <w:pPr>
              <w:pStyle w:val="27"/>
              <w:spacing w:before="68" w:line="221" w:lineRule="auto"/>
              <w:jc w:val="center"/>
              <w:rPr>
                <w:rFonts w:ascii="宋体" w:hAnsi="宋体" w:eastAsia="宋体" w:cs="宋体"/>
                <w:b/>
                <w:bCs/>
                <w:color w:val="auto"/>
                <w:spacing w:val="-2"/>
              </w:rPr>
            </w:pPr>
            <w:r>
              <w:rPr>
                <w:rFonts w:ascii="宋体" w:hAnsi="宋体" w:eastAsia="宋体" w:cs="宋体"/>
                <w:b/>
                <w:bCs/>
                <w:color w:val="auto"/>
                <w:spacing w:val="-2"/>
              </w:rPr>
              <w:t>污染物名称</w:t>
            </w:r>
          </w:p>
        </w:tc>
        <w:tc>
          <w:tcPr>
            <w:tcW w:w="2887" w:type="dxa"/>
            <w:gridSpan w:val="2"/>
            <w:tcBorders>
              <w:tl2br w:val="nil"/>
              <w:tr2bl w:val="nil"/>
            </w:tcBorders>
            <w:vAlign w:val="center"/>
          </w:tcPr>
          <w:p w14:paraId="37E0E1CE">
            <w:pPr>
              <w:pStyle w:val="27"/>
              <w:spacing w:before="33" w:line="208" w:lineRule="auto"/>
              <w:jc w:val="center"/>
              <w:rPr>
                <w:color w:val="auto"/>
              </w:rPr>
            </w:pPr>
            <w:r>
              <w:rPr>
                <w:b/>
                <w:bCs/>
                <w:color w:val="auto"/>
                <w:spacing w:val="-3"/>
              </w:rPr>
              <w:t>产污系数</w:t>
            </w:r>
          </w:p>
        </w:tc>
        <w:tc>
          <w:tcPr>
            <w:tcW w:w="2938" w:type="dxa"/>
            <w:gridSpan w:val="2"/>
            <w:tcBorders>
              <w:tl2br w:val="nil"/>
              <w:tr2bl w:val="nil"/>
            </w:tcBorders>
            <w:vAlign w:val="center"/>
          </w:tcPr>
          <w:p w14:paraId="26EAA7FA">
            <w:pPr>
              <w:pStyle w:val="27"/>
              <w:spacing w:before="33" w:line="208" w:lineRule="auto"/>
              <w:jc w:val="center"/>
              <w:rPr>
                <w:color w:val="auto"/>
              </w:rPr>
            </w:pPr>
            <w:r>
              <w:rPr>
                <w:b/>
                <w:bCs/>
                <w:color w:val="auto"/>
                <w:spacing w:val="-3"/>
              </w:rPr>
              <w:t>现状产生量</w:t>
            </w:r>
          </w:p>
        </w:tc>
      </w:tr>
      <w:tr w14:paraId="27C978A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1039" w:type="dxa"/>
            <w:vMerge w:val="continue"/>
            <w:tcBorders>
              <w:tl2br w:val="nil"/>
              <w:tr2bl w:val="nil"/>
            </w:tcBorders>
            <w:vAlign w:val="center"/>
          </w:tcPr>
          <w:p w14:paraId="145ECE0C">
            <w:pPr>
              <w:jc w:val="center"/>
              <w:rPr>
                <w:rFonts w:ascii="Arial"/>
                <w:color w:val="auto"/>
                <w:sz w:val="21"/>
              </w:rPr>
            </w:pPr>
          </w:p>
        </w:tc>
        <w:tc>
          <w:tcPr>
            <w:tcW w:w="1443" w:type="dxa"/>
            <w:vMerge w:val="continue"/>
            <w:tcBorders>
              <w:tl2br w:val="nil"/>
              <w:tr2bl w:val="nil"/>
            </w:tcBorders>
            <w:vAlign w:val="center"/>
          </w:tcPr>
          <w:p w14:paraId="5D25FC0A">
            <w:pPr>
              <w:jc w:val="center"/>
              <w:rPr>
                <w:rFonts w:ascii="Arial"/>
                <w:color w:val="auto"/>
                <w:sz w:val="21"/>
              </w:rPr>
            </w:pPr>
          </w:p>
        </w:tc>
        <w:tc>
          <w:tcPr>
            <w:tcW w:w="1442" w:type="dxa"/>
            <w:tcBorders>
              <w:tl2br w:val="nil"/>
              <w:tr2bl w:val="nil"/>
            </w:tcBorders>
            <w:vAlign w:val="center"/>
          </w:tcPr>
          <w:p w14:paraId="0381EE2E">
            <w:pPr>
              <w:pStyle w:val="27"/>
              <w:spacing w:before="51" w:line="206" w:lineRule="auto"/>
              <w:jc w:val="center"/>
              <w:rPr>
                <w:color w:val="auto"/>
              </w:rPr>
            </w:pPr>
            <w:r>
              <w:rPr>
                <w:b/>
                <w:bCs/>
                <w:color w:val="auto"/>
                <w:spacing w:val="-5"/>
              </w:rPr>
              <w:t>数值</w:t>
            </w:r>
          </w:p>
        </w:tc>
        <w:tc>
          <w:tcPr>
            <w:tcW w:w="1445" w:type="dxa"/>
            <w:tcBorders>
              <w:tl2br w:val="nil"/>
              <w:tr2bl w:val="nil"/>
            </w:tcBorders>
            <w:vAlign w:val="center"/>
          </w:tcPr>
          <w:p w14:paraId="6069D42A">
            <w:pPr>
              <w:pStyle w:val="27"/>
              <w:spacing w:before="51" w:line="206" w:lineRule="auto"/>
              <w:jc w:val="center"/>
              <w:rPr>
                <w:color w:val="auto"/>
              </w:rPr>
            </w:pPr>
            <w:r>
              <w:rPr>
                <w:b/>
                <w:bCs/>
                <w:color w:val="auto"/>
                <w:spacing w:val="-5"/>
              </w:rPr>
              <w:t>单位</w:t>
            </w:r>
          </w:p>
        </w:tc>
        <w:tc>
          <w:tcPr>
            <w:tcW w:w="1440" w:type="dxa"/>
            <w:tcBorders>
              <w:tl2br w:val="nil"/>
              <w:tr2bl w:val="nil"/>
            </w:tcBorders>
            <w:vAlign w:val="center"/>
          </w:tcPr>
          <w:p w14:paraId="6D5615D0">
            <w:pPr>
              <w:pStyle w:val="27"/>
              <w:spacing w:before="51" w:line="206" w:lineRule="auto"/>
              <w:jc w:val="center"/>
              <w:rPr>
                <w:color w:val="auto"/>
              </w:rPr>
            </w:pPr>
            <w:r>
              <w:rPr>
                <w:b/>
                <w:bCs/>
                <w:color w:val="auto"/>
                <w:spacing w:val="-5"/>
              </w:rPr>
              <w:t>数值</w:t>
            </w:r>
          </w:p>
        </w:tc>
        <w:tc>
          <w:tcPr>
            <w:tcW w:w="1498" w:type="dxa"/>
            <w:tcBorders>
              <w:tl2br w:val="nil"/>
              <w:tr2bl w:val="nil"/>
            </w:tcBorders>
            <w:vAlign w:val="center"/>
          </w:tcPr>
          <w:p w14:paraId="36383D04">
            <w:pPr>
              <w:pStyle w:val="27"/>
              <w:spacing w:before="51" w:line="206" w:lineRule="auto"/>
              <w:jc w:val="center"/>
              <w:rPr>
                <w:color w:val="auto"/>
              </w:rPr>
            </w:pPr>
            <w:r>
              <w:rPr>
                <w:b/>
                <w:bCs/>
                <w:color w:val="auto"/>
                <w:spacing w:val="-5"/>
              </w:rPr>
              <w:t>单位</w:t>
            </w:r>
          </w:p>
        </w:tc>
      </w:tr>
      <w:tr w14:paraId="3DF8F9B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039" w:type="dxa"/>
            <w:vMerge w:val="restart"/>
            <w:tcBorders>
              <w:tl2br w:val="nil"/>
              <w:tr2bl w:val="nil"/>
            </w:tcBorders>
            <w:vAlign w:val="center"/>
          </w:tcPr>
          <w:p w14:paraId="0264959D">
            <w:pPr>
              <w:pStyle w:val="27"/>
              <w:spacing w:before="68" w:line="221" w:lineRule="auto"/>
              <w:jc w:val="center"/>
              <w:rPr>
                <w:color w:val="auto"/>
              </w:rPr>
            </w:pPr>
            <w:r>
              <w:rPr>
                <w:color w:val="auto"/>
                <w:spacing w:val="-2"/>
              </w:rPr>
              <w:t>天然气</w:t>
            </w:r>
          </w:p>
        </w:tc>
        <w:tc>
          <w:tcPr>
            <w:tcW w:w="1443" w:type="dxa"/>
            <w:tcBorders>
              <w:tl2br w:val="nil"/>
              <w:tr2bl w:val="nil"/>
            </w:tcBorders>
            <w:vAlign w:val="center"/>
          </w:tcPr>
          <w:p w14:paraId="64FC03E7">
            <w:pPr>
              <w:pStyle w:val="27"/>
              <w:spacing w:before="33" w:line="203" w:lineRule="auto"/>
              <w:jc w:val="center"/>
              <w:rPr>
                <w:color w:val="auto"/>
              </w:rPr>
            </w:pPr>
            <w:r>
              <w:rPr>
                <w:color w:val="auto"/>
                <w:spacing w:val="-1"/>
              </w:rPr>
              <w:t>废气量</w:t>
            </w:r>
          </w:p>
        </w:tc>
        <w:tc>
          <w:tcPr>
            <w:tcW w:w="1442" w:type="dxa"/>
            <w:tcBorders>
              <w:tl2br w:val="nil"/>
              <w:tr2bl w:val="nil"/>
            </w:tcBorders>
            <w:vAlign w:val="center"/>
          </w:tcPr>
          <w:p w14:paraId="7932EAC5">
            <w:pPr>
              <w:spacing w:before="72" w:line="187"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107753</w:t>
            </w:r>
          </w:p>
        </w:tc>
        <w:tc>
          <w:tcPr>
            <w:tcW w:w="1445" w:type="dxa"/>
            <w:tcBorders>
              <w:tl2br w:val="nil"/>
              <w:tr2bl w:val="nil"/>
            </w:tcBorders>
            <w:vAlign w:val="center"/>
          </w:tcPr>
          <w:p w14:paraId="321A10B1">
            <w:pPr>
              <w:pStyle w:val="27"/>
              <w:spacing w:before="33" w:line="203" w:lineRule="auto"/>
              <w:jc w:val="center"/>
              <w:rPr>
                <w:rFonts w:ascii="Times New Roman" w:hAnsi="Times New Roman" w:eastAsia="Times New Roman" w:cs="Times New Roman"/>
                <w:color w:val="auto"/>
                <w:sz w:val="13"/>
                <w:szCs w:val="13"/>
              </w:rPr>
            </w:pPr>
            <w:r>
              <w:rPr>
                <w:rFonts w:ascii="Times New Roman" w:hAnsi="Times New Roman" w:eastAsia="Times New Roman" w:cs="Times New Roman"/>
                <w:color w:val="auto"/>
              </w:rPr>
              <w:t>Nm</w:t>
            </w:r>
            <w:r>
              <w:rPr>
                <w:rFonts w:ascii="Times New Roman" w:hAnsi="Times New Roman" w:eastAsia="Times New Roman" w:cs="Times New Roman"/>
                <w:color w:val="auto"/>
                <w:spacing w:val="2"/>
                <w:position w:val="6"/>
                <w:sz w:val="13"/>
                <w:szCs w:val="13"/>
              </w:rPr>
              <w:t>3</w:t>
            </w:r>
            <w:r>
              <w:rPr>
                <w:rFonts w:ascii="Times New Roman" w:hAnsi="Times New Roman" w:eastAsia="Times New Roman" w:cs="Times New Roman"/>
                <w:color w:val="auto"/>
                <w:spacing w:val="2"/>
              </w:rPr>
              <w:t>/</w:t>
            </w:r>
            <w:r>
              <w:rPr>
                <w:color w:val="auto"/>
                <w:spacing w:val="2"/>
              </w:rPr>
              <w:t>万</w:t>
            </w:r>
            <w:r>
              <w:rPr>
                <w:rFonts w:ascii="Times New Roman" w:hAnsi="Times New Roman" w:eastAsia="Times New Roman" w:cs="Times New Roman"/>
                <w:color w:val="auto"/>
                <w:spacing w:val="2"/>
              </w:rPr>
              <w:t>m</w:t>
            </w:r>
            <w:r>
              <w:rPr>
                <w:rFonts w:ascii="Times New Roman" w:hAnsi="Times New Roman" w:eastAsia="Times New Roman" w:cs="Times New Roman"/>
                <w:color w:val="auto"/>
                <w:spacing w:val="2"/>
                <w:position w:val="6"/>
                <w:sz w:val="13"/>
                <w:szCs w:val="13"/>
              </w:rPr>
              <w:t>3</w:t>
            </w:r>
          </w:p>
        </w:tc>
        <w:tc>
          <w:tcPr>
            <w:tcW w:w="1440" w:type="dxa"/>
            <w:tcBorders>
              <w:tl2br w:val="nil"/>
              <w:tr2bl w:val="nil"/>
            </w:tcBorders>
            <w:vAlign w:val="center"/>
          </w:tcPr>
          <w:p w14:paraId="6A75F140">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38360.068</w:t>
            </w:r>
          </w:p>
        </w:tc>
        <w:tc>
          <w:tcPr>
            <w:tcW w:w="1498" w:type="dxa"/>
            <w:tcBorders>
              <w:tl2br w:val="nil"/>
              <w:tr2bl w:val="nil"/>
            </w:tcBorders>
            <w:vAlign w:val="center"/>
          </w:tcPr>
          <w:p w14:paraId="73874FAA">
            <w:pPr>
              <w:pStyle w:val="27"/>
              <w:spacing w:before="33" w:line="203" w:lineRule="auto"/>
              <w:jc w:val="center"/>
              <w:rPr>
                <w:rFonts w:ascii="Times New Roman" w:hAnsi="Times New Roman" w:eastAsia="Times New Roman" w:cs="Times New Roman"/>
                <w:color w:val="auto"/>
              </w:rPr>
            </w:pPr>
            <w:r>
              <w:rPr>
                <w:color w:val="auto"/>
                <w:spacing w:val="-1"/>
              </w:rPr>
              <w:t>万</w:t>
            </w:r>
            <w:r>
              <w:rPr>
                <w:rFonts w:ascii="Times New Roman" w:hAnsi="Times New Roman" w:eastAsia="Times New Roman" w:cs="Times New Roman"/>
                <w:color w:val="auto"/>
                <w:spacing w:val="-1"/>
              </w:rPr>
              <w:t>Nm</w:t>
            </w:r>
            <w:r>
              <w:rPr>
                <w:rFonts w:ascii="Times New Roman" w:hAnsi="Times New Roman" w:eastAsia="Times New Roman" w:cs="Times New Roman"/>
                <w:color w:val="auto"/>
                <w:spacing w:val="-1"/>
                <w:position w:val="6"/>
                <w:sz w:val="13"/>
                <w:szCs w:val="13"/>
              </w:rPr>
              <w:t>3</w:t>
            </w:r>
            <w:r>
              <w:rPr>
                <w:rFonts w:ascii="Times New Roman" w:hAnsi="Times New Roman" w:eastAsia="Times New Roman" w:cs="Times New Roman"/>
                <w:color w:val="auto"/>
                <w:spacing w:val="-1"/>
              </w:rPr>
              <w:t>/a</w:t>
            </w:r>
          </w:p>
        </w:tc>
      </w:tr>
      <w:tr w14:paraId="03AEE40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039" w:type="dxa"/>
            <w:vMerge w:val="continue"/>
            <w:tcBorders>
              <w:tl2br w:val="nil"/>
              <w:tr2bl w:val="nil"/>
            </w:tcBorders>
            <w:vAlign w:val="center"/>
          </w:tcPr>
          <w:p w14:paraId="66D1254E">
            <w:pPr>
              <w:jc w:val="center"/>
              <w:rPr>
                <w:rFonts w:ascii="Arial"/>
                <w:color w:val="auto"/>
                <w:sz w:val="21"/>
              </w:rPr>
            </w:pPr>
          </w:p>
        </w:tc>
        <w:tc>
          <w:tcPr>
            <w:tcW w:w="1443" w:type="dxa"/>
            <w:tcBorders>
              <w:tl2br w:val="nil"/>
              <w:tr2bl w:val="nil"/>
            </w:tcBorders>
            <w:vAlign w:val="center"/>
          </w:tcPr>
          <w:p w14:paraId="3890DD78">
            <w:pPr>
              <w:pStyle w:val="27"/>
              <w:spacing w:before="35" w:line="203" w:lineRule="auto"/>
              <w:jc w:val="center"/>
              <w:rPr>
                <w:color w:val="auto"/>
                <w:highlight w:val="none"/>
              </w:rPr>
            </w:pPr>
            <w:r>
              <w:rPr>
                <w:color w:val="auto"/>
                <w:spacing w:val="-2"/>
                <w:highlight w:val="none"/>
              </w:rPr>
              <w:t>烟尘</w:t>
            </w:r>
          </w:p>
        </w:tc>
        <w:tc>
          <w:tcPr>
            <w:tcW w:w="1442" w:type="dxa"/>
            <w:tcBorders>
              <w:tl2br w:val="nil"/>
              <w:tr2bl w:val="nil"/>
            </w:tcBorders>
            <w:vAlign w:val="center"/>
          </w:tcPr>
          <w:p w14:paraId="2B908E9B">
            <w:pPr>
              <w:spacing w:before="71" w:line="189"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w:t>
            </w:r>
          </w:p>
        </w:tc>
        <w:tc>
          <w:tcPr>
            <w:tcW w:w="1445" w:type="dxa"/>
            <w:tcBorders>
              <w:tl2br w:val="nil"/>
              <w:tr2bl w:val="nil"/>
            </w:tcBorders>
            <w:vAlign w:val="center"/>
          </w:tcPr>
          <w:p w14:paraId="4DA842C4">
            <w:pPr>
              <w:pStyle w:val="27"/>
              <w:spacing w:before="35" w:line="203" w:lineRule="auto"/>
              <w:jc w:val="center"/>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highlight w:val="none"/>
              </w:rPr>
              <w:t>kg/</w:t>
            </w:r>
            <w:r>
              <w:rPr>
                <w:color w:val="auto"/>
                <w:highlight w:val="none"/>
              </w:rPr>
              <w:t>万</w:t>
            </w:r>
            <w:r>
              <w:rPr>
                <w:rFonts w:ascii="Times New Roman" w:hAnsi="Times New Roman" w:eastAsia="Times New Roman" w:cs="Times New Roman"/>
                <w:color w:val="auto"/>
                <w:highlight w:val="none"/>
              </w:rPr>
              <w:t>m</w:t>
            </w:r>
            <w:r>
              <w:rPr>
                <w:rFonts w:ascii="Times New Roman" w:hAnsi="Times New Roman" w:eastAsia="Times New Roman" w:cs="Times New Roman"/>
                <w:color w:val="auto"/>
                <w:position w:val="6"/>
                <w:sz w:val="13"/>
                <w:szCs w:val="13"/>
                <w:highlight w:val="none"/>
              </w:rPr>
              <w:t>3</w:t>
            </w:r>
          </w:p>
        </w:tc>
        <w:tc>
          <w:tcPr>
            <w:tcW w:w="1440" w:type="dxa"/>
            <w:tcBorders>
              <w:tl2br w:val="nil"/>
              <w:tr2bl w:val="nil"/>
            </w:tcBorders>
            <w:vAlign w:val="center"/>
          </w:tcPr>
          <w:p w14:paraId="63054B15">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4.984</w:t>
            </w:r>
          </w:p>
        </w:tc>
        <w:tc>
          <w:tcPr>
            <w:tcW w:w="1498" w:type="dxa"/>
            <w:tcBorders>
              <w:tl2br w:val="nil"/>
              <w:tr2bl w:val="nil"/>
            </w:tcBorders>
            <w:vAlign w:val="center"/>
          </w:tcPr>
          <w:p w14:paraId="5247C00F">
            <w:pPr>
              <w:spacing w:before="70" w:line="194"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t/a</w:t>
            </w:r>
          </w:p>
        </w:tc>
      </w:tr>
      <w:tr w14:paraId="5730B04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1" w:hRule="atLeast"/>
        </w:trPr>
        <w:tc>
          <w:tcPr>
            <w:tcW w:w="1039" w:type="dxa"/>
            <w:vMerge w:val="continue"/>
            <w:tcBorders>
              <w:tl2br w:val="nil"/>
              <w:tr2bl w:val="nil"/>
            </w:tcBorders>
            <w:vAlign w:val="center"/>
          </w:tcPr>
          <w:p w14:paraId="3306D664">
            <w:pPr>
              <w:jc w:val="center"/>
              <w:rPr>
                <w:rFonts w:ascii="Arial"/>
                <w:color w:val="auto"/>
                <w:sz w:val="21"/>
              </w:rPr>
            </w:pPr>
          </w:p>
        </w:tc>
        <w:tc>
          <w:tcPr>
            <w:tcW w:w="1443" w:type="dxa"/>
            <w:tcBorders>
              <w:tl2br w:val="nil"/>
              <w:tr2bl w:val="nil"/>
            </w:tcBorders>
            <w:vAlign w:val="center"/>
          </w:tcPr>
          <w:p w14:paraId="562B4BF8">
            <w:pPr>
              <w:spacing w:before="75" w:line="187" w:lineRule="auto"/>
              <w:jc w:val="center"/>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2"/>
                <w:sz w:val="21"/>
                <w:szCs w:val="21"/>
                <w:highlight w:val="none"/>
              </w:rPr>
              <w:t>SO</w:t>
            </w:r>
            <w:r>
              <w:rPr>
                <w:rFonts w:ascii="Times New Roman" w:hAnsi="Times New Roman" w:eastAsia="Times New Roman" w:cs="Times New Roman"/>
                <w:color w:val="auto"/>
                <w:spacing w:val="-2"/>
                <w:position w:val="-1"/>
                <w:sz w:val="13"/>
                <w:szCs w:val="13"/>
                <w:highlight w:val="none"/>
              </w:rPr>
              <w:t>2</w:t>
            </w:r>
          </w:p>
        </w:tc>
        <w:tc>
          <w:tcPr>
            <w:tcW w:w="1442" w:type="dxa"/>
            <w:tcBorders>
              <w:tl2br w:val="nil"/>
              <w:tr2bl w:val="nil"/>
            </w:tcBorders>
            <w:vAlign w:val="center"/>
          </w:tcPr>
          <w:p w14:paraId="16D16733">
            <w:pPr>
              <w:spacing w:before="73" w:line="189"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0.02S（取S=100）</w:t>
            </w:r>
          </w:p>
        </w:tc>
        <w:tc>
          <w:tcPr>
            <w:tcW w:w="1445" w:type="dxa"/>
            <w:tcBorders>
              <w:tl2br w:val="nil"/>
              <w:tr2bl w:val="nil"/>
            </w:tcBorders>
            <w:vAlign w:val="center"/>
          </w:tcPr>
          <w:p w14:paraId="3ED0C731">
            <w:pPr>
              <w:pStyle w:val="27"/>
              <w:spacing w:before="37" w:line="199" w:lineRule="auto"/>
              <w:jc w:val="center"/>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highlight w:val="none"/>
              </w:rPr>
              <w:t>kg/</w:t>
            </w:r>
            <w:r>
              <w:rPr>
                <w:color w:val="auto"/>
                <w:highlight w:val="none"/>
              </w:rPr>
              <w:t>万</w:t>
            </w:r>
            <w:r>
              <w:rPr>
                <w:rFonts w:ascii="Times New Roman" w:hAnsi="Times New Roman" w:eastAsia="Times New Roman" w:cs="Times New Roman"/>
                <w:color w:val="auto"/>
                <w:highlight w:val="none"/>
              </w:rPr>
              <w:t>m</w:t>
            </w:r>
            <w:r>
              <w:rPr>
                <w:rFonts w:ascii="Times New Roman" w:hAnsi="Times New Roman" w:eastAsia="Times New Roman" w:cs="Times New Roman"/>
                <w:color w:val="auto"/>
                <w:position w:val="6"/>
                <w:sz w:val="13"/>
                <w:szCs w:val="13"/>
                <w:highlight w:val="none"/>
              </w:rPr>
              <w:t>3</w:t>
            </w:r>
          </w:p>
        </w:tc>
        <w:tc>
          <w:tcPr>
            <w:tcW w:w="1440" w:type="dxa"/>
            <w:tcBorders>
              <w:tl2br w:val="nil"/>
              <w:tr2bl w:val="nil"/>
            </w:tcBorders>
            <w:vAlign w:val="center"/>
          </w:tcPr>
          <w:p w14:paraId="18D5DEAB">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7.12</w:t>
            </w:r>
          </w:p>
        </w:tc>
        <w:tc>
          <w:tcPr>
            <w:tcW w:w="1498" w:type="dxa"/>
            <w:tcBorders>
              <w:tl2br w:val="nil"/>
              <w:tr2bl w:val="nil"/>
            </w:tcBorders>
            <w:vAlign w:val="center"/>
          </w:tcPr>
          <w:p w14:paraId="35A5DC93">
            <w:pPr>
              <w:spacing w:before="72" w:line="190"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t/a</w:t>
            </w:r>
          </w:p>
        </w:tc>
      </w:tr>
      <w:tr w14:paraId="51D9AF9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039" w:type="dxa"/>
            <w:vMerge w:val="continue"/>
            <w:tcBorders>
              <w:tl2br w:val="nil"/>
              <w:tr2bl w:val="nil"/>
            </w:tcBorders>
            <w:vAlign w:val="center"/>
          </w:tcPr>
          <w:p w14:paraId="397C052B">
            <w:pPr>
              <w:jc w:val="center"/>
              <w:rPr>
                <w:rFonts w:ascii="Arial"/>
                <w:color w:val="auto"/>
                <w:sz w:val="21"/>
              </w:rPr>
            </w:pPr>
          </w:p>
        </w:tc>
        <w:tc>
          <w:tcPr>
            <w:tcW w:w="1443" w:type="dxa"/>
            <w:tcBorders>
              <w:tl2br w:val="nil"/>
              <w:tr2bl w:val="nil"/>
            </w:tcBorders>
            <w:vAlign w:val="center"/>
          </w:tcPr>
          <w:p w14:paraId="0DE745A1">
            <w:pPr>
              <w:spacing w:before="79" w:line="185" w:lineRule="auto"/>
              <w:jc w:val="center"/>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3"/>
                <w:sz w:val="21"/>
                <w:szCs w:val="21"/>
                <w:highlight w:val="none"/>
              </w:rPr>
              <w:t>NO</w:t>
            </w:r>
            <w:r>
              <w:rPr>
                <w:rFonts w:ascii="Times New Roman" w:hAnsi="Times New Roman" w:eastAsia="Times New Roman" w:cs="Times New Roman"/>
                <w:color w:val="auto"/>
                <w:spacing w:val="3"/>
                <w:position w:val="-1"/>
                <w:sz w:val="13"/>
                <w:szCs w:val="13"/>
                <w:highlight w:val="none"/>
              </w:rPr>
              <w:t>X</w:t>
            </w:r>
          </w:p>
        </w:tc>
        <w:tc>
          <w:tcPr>
            <w:tcW w:w="1442" w:type="dxa"/>
            <w:tcBorders>
              <w:tl2br w:val="nil"/>
              <w:tr2bl w:val="nil"/>
            </w:tcBorders>
            <w:vAlign w:val="center"/>
          </w:tcPr>
          <w:p w14:paraId="6AC7C3B9">
            <w:pPr>
              <w:spacing w:before="77" w:line="187"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15.87</w:t>
            </w:r>
          </w:p>
        </w:tc>
        <w:tc>
          <w:tcPr>
            <w:tcW w:w="1445" w:type="dxa"/>
            <w:tcBorders>
              <w:tl2br w:val="nil"/>
              <w:tr2bl w:val="nil"/>
            </w:tcBorders>
            <w:vAlign w:val="center"/>
          </w:tcPr>
          <w:p w14:paraId="0402EA36">
            <w:pPr>
              <w:pStyle w:val="27"/>
              <w:spacing w:before="41" w:line="197" w:lineRule="auto"/>
              <w:jc w:val="center"/>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highlight w:val="none"/>
              </w:rPr>
              <w:t>kg/</w:t>
            </w:r>
            <w:r>
              <w:rPr>
                <w:color w:val="auto"/>
                <w:highlight w:val="none"/>
              </w:rPr>
              <w:t>万</w:t>
            </w:r>
            <w:r>
              <w:rPr>
                <w:rFonts w:ascii="Times New Roman" w:hAnsi="Times New Roman" w:eastAsia="Times New Roman" w:cs="Times New Roman"/>
                <w:color w:val="auto"/>
                <w:highlight w:val="none"/>
              </w:rPr>
              <w:t>m</w:t>
            </w:r>
            <w:r>
              <w:rPr>
                <w:rFonts w:ascii="Times New Roman" w:hAnsi="Times New Roman" w:eastAsia="Times New Roman" w:cs="Times New Roman"/>
                <w:color w:val="auto"/>
                <w:position w:val="6"/>
                <w:sz w:val="13"/>
                <w:szCs w:val="13"/>
                <w:highlight w:val="none"/>
              </w:rPr>
              <w:t>3</w:t>
            </w:r>
          </w:p>
        </w:tc>
        <w:tc>
          <w:tcPr>
            <w:tcW w:w="1440" w:type="dxa"/>
            <w:tcBorders>
              <w:tl2br w:val="nil"/>
              <w:tr2bl w:val="nil"/>
            </w:tcBorders>
            <w:vAlign w:val="center"/>
          </w:tcPr>
          <w:p w14:paraId="6B04C549">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56.4972</w:t>
            </w:r>
          </w:p>
        </w:tc>
        <w:tc>
          <w:tcPr>
            <w:tcW w:w="1498" w:type="dxa"/>
            <w:tcBorders>
              <w:tl2br w:val="nil"/>
              <w:tr2bl w:val="nil"/>
            </w:tcBorders>
            <w:vAlign w:val="center"/>
          </w:tcPr>
          <w:p w14:paraId="22419454">
            <w:pPr>
              <w:spacing w:before="76" w:line="188"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t/a</w:t>
            </w:r>
          </w:p>
        </w:tc>
      </w:tr>
      <w:tr w14:paraId="67B4BAF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039" w:type="dxa"/>
            <w:vMerge w:val="restart"/>
            <w:tcBorders>
              <w:tl2br w:val="nil"/>
              <w:tr2bl w:val="nil"/>
            </w:tcBorders>
            <w:vAlign w:val="center"/>
          </w:tcPr>
          <w:p w14:paraId="2085F84A">
            <w:pPr>
              <w:pStyle w:val="27"/>
              <w:spacing w:before="68" w:line="221" w:lineRule="auto"/>
              <w:jc w:val="center"/>
              <w:rPr>
                <w:color w:val="auto"/>
              </w:rPr>
            </w:pPr>
            <w:r>
              <w:rPr>
                <w:color w:val="auto"/>
                <w:spacing w:val="-2"/>
              </w:rPr>
              <w:t>液化气</w:t>
            </w:r>
          </w:p>
        </w:tc>
        <w:tc>
          <w:tcPr>
            <w:tcW w:w="1443" w:type="dxa"/>
            <w:tcBorders>
              <w:tl2br w:val="nil"/>
              <w:tr2bl w:val="nil"/>
            </w:tcBorders>
            <w:shd w:val="clear" w:color="auto" w:fill="auto"/>
            <w:vAlign w:val="center"/>
          </w:tcPr>
          <w:p w14:paraId="65F48007">
            <w:pPr>
              <w:pStyle w:val="27"/>
              <w:spacing w:before="43" w:line="194" w:lineRule="auto"/>
              <w:jc w:val="center"/>
              <w:rPr>
                <w:rFonts w:ascii="宋体" w:hAnsi="宋体" w:eastAsia="宋体" w:cs="宋体"/>
                <w:snapToGrid w:val="0"/>
                <w:color w:val="auto"/>
                <w:kern w:val="0"/>
                <w:sz w:val="21"/>
                <w:szCs w:val="21"/>
                <w:lang w:val="en-US" w:eastAsia="en-US" w:bidi="ar-SA"/>
              </w:rPr>
            </w:pPr>
            <w:r>
              <w:rPr>
                <w:color w:val="auto"/>
                <w:spacing w:val="-2"/>
              </w:rPr>
              <w:t>烟尘</w:t>
            </w:r>
          </w:p>
        </w:tc>
        <w:tc>
          <w:tcPr>
            <w:tcW w:w="1442" w:type="dxa"/>
            <w:tcBorders>
              <w:tl2br w:val="nil"/>
              <w:tr2bl w:val="nil"/>
            </w:tcBorders>
            <w:shd w:val="clear" w:color="auto" w:fill="auto"/>
            <w:vAlign w:val="center"/>
          </w:tcPr>
          <w:p w14:paraId="2AC761B7">
            <w:pPr>
              <w:spacing w:before="82" w:line="180" w:lineRule="auto"/>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1.1</w:t>
            </w:r>
          </w:p>
        </w:tc>
        <w:tc>
          <w:tcPr>
            <w:tcW w:w="1445" w:type="dxa"/>
            <w:tcBorders>
              <w:tl2br w:val="nil"/>
              <w:tr2bl w:val="nil"/>
            </w:tcBorders>
            <w:shd w:val="clear" w:color="auto" w:fill="auto"/>
            <w:vAlign w:val="center"/>
          </w:tcPr>
          <w:p w14:paraId="715EC5DE">
            <w:pPr>
              <w:spacing w:before="78" w:line="184" w:lineRule="auto"/>
              <w:jc w:val="center"/>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color w:val="auto"/>
                <w:highlight w:val="none"/>
              </w:rPr>
              <w:t>kg/</w:t>
            </w:r>
            <w:r>
              <w:rPr>
                <w:color w:val="auto"/>
                <w:highlight w:val="none"/>
              </w:rPr>
              <w:t>万</w:t>
            </w:r>
            <w:r>
              <w:rPr>
                <w:rFonts w:ascii="Times New Roman" w:hAnsi="Times New Roman" w:eastAsia="Times New Roman" w:cs="Times New Roman"/>
                <w:color w:val="auto"/>
                <w:highlight w:val="none"/>
              </w:rPr>
              <w:t>m</w:t>
            </w:r>
            <w:r>
              <w:rPr>
                <w:rFonts w:ascii="Times New Roman" w:hAnsi="Times New Roman" w:eastAsia="Times New Roman" w:cs="Times New Roman"/>
                <w:color w:val="auto"/>
                <w:position w:val="6"/>
                <w:sz w:val="13"/>
                <w:szCs w:val="13"/>
                <w:highlight w:val="none"/>
              </w:rPr>
              <w:t>3</w:t>
            </w:r>
          </w:p>
        </w:tc>
        <w:tc>
          <w:tcPr>
            <w:tcW w:w="1440" w:type="dxa"/>
            <w:tcBorders>
              <w:tl2br w:val="nil"/>
              <w:tr2bl w:val="nil"/>
            </w:tcBorders>
            <w:shd w:val="clear" w:color="auto" w:fill="auto"/>
            <w:vAlign w:val="center"/>
          </w:tcPr>
          <w:p w14:paraId="676122C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0.00308</w:t>
            </w:r>
          </w:p>
        </w:tc>
        <w:tc>
          <w:tcPr>
            <w:tcW w:w="1498" w:type="dxa"/>
            <w:tcBorders>
              <w:tl2br w:val="nil"/>
              <w:tr2bl w:val="nil"/>
            </w:tcBorders>
            <w:shd w:val="clear" w:color="auto" w:fill="auto"/>
            <w:vAlign w:val="center"/>
          </w:tcPr>
          <w:p w14:paraId="24987DEF">
            <w:pPr>
              <w:spacing w:before="78" w:line="184" w:lineRule="auto"/>
              <w:jc w:val="center"/>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color w:val="auto"/>
                <w:spacing w:val="-1"/>
                <w:sz w:val="21"/>
                <w:szCs w:val="21"/>
              </w:rPr>
              <w:t>t/a</w:t>
            </w:r>
          </w:p>
        </w:tc>
      </w:tr>
      <w:tr w14:paraId="4C10138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039" w:type="dxa"/>
            <w:vMerge w:val="continue"/>
            <w:tcBorders>
              <w:tl2br w:val="nil"/>
              <w:tr2bl w:val="nil"/>
            </w:tcBorders>
            <w:vAlign w:val="center"/>
          </w:tcPr>
          <w:p w14:paraId="7820948C">
            <w:pPr>
              <w:jc w:val="center"/>
              <w:rPr>
                <w:rFonts w:ascii="Arial"/>
                <w:color w:val="auto"/>
                <w:sz w:val="21"/>
              </w:rPr>
            </w:pPr>
          </w:p>
        </w:tc>
        <w:tc>
          <w:tcPr>
            <w:tcW w:w="1443" w:type="dxa"/>
            <w:tcBorders>
              <w:tl2br w:val="nil"/>
              <w:tr2bl w:val="nil"/>
            </w:tcBorders>
            <w:shd w:val="clear" w:color="auto" w:fill="auto"/>
            <w:vAlign w:val="center"/>
          </w:tcPr>
          <w:p w14:paraId="16602EAA">
            <w:pPr>
              <w:spacing w:before="69" w:line="164" w:lineRule="auto"/>
              <w:jc w:val="center"/>
              <w:rPr>
                <w:rFonts w:ascii="Times New Roman" w:hAnsi="Times New Roman" w:eastAsia="Times New Roman" w:cs="Times New Roman"/>
                <w:snapToGrid w:val="0"/>
                <w:color w:val="auto"/>
                <w:kern w:val="0"/>
                <w:sz w:val="13"/>
                <w:szCs w:val="13"/>
                <w:lang w:val="en-US" w:eastAsia="en-US" w:bidi="ar-SA"/>
              </w:rPr>
            </w:pPr>
            <w:r>
              <w:rPr>
                <w:rFonts w:ascii="Times New Roman" w:hAnsi="Times New Roman" w:eastAsia="Times New Roman" w:cs="Times New Roman"/>
                <w:color w:val="auto"/>
                <w:spacing w:val="-2"/>
                <w:sz w:val="21"/>
                <w:szCs w:val="21"/>
              </w:rPr>
              <w:t>SO</w:t>
            </w:r>
            <w:r>
              <w:rPr>
                <w:rFonts w:ascii="Times New Roman" w:hAnsi="Times New Roman" w:eastAsia="Times New Roman" w:cs="Times New Roman"/>
                <w:color w:val="auto"/>
                <w:spacing w:val="-2"/>
                <w:position w:val="-1"/>
                <w:sz w:val="13"/>
                <w:szCs w:val="13"/>
              </w:rPr>
              <w:t>2</w:t>
            </w:r>
          </w:p>
        </w:tc>
        <w:tc>
          <w:tcPr>
            <w:tcW w:w="1442" w:type="dxa"/>
            <w:tcBorders>
              <w:tl2br w:val="nil"/>
              <w:tr2bl w:val="nil"/>
            </w:tcBorders>
            <w:shd w:val="clear" w:color="auto" w:fill="auto"/>
            <w:vAlign w:val="center"/>
          </w:tcPr>
          <w:p w14:paraId="1E217670">
            <w:pPr>
              <w:spacing w:before="69" w:line="164" w:lineRule="auto"/>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0.092</w:t>
            </w:r>
          </w:p>
        </w:tc>
        <w:tc>
          <w:tcPr>
            <w:tcW w:w="1445" w:type="dxa"/>
            <w:tcBorders>
              <w:tl2br w:val="nil"/>
              <w:tr2bl w:val="nil"/>
            </w:tcBorders>
            <w:shd w:val="clear" w:color="auto" w:fill="auto"/>
            <w:vAlign w:val="center"/>
          </w:tcPr>
          <w:p w14:paraId="1A88189E">
            <w:pPr>
              <w:spacing w:before="65" w:line="168" w:lineRule="auto"/>
              <w:jc w:val="center"/>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color w:val="auto"/>
                <w:sz w:val="21"/>
                <w:szCs w:val="21"/>
              </w:rPr>
              <w:t>kg/t</w:t>
            </w:r>
          </w:p>
        </w:tc>
        <w:tc>
          <w:tcPr>
            <w:tcW w:w="1440" w:type="dxa"/>
            <w:tcBorders>
              <w:tl2br w:val="nil"/>
              <w:tr2bl w:val="nil"/>
            </w:tcBorders>
            <w:shd w:val="clear" w:color="auto" w:fill="auto"/>
            <w:vAlign w:val="center"/>
          </w:tcPr>
          <w:p w14:paraId="70C00E4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2.576</w:t>
            </w:r>
          </w:p>
        </w:tc>
        <w:tc>
          <w:tcPr>
            <w:tcW w:w="1498" w:type="dxa"/>
            <w:tcBorders>
              <w:tl2br w:val="nil"/>
              <w:tr2bl w:val="nil"/>
            </w:tcBorders>
            <w:shd w:val="clear" w:color="auto" w:fill="auto"/>
            <w:vAlign w:val="center"/>
          </w:tcPr>
          <w:p w14:paraId="3C837A67">
            <w:pPr>
              <w:spacing w:before="65" w:line="168" w:lineRule="auto"/>
              <w:jc w:val="center"/>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color w:val="auto"/>
                <w:spacing w:val="-1"/>
                <w:sz w:val="21"/>
                <w:szCs w:val="21"/>
              </w:rPr>
              <w:t>t/a</w:t>
            </w:r>
          </w:p>
        </w:tc>
      </w:tr>
      <w:tr w14:paraId="41861FF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5" w:hRule="atLeast"/>
        </w:trPr>
        <w:tc>
          <w:tcPr>
            <w:tcW w:w="1039" w:type="dxa"/>
            <w:vMerge w:val="continue"/>
            <w:tcBorders>
              <w:tl2br w:val="nil"/>
              <w:tr2bl w:val="nil"/>
            </w:tcBorders>
            <w:vAlign w:val="center"/>
          </w:tcPr>
          <w:p w14:paraId="642BDC09">
            <w:pPr>
              <w:jc w:val="center"/>
              <w:rPr>
                <w:rFonts w:ascii="Arial"/>
                <w:color w:val="auto"/>
                <w:sz w:val="21"/>
              </w:rPr>
            </w:pPr>
          </w:p>
        </w:tc>
        <w:tc>
          <w:tcPr>
            <w:tcW w:w="1443" w:type="dxa"/>
            <w:tcBorders>
              <w:tl2br w:val="nil"/>
              <w:tr2bl w:val="nil"/>
            </w:tcBorders>
            <w:shd w:val="clear" w:color="auto" w:fill="auto"/>
            <w:vAlign w:val="center"/>
          </w:tcPr>
          <w:p w14:paraId="0245B49A">
            <w:pPr>
              <w:spacing w:before="72" w:line="162" w:lineRule="auto"/>
              <w:jc w:val="center"/>
              <w:rPr>
                <w:rFonts w:ascii="Times New Roman" w:hAnsi="Times New Roman" w:eastAsia="Times New Roman" w:cs="Times New Roman"/>
                <w:snapToGrid w:val="0"/>
                <w:color w:val="auto"/>
                <w:kern w:val="0"/>
                <w:sz w:val="13"/>
                <w:szCs w:val="13"/>
                <w:lang w:val="en-US" w:eastAsia="en-US" w:bidi="ar-SA"/>
              </w:rPr>
            </w:pPr>
            <w:r>
              <w:rPr>
                <w:rFonts w:ascii="Times New Roman" w:hAnsi="Times New Roman" w:eastAsia="Times New Roman" w:cs="Times New Roman"/>
                <w:color w:val="auto"/>
                <w:spacing w:val="3"/>
                <w:sz w:val="21"/>
                <w:szCs w:val="21"/>
              </w:rPr>
              <w:t>NO</w:t>
            </w:r>
            <w:r>
              <w:rPr>
                <w:rFonts w:ascii="Times New Roman" w:hAnsi="Times New Roman" w:eastAsia="Times New Roman" w:cs="Times New Roman"/>
                <w:color w:val="auto"/>
                <w:spacing w:val="3"/>
                <w:position w:val="-1"/>
                <w:sz w:val="13"/>
                <w:szCs w:val="13"/>
              </w:rPr>
              <w:t>X</w:t>
            </w:r>
          </w:p>
        </w:tc>
        <w:tc>
          <w:tcPr>
            <w:tcW w:w="1442" w:type="dxa"/>
            <w:tcBorders>
              <w:tl2br w:val="nil"/>
              <w:tr2bl w:val="nil"/>
            </w:tcBorders>
            <w:shd w:val="clear" w:color="auto" w:fill="auto"/>
            <w:vAlign w:val="center"/>
          </w:tcPr>
          <w:p w14:paraId="3D6DAF98">
            <w:pPr>
              <w:spacing w:before="72" w:line="162" w:lineRule="auto"/>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2.75</w:t>
            </w:r>
          </w:p>
        </w:tc>
        <w:tc>
          <w:tcPr>
            <w:tcW w:w="1445" w:type="dxa"/>
            <w:tcBorders>
              <w:tl2br w:val="nil"/>
              <w:tr2bl w:val="nil"/>
            </w:tcBorders>
            <w:shd w:val="clear" w:color="auto" w:fill="auto"/>
            <w:vAlign w:val="center"/>
          </w:tcPr>
          <w:p w14:paraId="7664E202">
            <w:pPr>
              <w:spacing w:before="67" w:line="166" w:lineRule="auto"/>
              <w:jc w:val="center"/>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color w:val="auto"/>
                <w:sz w:val="21"/>
                <w:szCs w:val="21"/>
              </w:rPr>
              <w:t>kg/t</w:t>
            </w:r>
          </w:p>
        </w:tc>
        <w:tc>
          <w:tcPr>
            <w:tcW w:w="1440" w:type="dxa"/>
            <w:tcBorders>
              <w:tl2br w:val="nil"/>
              <w:tr2bl w:val="nil"/>
            </w:tcBorders>
            <w:shd w:val="clear" w:color="auto" w:fill="auto"/>
            <w:vAlign w:val="center"/>
          </w:tcPr>
          <w:p w14:paraId="041A245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77</w:t>
            </w:r>
          </w:p>
        </w:tc>
        <w:tc>
          <w:tcPr>
            <w:tcW w:w="1498" w:type="dxa"/>
            <w:tcBorders>
              <w:tl2br w:val="nil"/>
              <w:tr2bl w:val="nil"/>
            </w:tcBorders>
            <w:shd w:val="clear" w:color="auto" w:fill="auto"/>
            <w:vAlign w:val="center"/>
          </w:tcPr>
          <w:p w14:paraId="5B4F81BE">
            <w:pPr>
              <w:spacing w:before="67" w:line="166" w:lineRule="auto"/>
              <w:jc w:val="center"/>
              <w:rPr>
                <w:rFonts w:ascii="Times New Roman" w:hAnsi="Times New Roman" w:eastAsia="Times New Roman" w:cs="Times New Roman"/>
                <w:snapToGrid w:val="0"/>
                <w:color w:val="auto"/>
                <w:kern w:val="0"/>
                <w:sz w:val="21"/>
                <w:szCs w:val="21"/>
                <w:lang w:val="en-US" w:eastAsia="en-US" w:bidi="ar-SA"/>
              </w:rPr>
            </w:pPr>
            <w:r>
              <w:rPr>
                <w:rFonts w:ascii="Times New Roman" w:hAnsi="Times New Roman" w:eastAsia="Times New Roman" w:cs="Times New Roman"/>
                <w:color w:val="auto"/>
                <w:spacing w:val="-1"/>
                <w:sz w:val="21"/>
                <w:szCs w:val="21"/>
              </w:rPr>
              <w:t>t/a</w:t>
            </w:r>
          </w:p>
        </w:tc>
      </w:tr>
      <w:tr w14:paraId="02727E7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039" w:type="dxa"/>
            <w:vMerge w:val="restart"/>
            <w:tcBorders>
              <w:tl2br w:val="nil"/>
              <w:tr2bl w:val="nil"/>
            </w:tcBorders>
            <w:vAlign w:val="center"/>
          </w:tcPr>
          <w:p w14:paraId="7608AB87">
            <w:pPr>
              <w:pStyle w:val="27"/>
              <w:spacing w:before="68" w:line="222" w:lineRule="auto"/>
              <w:jc w:val="center"/>
              <w:rPr>
                <w:color w:val="auto"/>
              </w:rPr>
            </w:pPr>
            <w:r>
              <w:rPr>
                <w:color w:val="auto"/>
                <w:spacing w:val="-2"/>
                <w:highlight w:val="none"/>
              </w:rPr>
              <w:t>合计</w:t>
            </w:r>
          </w:p>
        </w:tc>
        <w:tc>
          <w:tcPr>
            <w:tcW w:w="1443" w:type="dxa"/>
            <w:tcBorders>
              <w:tl2br w:val="nil"/>
              <w:tr2bl w:val="nil"/>
            </w:tcBorders>
            <w:vAlign w:val="center"/>
          </w:tcPr>
          <w:p w14:paraId="72CBB18E">
            <w:pPr>
              <w:pStyle w:val="27"/>
              <w:spacing w:before="49" w:line="190" w:lineRule="auto"/>
              <w:jc w:val="center"/>
              <w:rPr>
                <w:color w:val="auto"/>
              </w:rPr>
            </w:pPr>
            <w:r>
              <w:rPr>
                <w:color w:val="auto"/>
                <w:spacing w:val="-2"/>
              </w:rPr>
              <w:t>烟尘</w:t>
            </w:r>
          </w:p>
        </w:tc>
        <w:tc>
          <w:tcPr>
            <w:tcW w:w="1442" w:type="dxa"/>
            <w:tcBorders>
              <w:tl2br w:val="nil"/>
              <w:tr2bl w:val="nil"/>
            </w:tcBorders>
            <w:vAlign w:val="center"/>
          </w:tcPr>
          <w:p w14:paraId="162B6E9F">
            <w:pPr>
              <w:spacing w:before="84" w:line="180"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c>
          <w:tcPr>
            <w:tcW w:w="1445" w:type="dxa"/>
            <w:tcBorders>
              <w:tl2br w:val="nil"/>
              <w:tr2bl w:val="nil"/>
            </w:tcBorders>
            <w:vAlign w:val="center"/>
          </w:tcPr>
          <w:p w14:paraId="275063E5">
            <w:pPr>
              <w:spacing w:before="84" w:line="180"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c>
          <w:tcPr>
            <w:tcW w:w="1440" w:type="dxa"/>
            <w:tcBorders>
              <w:tl2br w:val="nil"/>
              <w:tr2bl w:val="nil"/>
            </w:tcBorders>
            <w:vAlign w:val="center"/>
          </w:tcPr>
          <w:p w14:paraId="69E23077">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4.98708</w:t>
            </w:r>
          </w:p>
        </w:tc>
        <w:tc>
          <w:tcPr>
            <w:tcW w:w="1498" w:type="dxa"/>
            <w:tcBorders>
              <w:tl2br w:val="nil"/>
              <w:tr2bl w:val="nil"/>
            </w:tcBorders>
            <w:vAlign w:val="center"/>
          </w:tcPr>
          <w:p w14:paraId="311F76BB">
            <w:pPr>
              <w:spacing w:before="84" w:line="180"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t/a</w:t>
            </w:r>
          </w:p>
        </w:tc>
      </w:tr>
      <w:tr w14:paraId="48C5874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65" w:hRule="atLeast"/>
        </w:trPr>
        <w:tc>
          <w:tcPr>
            <w:tcW w:w="1039" w:type="dxa"/>
            <w:vMerge w:val="continue"/>
            <w:tcBorders>
              <w:tl2br w:val="nil"/>
              <w:tr2bl w:val="nil"/>
            </w:tcBorders>
            <w:vAlign w:val="center"/>
          </w:tcPr>
          <w:p w14:paraId="00E6E130">
            <w:pPr>
              <w:jc w:val="center"/>
              <w:rPr>
                <w:rFonts w:ascii="Arial"/>
                <w:color w:val="auto"/>
                <w:sz w:val="21"/>
              </w:rPr>
            </w:pPr>
          </w:p>
        </w:tc>
        <w:tc>
          <w:tcPr>
            <w:tcW w:w="1443" w:type="dxa"/>
            <w:tcBorders>
              <w:tl2br w:val="nil"/>
              <w:tr2bl w:val="nil"/>
            </w:tcBorders>
            <w:vAlign w:val="center"/>
          </w:tcPr>
          <w:p w14:paraId="486A0073">
            <w:pPr>
              <w:spacing w:before="95" w:line="159" w:lineRule="auto"/>
              <w:jc w:val="center"/>
              <w:rPr>
                <w:rFonts w:ascii="Times New Roman" w:hAnsi="Times New Roman" w:eastAsia="Times New Roman" w:cs="Times New Roman"/>
                <w:color w:val="auto"/>
                <w:sz w:val="13"/>
                <w:szCs w:val="13"/>
              </w:rPr>
            </w:pPr>
            <w:r>
              <w:rPr>
                <w:rFonts w:ascii="Times New Roman" w:hAnsi="Times New Roman" w:eastAsia="Times New Roman" w:cs="Times New Roman"/>
                <w:color w:val="auto"/>
                <w:spacing w:val="-2"/>
                <w:sz w:val="21"/>
                <w:szCs w:val="21"/>
              </w:rPr>
              <w:t>SO</w:t>
            </w:r>
            <w:r>
              <w:rPr>
                <w:rFonts w:ascii="Times New Roman" w:hAnsi="Times New Roman" w:eastAsia="Times New Roman" w:cs="Times New Roman"/>
                <w:color w:val="auto"/>
                <w:spacing w:val="-2"/>
                <w:position w:val="-1"/>
                <w:sz w:val="13"/>
                <w:szCs w:val="13"/>
              </w:rPr>
              <w:t>2</w:t>
            </w:r>
          </w:p>
        </w:tc>
        <w:tc>
          <w:tcPr>
            <w:tcW w:w="1442" w:type="dxa"/>
            <w:tcBorders>
              <w:tl2br w:val="nil"/>
              <w:tr2bl w:val="nil"/>
            </w:tcBorders>
            <w:vAlign w:val="center"/>
          </w:tcPr>
          <w:p w14:paraId="4833F495">
            <w:pPr>
              <w:spacing w:before="92" w:line="162"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c>
          <w:tcPr>
            <w:tcW w:w="1445" w:type="dxa"/>
            <w:tcBorders>
              <w:tl2br w:val="nil"/>
              <w:tr2bl w:val="nil"/>
            </w:tcBorders>
            <w:vAlign w:val="center"/>
          </w:tcPr>
          <w:p w14:paraId="19601C6D">
            <w:pPr>
              <w:spacing w:before="92" w:line="162"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c>
          <w:tcPr>
            <w:tcW w:w="1440" w:type="dxa"/>
            <w:tcBorders>
              <w:tl2br w:val="nil"/>
              <w:tr2bl w:val="nil"/>
            </w:tcBorders>
            <w:vAlign w:val="center"/>
          </w:tcPr>
          <w:p w14:paraId="43C6939C">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9.696</w:t>
            </w:r>
          </w:p>
        </w:tc>
        <w:tc>
          <w:tcPr>
            <w:tcW w:w="1498" w:type="dxa"/>
            <w:tcBorders>
              <w:tl2br w:val="nil"/>
              <w:tr2bl w:val="nil"/>
            </w:tcBorders>
            <w:vAlign w:val="center"/>
          </w:tcPr>
          <w:p w14:paraId="322262B6">
            <w:pPr>
              <w:spacing w:before="92" w:line="162"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t/a</w:t>
            </w:r>
          </w:p>
        </w:tc>
      </w:tr>
      <w:tr w14:paraId="184560A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1039" w:type="dxa"/>
            <w:vMerge w:val="continue"/>
            <w:tcBorders>
              <w:tl2br w:val="nil"/>
              <w:tr2bl w:val="nil"/>
            </w:tcBorders>
            <w:vAlign w:val="center"/>
          </w:tcPr>
          <w:p w14:paraId="0534EEB8">
            <w:pPr>
              <w:jc w:val="center"/>
              <w:rPr>
                <w:rFonts w:ascii="Arial"/>
                <w:color w:val="auto"/>
                <w:sz w:val="21"/>
              </w:rPr>
            </w:pPr>
          </w:p>
        </w:tc>
        <w:tc>
          <w:tcPr>
            <w:tcW w:w="1443" w:type="dxa"/>
            <w:tcBorders>
              <w:tl2br w:val="nil"/>
              <w:tr2bl w:val="nil"/>
            </w:tcBorders>
            <w:vAlign w:val="center"/>
          </w:tcPr>
          <w:p w14:paraId="47DB0A78">
            <w:pPr>
              <w:spacing w:before="95" w:line="181" w:lineRule="auto"/>
              <w:jc w:val="center"/>
              <w:rPr>
                <w:rFonts w:ascii="Times New Roman" w:hAnsi="Times New Roman" w:eastAsia="Times New Roman" w:cs="Times New Roman"/>
                <w:color w:val="auto"/>
                <w:sz w:val="13"/>
                <w:szCs w:val="13"/>
              </w:rPr>
            </w:pPr>
            <w:r>
              <w:rPr>
                <w:rFonts w:ascii="Times New Roman" w:hAnsi="Times New Roman" w:eastAsia="Times New Roman" w:cs="Times New Roman"/>
                <w:color w:val="auto"/>
                <w:spacing w:val="3"/>
                <w:sz w:val="21"/>
                <w:szCs w:val="21"/>
              </w:rPr>
              <w:t>NO</w:t>
            </w:r>
            <w:r>
              <w:rPr>
                <w:rFonts w:ascii="Times New Roman" w:hAnsi="Times New Roman" w:eastAsia="Times New Roman" w:cs="Times New Roman"/>
                <w:color w:val="auto"/>
                <w:spacing w:val="3"/>
                <w:position w:val="-1"/>
                <w:sz w:val="13"/>
                <w:szCs w:val="13"/>
              </w:rPr>
              <w:t>X</w:t>
            </w:r>
          </w:p>
        </w:tc>
        <w:tc>
          <w:tcPr>
            <w:tcW w:w="1442" w:type="dxa"/>
            <w:tcBorders>
              <w:tl2br w:val="nil"/>
              <w:tr2bl w:val="nil"/>
            </w:tcBorders>
            <w:vAlign w:val="center"/>
          </w:tcPr>
          <w:p w14:paraId="3185299A">
            <w:pPr>
              <w:spacing w:before="92" w:line="184"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c>
          <w:tcPr>
            <w:tcW w:w="1445" w:type="dxa"/>
            <w:tcBorders>
              <w:tl2br w:val="nil"/>
              <w:tr2bl w:val="nil"/>
            </w:tcBorders>
            <w:vAlign w:val="center"/>
          </w:tcPr>
          <w:p w14:paraId="5464C34D">
            <w:pPr>
              <w:spacing w:before="92" w:line="184"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c>
          <w:tcPr>
            <w:tcW w:w="1440" w:type="dxa"/>
            <w:tcBorders>
              <w:tl2br w:val="nil"/>
              <w:tr2bl w:val="nil"/>
            </w:tcBorders>
            <w:vAlign w:val="center"/>
          </w:tcPr>
          <w:p w14:paraId="56ACEB18">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133.4972</w:t>
            </w:r>
          </w:p>
        </w:tc>
        <w:tc>
          <w:tcPr>
            <w:tcW w:w="1498" w:type="dxa"/>
            <w:tcBorders>
              <w:tl2br w:val="nil"/>
              <w:tr2bl w:val="nil"/>
            </w:tcBorders>
            <w:vAlign w:val="center"/>
          </w:tcPr>
          <w:p w14:paraId="03722D8F">
            <w:pPr>
              <w:spacing w:before="92" w:line="184"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t/a</w:t>
            </w:r>
          </w:p>
        </w:tc>
      </w:tr>
    </w:tbl>
    <w:p w14:paraId="1B78BAC3">
      <w:pPr>
        <w:keepNext w:val="0"/>
        <w:keepLines w:val="0"/>
        <w:pageBreakBefore w:val="0"/>
        <w:widowControl/>
        <w:kinsoku w:val="0"/>
        <w:wordWrap/>
        <w:overflowPunct/>
        <w:topLinePunct w:val="0"/>
        <w:autoSpaceDE w:val="0"/>
        <w:autoSpaceDN w:val="0"/>
        <w:bidi w:val="0"/>
        <w:adjustRightInd w:val="0"/>
        <w:snapToGrid w:val="0"/>
        <w:spacing w:before="174" w:line="360" w:lineRule="auto"/>
        <w:ind w:left="510"/>
        <w:textAlignment w:val="baseline"/>
        <w:rPr>
          <w:rFonts w:ascii="宋体" w:hAnsi="宋体" w:eastAsia="宋体" w:cs="宋体"/>
          <w:color w:val="auto"/>
          <w:sz w:val="24"/>
          <w:szCs w:val="24"/>
        </w:rPr>
      </w:pPr>
      <w:r>
        <w:rPr>
          <w:rFonts w:ascii="Times New Roman" w:hAnsi="Times New Roman" w:eastAsia="Times New Roman" w:cs="Times New Roman"/>
          <w:color w:val="auto"/>
          <w:spacing w:val="-2"/>
          <w:sz w:val="24"/>
          <w:szCs w:val="24"/>
        </w:rPr>
        <w:t>2</w:t>
      </w:r>
      <w:r>
        <w:rPr>
          <w:rFonts w:hint="eastAsia" w:ascii="宋体" w:hAnsi="宋体" w:eastAsia="宋体" w:cs="宋体"/>
          <w:color w:val="auto"/>
          <w:spacing w:val="-2"/>
          <w:sz w:val="24"/>
          <w:szCs w:val="24"/>
          <w:lang w:eastAsia="zh-CN"/>
        </w:rPr>
        <w:t>）</w:t>
      </w:r>
      <w:r>
        <w:rPr>
          <w:rFonts w:ascii="宋体" w:hAnsi="宋体" w:eastAsia="宋体" w:cs="宋体"/>
          <w:color w:val="auto"/>
          <w:spacing w:val="-2"/>
          <w:sz w:val="24"/>
          <w:szCs w:val="24"/>
        </w:rPr>
        <w:t>工业企业</w:t>
      </w:r>
      <w:r>
        <w:rPr>
          <w:rFonts w:hint="eastAsia" w:ascii="宋体" w:hAnsi="宋体" w:eastAsia="宋体" w:cs="宋体"/>
          <w:color w:val="auto"/>
          <w:spacing w:val="-2"/>
          <w:sz w:val="24"/>
          <w:szCs w:val="24"/>
          <w:lang w:val="en-US" w:eastAsia="zh-CN"/>
        </w:rPr>
        <w:t>常规</w:t>
      </w:r>
      <w:r>
        <w:rPr>
          <w:rFonts w:ascii="宋体" w:hAnsi="宋体" w:eastAsia="宋体" w:cs="宋体"/>
          <w:color w:val="auto"/>
          <w:spacing w:val="-2"/>
          <w:sz w:val="24"/>
          <w:szCs w:val="24"/>
        </w:rPr>
        <w:t>污染物</w:t>
      </w:r>
      <w:bookmarkStart w:id="1836" w:name="pindex12746"/>
      <w:bookmarkEnd w:id="1836"/>
    </w:p>
    <w:p w14:paraId="315E5A1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通过收集整理开发区</w:t>
      </w:r>
      <w:r>
        <w:rPr>
          <w:rFonts w:hint="default" w:ascii="Times New Roman" w:hAnsi="Times New Roman" w:eastAsia="宋体" w:cs="Times New Roman"/>
          <w:color w:val="auto"/>
          <w:sz w:val="24"/>
          <w:szCs w:val="24"/>
          <w:lang w:val="en-US" w:eastAsia="zh-CN"/>
        </w:rPr>
        <w:t>环统数据、</w:t>
      </w:r>
      <w:r>
        <w:rPr>
          <w:rFonts w:hint="default" w:ascii="Times New Roman" w:hAnsi="Times New Roman" w:eastAsia="宋体" w:cs="Times New Roman"/>
          <w:color w:val="auto"/>
          <w:sz w:val="24"/>
          <w:szCs w:val="24"/>
        </w:rPr>
        <w:t>排污许可数据、环评数据以及</w:t>
      </w:r>
      <w:r>
        <w:rPr>
          <w:rFonts w:hint="default" w:ascii="Times New Roman" w:hAnsi="Times New Roman" w:eastAsia="宋体" w:cs="Times New Roman"/>
          <w:color w:val="auto"/>
          <w:sz w:val="24"/>
          <w:szCs w:val="24"/>
          <w:lang w:val="en-US" w:eastAsia="zh-CN"/>
        </w:rPr>
        <w:t>第二次全国污染源数据</w:t>
      </w:r>
      <w:r>
        <w:rPr>
          <w:rFonts w:hint="default" w:ascii="Times New Roman" w:hAnsi="Times New Roman" w:eastAsia="宋体" w:cs="Times New Roman"/>
          <w:color w:val="auto"/>
          <w:sz w:val="24"/>
          <w:szCs w:val="24"/>
        </w:rPr>
        <w:t>等，开发区SO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、NOx</w:t>
      </w:r>
      <w:r>
        <w:rPr>
          <w:rFonts w:hint="default" w:ascii="Times New Roman" w:hAnsi="Times New Roman" w:eastAsia="宋体" w:cs="Times New Roman"/>
          <w:color w:val="auto"/>
          <w:sz w:val="24"/>
          <w:szCs w:val="24"/>
          <w:lang w:val="en-US" w:eastAsia="zh-CN"/>
        </w:rPr>
        <w:t>和烟粉尘</w:t>
      </w:r>
      <w:r>
        <w:rPr>
          <w:rFonts w:hint="default" w:ascii="Times New Roman" w:hAnsi="Times New Roman" w:eastAsia="宋体" w:cs="Times New Roman"/>
          <w:color w:val="auto"/>
          <w:sz w:val="24"/>
          <w:szCs w:val="24"/>
        </w:rPr>
        <w:t>年排放量分别为</w:t>
      </w:r>
      <w:r>
        <w:rPr>
          <w:rFonts w:hint="eastAsia" w:ascii="Times New Roman" w:hAnsi="Times New Roman" w:eastAsia="宋体" w:cs="Times New Roman"/>
          <w:color w:val="auto"/>
          <w:sz w:val="24"/>
          <w:szCs w:val="24"/>
          <w:lang w:val="en-US" w:eastAsia="zh-CN"/>
        </w:rPr>
        <w:t>30.2794</w:t>
      </w:r>
      <w:r>
        <w:rPr>
          <w:rFonts w:hint="default" w:ascii="Times New Roman" w:hAnsi="Times New Roman" w:eastAsia="宋体" w:cs="Times New Roman"/>
          <w:color w:val="auto"/>
          <w:sz w:val="24"/>
          <w:szCs w:val="24"/>
        </w:rPr>
        <w:t>t、</w:t>
      </w:r>
      <w:r>
        <w:rPr>
          <w:rFonts w:hint="eastAsia" w:ascii="Times New Roman" w:hAnsi="Times New Roman" w:eastAsia="宋体" w:cs="Times New Roman"/>
          <w:color w:val="auto"/>
          <w:sz w:val="24"/>
          <w:szCs w:val="24"/>
          <w:lang w:val="en-US" w:eastAsia="zh-CN"/>
        </w:rPr>
        <w:t>125.4722</w:t>
      </w:r>
      <w:r>
        <w:rPr>
          <w:rFonts w:hint="default" w:ascii="Times New Roman" w:hAnsi="Times New Roman" w:eastAsia="宋体" w:cs="Times New Roman"/>
          <w:color w:val="auto"/>
          <w:sz w:val="24"/>
          <w:szCs w:val="24"/>
        </w:rPr>
        <w:t>t、</w:t>
      </w:r>
      <w:r>
        <w:rPr>
          <w:rFonts w:hint="eastAsia" w:ascii="Times New Roman" w:hAnsi="Times New Roman" w:eastAsia="宋体" w:cs="Times New Roman"/>
          <w:color w:val="auto"/>
          <w:sz w:val="24"/>
          <w:szCs w:val="24"/>
          <w:lang w:val="en-US" w:eastAsia="zh-CN"/>
        </w:rPr>
        <w:t>80.0145</w:t>
      </w:r>
      <w:r>
        <w:rPr>
          <w:rFonts w:hint="default" w:ascii="Times New Roman" w:hAnsi="Times New Roman" w:eastAsia="宋体" w:cs="Times New Roman"/>
          <w:color w:val="auto"/>
          <w:sz w:val="24"/>
          <w:szCs w:val="24"/>
        </w:rPr>
        <w:t>t。</w:t>
      </w:r>
      <w:r>
        <w:rPr>
          <w:rFonts w:hint="default" w:ascii="Times New Roman" w:hAnsi="Times New Roman" w:eastAsia="宋体" w:cs="Times New Roman"/>
          <w:color w:val="auto"/>
          <w:sz w:val="24"/>
          <w:szCs w:val="24"/>
          <w:highlight w:val="none"/>
          <w:lang w:val="en-US" w:eastAsia="zh-CN"/>
        </w:rPr>
        <w:t>见附表</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p>
    <w:p w14:paraId="788F7C18">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从污染源的行业类别来看，S</w:t>
      </w:r>
      <w:r>
        <w:rPr>
          <w:rFonts w:hint="eastAsia" w:ascii="Times New Roman" w:hAnsi="Times New Roman" w:eastAsia="宋体" w:cs="Times New Roman"/>
          <w:color w:val="auto"/>
          <w:sz w:val="24"/>
          <w:szCs w:val="24"/>
          <w:highlight w:val="none"/>
          <w:lang w:val="en-US" w:eastAsia="zh-CN"/>
        </w:rPr>
        <w:t>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rPr>
        <w:t>污染物排放主要集中在绿色智能汽车产业</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88.13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环保产业</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等行业，合计占S</w:t>
      </w:r>
      <w:r>
        <w:rPr>
          <w:rFonts w:hint="eastAsia" w:ascii="Times New Roman" w:hAnsi="Times New Roman" w:eastAsia="宋体" w:cs="Times New Roman"/>
          <w:color w:val="auto"/>
          <w:sz w:val="24"/>
          <w:szCs w:val="24"/>
          <w:highlight w:val="none"/>
          <w:lang w:val="en-US" w:eastAsia="zh-CN"/>
        </w:rPr>
        <w:t>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rPr>
        <w:t>污染物排放总量的</w:t>
      </w:r>
      <w:r>
        <w:rPr>
          <w:rFonts w:hint="eastAsia" w:ascii="Times New Roman" w:hAnsi="Times New Roman" w:eastAsia="宋体" w:cs="Times New Roman"/>
          <w:color w:val="auto"/>
          <w:sz w:val="24"/>
          <w:szCs w:val="24"/>
          <w:highlight w:val="none"/>
          <w:lang w:val="en-US" w:eastAsia="zh-CN"/>
        </w:rPr>
        <w:t>95.13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NOx污染物排放主要集中在绿色智能汽车产业</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93.7</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环保产业（3.18%）</w:t>
      </w:r>
      <w:r>
        <w:rPr>
          <w:rFonts w:hint="default" w:ascii="Times New Roman" w:hAnsi="Times New Roman" w:eastAsia="宋体" w:cs="Times New Roman"/>
          <w:color w:val="auto"/>
          <w:sz w:val="24"/>
          <w:szCs w:val="24"/>
          <w:highlight w:val="none"/>
        </w:rPr>
        <w:t>等行业，合计占NOx污染物排放总量的</w:t>
      </w:r>
      <w:r>
        <w:rPr>
          <w:rFonts w:hint="eastAsia" w:ascii="Times New Roman" w:hAnsi="Times New Roman" w:eastAsia="宋体" w:cs="Times New Roman"/>
          <w:color w:val="auto"/>
          <w:sz w:val="24"/>
          <w:szCs w:val="24"/>
          <w:highlight w:val="none"/>
          <w:lang w:val="en-US" w:eastAsia="zh-CN"/>
        </w:rPr>
        <w:t>96.88</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烟粉尘污染物排放主要集中在绿色智能汽车产业</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88.48</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环保产业</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3.14</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等行业，合计占烟粉尘污染物排放总量的</w:t>
      </w:r>
      <w:r>
        <w:rPr>
          <w:rFonts w:hint="eastAsia" w:ascii="Times New Roman" w:hAnsi="Times New Roman" w:eastAsia="宋体" w:cs="Times New Roman"/>
          <w:color w:val="auto"/>
          <w:sz w:val="24"/>
          <w:szCs w:val="24"/>
          <w:highlight w:val="none"/>
          <w:lang w:val="en-US" w:eastAsia="zh-CN"/>
        </w:rPr>
        <w:t>91.63</w:t>
      </w:r>
      <w:r>
        <w:rPr>
          <w:rFonts w:hint="default" w:ascii="Times New Roman" w:hAnsi="Times New Roman" w:eastAsia="宋体" w:cs="Times New Roman"/>
          <w:color w:val="auto"/>
          <w:sz w:val="24"/>
          <w:szCs w:val="24"/>
          <w:highlight w:val="none"/>
        </w:rPr>
        <w:t>%。</w:t>
      </w:r>
    </w:p>
    <w:p w14:paraId="6AA66C96">
      <w:pPr>
        <w:keepNext w:val="0"/>
        <w:keepLines w:val="0"/>
        <w:pageBreakBefore w:val="0"/>
        <w:widowControl/>
        <w:kinsoku w:val="0"/>
        <w:wordWrap/>
        <w:overflowPunct/>
        <w:topLinePunct w:val="0"/>
        <w:autoSpaceDE w:val="0"/>
        <w:autoSpaceDN w:val="0"/>
        <w:bidi w:val="0"/>
        <w:adjustRightInd w:val="0"/>
        <w:snapToGrid w:val="0"/>
        <w:spacing w:line="360" w:lineRule="auto"/>
        <w:ind w:firstLine="476" w:firstLineChars="200"/>
        <w:textAlignment w:val="baseline"/>
        <w:rPr>
          <w:rFonts w:hint="eastAsia" w:ascii="Times New Roman" w:hAnsi="Times New Roman" w:eastAsia="宋体" w:cs="Times New Roman"/>
          <w:color w:val="auto"/>
          <w:spacing w:val="-1"/>
          <w:sz w:val="24"/>
          <w:szCs w:val="24"/>
          <w:highlight w:val="none"/>
          <w:lang w:eastAsia="zh-CN"/>
        </w:rPr>
      </w:pPr>
      <w:bookmarkStart w:id="1837" w:name="sys12749053"/>
      <w:r>
        <w:rPr>
          <w:rFonts w:hint="eastAsia" w:ascii="Times New Roman" w:hAnsi="Times New Roman" w:eastAsia="Times New Roman" w:cs="Times New Roman"/>
          <w:color w:val="auto"/>
          <w:spacing w:val="-1"/>
          <w:sz w:val="24"/>
          <w:szCs w:val="24"/>
          <w:highlight w:val="none"/>
        </w:rPr>
        <w:t>从污染源的排放企业看，SO</w:t>
      </w:r>
      <w:r>
        <w:rPr>
          <w:rFonts w:hint="eastAsia" w:ascii="Times New Roman" w:hAnsi="Times New Roman" w:eastAsia="宋体" w:cs="Times New Roman"/>
          <w:color w:val="auto"/>
          <w:spacing w:val="-1"/>
          <w:sz w:val="24"/>
          <w:szCs w:val="24"/>
          <w:highlight w:val="none"/>
          <w:vertAlign w:val="subscript"/>
          <w:lang w:val="en-US" w:eastAsia="zh-CN"/>
        </w:rPr>
        <w:t>2</w:t>
      </w:r>
      <w:r>
        <w:rPr>
          <w:rFonts w:hint="eastAsia" w:ascii="Times New Roman" w:hAnsi="Times New Roman" w:eastAsia="Times New Roman" w:cs="Times New Roman"/>
          <w:color w:val="auto"/>
          <w:spacing w:val="-1"/>
          <w:sz w:val="24"/>
          <w:szCs w:val="24"/>
          <w:highlight w:val="none"/>
        </w:rPr>
        <w:t>污染物排放主要为上汽大众汽车有限公司南京分公司</w:t>
      </w:r>
      <w:r>
        <w:rPr>
          <w:rFonts w:hint="eastAsia" w:ascii="Times New Roman" w:hAnsi="Times New Roman" w:eastAsia="宋体" w:cs="Times New Roman"/>
          <w:color w:val="auto"/>
          <w:spacing w:val="-1"/>
          <w:sz w:val="24"/>
          <w:szCs w:val="24"/>
          <w:highlight w:val="none"/>
          <w:lang w:eastAsia="zh-CN"/>
        </w:rPr>
        <w:t>、长安马自达汽车有限公司</w:t>
      </w:r>
      <w:r>
        <w:rPr>
          <w:rFonts w:hint="eastAsia" w:ascii="Times New Roman" w:hAnsi="Times New Roman" w:eastAsia="Times New Roman" w:cs="Times New Roman"/>
          <w:color w:val="auto"/>
          <w:spacing w:val="-1"/>
          <w:sz w:val="24"/>
          <w:szCs w:val="24"/>
          <w:highlight w:val="none"/>
        </w:rPr>
        <w:t>等企业</w:t>
      </w:r>
      <w:r>
        <w:rPr>
          <w:rFonts w:hint="eastAsia" w:ascii="Times New Roman" w:hAnsi="Times New Roman" w:eastAsia="宋体" w:cs="Times New Roman"/>
          <w:color w:val="auto"/>
          <w:spacing w:val="-1"/>
          <w:sz w:val="24"/>
          <w:szCs w:val="24"/>
          <w:highlight w:val="none"/>
          <w:lang w:eastAsia="zh-CN"/>
        </w:rPr>
        <w:t>；</w:t>
      </w:r>
      <w:bookmarkEnd w:id="1837"/>
      <w:bookmarkStart w:id="1838" w:name="sys127495342"/>
      <w:r>
        <w:rPr>
          <w:rFonts w:hint="eastAsia" w:ascii="Times New Roman" w:hAnsi="Times New Roman" w:eastAsia="Times New Roman" w:cs="Times New Roman"/>
          <w:color w:val="auto"/>
          <w:spacing w:val="-1"/>
          <w:sz w:val="24"/>
          <w:szCs w:val="24"/>
          <w:highlight w:val="none"/>
        </w:rPr>
        <w:t>NOx污染物排放主要为上汽大众汽车有限公司南京分公司，其次为长安马自达汽车有限公司</w:t>
      </w:r>
      <w:r>
        <w:rPr>
          <w:rFonts w:hint="eastAsia" w:ascii="Times New Roman" w:hAnsi="Times New Roman" w:eastAsia="宋体" w:cs="Times New Roman"/>
          <w:color w:val="auto"/>
          <w:spacing w:val="-1"/>
          <w:sz w:val="24"/>
          <w:szCs w:val="24"/>
          <w:highlight w:val="none"/>
          <w:lang w:eastAsia="zh-CN"/>
        </w:rPr>
        <w:t>；</w:t>
      </w:r>
      <w:bookmarkEnd w:id="1838"/>
      <w:r>
        <w:rPr>
          <w:rFonts w:hint="eastAsia" w:ascii="Times New Roman" w:hAnsi="Times New Roman" w:eastAsia="Times New Roman" w:cs="Times New Roman"/>
          <w:color w:val="auto"/>
          <w:spacing w:val="-1"/>
          <w:sz w:val="24"/>
          <w:szCs w:val="24"/>
          <w:highlight w:val="none"/>
        </w:rPr>
        <w:t>烟粉尘污</w:t>
      </w:r>
      <w:r>
        <w:rPr>
          <w:rFonts w:hint="eastAsia" w:ascii="Times New Roman" w:hAnsi="Times New Roman" w:eastAsia="Times New Roman" w:cs="Times New Roman"/>
          <w:color w:val="auto"/>
          <w:spacing w:val="-1"/>
          <w:sz w:val="24"/>
          <w:szCs w:val="24"/>
        </w:rPr>
        <w:t>染物排放主要为长安马自达发动机有限公司</w:t>
      </w:r>
      <w:r>
        <w:rPr>
          <w:rFonts w:hint="eastAsia" w:ascii="Times New Roman" w:hAnsi="Times New Roman" w:eastAsia="宋体" w:cs="Times New Roman"/>
          <w:color w:val="auto"/>
          <w:spacing w:val="-1"/>
          <w:sz w:val="24"/>
          <w:szCs w:val="24"/>
          <w:lang w:eastAsia="zh-CN"/>
        </w:rPr>
        <w:t>、</w:t>
      </w:r>
      <w:r>
        <w:rPr>
          <w:rFonts w:hint="eastAsia" w:ascii="Times New Roman" w:hAnsi="Times New Roman" w:eastAsia="Times New Roman" w:cs="Times New Roman"/>
          <w:color w:val="auto"/>
          <w:spacing w:val="-1"/>
          <w:sz w:val="24"/>
          <w:szCs w:val="24"/>
        </w:rPr>
        <w:t>上汽大众汽车有限公司南京分公司</w:t>
      </w:r>
      <w:r>
        <w:rPr>
          <w:rFonts w:hint="eastAsia" w:ascii="Times New Roman" w:hAnsi="Times New Roman" w:eastAsia="宋体" w:cs="Times New Roman"/>
          <w:color w:val="auto"/>
          <w:spacing w:val="-1"/>
          <w:sz w:val="24"/>
          <w:szCs w:val="24"/>
          <w:lang w:val="en-US" w:eastAsia="zh-CN"/>
        </w:rPr>
        <w:t>等。</w:t>
      </w:r>
    </w:p>
    <w:p w14:paraId="1089647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240" w:lineRule="auto"/>
        <w:jc w:val="center"/>
        <w:textAlignment w:val="baseline"/>
        <w:rPr>
          <w:rFonts w:hint="default" w:ascii="宋体" w:hAnsi="宋体" w:eastAsia="宋体" w:cs="宋体"/>
          <w:b/>
          <w:bCs/>
          <w:color w:val="auto"/>
          <w:spacing w:val="-3"/>
          <w:sz w:val="24"/>
          <w:szCs w:val="24"/>
          <w:lang w:val="en-US" w:eastAsia="zh-CN"/>
        </w:rPr>
      </w:pPr>
      <w:r>
        <w:rPr>
          <w:rFonts w:hint="default" w:ascii="Times New Roman" w:hAnsi="Times New Roman" w:eastAsia="宋体" w:cs="Times New Roman"/>
          <w:b/>
          <w:bCs/>
          <w:color w:val="auto"/>
          <w:spacing w:val="-3"/>
          <w:sz w:val="24"/>
          <w:szCs w:val="24"/>
          <w:highlight w:val="none"/>
          <w:lang w:val="en-US" w:eastAsia="zh-CN"/>
        </w:rPr>
        <w:t>表6</w:t>
      </w:r>
      <w:r>
        <w:rPr>
          <w:rFonts w:hint="eastAsia" w:ascii="Times New Roman" w:hAnsi="Times New Roman" w:eastAsia="宋体" w:cs="Times New Roman"/>
          <w:b/>
          <w:bCs/>
          <w:color w:val="auto"/>
          <w:spacing w:val="-3"/>
          <w:sz w:val="24"/>
          <w:szCs w:val="24"/>
          <w:highlight w:val="none"/>
          <w:lang w:val="en-US" w:eastAsia="zh-CN"/>
        </w:rPr>
        <w:t>.5-3</w:t>
      </w:r>
      <w:r>
        <w:rPr>
          <w:rFonts w:hint="default" w:ascii="Times New Roman" w:hAnsi="Times New Roman" w:eastAsia="宋体" w:cs="Times New Roman"/>
          <w:b/>
          <w:bCs/>
          <w:color w:val="auto"/>
          <w:spacing w:val="-3"/>
          <w:sz w:val="24"/>
          <w:szCs w:val="24"/>
          <w:highlight w:val="none"/>
          <w:lang w:val="en-US" w:eastAsia="zh-CN"/>
        </w:rPr>
        <w:t xml:space="preserve"> </w:t>
      </w:r>
      <w:r>
        <w:rPr>
          <w:rFonts w:hint="eastAsia" w:ascii="宋体" w:hAnsi="宋体" w:eastAsia="宋体" w:cs="宋体"/>
          <w:b/>
          <w:bCs/>
          <w:color w:val="auto"/>
          <w:spacing w:val="-3"/>
          <w:sz w:val="24"/>
          <w:szCs w:val="24"/>
          <w:highlight w:val="none"/>
          <w:lang w:val="en-US" w:eastAsia="zh-CN"/>
        </w:rPr>
        <w:t xml:space="preserve"> 各行业废气排放情况一览表</w:t>
      </w:r>
      <w:r>
        <w:rPr>
          <w:rFonts w:hint="default" w:ascii="Times New Roman" w:hAnsi="Times New Roman" w:eastAsia="宋体" w:cs="Times New Roman"/>
          <w:b/>
          <w:bCs/>
          <w:color w:val="auto"/>
          <w:spacing w:val="-3"/>
          <w:sz w:val="24"/>
          <w:szCs w:val="24"/>
          <w:highlight w:val="none"/>
          <w:lang w:val="en-US" w:eastAsia="zh-CN"/>
        </w:rPr>
        <w:t>（t/a）</w:t>
      </w:r>
      <w:bookmarkStart w:id="1839" w:name="pindex12750"/>
      <w:bookmarkEnd w:id="1839"/>
    </w:p>
    <w:tbl>
      <w:tblPr>
        <w:tblStyle w:val="20"/>
        <w:tblW w:w="821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969"/>
        <w:gridCol w:w="1458"/>
        <w:gridCol w:w="1363"/>
        <w:gridCol w:w="1359"/>
        <w:gridCol w:w="1364"/>
      </w:tblGrid>
      <w:tr w14:paraId="332A78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704" w:type="dxa"/>
            <w:tcBorders>
              <w:tl2br w:val="nil"/>
              <w:tr2bl w:val="nil"/>
            </w:tcBorders>
            <w:vAlign w:val="center"/>
          </w:tcPr>
          <w:p w14:paraId="2F1AF8FF">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序号</w:t>
            </w:r>
          </w:p>
        </w:tc>
        <w:tc>
          <w:tcPr>
            <w:tcW w:w="1969" w:type="dxa"/>
            <w:tcBorders>
              <w:tl2br w:val="nil"/>
              <w:tr2bl w:val="nil"/>
            </w:tcBorders>
            <w:vAlign w:val="center"/>
          </w:tcPr>
          <w:p w14:paraId="2EDF68B0">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行业类别</w:t>
            </w:r>
          </w:p>
        </w:tc>
        <w:tc>
          <w:tcPr>
            <w:tcW w:w="1458" w:type="dxa"/>
            <w:tcBorders>
              <w:tl2br w:val="nil"/>
              <w:tr2bl w:val="nil"/>
            </w:tcBorders>
            <w:vAlign w:val="center"/>
          </w:tcPr>
          <w:p w14:paraId="67D80D42">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SO</w:t>
            </w:r>
            <w:r>
              <w:rPr>
                <w:rFonts w:hint="default" w:ascii="Times New Roman" w:hAnsi="Times New Roman" w:eastAsia="宋体" w:cs="Times New Roman"/>
                <w:b/>
                <w:bCs/>
                <w:color w:val="auto"/>
                <w:sz w:val="21"/>
                <w:szCs w:val="21"/>
                <w:vertAlign w:val="subscript"/>
                <w:lang w:val="en-US" w:eastAsia="zh-CN"/>
              </w:rPr>
              <w:t>2</w:t>
            </w:r>
          </w:p>
        </w:tc>
        <w:tc>
          <w:tcPr>
            <w:tcW w:w="1363" w:type="dxa"/>
            <w:tcBorders>
              <w:tl2br w:val="nil"/>
              <w:tr2bl w:val="nil"/>
            </w:tcBorders>
            <w:vAlign w:val="center"/>
          </w:tcPr>
          <w:p w14:paraId="39656A78">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NOx</w:t>
            </w:r>
          </w:p>
        </w:tc>
        <w:tc>
          <w:tcPr>
            <w:tcW w:w="1359" w:type="dxa"/>
            <w:tcBorders>
              <w:tl2br w:val="nil"/>
              <w:tr2bl w:val="nil"/>
            </w:tcBorders>
            <w:vAlign w:val="center"/>
          </w:tcPr>
          <w:p w14:paraId="7FB0A0FB">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烟（粉）尘</w:t>
            </w:r>
          </w:p>
        </w:tc>
        <w:tc>
          <w:tcPr>
            <w:tcW w:w="1364" w:type="dxa"/>
            <w:tcBorders>
              <w:tl2br w:val="nil"/>
              <w:tr2bl w:val="nil"/>
            </w:tcBorders>
            <w:vAlign w:val="center"/>
          </w:tcPr>
          <w:p w14:paraId="18350F94">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非甲烷总烃</w:t>
            </w:r>
          </w:p>
        </w:tc>
      </w:tr>
      <w:tr w14:paraId="7A8EDB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04" w:type="dxa"/>
            <w:tcBorders>
              <w:tl2br w:val="nil"/>
              <w:tr2bl w:val="nil"/>
            </w:tcBorders>
            <w:vAlign w:val="center"/>
          </w:tcPr>
          <w:p w14:paraId="7ED057C5">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969" w:type="dxa"/>
            <w:tcBorders>
              <w:tl2br w:val="nil"/>
              <w:tr2bl w:val="nil"/>
            </w:tcBorders>
            <w:vAlign w:val="center"/>
          </w:tcPr>
          <w:p w14:paraId="5F1BE437">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iCs w:val="0"/>
                <w:snapToGrid w:val="0"/>
                <w:color w:val="auto"/>
                <w:kern w:val="0"/>
                <w:sz w:val="21"/>
                <w:szCs w:val="21"/>
                <w:u w:val="none"/>
                <w:lang w:val="en-US" w:eastAsia="zh-CN" w:bidi="ar"/>
              </w:rPr>
              <w:t>食品制造业</w:t>
            </w:r>
          </w:p>
        </w:tc>
        <w:tc>
          <w:tcPr>
            <w:tcW w:w="1458" w:type="dxa"/>
            <w:tcBorders>
              <w:tl2br w:val="nil"/>
              <w:tr2bl w:val="nil"/>
            </w:tcBorders>
            <w:vAlign w:val="center"/>
          </w:tcPr>
          <w:p w14:paraId="28BD9495">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0.37</w:t>
            </w:r>
            <w:r>
              <w:rPr>
                <w:rFonts w:hint="eastAsia" w:ascii="Times New Roman" w:hAnsi="Times New Roman" w:eastAsia="宋体" w:cs="Times New Roman"/>
                <w:i w:val="0"/>
                <w:iCs w:val="0"/>
                <w:snapToGrid w:val="0"/>
                <w:color w:val="auto"/>
                <w:kern w:val="0"/>
                <w:sz w:val="21"/>
                <w:szCs w:val="21"/>
                <w:u w:val="none"/>
                <w:lang w:val="en-US" w:eastAsia="zh-CN" w:bidi="ar"/>
              </w:rPr>
              <w:t>40</w:t>
            </w:r>
          </w:p>
        </w:tc>
        <w:tc>
          <w:tcPr>
            <w:tcW w:w="1363" w:type="dxa"/>
            <w:tcBorders>
              <w:tl2br w:val="nil"/>
              <w:tr2bl w:val="nil"/>
            </w:tcBorders>
            <w:vAlign w:val="center"/>
          </w:tcPr>
          <w:p w14:paraId="3665855A">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1.413</w:t>
            </w:r>
          </w:p>
        </w:tc>
        <w:tc>
          <w:tcPr>
            <w:tcW w:w="1359" w:type="dxa"/>
            <w:tcBorders>
              <w:tl2br w:val="nil"/>
              <w:tr2bl w:val="nil"/>
            </w:tcBorders>
            <w:vAlign w:val="center"/>
          </w:tcPr>
          <w:p w14:paraId="56BE4551">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0.633</w:t>
            </w:r>
          </w:p>
        </w:tc>
        <w:tc>
          <w:tcPr>
            <w:tcW w:w="1364" w:type="dxa"/>
            <w:tcBorders>
              <w:tl2br w:val="nil"/>
              <w:tr2bl w:val="nil"/>
            </w:tcBorders>
            <w:vAlign w:val="center"/>
          </w:tcPr>
          <w:p w14:paraId="6B40EAB0">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r>
      <w:tr w14:paraId="0F1B11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04" w:type="dxa"/>
            <w:tcBorders>
              <w:tl2br w:val="nil"/>
              <w:tr2bl w:val="nil"/>
            </w:tcBorders>
            <w:vAlign w:val="center"/>
          </w:tcPr>
          <w:p w14:paraId="50560535">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1969" w:type="dxa"/>
            <w:tcBorders>
              <w:tl2br w:val="nil"/>
              <w:tr2bl w:val="nil"/>
            </w:tcBorders>
            <w:shd w:val="clear" w:color="auto" w:fill="auto"/>
            <w:vAlign w:val="center"/>
          </w:tcPr>
          <w:p w14:paraId="5A2EFA1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纺织业</w:t>
            </w:r>
          </w:p>
        </w:tc>
        <w:tc>
          <w:tcPr>
            <w:tcW w:w="1458" w:type="dxa"/>
            <w:tcBorders>
              <w:tl2br w:val="nil"/>
              <w:tr2bl w:val="nil"/>
            </w:tcBorders>
            <w:shd w:val="clear" w:color="auto" w:fill="auto"/>
            <w:vAlign w:val="center"/>
          </w:tcPr>
          <w:p w14:paraId="2097C5B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0.084</w:t>
            </w:r>
          </w:p>
        </w:tc>
        <w:tc>
          <w:tcPr>
            <w:tcW w:w="1363" w:type="dxa"/>
            <w:tcBorders>
              <w:tl2br w:val="nil"/>
              <w:tr2bl w:val="nil"/>
            </w:tcBorders>
            <w:shd w:val="clear" w:color="auto" w:fill="auto"/>
            <w:vAlign w:val="center"/>
          </w:tcPr>
          <w:p w14:paraId="608D300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0.0257</w:t>
            </w:r>
          </w:p>
        </w:tc>
        <w:tc>
          <w:tcPr>
            <w:tcW w:w="1359" w:type="dxa"/>
            <w:tcBorders>
              <w:tl2br w:val="nil"/>
              <w:tr2bl w:val="nil"/>
            </w:tcBorders>
            <w:shd w:val="clear" w:color="auto" w:fill="auto"/>
            <w:vAlign w:val="center"/>
          </w:tcPr>
          <w:p w14:paraId="0153923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0.0018</w:t>
            </w:r>
          </w:p>
        </w:tc>
        <w:tc>
          <w:tcPr>
            <w:tcW w:w="1364" w:type="dxa"/>
            <w:tcBorders>
              <w:tl2br w:val="nil"/>
              <w:tr2bl w:val="nil"/>
            </w:tcBorders>
            <w:shd w:val="clear" w:color="auto" w:fill="auto"/>
            <w:vAlign w:val="center"/>
          </w:tcPr>
          <w:p w14:paraId="4F20264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bookmarkStart w:id="1840" w:name="OLE_LINK1141"/>
            <w:r>
              <w:rPr>
                <w:rFonts w:hint="default" w:ascii="Times New Roman" w:hAnsi="Times New Roman" w:eastAsia="宋体" w:cs="Times New Roman"/>
                <w:i w:val="0"/>
                <w:iCs w:val="0"/>
                <w:snapToGrid w:val="0"/>
                <w:color w:val="auto"/>
                <w:kern w:val="0"/>
                <w:sz w:val="21"/>
                <w:szCs w:val="21"/>
                <w:u w:val="none"/>
                <w:lang w:val="en-US" w:eastAsia="zh-CN" w:bidi="ar"/>
              </w:rPr>
              <w:t>0</w:t>
            </w:r>
            <w:bookmarkEnd w:id="1840"/>
          </w:p>
        </w:tc>
      </w:tr>
      <w:tr w14:paraId="4C0D2D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704" w:type="dxa"/>
            <w:tcBorders>
              <w:tl2br w:val="nil"/>
              <w:tr2bl w:val="nil"/>
            </w:tcBorders>
            <w:vAlign w:val="center"/>
          </w:tcPr>
          <w:p w14:paraId="432C1F67">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969" w:type="dxa"/>
            <w:tcBorders>
              <w:tl2br w:val="nil"/>
              <w:tr2bl w:val="nil"/>
            </w:tcBorders>
            <w:shd w:val="clear" w:color="auto" w:fill="auto"/>
            <w:vAlign w:val="center"/>
          </w:tcPr>
          <w:p w14:paraId="0FC6B23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印刷和记录媒介复制业</w:t>
            </w:r>
          </w:p>
        </w:tc>
        <w:tc>
          <w:tcPr>
            <w:tcW w:w="1458" w:type="dxa"/>
            <w:tcBorders>
              <w:tl2br w:val="nil"/>
              <w:tr2bl w:val="nil"/>
            </w:tcBorders>
            <w:shd w:val="clear" w:color="auto" w:fill="auto"/>
            <w:vAlign w:val="center"/>
          </w:tcPr>
          <w:p w14:paraId="2DC338F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0.004</w:t>
            </w:r>
          </w:p>
        </w:tc>
        <w:tc>
          <w:tcPr>
            <w:tcW w:w="1363" w:type="dxa"/>
            <w:tcBorders>
              <w:tl2br w:val="nil"/>
              <w:tr2bl w:val="nil"/>
            </w:tcBorders>
            <w:shd w:val="clear" w:color="auto" w:fill="auto"/>
            <w:vAlign w:val="center"/>
          </w:tcPr>
          <w:p w14:paraId="6449C77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0.0068</w:t>
            </w:r>
          </w:p>
        </w:tc>
        <w:tc>
          <w:tcPr>
            <w:tcW w:w="1359" w:type="dxa"/>
            <w:tcBorders>
              <w:tl2br w:val="nil"/>
              <w:tr2bl w:val="nil"/>
            </w:tcBorders>
            <w:shd w:val="clear" w:color="auto" w:fill="auto"/>
            <w:vAlign w:val="center"/>
          </w:tcPr>
          <w:p w14:paraId="4F1041B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0.001</w:t>
            </w:r>
          </w:p>
        </w:tc>
        <w:tc>
          <w:tcPr>
            <w:tcW w:w="1364" w:type="dxa"/>
            <w:tcBorders>
              <w:tl2br w:val="nil"/>
              <w:tr2bl w:val="nil"/>
            </w:tcBorders>
            <w:vAlign w:val="center"/>
          </w:tcPr>
          <w:p w14:paraId="76EAA8BE">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2.5121</w:t>
            </w:r>
          </w:p>
        </w:tc>
      </w:tr>
      <w:tr w14:paraId="4C11D8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4" w:type="dxa"/>
            <w:tcBorders>
              <w:tl2br w:val="nil"/>
              <w:tr2bl w:val="nil"/>
            </w:tcBorders>
            <w:vAlign w:val="center"/>
          </w:tcPr>
          <w:p w14:paraId="671CE4AD">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969" w:type="dxa"/>
            <w:tcBorders>
              <w:tl2br w:val="nil"/>
              <w:tr2bl w:val="nil"/>
            </w:tcBorders>
            <w:shd w:val="clear" w:color="auto" w:fill="auto"/>
            <w:vAlign w:val="center"/>
          </w:tcPr>
          <w:p w14:paraId="7478477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生物医药业</w:t>
            </w:r>
          </w:p>
        </w:tc>
        <w:tc>
          <w:tcPr>
            <w:tcW w:w="1458" w:type="dxa"/>
            <w:tcBorders>
              <w:tl2br w:val="nil"/>
              <w:tr2bl w:val="nil"/>
            </w:tcBorders>
            <w:shd w:val="clear" w:color="auto" w:fill="auto"/>
            <w:vAlign w:val="center"/>
          </w:tcPr>
          <w:p w14:paraId="1C096A7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63" w:type="dxa"/>
            <w:tcBorders>
              <w:tl2br w:val="nil"/>
              <w:tr2bl w:val="nil"/>
            </w:tcBorders>
            <w:shd w:val="clear" w:color="auto" w:fill="auto"/>
            <w:vAlign w:val="center"/>
          </w:tcPr>
          <w:p w14:paraId="6CE7772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59" w:type="dxa"/>
            <w:tcBorders>
              <w:tl2br w:val="nil"/>
              <w:tr2bl w:val="nil"/>
            </w:tcBorders>
            <w:shd w:val="clear" w:color="auto" w:fill="auto"/>
            <w:vAlign w:val="center"/>
          </w:tcPr>
          <w:p w14:paraId="303FC18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0.0884</w:t>
            </w:r>
          </w:p>
        </w:tc>
        <w:tc>
          <w:tcPr>
            <w:tcW w:w="1364" w:type="dxa"/>
            <w:tcBorders>
              <w:tl2br w:val="nil"/>
              <w:tr2bl w:val="nil"/>
            </w:tcBorders>
            <w:shd w:val="clear" w:color="auto" w:fill="auto"/>
            <w:vAlign w:val="center"/>
          </w:tcPr>
          <w:p w14:paraId="7D3EA0F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0.272</w:t>
            </w:r>
            <w:r>
              <w:rPr>
                <w:rFonts w:hint="eastAsia" w:ascii="Times New Roman" w:hAnsi="Times New Roman" w:eastAsia="宋体" w:cs="Times New Roman"/>
                <w:i w:val="0"/>
                <w:iCs w:val="0"/>
                <w:snapToGrid w:val="0"/>
                <w:color w:val="auto"/>
                <w:kern w:val="0"/>
                <w:sz w:val="21"/>
                <w:szCs w:val="21"/>
                <w:u w:val="none"/>
                <w:lang w:val="en-US" w:eastAsia="zh-CN" w:bidi="ar"/>
              </w:rPr>
              <w:t>7</w:t>
            </w:r>
          </w:p>
        </w:tc>
      </w:tr>
      <w:tr w14:paraId="21B49E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704" w:type="dxa"/>
            <w:tcBorders>
              <w:tl2br w:val="nil"/>
              <w:tr2bl w:val="nil"/>
            </w:tcBorders>
            <w:vAlign w:val="center"/>
          </w:tcPr>
          <w:p w14:paraId="5DB3F1E3">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1969" w:type="dxa"/>
            <w:tcBorders>
              <w:tl2br w:val="nil"/>
              <w:tr2bl w:val="nil"/>
            </w:tcBorders>
            <w:shd w:val="clear" w:color="auto" w:fill="auto"/>
            <w:vAlign w:val="center"/>
          </w:tcPr>
          <w:p w14:paraId="1ED956F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橡胶和塑料制品业</w:t>
            </w:r>
          </w:p>
        </w:tc>
        <w:tc>
          <w:tcPr>
            <w:tcW w:w="1458" w:type="dxa"/>
            <w:tcBorders>
              <w:tl2br w:val="nil"/>
              <w:tr2bl w:val="nil"/>
            </w:tcBorders>
            <w:shd w:val="clear" w:color="auto" w:fill="auto"/>
            <w:vAlign w:val="center"/>
          </w:tcPr>
          <w:p w14:paraId="3FC12AB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0.39</w:t>
            </w:r>
          </w:p>
        </w:tc>
        <w:tc>
          <w:tcPr>
            <w:tcW w:w="1363" w:type="dxa"/>
            <w:tcBorders>
              <w:tl2br w:val="nil"/>
              <w:tr2bl w:val="nil"/>
            </w:tcBorders>
            <w:shd w:val="clear" w:color="auto" w:fill="auto"/>
            <w:vAlign w:val="center"/>
          </w:tcPr>
          <w:p w14:paraId="292CDC5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0.65</w:t>
            </w:r>
          </w:p>
        </w:tc>
        <w:tc>
          <w:tcPr>
            <w:tcW w:w="1359" w:type="dxa"/>
            <w:tcBorders>
              <w:tl2br w:val="nil"/>
              <w:tr2bl w:val="nil"/>
            </w:tcBorders>
            <w:shd w:val="clear" w:color="auto" w:fill="auto"/>
            <w:vAlign w:val="center"/>
          </w:tcPr>
          <w:p w14:paraId="7303375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0.1369</w:t>
            </w:r>
          </w:p>
        </w:tc>
        <w:tc>
          <w:tcPr>
            <w:tcW w:w="1364" w:type="dxa"/>
            <w:tcBorders>
              <w:tl2br w:val="nil"/>
              <w:tr2bl w:val="nil"/>
            </w:tcBorders>
            <w:shd w:val="clear" w:color="auto" w:fill="auto"/>
            <w:vAlign w:val="center"/>
          </w:tcPr>
          <w:p w14:paraId="5CE01CC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29.414</w:t>
            </w:r>
          </w:p>
        </w:tc>
      </w:tr>
      <w:tr w14:paraId="28056D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90" w:hRule="atLeast"/>
          <w:jc w:val="center"/>
        </w:trPr>
        <w:tc>
          <w:tcPr>
            <w:tcW w:w="704" w:type="dxa"/>
            <w:tcBorders>
              <w:tl2br w:val="nil"/>
              <w:tr2bl w:val="nil"/>
            </w:tcBorders>
            <w:vAlign w:val="center"/>
          </w:tcPr>
          <w:p w14:paraId="11AF8BE9">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1969" w:type="dxa"/>
            <w:tcBorders>
              <w:tl2br w:val="nil"/>
              <w:tr2bl w:val="nil"/>
            </w:tcBorders>
            <w:shd w:val="clear" w:color="auto" w:fill="auto"/>
            <w:vAlign w:val="center"/>
          </w:tcPr>
          <w:p w14:paraId="36790714">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SA"/>
              </w:rPr>
            </w:pPr>
            <w:r>
              <w:rPr>
                <w:rFonts w:hint="eastAsia" w:ascii="宋体" w:hAnsi="宋体" w:eastAsia="宋体" w:cs="宋体"/>
                <w:i w:val="0"/>
                <w:iCs w:val="0"/>
                <w:snapToGrid w:val="0"/>
                <w:color w:val="auto"/>
                <w:kern w:val="0"/>
                <w:sz w:val="21"/>
                <w:szCs w:val="21"/>
                <w:u w:val="none"/>
                <w:lang w:val="en-US" w:eastAsia="zh-CN" w:bidi="ar"/>
              </w:rPr>
              <w:t>非金属矿物制品业</w:t>
            </w:r>
          </w:p>
        </w:tc>
        <w:tc>
          <w:tcPr>
            <w:tcW w:w="1458" w:type="dxa"/>
            <w:tcBorders>
              <w:tl2br w:val="nil"/>
              <w:tr2bl w:val="nil"/>
            </w:tcBorders>
            <w:shd w:val="clear" w:color="auto" w:fill="auto"/>
            <w:vAlign w:val="center"/>
          </w:tcPr>
          <w:p w14:paraId="11DA652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63" w:type="dxa"/>
            <w:tcBorders>
              <w:tl2br w:val="nil"/>
              <w:tr2bl w:val="nil"/>
            </w:tcBorders>
            <w:shd w:val="clear" w:color="auto" w:fill="auto"/>
            <w:vAlign w:val="center"/>
          </w:tcPr>
          <w:p w14:paraId="1FA1D87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59" w:type="dxa"/>
            <w:tcBorders>
              <w:tl2br w:val="nil"/>
              <w:tr2bl w:val="nil"/>
            </w:tcBorders>
            <w:shd w:val="clear" w:color="auto" w:fill="auto"/>
            <w:vAlign w:val="center"/>
          </w:tcPr>
          <w:p w14:paraId="720BC79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1.564</w:t>
            </w:r>
          </w:p>
        </w:tc>
        <w:tc>
          <w:tcPr>
            <w:tcW w:w="1364" w:type="dxa"/>
            <w:tcBorders>
              <w:tl2br w:val="nil"/>
              <w:tr2bl w:val="nil"/>
            </w:tcBorders>
            <w:shd w:val="clear" w:color="auto" w:fill="auto"/>
            <w:vAlign w:val="center"/>
          </w:tcPr>
          <w:p w14:paraId="2325B95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3.084</w:t>
            </w:r>
          </w:p>
        </w:tc>
      </w:tr>
      <w:tr w14:paraId="7D6A2C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533" w:hRule="atLeast"/>
          <w:jc w:val="center"/>
        </w:trPr>
        <w:tc>
          <w:tcPr>
            <w:tcW w:w="704" w:type="dxa"/>
            <w:tcBorders>
              <w:tl2br w:val="nil"/>
              <w:tr2bl w:val="nil"/>
            </w:tcBorders>
            <w:vAlign w:val="center"/>
          </w:tcPr>
          <w:p w14:paraId="65810BCD">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1969" w:type="dxa"/>
            <w:tcBorders>
              <w:tl2br w:val="nil"/>
              <w:tr2bl w:val="nil"/>
            </w:tcBorders>
            <w:shd w:val="clear" w:color="auto" w:fill="auto"/>
            <w:vAlign w:val="center"/>
          </w:tcPr>
          <w:p w14:paraId="4A19FC5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有色金属冶炼和压延加工业</w:t>
            </w:r>
          </w:p>
        </w:tc>
        <w:tc>
          <w:tcPr>
            <w:tcW w:w="1458" w:type="dxa"/>
            <w:tcBorders>
              <w:tl2br w:val="nil"/>
              <w:tr2bl w:val="nil"/>
            </w:tcBorders>
            <w:shd w:val="clear" w:color="auto" w:fill="auto"/>
            <w:vAlign w:val="center"/>
          </w:tcPr>
          <w:p w14:paraId="340B069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63" w:type="dxa"/>
            <w:tcBorders>
              <w:tl2br w:val="nil"/>
              <w:tr2bl w:val="nil"/>
            </w:tcBorders>
            <w:shd w:val="clear" w:color="auto" w:fill="auto"/>
            <w:vAlign w:val="center"/>
          </w:tcPr>
          <w:p w14:paraId="40A848F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59" w:type="dxa"/>
            <w:tcBorders>
              <w:tl2br w:val="nil"/>
              <w:tr2bl w:val="nil"/>
            </w:tcBorders>
            <w:shd w:val="clear" w:color="auto" w:fill="auto"/>
            <w:vAlign w:val="center"/>
          </w:tcPr>
          <w:p w14:paraId="61EB270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0.3869</w:t>
            </w:r>
          </w:p>
        </w:tc>
        <w:tc>
          <w:tcPr>
            <w:tcW w:w="1364" w:type="dxa"/>
            <w:tcBorders>
              <w:tl2br w:val="nil"/>
              <w:tr2bl w:val="nil"/>
            </w:tcBorders>
            <w:shd w:val="clear" w:color="auto" w:fill="auto"/>
            <w:vAlign w:val="center"/>
          </w:tcPr>
          <w:p w14:paraId="2F30C0F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0.0155</w:t>
            </w:r>
          </w:p>
        </w:tc>
      </w:tr>
      <w:tr w14:paraId="2B9BA1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04" w:type="dxa"/>
            <w:tcBorders>
              <w:tl2br w:val="nil"/>
              <w:tr2bl w:val="nil"/>
            </w:tcBorders>
            <w:vAlign w:val="center"/>
          </w:tcPr>
          <w:p w14:paraId="1ACF4291">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1969" w:type="dxa"/>
            <w:tcBorders>
              <w:tl2br w:val="nil"/>
              <w:tr2bl w:val="nil"/>
            </w:tcBorders>
            <w:shd w:val="clear" w:color="auto" w:fill="auto"/>
            <w:vAlign w:val="center"/>
          </w:tcPr>
          <w:p w14:paraId="67A2B6F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金属制品业</w:t>
            </w:r>
          </w:p>
        </w:tc>
        <w:tc>
          <w:tcPr>
            <w:tcW w:w="1458" w:type="dxa"/>
            <w:tcBorders>
              <w:tl2br w:val="nil"/>
              <w:tr2bl w:val="nil"/>
            </w:tcBorders>
            <w:shd w:val="clear" w:color="auto" w:fill="auto"/>
            <w:vAlign w:val="center"/>
          </w:tcPr>
          <w:p w14:paraId="56304DD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63" w:type="dxa"/>
            <w:tcBorders>
              <w:tl2br w:val="nil"/>
              <w:tr2bl w:val="nil"/>
            </w:tcBorders>
            <w:shd w:val="clear" w:color="auto" w:fill="auto"/>
            <w:vAlign w:val="center"/>
          </w:tcPr>
          <w:p w14:paraId="7711DC9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59" w:type="dxa"/>
            <w:tcBorders>
              <w:tl2br w:val="nil"/>
              <w:tr2bl w:val="nil"/>
            </w:tcBorders>
            <w:shd w:val="clear" w:color="auto" w:fill="auto"/>
            <w:vAlign w:val="center"/>
          </w:tcPr>
          <w:p w14:paraId="768E61A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0.244</w:t>
            </w:r>
            <w:r>
              <w:rPr>
                <w:rFonts w:hint="eastAsia" w:ascii="Times New Roman" w:hAnsi="Times New Roman" w:eastAsia="宋体" w:cs="Times New Roman"/>
                <w:i w:val="0"/>
                <w:iCs w:val="0"/>
                <w:snapToGrid w:val="0"/>
                <w:color w:val="auto"/>
                <w:kern w:val="0"/>
                <w:sz w:val="21"/>
                <w:szCs w:val="21"/>
                <w:u w:val="none"/>
                <w:lang w:val="en-US" w:eastAsia="zh-CN" w:bidi="ar"/>
              </w:rPr>
              <w:t>8</w:t>
            </w:r>
          </w:p>
        </w:tc>
        <w:tc>
          <w:tcPr>
            <w:tcW w:w="1364" w:type="dxa"/>
            <w:tcBorders>
              <w:tl2br w:val="nil"/>
              <w:tr2bl w:val="nil"/>
            </w:tcBorders>
            <w:shd w:val="clear" w:color="auto" w:fill="auto"/>
            <w:vAlign w:val="center"/>
          </w:tcPr>
          <w:p w14:paraId="54FA3FB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0.646</w:t>
            </w:r>
            <w:r>
              <w:rPr>
                <w:rFonts w:hint="eastAsia" w:ascii="Times New Roman" w:hAnsi="Times New Roman" w:eastAsia="宋体" w:cs="Times New Roman"/>
                <w:i w:val="0"/>
                <w:iCs w:val="0"/>
                <w:snapToGrid w:val="0"/>
                <w:color w:val="auto"/>
                <w:kern w:val="0"/>
                <w:sz w:val="21"/>
                <w:szCs w:val="21"/>
                <w:u w:val="none"/>
                <w:lang w:val="en-US" w:eastAsia="zh-CN" w:bidi="ar"/>
              </w:rPr>
              <w:t>4</w:t>
            </w:r>
          </w:p>
        </w:tc>
      </w:tr>
      <w:tr w14:paraId="6B1589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04" w:type="dxa"/>
            <w:tcBorders>
              <w:tl2br w:val="nil"/>
              <w:tr2bl w:val="nil"/>
            </w:tcBorders>
            <w:vAlign w:val="center"/>
          </w:tcPr>
          <w:p w14:paraId="59CAB1E5">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w:t>
            </w:r>
          </w:p>
        </w:tc>
        <w:tc>
          <w:tcPr>
            <w:tcW w:w="1969" w:type="dxa"/>
            <w:tcBorders>
              <w:tl2br w:val="nil"/>
              <w:tr2bl w:val="nil"/>
            </w:tcBorders>
            <w:shd w:val="clear" w:color="auto" w:fill="auto"/>
            <w:vAlign w:val="center"/>
          </w:tcPr>
          <w:p w14:paraId="482585D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通用设备制造业</w:t>
            </w:r>
          </w:p>
        </w:tc>
        <w:tc>
          <w:tcPr>
            <w:tcW w:w="1458" w:type="dxa"/>
            <w:tcBorders>
              <w:tl2br w:val="nil"/>
              <w:tr2bl w:val="nil"/>
            </w:tcBorders>
            <w:shd w:val="clear" w:color="auto" w:fill="auto"/>
            <w:vAlign w:val="center"/>
          </w:tcPr>
          <w:p w14:paraId="35CE37E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0.5</w:t>
            </w:r>
          </w:p>
        </w:tc>
        <w:tc>
          <w:tcPr>
            <w:tcW w:w="1363" w:type="dxa"/>
            <w:tcBorders>
              <w:tl2br w:val="nil"/>
              <w:tr2bl w:val="nil"/>
            </w:tcBorders>
            <w:shd w:val="clear" w:color="auto" w:fill="auto"/>
            <w:vAlign w:val="center"/>
          </w:tcPr>
          <w:p w14:paraId="5BE836B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0.8</w:t>
            </w:r>
          </w:p>
        </w:tc>
        <w:tc>
          <w:tcPr>
            <w:tcW w:w="1359" w:type="dxa"/>
            <w:tcBorders>
              <w:tl2br w:val="nil"/>
              <w:tr2bl w:val="nil"/>
            </w:tcBorders>
            <w:shd w:val="clear" w:color="auto" w:fill="auto"/>
            <w:vAlign w:val="center"/>
          </w:tcPr>
          <w:p w14:paraId="786D19A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2.334</w:t>
            </w:r>
            <w:r>
              <w:rPr>
                <w:rFonts w:hint="eastAsia" w:ascii="Times New Roman" w:hAnsi="Times New Roman" w:eastAsia="宋体" w:cs="Times New Roman"/>
                <w:i w:val="0"/>
                <w:iCs w:val="0"/>
                <w:snapToGrid w:val="0"/>
                <w:color w:val="auto"/>
                <w:kern w:val="0"/>
                <w:sz w:val="21"/>
                <w:szCs w:val="21"/>
                <w:u w:val="none"/>
                <w:lang w:val="en-US" w:eastAsia="zh-CN" w:bidi="ar"/>
              </w:rPr>
              <w:t>4</w:t>
            </w:r>
          </w:p>
        </w:tc>
        <w:tc>
          <w:tcPr>
            <w:tcW w:w="1364" w:type="dxa"/>
            <w:tcBorders>
              <w:tl2br w:val="nil"/>
              <w:tr2bl w:val="nil"/>
            </w:tcBorders>
            <w:shd w:val="clear" w:color="auto" w:fill="auto"/>
            <w:vAlign w:val="center"/>
          </w:tcPr>
          <w:p w14:paraId="0A5CF68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1.583</w:t>
            </w:r>
            <w:r>
              <w:rPr>
                <w:rFonts w:hint="eastAsia" w:ascii="Times New Roman" w:hAnsi="Times New Roman" w:eastAsia="宋体" w:cs="Times New Roman"/>
                <w:i w:val="0"/>
                <w:iCs w:val="0"/>
                <w:snapToGrid w:val="0"/>
                <w:color w:val="auto"/>
                <w:kern w:val="0"/>
                <w:sz w:val="21"/>
                <w:szCs w:val="21"/>
                <w:u w:val="none"/>
                <w:lang w:val="en-US" w:eastAsia="zh-CN" w:bidi="ar"/>
              </w:rPr>
              <w:t>9</w:t>
            </w:r>
          </w:p>
        </w:tc>
      </w:tr>
      <w:tr w14:paraId="405311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04" w:type="dxa"/>
            <w:tcBorders>
              <w:tl2br w:val="nil"/>
              <w:tr2bl w:val="nil"/>
            </w:tcBorders>
            <w:vAlign w:val="center"/>
          </w:tcPr>
          <w:p w14:paraId="25862F88">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1969" w:type="dxa"/>
            <w:tcBorders>
              <w:tl2br w:val="nil"/>
              <w:tr2bl w:val="nil"/>
            </w:tcBorders>
            <w:shd w:val="clear" w:color="auto" w:fill="auto"/>
            <w:vAlign w:val="center"/>
          </w:tcPr>
          <w:p w14:paraId="033B6D9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专用设备制造业</w:t>
            </w:r>
          </w:p>
        </w:tc>
        <w:tc>
          <w:tcPr>
            <w:tcW w:w="1458" w:type="dxa"/>
            <w:tcBorders>
              <w:tl2br w:val="nil"/>
              <w:tr2bl w:val="nil"/>
            </w:tcBorders>
            <w:shd w:val="clear" w:color="auto" w:fill="auto"/>
            <w:vAlign w:val="center"/>
          </w:tcPr>
          <w:p w14:paraId="2D5BCB9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63" w:type="dxa"/>
            <w:tcBorders>
              <w:tl2br w:val="nil"/>
              <w:tr2bl w:val="nil"/>
            </w:tcBorders>
            <w:shd w:val="clear" w:color="auto" w:fill="auto"/>
            <w:vAlign w:val="center"/>
          </w:tcPr>
          <w:p w14:paraId="27180E5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59" w:type="dxa"/>
            <w:tcBorders>
              <w:tl2br w:val="nil"/>
              <w:tr2bl w:val="nil"/>
            </w:tcBorders>
            <w:shd w:val="clear" w:color="auto" w:fill="auto"/>
            <w:vAlign w:val="center"/>
          </w:tcPr>
          <w:p w14:paraId="08A2DEA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r>
              <w:rPr>
                <w:rFonts w:hint="eastAsia" w:ascii="Times New Roman" w:hAnsi="Times New Roman" w:eastAsia="宋体" w:cs="Times New Roman"/>
                <w:i w:val="0"/>
                <w:iCs w:val="0"/>
                <w:snapToGrid w:val="0"/>
                <w:color w:val="auto"/>
                <w:kern w:val="0"/>
                <w:sz w:val="21"/>
                <w:szCs w:val="21"/>
                <w:u w:val="none"/>
                <w:lang w:val="en-US" w:eastAsia="zh-CN" w:bidi="ar"/>
              </w:rPr>
              <w:t>3771</w:t>
            </w:r>
          </w:p>
        </w:tc>
        <w:tc>
          <w:tcPr>
            <w:tcW w:w="1364" w:type="dxa"/>
            <w:tcBorders>
              <w:tl2br w:val="nil"/>
              <w:tr2bl w:val="nil"/>
            </w:tcBorders>
            <w:shd w:val="clear" w:color="auto" w:fill="auto"/>
            <w:vAlign w:val="center"/>
          </w:tcPr>
          <w:p w14:paraId="42F68EE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1.91</w:t>
            </w:r>
            <w:r>
              <w:rPr>
                <w:rFonts w:hint="eastAsia" w:ascii="Times New Roman" w:hAnsi="Times New Roman" w:eastAsia="宋体" w:cs="Times New Roman"/>
                <w:i w:val="0"/>
                <w:iCs w:val="0"/>
                <w:snapToGrid w:val="0"/>
                <w:color w:val="auto"/>
                <w:kern w:val="0"/>
                <w:sz w:val="21"/>
                <w:szCs w:val="21"/>
                <w:u w:val="none"/>
                <w:lang w:val="en-US" w:eastAsia="zh-CN" w:bidi="ar"/>
              </w:rPr>
              <w:t>06</w:t>
            </w:r>
          </w:p>
        </w:tc>
      </w:tr>
      <w:tr w14:paraId="653F63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4" w:type="dxa"/>
            <w:tcBorders>
              <w:tl2br w:val="nil"/>
              <w:tr2bl w:val="nil"/>
            </w:tcBorders>
            <w:shd w:val="clear" w:color="auto" w:fill="auto"/>
            <w:vAlign w:val="center"/>
          </w:tcPr>
          <w:p w14:paraId="522D1937">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11</w:t>
            </w:r>
          </w:p>
        </w:tc>
        <w:tc>
          <w:tcPr>
            <w:tcW w:w="1969" w:type="dxa"/>
            <w:tcBorders>
              <w:tl2br w:val="nil"/>
              <w:tr2bl w:val="nil"/>
            </w:tcBorders>
            <w:shd w:val="clear" w:color="auto" w:fill="auto"/>
            <w:vAlign w:val="center"/>
          </w:tcPr>
          <w:p w14:paraId="06D695E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汽车制造业</w:t>
            </w:r>
          </w:p>
        </w:tc>
        <w:tc>
          <w:tcPr>
            <w:tcW w:w="1458" w:type="dxa"/>
            <w:tcBorders>
              <w:tl2br w:val="nil"/>
              <w:tr2bl w:val="nil"/>
            </w:tcBorders>
            <w:shd w:val="clear" w:color="auto" w:fill="auto"/>
            <w:vAlign w:val="center"/>
          </w:tcPr>
          <w:p w14:paraId="0AFE782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26.686</w:t>
            </w:r>
            <w:r>
              <w:rPr>
                <w:rFonts w:hint="eastAsia" w:ascii="Times New Roman" w:hAnsi="Times New Roman" w:eastAsia="宋体" w:cs="Times New Roman"/>
                <w:i w:val="0"/>
                <w:iCs w:val="0"/>
                <w:snapToGrid w:val="0"/>
                <w:color w:val="auto"/>
                <w:kern w:val="0"/>
                <w:sz w:val="21"/>
                <w:szCs w:val="21"/>
                <w:u w:val="none"/>
                <w:lang w:val="en-US" w:eastAsia="zh-CN" w:bidi="ar"/>
              </w:rPr>
              <w:t>4</w:t>
            </w:r>
          </w:p>
        </w:tc>
        <w:tc>
          <w:tcPr>
            <w:tcW w:w="1363" w:type="dxa"/>
            <w:tcBorders>
              <w:tl2br w:val="nil"/>
              <w:tr2bl w:val="nil"/>
            </w:tcBorders>
            <w:shd w:val="clear" w:color="auto" w:fill="auto"/>
            <w:vAlign w:val="center"/>
          </w:tcPr>
          <w:p w14:paraId="4994032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117.5735</w:t>
            </w:r>
          </w:p>
        </w:tc>
        <w:tc>
          <w:tcPr>
            <w:tcW w:w="1359" w:type="dxa"/>
            <w:tcBorders>
              <w:tl2br w:val="nil"/>
              <w:tr2bl w:val="nil"/>
            </w:tcBorders>
            <w:shd w:val="clear" w:color="auto" w:fill="auto"/>
            <w:vAlign w:val="center"/>
          </w:tcPr>
          <w:p w14:paraId="20ED360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70.795</w:t>
            </w:r>
          </w:p>
        </w:tc>
        <w:tc>
          <w:tcPr>
            <w:tcW w:w="1364" w:type="dxa"/>
            <w:tcBorders>
              <w:tl2br w:val="nil"/>
              <w:tr2bl w:val="nil"/>
            </w:tcBorders>
            <w:shd w:val="clear" w:color="auto" w:fill="auto"/>
            <w:vAlign w:val="center"/>
          </w:tcPr>
          <w:p w14:paraId="397EF05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142.0506</w:t>
            </w:r>
          </w:p>
        </w:tc>
      </w:tr>
      <w:tr w14:paraId="4C95ED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704" w:type="dxa"/>
            <w:tcBorders>
              <w:tl2br w:val="nil"/>
              <w:tr2bl w:val="nil"/>
            </w:tcBorders>
            <w:shd w:val="clear" w:color="auto" w:fill="auto"/>
            <w:vAlign w:val="center"/>
          </w:tcPr>
          <w:p w14:paraId="1D42623B">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12</w:t>
            </w:r>
          </w:p>
        </w:tc>
        <w:tc>
          <w:tcPr>
            <w:tcW w:w="1969" w:type="dxa"/>
            <w:tcBorders>
              <w:tl2br w:val="nil"/>
              <w:tr2bl w:val="nil"/>
            </w:tcBorders>
            <w:shd w:val="clear" w:color="auto" w:fill="auto"/>
            <w:vAlign w:val="center"/>
          </w:tcPr>
          <w:p w14:paraId="034C171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铁路、船舶、航空航天和其他运输设备制造业</w:t>
            </w:r>
          </w:p>
        </w:tc>
        <w:tc>
          <w:tcPr>
            <w:tcW w:w="1458" w:type="dxa"/>
            <w:tcBorders>
              <w:tl2br w:val="nil"/>
              <w:tr2bl w:val="nil"/>
            </w:tcBorders>
            <w:shd w:val="clear" w:color="auto" w:fill="auto"/>
            <w:vAlign w:val="center"/>
          </w:tcPr>
          <w:p w14:paraId="192C2B9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63" w:type="dxa"/>
            <w:tcBorders>
              <w:tl2br w:val="nil"/>
              <w:tr2bl w:val="nil"/>
            </w:tcBorders>
            <w:shd w:val="clear" w:color="auto" w:fill="auto"/>
            <w:vAlign w:val="center"/>
          </w:tcPr>
          <w:p w14:paraId="6572E54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59" w:type="dxa"/>
            <w:tcBorders>
              <w:tl2br w:val="nil"/>
              <w:tr2bl w:val="nil"/>
            </w:tcBorders>
            <w:shd w:val="clear" w:color="auto" w:fill="auto"/>
            <w:vAlign w:val="center"/>
          </w:tcPr>
          <w:p w14:paraId="09FAF04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0.535</w:t>
            </w:r>
          </w:p>
        </w:tc>
        <w:tc>
          <w:tcPr>
            <w:tcW w:w="1364" w:type="dxa"/>
            <w:tcBorders>
              <w:tl2br w:val="nil"/>
              <w:tr2bl w:val="nil"/>
            </w:tcBorders>
            <w:shd w:val="clear" w:color="auto" w:fill="auto"/>
            <w:vAlign w:val="center"/>
          </w:tcPr>
          <w:p w14:paraId="5C82F9D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0.0378</w:t>
            </w:r>
          </w:p>
        </w:tc>
      </w:tr>
      <w:tr w14:paraId="55D752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704" w:type="dxa"/>
            <w:tcBorders>
              <w:tl2br w:val="nil"/>
              <w:tr2bl w:val="nil"/>
            </w:tcBorders>
            <w:shd w:val="clear" w:color="auto" w:fill="auto"/>
            <w:vAlign w:val="center"/>
          </w:tcPr>
          <w:p w14:paraId="7652B4DA">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13</w:t>
            </w:r>
          </w:p>
        </w:tc>
        <w:tc>
          <w:tcPr>
            <w:tcW w:w="1969" w:type="dxa"/>
            <w:tcBorders>
              <w:tl2br w:val="nil"/>
              <w:tr2bl w:val="nil"/>
            </w:tcBorders>
            <w:shd w:val="clear" w:color="auto" w:fill="auto"/>
            <w:vAlign w:val="center"/>
          </w:tcPr>
          <w:p w14:paraId="00C08BB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电气机械和器材制造业</w:t>
            </w:r>
          </w:p>
        </w:tc>
        <w:tc>
          <w:tcPr>
            <w:tcW w:w="1458" w:type="dxa"/>
            <w:tcBorders>
              <w:tl2br w:val="nil"/>
              <w:tr2bl w:val="nil"/>
            </w:tcBorders>
            <w:shd w:val="clear" w:color="auto" w:fill="auto"/>
            <w:vAlign w:val="center"/>
          </w:tcPr>
          <w:p w14:paraId="01AD3AB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63" w:type="dxa"/>
            <w:tcBorders>
              <w:tl2br w:val="nil"/>
              <w:tr2bl w:val="nil"/>
            </w:tcBorders>
            <w:shd w:val="clear" w:color="auto" w:fill="auto"/>
            <w:vAlign w:val="center"/>
          </w:tcPr>
          <w:p w14:paraId="2876288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59" w:type="dxa"/>
            <w:tcBorders>
              <w:tl2br w:val="nil"/>
              <w:tr2bl w:val="nil"/>
            </w:tcBorders>
            <w:shd w:val="clear" w:color="auto" w:fill="auto"/>
            <w:vAlign w:val="center"/>
          </w:tcPr>
          <w:p w14:paraId="694F57E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0.030</w:t>
            </w:r>
            <w:r>
              <w:rPr>
                <w:rFonts w:hint="eastAsia" w:ascii="Times New Roman" w:hAnsi="Times New Roman" w:eastAsia="宋体" w:cs="Times New Roman"/>
                <w:i w:val="0"/>
                <w:iCs w:val="0"/>
                <w:snapToGrid w:val="0"/>
                <w:color w:val="auto"/>
                <w:kern w:val="0"/>
                <w:sz w:val="21"/>
                <w:szCs w:val="21"/>
                <w:u w:val="none"/>
                <w:lang w:val="en-US" w:eastAsia="zh-CN" w:bidi="ar"/>
              </w:rPr>
              <w:t>7</w:t>
            </w:r>
          </w:p>
        </w:tc>
        <w:tc>
          <w:tcPr>
            <w:tcW w:w="1364" w:type="dxa"/>
            <w:tcBorders>
              <w:tl2br w:val="nil"/>
              <w:tr2bl w:val="nil"/>
            </w:tcBorders>
            <w:shd w:val="clear" w:color="auto" w:fill="auto"/>
            <w:vAlign w:val="center"/>
          </w:tcPr>
          <w:p w14:paraId="15B459E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0.9402</w:t>
            </w:r>
          </w:p>
        </w:tc>
      </w:tr>
      <w:tr w14:paraId="3E7FB6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04" w:type="dxa"/>
            <w:tcBorders>
              <w:tl2br w:val="nil"/>
              <w:tr2bl w:val="nil"/>
            </w:tcBorders>
            <w:shd w:val="clear" w:color="auto" w:fill="auto"/>
            <w:vAlign w:val="center"/>
          </w:tcPr>
          <w:p w14:paraId="154F8D8C">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14</w:t>
            </w:r>
          </w:p>
        </w:tc>
        <w:tc>
          <w:tcPr>
            <w:tcW w:w="1969" w:type="dxa"/>
            <w:tcBorders>
              <w:tl2br w:val="nil"/>
              <w:tr2bl w:val="nil"/>
            </w:tcBorders>
            <w:shd w:val="clear" w:color="auto" w:fill="auto"/>
            <w:vAlign w:val="center"/>
          </w:tcPr>
          <w:p w14:paraId="712E01D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计算机、通信和其他电子设备制造业</w:t>
            </w:r>
          </w:p>
        </w:tc>
        <w:tc>
          <w:tcPr>
            <w:tcW w:w="1458" w:type="dxa"/>
            <w:tcBorders>
              <w:tl2br w:val="nil"/>
              <w:tr2bl w:val="nil"/>
            </w:tcBorders>
            <w:shd w:val="clear" w:color="auto" w:fill="auto"/>
            <w:vAlign w:val="center"/>
          </w:tcPr>
          <w:p w14:paraId="7BEA600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0.061</w:t>
            </w:r>
          </w:p>
        </w:tc>
        <w:tc>
          <w:tcPr>
            <w:tcW w:w="1363" w:type="dxa"/>
            <w:tcBorders>
              <w:tl2br w:val="nil"/>
              <w:tr2bl w:val="nil"/>
            </w:tcBorders>
            <w:shd w:val="clear" w:color="auto" w:fill="auto"/>
            <w:vAlign w:val="center"/>
          </w:tcPr>
          <w:p w14:paraId="4925DC8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1.018</w:t>
            </w:r>
          </w:p>
        </w:tc>
        <w:tc>
          <w:tcPr>
            <w:tcW w:w="1359" w:type="dxa"/>
            <w:tcBorders>
              <w:tl2br w:val="nil"/>
              <w:tr2bl w:val="nil"/>
            </w:tcBorders>
            <w:shd w:val="clear" w:color="auto" w:fill="auto"/>
            <w:vAlign w:val="center"/>
          </w:tcPr>
          <w:p w14:paraId="4EFC1AA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0.3</w:t>
            </w:r>
            <w:r>
              <w:rPr>
                <w:rFonts w:hint="eastAsia" w:ascii="Times New Roman" w:hAnsi="Times New Roman" w:eastAsia="宋体" w:cs="Times New Roman"/>
                <w:i w:val="0"/>
                <w:iCs w:val="0"/>
                <w:snapToGrid w:val="0"/>
                <w:color w:val="auto"/>
                <w:kern w:val="0"/>
                <w:sz w:val="21"/>
                <w:szCs w:val="21"/>
                <w:u w:val="none"/>
                <w:lang w:val="en-US" w:eastAsia="zh-CN" w:bidi="ar"/>
              </w:rPr>
              <w:t>761</w:t>
            </w:r>
          </w:p>
        </w:tc>
        <w:tc>
          <w:tcPr>
            <w:tcW w:w="1364" w:type="dxa"/>
            <w:tcBorders>
              <w:tl2br w:val="nil"/>
              <w:tr2bl w:val="nil"/>
            </w:tcBorders>
            <w:shd w:val="clear" w:color="auto" w:fill="auto"/>
            <w:vAlign w:val="center"/>
          </w:tcPr>
          <w:p w14:paraId="7854B9B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33.</w:t>
            </w:r>
            <w:r>
              <w:rPr>
                <w:rFonts w:hint="eastAsia" w:ascii="Times New Roman" w:hAnsi="Times New Roman" w:eastAsia="宋体" w:cs="Times New Roman"/>
                <w:i w:val="0"/>
                <w:iCs w:val="0"/>
                <w:snapToGrid w:val="0"/>
                <w:color w:val="auto"/>
                <w:kern w:val="0"/>
                <w:sz w:val="21"/>
                <w:szCs w:val="21"/>
                <w:u w:val="none"/>
                <w:lang w:val="en-US" w:eastAsia="zh-CN" w:bidi="ar"/>
              </w:rPr>
              <w:t>8456</w:t>
            </w:r>
          </w:p>
        </w:tc>
      </w:tr>
      <w:tr w14:paraId="26E556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04" w:type="dxa"/>
            <w:tcBorders>
              <w:tl2br w:val="nil"/>
              <w:tr2bl w:val="nil"/>
            </w:tcBorders>
            <w:shd w:val="clear" w:color="auto" w:fill="auto"/>
            <w:vAlign w:val="center"/>
          </w:tcPr>
          <w:p w14:paraId="6B003BFE">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15</w:t>
            </w:r>
          </w:p>
        </w:tc>
        <w:tc>
          <w:tcPr>
            <w:tcW w:w="1969" w:type="dxa"/>
            <w:tcBorders>
              <w:tl2br w:val="nil"/>
              <w:tr2bl w:val="nil"/>
            </w:tcBorders>
            <w:shd w:val="clear" w:color="auto" w:fill="auto"/>
            <w:vAlign w:val="center"/>
          </w:tcPr>
          <w:p w14:paraId="09DCD7FD">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仪器仪表制造业</w:t>
            </w:r>
          </w:p>
        </w:tc>
        <w:tc>
          <w:tcPr>
            <w:tcW w:w="1458" w:type="dxa"/>
            <w:tcBorders>
              <w:tl2br w:val="nil"/>
              <w:tr2bl w:val="nil"/>
            </w:tcBorders>
            <w:shd w:val="clear" w:color="auto" w:fill="auto"/>
            <w:vAlign w:val="center"/>
          </w:tcPr>
          <w:p w14:paraId="3B5E2FA8">
            <w:pPr>
              <w:widowControl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63" w:type="dxa"/>
            <w:tcBorders>
              <w:tl2br w:val="nil"/>
              <w:tr2bl w:val="nil"/>
            </w:tcBorders>
            <w:shd w:val="clear" w:color="auto" w:fill="auto"/>
            <w:vAlign w:val="center"/>
          </w:tcPr>
          <w:p w14:paraId="0A615B97">
            <w:pPr>
              <w:widowControl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59" w:type="dxa"/>
            <w:tcBorders>
              <w:tl2br w:val="nil"/>
              <w:tr2bl w:val="nil"/>
            </w:tcBorders>
            <w:shd w:val="clear" w:color="auto" w:fill="auto"/>
            <w:vAlign w:val="center"/>
          </w:tcPr>
          <w:p w14:paraId="5B80B589">
            <w:pPr>
              <w:widowControl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64" w:type="dxa"/>
            <w:tcBorders>
              <w:tl2br w:val="nil"/>
              <w:tr2bl w:val="nil"/>
            </w:tcBorders>
            <w:shd w:val="clear" w:color="auto" w:fill="auto"/>
            <w:vAlign w:val="center"/>
          </w:tcPr>
          <w:p w14:paraId="3C180B8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0.2849</w:t>
            </w:r>
          </w:p>
        </w:tc>
      </w:tr>
      <w:tr w14:paraId="3C2FB3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704" w:type="dxa"/>
            <w:tcBorders>
              <w:tl2br w:val="nil"/>
              <w:tr2bl w:val="nil"/>
            </w:tcBorders>
            <w:shd w:val="clear" w:color="auto" w:fill="auto"/>
            <w:vAlign w:val="center"/>
          </w:tcPr>
          <w:p w14:paraId="049352F4">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16</w:t>
            </w:r>
          </w:p>
        </w:tc>
        <w:tc>
          <w:tcPr>
            <w:tcW w:w="1969" w:type="dxa"/>
            <w:tcBorders>
              <w:tl2br w:val="nil"/>
              <w:tr2bl w:val="nil"/>
            </w:tcBorders>
            <w:shd w:val="clear" w:color="auto" w:fill="auto"/>
            <w:vAlign w:val="center"/>
          </w:tcPr>
          <w:p w14:paraId="1D8251EC">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SA"/>
              </w:rPr>
            </w:pPr>
            <w:r>
              <w:rPr>
                <w:rFonts w:hint="eastAsia" w:ascii="宋体" w:hAnsi="宋体" w:eastAsia="宋体" w:cs="宋体"/>
                <w:i w:val="0"/>
                <w:iCs w:val="0"/>
                <w:snapToGrid w:val="0"/>
                <w:color w:val="auto"/>
                <w:kern w:val="0"/>
                <w:sz w:val="21"/>
                <w:szCs w:val="21"/>
                <w:u w:val="none"/>
                <w:lang w:val="en-US" w:eastAsia="zh-CN" w:bidi="ar"/>
              </w:rPr>
              <w:t>金属制品、机械和设备修理业</w:t>
            </w:r>
          </w:p>
        </w:tc>
        <w:tc>
          <w:tcPr>
            <w:tcW w:w="1458" w:type="dxa"/>
            <w:tcBorders>
              <w:tl2br w:val="nil"/>
              <w:tr2bl w:val="nil"/>
            </w:tcBorders>
            <w:shd w:val="clear" w:color="auto" w:fill="auto"/>
            <w:vAlign w:val="center"/>
          </w:tcPr>
          <w:p w14:paraId="66A11971">
            <w:pPr>
              <w:widowControl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63" w:type="dxa"/>
            <w:tcBorders>
              <w:tl2br w:val="nil"/>
              <w:tr2bl w:val="nil"/>
            </w:tcBorders>
            <w:shd w:val="clear" w:color="auto" w:fill="auto"/>
            <w:vAlign w:val="center"/>
          </w:tcPr>
          <w:p w14:paraId="64E1A83A">
            <w:pPr>
              <w:widowControl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59" w:type="dxa"/>
            <w:tcBorders>
              <w:tl2br w:val="nil"/>
              <w:tr2bl w:val="nil"/>
            </w:tcBorders>
            <w:shd w:val="clear" w:color="auto" w:fill="auto"/>
            <w:vAlign w:val="center"/>
          </w:tcPr>
          <w:p w14:paraId="71A5F945">
            <w:pPr>
              <w:widowControl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1364" w:type="dxa"/>
            <w:tcBorders>
              <w:tl2br w:val="nil"/>
              <w:tr2bl w:val="nil"/>
            </w:tcBorders>
            <w:shd w:val="clear" w:color="auto" w:fill="auto"/>
            <w:vAlign w:val="center"/>
          </w:tcPr>
          <w:p w14:paraId="19E2D6CE">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0.0072</w:t>
            </w:r>
          </w:p>
        </w:tc>
      </w:tr>
      <w:tr w14:paraId="2F7A54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704" w:type="dxa"/>
            <w:tcBorders>
              <w:tl2br w:val="nil"/>
              <w:tr2bl w:val="nil"/>
            </w:tcBorders>
            <w:shd w:val="clear" w:color="auto" w:fill="auto"/>
            <w:vAlign w:val="center"/>
          </w:tcPr>
          <w:p w14:paraId="34994120">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17</w:t>
            </w:r>
          </w:p>
        </w:tc>
        <w:tc>
          <w:tcPr>
            <w:tcW w:w="1969" w:type="dxa"/>
            <w:tcBorders>
              <w:tl2br w:val="nil"/>
              <w:tr2bl w:val="nil"/>
            </w:tcBorders>
            <w:shd w:val="clear" w:color="auto" w:fill="auto"/>
            <w:vAlign w:val="center"/>
          </w:tcPr>
          <w:p w14:paraId="33004FF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生态保护和环境治理业</w:t>
            </w:r>
          </w:p>
        </w:tc>
        <w:tc>
          <w:tcPr>
            <w:tcW w:w="1458" w:type="dxa"/>
            <w:tcBorders>
              <w:tl2br w:val="nil"/>
              <w:tr2bl w:val="nil"/>
            </w:tcBorders>
            <w:shd w:val="clear" w:color="auto" w:fill="auto"/>
            <w:vAlign w:val="center"/>
          </w:tcPr>
          <w:p w14:paraId="7362C75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2.18</w:t>
            </w:r>
          </w:p>
        </w:tc>
        <w:tc>
          <w:tcPr>
            <w:tcW w:w="1363" w:type="dxa"/>
            <w:tcBorders>
              <w:tl2br w:val="nil"/>
              <w:tr2bl w:val="nil"/>
            </w:tcBorders>
            <w:shd w:val="clear" w:color="auto" w:fill="auto"/>
            <w:vAlign w:val="center"/>
          </w:tcPr>
          <w:p w14:paraId="2FD1283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3.9852</w:t>
            </w:r>
          </w:p>
        </w:tc>
        <w:tc>
          <w:tcPr>
            <w:tcW w:w="1359" w:type="dxa"/>
            <w:tcBorders>
              <w:tl2br w:val="nil"/>
              <w:tr2bl w:val="nil"/>
            </w:tcBorders>
            <w:shd w:val="clear" w:color="auto" w:fill="auto"/>
            <w:vAlign w:val="center"/>
          </w:tcPr>
          <w:p w14:paraId="7B40A8C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2.5094</w:t>
            </w:r>
          </w:p>
        </w:tc>
        <w:tc>
          <w:tcPr>
            <w:tcW w:w="1364" w:type="dxa"/>
            <w:tcBorders>
              <w:tl2br w:val="nil"/>
              <w:tr2bl w:val="nil"/>
            </w:tcBorders>
            <w:shd w:val="clear" w:color="auto" w:fill="auto"/>
            <w:vAlign w:val="center"/>
          </w:tcPr>
          <w:p w14:paraId="7FD7498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1.05</w:t>
            </w:r>
          </w:p>
        </w:tc>
      </w:tr>
      <w:tr w14:paraId="06E08B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673" w:type="dxa"/>
            <w:gridSpan w:val="2"/>
            <w:tcBorders>
              <w:tl2br w:val="nil"/>
              <w:tr2bl w:val="nil"/>
            </w:tcBorders>
            <w:vAlign w:val="center"/>
          </w:tcPr>
          <w:p w14:paraId="71D19177">
            <w:pPr>
              <w:keepNext w:val="0"/>
              <w:keepLines w:val="0"/>
              <w:pageBreakBefore w:val="0"/>
              <w:widowControl w:val="0"/>
              <w:kinsoku w:val="0"/>
              <w:wordWrap/>
              <w:overflowPunct/>
              <w:topLinePunct w:val="0"/>
              <w:autoSpaceDE w:val="0"/>
              <w:autoSpaceDN w:val="0"/>
              <w:bidi w:val="0"/>
              <w:adjustRightInd w:val="0"/>
              <w:snapToGrid w:val="0"/>
              <w:spacing w:line="24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合计</w:t>
            </w:r>
          </w:p>
        </w:tc>
        <w:tc>
          <w:tcPr>
            <w:tcW w:w="1458" w:type="dxa"/>
            <w:tcBorders>
              <w:tl2br w:val="nil"/>
              <w:tr2bl w:val="nil"/>
            </w:tcBorders>
            <w:vAlign w:val="center"/>
          </w:tcPr>
          <w:p w14:paraId="09859648">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30.2794</w:t>
            </w:r>
          </w:p>
        </w:tc>
        <w:tc>
          <w:tcPr>
            <w:tcW w:w="1363" w:type="dxa"/>
            <w:tcBorders>
              <w:tl2br w:val="nil"/>
              <w:tr2bl w:val="nil"/>
            </w:tcBorders>
            <w:vAlign w:val="center"/>
          </w:tcPr>
          <w:p w14:paraId="7510FDFB">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125.4722</w:t>
            </w:r>
          </w:p>
        </w:tc>
        <w:tc>
          <w:tcPr>
            <w:tcW w:w="1359" w:type="dxa"/>
            <w:tcBorders>
              <w:tl2br w:val="nil"/>
              <w:tr2bl w:val="nil"/>
            </w:tcBorders>
            <w:vAlign w:val="center"/>
          </w:tcPr>
          <w:p w14:paraId="537AE370">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80.0145</w:t>
            </w:r>
          </w:p>
        </w:tc>
        <w:tc>
          <w:tcPr>
            <w:tcW w:w="1364" w:type="dxa"/>
            <w:tcBorders>
              <w:tl2br w:val="nil"/>
              <w:tr2bl w:val="nil"/>
            </w:tcBorders>
            <w:vAlign w:val="center"/>
          </w:tcPr>
          <w:p w14:paraId="0F9EBCA0">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217.6555</w:t>
            </w:r>
          </w:p>
        </w:tc>
      </w:tr>
    </w:tbl>
    <w:p w14:paraId="51B35136">
      <w:pPr>
        <w:spacing w:before="190" w:line="220" w:lineRule="auto"/>
        <w:jc w:val="center"/>
        <w:rPr>
          <w:rFonts w:ascii="宋体" w:hAnsi="宋体" w:eastAsia="宋体" w:cs="宋体"/>
          <w:b/>
          <w:bCs/>
          <w:color w:val="auto"/>
          <w:spacing w:val="-3"/>
          <w:sz w:val="24"/>
          <w:szCs w:val="24"/>
          <w:highlight w:val="none"/>
        </w:rPr>
      </w:pPr>
      <w:r>
        <w:rPr>
          <w:color w:val="auto"/>
        </w:rPr>
        <w:drawing>
          <wp:inline distT="0" distB="0" distL="114300" distR="114300">
            <wp:extent cx="5300980" cy="3853815"/>
            <wp:effectExtent l="0" t="0" r="13970" b="51435"/>
            <wp:docPr id="6" name="图表 4" descr="7b0a202020202263686172745265734964223a202233303935313637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AB6AF42">
      <w:pPr>
        <w:keepNext w:val="0"/>
        <w:keepLines w:val="0"/>
        <w:pageBreakBefore w:val="0"/>
        <w:widowControl/>
        <w:kinsoku w:val="0"/>
        <w:wordWrap/>
        <w:overflowPunct/>
        <w:topLinePunct w:val="0"/>
        <w:autoSpaceDE w:val="0"/>
        <w:autoSpaceDN w:val="0"/>
        <w:bidi w:val="0"/>
        <w:adjustRightInd w:val="0"/>
        <w:snapToGrid w:val="0"/>
        <w:spacing w:before="190" w:line="240" w:lineRule="auto"/>
        <w:jc w:val="center"/>
        <w:textAlignment w:val="baseline"/>
        <w:rPr>
          <w:rFonts w:ascii="宋体" w:hAnsi="宋体" w:eastAsia="宋体" w:cs="宋体"/>
          <w:color w:val="auto"/>
          <w:sz w:val="24"/>
          <w:szCs w:val="24"/>
          <w:highlight w:val="none"/>
        </w:rPr>
      </w:pPr>
      <w:r>
        <w:rPr>
          <w:rFonts w:ascii="宋体" w:hAnsi="宋体" w:eastAsia="宋体" w:cs="宋体"/>
          <w:b/>
          <w:bCs/>
          <w:color w:val="auto"/>
          <w:spacing w:val="-3"/>
          <w:sz w:val="24"/>
          <w:szCs w:val="24"/>
          <w:highlight w:val="none"/>
        </w:rPr>
        <w:t>图</w:t>
      </w:r>
      <w:r>
        <w:rPr>
          <w:rFonts w:ascii="Times New Roman" w:hAnsi="Times New Roman" w:eastAsia="Times New Roman" w:cs="Times New Roman"/>
          <w:b/>
          <w:bCs/>
          <w:color w:val="auto"/>
          <w:spacing w:val="-3"/>
          <w:sz w:val="24"/>
          <w:szCs w:val="24"/>
          <w:highlight w:val="none"/>
        </w:rPr>
        <w:t>6.5-1</w:t>
      </w:r>
      <w:r>
        <w:rPr>
          <w:rFonts w:hint="eastAsia" w:ascii="Times New Roman" w:hAnsi="Times New Roman" w:eastAsia="宋体" w:cs="Times New Roman"/>
          <w:b/>
          <w:bCs/>
          <w:color w:val="auto"/>
          <w:spacing w:val="-3"/>
          <w:sz w:val="24"/>
          <w:szCs w:val="24"/>
          <w:highlight w:val="none"/>
          <w:lang w:val="en-US" w:eastAsia="zh-CN"/>
        </w:rPr>
        <w:t xml:space="preserve">  </w:t>
      </w:r>
      <w:r>
        <w:rPr>
          <w:rFonts w:ascii="宋体" w:hAnsi="宋体" w:eastAsia="宋体" w:cs="宋体"/>
          <w:b/>
          <w:bCs/>
          <w:color w:val="auto"/>
          <w:spacing w:val="-3"/>
          <w:sz w:val="24"/>
          <w:szCs w:val="24"/>
          <w:highlight w:val="none"/>
        </w:rPr>
        <w:t>开发区各行业颗粒物排放占比情况</w:t>
      </w:r>
      <w:bookmarkStart w:id="1841" w:name="pindex12865"/>
      <w:bookmarkEnd w:id="1841"/>
    </w:p>
    <w:p w14:paraId="27BC6F15">
      <w:pPr>
        <w:spacing w:before="203" w:line="219" w:lineRule="auto"/>
        <w:jc w:val="center"/>
        <w:rPr>
          <w:rFonts w:ascii="宋体" w:hAnsi="宋体" w:eastAsia="宋体" w:cs="宋体"/>
          <w:b/>
          <w:bCs/>
          <w:color w:val="auto"/>
          <w:spacing w:val="-3"/>
          <w:sz w:val="24"/>
          <w:szCs w:val="24"/>
          <w:highlight w:val="yellow"/>
        </w:rPr>
      </w:pPr>
      <w:r>
        <w:rPr>
          <w:color w:val="auto"/>
        </w:rPr>
        <w:drawing>
          <wp:inline distT="0" distB="0" distL="114300" distR="114300">
            <wp:extent cx="5220335" cy="4167505"/>
            <wp:effectExtent l="4445" t="4445" r="13970" b="19050"/>
            <wp:docPr id="3" name="图表 1" descr="7b0a202020202263686172745265734964223a20223230343735353832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009F5D9">
      <w:pPr>
        <w:keepNext w:val="0"/>
        <w:keepLines w:val="0"/>
        <w:pageBreakBefore w:val="0"/>
        <w:widowControl/>
        <w:kinsoku w:val="0"/>
        <w:wordWrap/>
        <w:overflowPunct/>
        <w:topLinePunct w:val="0"/>
        <w:autoSpaceDE w:val="0"/>
        <w:autoSpaceDN w:val="0"/>
        <w:bidi w:val="0"/>
        <w:adjustRightInd w:val="0"/>
        <w:snapToGrid w:val="0"/>
        <w:spacing w:before="203" w:line="240" w:lineRule="auto"/>
        <w:jc w:val="center"/>
        <w:textAlignment w:val="baseline"/>
        <w:rPr>
          <w:rFonts w:ascii="宋体" w:hAnsi="宋体" w:eastAsia="宋体" w:cs="宋体"/>
          <w:color w:val="auto"/>
          <w:sz w:val="24"/>
          <w:szCs w:val="24"/>
          <w:highlight w:val="none"/>
        </w:rPr>
      </w:pPr>
      <w:r>
        <w:rPr>
          <w:rFonts w:ascii="宋体" w:hAnsi="宋体" w:eastAsia="宋体" w:cs="宋体"/>
          <w:b/>
          <w:bCs/>
          <w:color w:val="auto"/>
          <w:spacing w:val="-3"/>
          <w:sz w:val="24"/>
          <w:szCs w:val="24"/>
          <w:highlight w:val="none"/>
        </w:rPr>
        <w:t>图</w:t>
      </w:r>
      <w:r>
        <w:rPr>
          <w:rFonts w:ascii="Times New Roman" w:hAnsi="Times New Roman" w:eastAsia="Times New Roman" w:cs="Times New Roman"/>
          <w:b/>
          <w:bCs/>
          <w:color w:val="auto"/>
          <w:spacing w:val="-3"/>
          <w:sz w:val="24"/>
          <w:szCs w:val="24"/>
          <w:highlight w:val="none"/>
        </w:rPr>
        <w:t>6.5-2</w:t>
      </w:r>
      <w:r>
        <w:rPr>
          <w:rFonts w:hint="eastAsia" w:ascii="Times New Roman" w:hAnsi="Times New Roman" w:eastAsia="宋体" w:cs="Times New Roman"/>
          <w:b/>
          <w:bCs/>
          <w:color w:val="auto"/>
          <w:spacing w:val="-3"/>
          <w:sz w:val="24"/>
          <w:szCs w:val="24"/>
          <w:highlight w:val="none"/>
          <w:lang w:val="en-US" w:eastAsia="zh-CN"/>
        </w:rPr>
        <w:t xml:space="preserve">  </w:t>
      </w:r>
      <w:r>
        <w:rPr>
          <w:rFonts w:ascii="宋体" w:hAnsi="宋体" w:eastAsia="宋体" w:cs="宋体"/>
          <w:b/>
          <w:bCs/>
          <w:color w:val="auto"/>
          <w:spacing w:val="-3"/>
          <w:sz w:val="24"/>
          <w:szCs w:val="24"/>
          <w:highlight w:val="none"/>
        </w:rPr>
        <w:t>开发区各行业二氧化硫排放占比情况</w:t>
      </w:r>
      <w:r>
        <w:rPr>
          <w:color w:val="auto"/>
        </w:rPr>
        <w:drawing>
          <wp:inline distT="0" distB="0" distL="114300" distR="114300">
            <wp:extent cx="5360670" cy="3749040"/>
            <wp:effectExtent l="4445" t="4445" r="6985" b="18415"/>
            <wp:docPr id="19" name="图表 2" descr="7b0a202020202263686172745265734964223a20223230343736313232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bookmarkStart w:id="1842" w:name="pindex12867"/>
      <w:bookmarkEnd w:id="1842"/>
    </w:p>
    <w:p w14:paraId="26C725AB">
      <w:pPr>
        <w:keepNext w:val="0"/>
        <w:keepLines w:val="0"/>
        <w:pageBreakBefore w:val="0"/>
        <w:widowControl/>
        <w:kinsoku w:val="0"/>
        <w:wordWrap/>
        <w:overflowPunct/>
        <w:topLinePunct w:val="0"/>
        <w:autoSpaceDE w:val="0"/>
        <w:autoSpaceDN w:val="0"/>
        <w:bidi w:val="0"/>
        <w:adjustRightInd w:val="0"/>
        <w:snapToGrid w:val="0"/>
        <w:spacing w:before="194" w:line="240" w:lineRule="auto"/>
        <w:jc w:val="center"/>
        <w:textAlignment w:val="baseline"/>
        <w:rPr>
          <w:rFonts w:ascii="宋体" w:hAnsi="宋体" w:eastAsia="宋体" w:cs="宋体"/>
          <w:color w:val="auto"/>
          <w:sz w:val="24"/>
          <w:szCs w:val="24"/>
          <w:highlight w:val="none"/>
        </w:rPr>
      </w:pPr>
      <w:r>
        <w:rPr>
          <w:rFonts w:ascii="宋体" w:hAnsi="宋体" w:eastAsia="宋体" w:cs="宋体"/>
          <w:b/>
          <w:bCs/>
          <w:color w:val="auto"/>
          <w:spacing w:val="-3"/>
          <w:sz w:val="24"/>
          <w:szCs w:val="24"/>
          <w:highlight w:val="none"/>
        </w:rPr>
        <w:t>图</w:t>
      </w:r>
      <w:r>
        <w:rPr>
          <w:rFonts w:ascii="Times New Roman" w:hAnsi="Times New Roman" w:eastAsia="Times New Roman" w:cs="Times New Roman"/>
          <w:b/>
          <w:bCs/>
          <w:color w:val="auto"/>
          <w:spacing w:val="-3"/>
          <w:sz w:val="24"/>
          <w:szCs w:val="24"/>
          <w:highlight w:val="none"/>
        </w:rPr>
        <w:t>6.5-3</w:t>
      </w:r>
      <w:r>
        <w:rPr>
          <w:rFonts w:hint="eastAsia" w:ascii="Times New Roman" w:hAnsi="Times New Roman" w:eastAsia="宋体" w:cs="Times New Roman"/>
          <w:b/>
          <w:bCs/>
          <w:color w:val="auto"/>
          <w:spacing w:val="-3"/>
          <w:sz w:val="24"/>
          <w:szCs w:val="24"/>
          <w:highlight w:val="none"/>
          <w:lang w:val="en-US" w:eastAsia="zh-CN"/>
        </w:rPr>
        <w:t xml:space="preserve">  </w:t>
      </w:r>
      <w:r>
        <w:rPr>
          <w:rFonts w:ascii="宋体" w:hAnsi="宋体" w:eastAsia="宋体" w:cs="宋体"/>
          <w:b/>
          <w:bCs/>
          <w:color w:val="auto"/>
          <w:spacing w:val="-3"/>
          <w:sz w:val="24"/>
          <w:szCs w:val="24"/>
          <w:highlight w:val="none"/>
        </w:rPr>
        <w:t>开发区各行业氮氧化物排放占比情况</w:t>
      </w:r>
      <w:bookmarkStart w:id="1843" w:name="pindex12868"/>
      <w:bookmarkEnd w:id="1843"/>
    </w:p>
    <w:p w14:paraId="5D8EAB7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w:t>
      </w:r>
      <w:r>
        <w:rPr>
          <w:rFonts w:ascii="宋体" w:hAnsi="宋体" w:eastAsia="宋体" w:cs="宋体"/>
          <w:color w:val="auto"/>
          <w:spacing w:val="-2"/>
          <w:sz w:val="24"/>
          <w:szCs w:val="24"/>
        </w:rPr>
        <w:t>工业企业</w:t>
      </w:r>
      <w:r>
        <w:rPr>
          <w:rFonts w:hint="eastAsia" w:ascii="Times New Roman" w:hAnsi="Times New Roman" w:eastAsia="宋体" w:cs="Times New Roman"/>
          <w:color w:val="auto"/>
          <w:sz w:val="24"/>
          <w:szCs w:val="24"/>
          <w:lang w:val="en-US" w:eastAsia="zh-CN"/>
        </w:rPr>
        <w:t>特征污染物</w:t>
      </w:r>
      <w:bookmarkStart w:id="1844" w:name="pindex12869"/>
      <w:bookmarkEnd w:id="1844"/>
    </w:p>
    <w:p w14:paraId="2411CA4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宋体" w:hAnsi="宋体" w:eastAsia="宋体" w:cs="宋体"/>
          <w:color w:val="auto"/>
          <w:spacing w:val="-9"/>
          <w:sz w:val="24"/>
          <w:szCs w:val="24"/>
          <w:highlight w:val="yellow"/>
          <w:lang w:val="en-US" w:eastAsia="zh-CN"/>
        </w:rPr>
      </w:pPr>
      <w:r>
        <w:rPr>
          <w:rFonts w:hint="eastAsia" w:ascii="Times New Roman" w:hAnsi="Times New Roman" w:eastAsia="宋体" w:cs="Times New Roman"/>
          <w:color w:val="auto"/>
          <w:sz w:val="24"/>
          <w:szCs w:val="24"/>
        </w:rPr>
        <w:t>废气特征</w:t>
      </w:r>
      <w:r>
        <w:rPr>
          <w:rFonts w:hint="eastAsia" w:ascii="宋体" w:hAnsi="宋体" w:eastAsia="宋体" w:cs="宋体"/>
          <w:color w:val="auto"/>
          <w:spacing w:val="-9"/>
          <w:sz w:val="24"/>
          <w:szCs w:val="24"/>
        </w:rPr>
        <w:t>污染因子包括酸雾</w:t>
      </w:r>
      <w:r>
        <w:rPr>
          <w:rFonts w:hint="eastAsia" w:ascii="宋体" w:hAnsi="宋体" w:eastAsia="宋体" w:cs="宋体"/>
          <w:color w:val="auto"/>
          <w:spacing w:val="-9"/>
          <w:sz w:val="24"/>
          <w:szCs w:val="24"/>
          <w:lang w:eastAsia="zh-CN"/>
        </w:rPr>
        <w:t>（</w:t>
      </w:r>
      <w:r>
        <w:rPr>
          <w:rFonts w:hint="default" w:ascii="Times New Roman" w:hAnsi="Times New Roman" w:eastAsia="宋体" w:cs="Times New Roman"/>
          <w:color w:val="auto"/>
          <w:spacing w:val="-9"/>
          <w:sz w:val="24"/>
          <w:szCs w:val="24"/>
          <w:lang w:val="en-US" w:eastAsia="zh-CN"/>
        </w:rPr>
        <w:t>HCl</w:t>
      </w:r>
      <w:r>
        <w:rPr>
          <w:rFonts w:hint="eastAsia" w:ascii="宋体" w:hAnsi="宋体" w:eastAsia="宋体" w:cs="宋体"/>
          <w:color w:val="auto"/>
          <w:spacing w:val="-9"/>
          <w:sz w:val="24"/>
          <w:szCs w:val="24"/>
        </w:rPr>
        <w:t>、硫酸雾</w:t>
      </w:r>
      <w:r>
        <w:rPr>
          <w:rFonts w:hint="eastAsia" w:ascii="宋体" w:hAnsi="宋体" w:eastAsia="宋体" w:cs="宋体"/>
          <w:color w:val="auto"/>
          <w:spacing w:val="-9"/>
          <w:sz w:val="24"/>
          <w:szCs w:val="24"/>
          <w:lang w:eastAsia="zh-CN"/>
        </w:rPr>
        <w:t>）</w:t>
      </w:r>
      <w:r>
        <w:rPr>
          <w:rFonts w:hint="eastAsia" w:ascii="宋体" w:hAnsi="宋体" w:eastAsia="宋体" w:cs="宋体"/>
          <w:color w:val="auto"/>
          <w:spacing w:val="-9"/>
          <w:sz w:val="24"/>
          <w:szCs w:val="24"/>
        </w:rPr>
        <w:t>、有机物</w:t>
      </w:r>
      <w:r>
        <w:rPr>
          <w:rFonts w:hint="eastAsia" w:ascii="宋体" w:hAnsi="宋体" w:eastAsia="宋体" w:cs="宋体"/>
          <w:color w:val="auto"/>
          <w:spacing w:val="-9"/>
          <w:sz w:val="24"/>
          <w:szCs w:val="24"/>
          <w:lang w:eastAsia="zh-CN"/>
        </w:rPr>
        <w:t>（</w:t>
      </w:r>
      <w:r>
        <w:rPr>
          <w:rFonts w:hint="eastAsia" w:ascii="宋体" w:hAnsi="宋体" w:eastAsia="宋体" w:cs="宋体"/>
          <w:color w:val="auto"/>
          <w:spacing w:val="-9"/>
          <w:sz w:val="24"/>
          <w:szCs w:val="24"/>
        </w:rPr>
        <w:t>非甲烷总烃、甲苯、二甲苯、苯酚、甲醛、三乙胺、乙酸丁酯、乙醇、异丙醇、丙酮、丙烯酸等</w:t>
      </w:r>
      <w:r>
        <w:rPr>
          <w:rFonts w:hint="eastAsia" w:ascii="宋体" w:hAnsi="宋体" w:eastAsia="宋体" w:cs="宋体"/>
          <w:color w:val="auto"/>
          <w:spacing w:val="-9"/>
          <w:sz w:val="24"/>
          <w:szCs w:val="24"/>
          <w:lang w:eastAsia="zh-CN"/>
        </w:rPr>
        <w:t>）</w:t>
      </w:r>
      <w:r>
        <w:rPr>
          <w:rFonts w:hint="eastAsia" w:ascii="宋体" w:hAnsi="宋体" w:eastAsia="宋体" w:cs="宋体"/>
          <w:color w:val="auto"/>
          <w:spacing w:val="-9"/>
          <w:sz w:val="24"/>
          <w:szCs w:val="24"/>
        </w:rPr>
        <w:t>及硫化氢、氨、一氧化碳、锡及其化合物等</w:t>
      </w:r>
      <w:r>
        <w:rPr>
          <w:rFonts w:hint="eastAsia" w:ascii="宋体" w:hAnsi="宋体" w:eastAsia="宋体" w:cs="宋体"/>
          <w:color w:val="auto"/>
          <w:spacing w:val="-9"/>
          <w:sz w:val="24"/>
          <w:szCs w:val="24"/>
          <w:lang w:eastAsia="zh-CN"/>
        </w:rPr>
        <w:t>，</w:t>
      </w:r>
      <w:r>
        <w:rPr>
          <w:rFonts w:hint="eastAsia" w:ascii="宋体" w:hAnsi="宋体" w:eastAsia="宋体" w:cs="宋体"/>
          <w:color w:val="auto"/>
          <w:spacing w:val="-9"/>
          <w:sz w:val="24"/>
          <w:szCs w:val="24"/>
        </w:rPr>
        <w:t>其中特征污染物中，非甲烷总烃排放量较高，排放量</w:t>
      </w:r>
      <w:r>
        <w:rPr>
          <w:rFonts w:hint="eastAsia" w:ascii="Times New Roman" w:hAnsi="Times New Roman" w:eastAsia="宋体" w:cs="Times New Roman"/>
          <w:color w:val="auto"/>
          <w:spacing w:val="-9"/>
          <w:sz w:val="24"/>
          <w:szCs w:val="24"/>
          <w:lang w:val="en-US" w:eastAsia="zh-CN"/>
        </w:rPr>
        <w:t>216.856</w:t>
      </w:r>
      <w:r>
        <w:rPr>
          <w:rFonts w:hint="eastAsia" w:ascii="宋体" w:hAnsi="宋体" w:eastAsia="宋体" w:cs="宋体"/>
          <w:color w:val="auto"/>
          <w:spacing w:val="-9"/>
          <w:sz w:val="24"/>
          <w:szCs w:val="24"/>
        </w:rPr>
        <w:t>吨，其次为二甲苯、甲苯。其中绿色智能汽车产业、电子信息产业、橡胶和塑料制品业以及包装及纸制品加工占比较高，合计</w:t>
      </w:r>
      <w:r>
        <w:rPr>
          <w:rFonts w:hint="default" w:ascii="Times New Roman" w:hAnsi="Times New Roman" w:eastAsia="宋体" w:cs="Times New Roman"/>
          <w:color w:val="auto"/>
          <w:spacing w:val="-9"/>
          <w:sz w:val="24"/>
          <w:szCs w:val="24"/>
          <w:lang w:val="en-US" w:eastAsia="zh-CN"/>
        </w:rPr>
        <w:t>9</w:t>
      </w:r>
      <w:r>
        <w:rPr>
          <w:rFonts w:hint="eastAsia" w:ascii="Times New Roman" w:hAnsi="Times New Roman" w:eastAsia="宋体" w:cs="Times New Roman"/>
          <w:color w:val="auto"/>
          <w:spacing w:val="-9"/>
          <w:sz w:val="24"/>
          <w:szCs w:val="24"/>
          <w:lang w:val="en-US" w:eastAsia="zh-CN"/>
        </w:rPr>
        <w:t>5.41</w:t>
      </w:r>
      <w:r>
        <w:rPr>
          <w:rFonts w:hint="default" w:ascii="Times New Roman" w:hAnsi="Times New Roman" w:eastAsia="宋体" w:cs="Times New Roman"/>
          <w:color w:val="auto"/>
          <w:spacing w:val="-9"/>
          <w:sz w:val="24"/>
          <w:szCs w:val="24"/>
        </w:rPr>
        <w:t>%。</w:t>
      </w:r>
      <w:r>
        <w:rPr>
          <w:rFonts w:hint="eastAsia" w:ascii="宋体" w:hAnsi="宋体" w:eastAsia="宋体" w:cs="宋体"/>
          <w:color w:val="auto"/>
          <w:spacing w:val="-9"/>
          <w:sz w:val="24"/>
          <w:szCs w:val="24"/>
          <w:highlight w:val="none"/>
        </w:rPr>
        <w:t>详见图</w:t>
      </w:r>
      <w:r>
        <w:rPr>
          <w:rFonts w:hint="default" w:ascii="Times New Roman" w:hAnsi="Times New Roman" w:eastAsia="宋体" w:cs="Times New Roman"/>
          <w:color w:val="auto"/>
          <w:spacing w:val="-9"/>
          <w:sz w:val="24"/>
          <w:szCs w:val="24"/>
          <w:highlight w:val="none"/>
          <w:lang w:val="en-US" w:eastAsia="zh-CN"/>
        </w:rPr>
        <w:t>6.5-4</w:t>
      </w:r>
      <w:r>
        <w:rPr>
          <w:rFonts w:hint="eastAsia" w:ascii="宋体" w:hAnsi="宋体" w:eastAsia="宋体" w:cs="宋体"/>
          <w:color w:val="auto"/>
          <w:spacing w:val="-9"/>
          <w:sz w:val="24"/>
          <w:szCs w:val="24"/>
          <w:highlight w:val="none"/>
        </w:rPr>
        <w:t>，</w:t>
      </w:r>
      <w:r>
        <w:rPr>
          <w:rFonts w:hint="eastAsia" w:ascii="宋体" w:hAnsi="宋体" w:eastAsia="宋体" w:cs="宋体"/>
          <w:color w:val="auto"/>
          <w:spacing w:val="-9"/>
          <w:sz w:val="24"/>
          <w:szCs w:val="24"/>
        </w:rPr>
        <w:t>其他特征污染物排放量较小，主要废气特征污染源特征污染物排放情况见</w:t>
      </w:r>
      <w:r>
        <w:rPr>
          <w:rFonts w:hint="eastAsia" w:ascii="宋体" w:hAnsi="宋体" w:eastAsia="宋体" w:cs="宋体"/>
          <w:color w:val="auto"/>
          <w:spacing w:val="-9"/>
          <w:sz w:val="24"/>
          <w:szCs w:val="24"/>
          <w:highlight w:val="none"/>
        </w:rPr>
        <w:t>附表</w:t>
      </w:r>
      <w:r>
        <w:rPr>
          <w:rFonts w:hint="eastAsia" w:ascii="宋体" w:hAnsi="宋体" w:eastAsia="宋体" w:cs="宋体"/>
          <w:color w:val="auto"/>
          <w:spacing w:val="-9"/>
          <w:sz w:val="24"/>
          <w:szCs w:val="24"/>
          <w:highlight w:val="none"/>
          <w:lang w:val="en-US" w:eastAsia="zh-CN"/>
        </w:rPr>
        <w:t>4</w:t>
      </w:r>
      <w:r>
        <w:rPr>
          <w:rFonts w:hint="eastAsia" w:ascii="宋体" w:hAnsi="宋体" w:eastAsia="宋体" w:cs="宋体"/>
          <w:color w:val="auto"/>
          <w:spacing w:val="-9"/>
          <w:sz w:val="24"/>
          <w:szCs w:val="24"/>
          <w:highlight w:val="none"/>
          <w:lang w:eastAsia="zh-CN"/>
        </w:rPr>
        <w:t>。</w:t>
      </w:r>
    </w:p>
    <w:p w14:paraId="5F8FCEFE">
      <w:pPr>
        <w:keepNext w:val="0"/>
        <w:keepLines w:val="0"/>
        <w:pageBreakBefore w:val="0"/>
        <w:widowControl/>
        <w:kinsoku w:val="0"/>
        <w:wordWrap/>
        <w:overflowPunct/>
        <w:topLinePunct w:val="0"/>
        <w:autoSpaceDE w:val="0"/>
        <w:autoSpaceDN w:val="0"/>
        <w:bidi w:val="0"/>
        <w:adjustRightInd w:val="0"/>
        <w:snapToGrid w:val="0"/>
        <w:spacing w:line="360" w:lineRule="auto"/>
        <w:ind w:firstLine="444" w:firstLineChars="200"/>
        <w:textAlignment w:val="baseline"/>
        <w:rPr>
          <w:rFonts w:hint="eastAsia" w:ascii="宋体" w:hAnsi="宋体" w:eastAsia="宋体" w:cs="宋体"/>
          <w:color w:val="auto"/>
          <w:spacing w:val="-9"/>
          <w:sz w:val="24"/>
          <w:szCs w:val="24"/>
        </w:rPr>
      </w:pPr>
      <w:r>
        <w:rPr>
          <w:rFonts w:hint="eastAsia" w:ascii="宋体" w:hAnsi="宋体" w:eastAsia="宋体" w:cs="宋体"/>
          <w:color w:val="auto"/>
          <w:spacing w:val="-9"/>
          <w:sz w:val="24"/>
          <w:szCs w:val="24"/>
        </w:rPr>
        <w:t>开发区有机废气主要来源于烘干废气、涂装废气等，烘干废气收集后主要采用焚烧方式处理，喷漆废气主要先采用干式过滤高效除漆雾、湿式水帘+多级过滤等工艺进行预处理，再采用转轮吸附浓缩+高温焚烧方式处理，小型涂装企业主要采用蜂窝活性炭吸附-催化焚烧、填料塔吸收、活性炭吸附等多种方式净化后达标排放。</w:t>
      </w:r>
    </w:p>
    <w:p w14:paraId="419A7C6D">
      <w:pPr>
        <w:spacing w:before="107" w:line="355" w:lineRule="auto"/>
        <w:jc w:val="center"/>
        <w:rPr>
          <w:rFonts w:hint="eastAsia" w:ascii="宋体" w:hAnsi="宋体" w:eastAsia="宋体" w:cs="宋体"/>
          <w:color w:val="auto"/>
          <w:spacing w:val="-9"/>
          <w:sz w:val="24"/>
          <w:szCs w:val="24"/>
        </w:rPr>
      </w:pPr>
      <w:r>
        <w:rPr>
          <w:color w:val="auto"/>
        </w:rPr>
        <w:drawing>
          <wp:inline distT="0" distB="0" distL="114300" distR="114300">
            <wp:extent cx="5306695" cy="3660775"/>
            <wp:effectExtent l="0" t="0" r="8255" b="15875"/>
            <wp:docPr id="10" name="图表 5" descr="7b0a202020202263686172745265734964223a202233303935313637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DA9E207">
      <w:pPr>
        <w:keepNext w:val="0"/>
        <w:keepLines w:val="0"/>
        <w:pageBreakBefore w:val="0"/>
        <w:widowControl/>
        <w:kinsoku w:val="0"/>
        <w:wordWrap/>
        <w:overflowPunct/>
        <w:topLinePunct w:val="0"/>
        <w:autoSpaceDE w:val="0"/>
        <w:autoSpaceDN w:val="0"/>
        <w:bidi w:val="0"/>
        <w:adjustRightInd w:val="0"/>
        <w:snapToGrid w:val="0"/>
        <w:spacing w:before="107" w:line="240" w:lineRule="auto"/>
        <w:jc w:val="center"/>
        <w:textAlignment w:val="baseline"/>
        <w:rPr>
          <w:rFonts w:hint="default" w:ascii="Times New Roman" w:hAnsi="Times New Roman" w:eastAsia="宋体" w:cs="Times New Roman"/>
          <w:b/>
          <w:bCs/>
          <w:color w:val="auto"/>
          <w:spacing w:val="-9"/>
          <w:sz w:val="24"/>
          <w:szCs w:val="24"/>
          <w:highlight w:val="none"/>
          <w:lang w:val="en-US" w:eastAsia="zh-CN"/>
        </w:rPr>
      </w:pPr>
      <w:r>
        <w:rPr>
          <w:rFonts w:hint="default" w:ascii="Times New Roman" w:hAnsi="Times New Roman" w:eastAsia="宋体" w:cs="Times New Roman"/>
          <w:b/>
          <w:bCs/>
          <w:color w:val="auto"/>
          <w:spacing w:val="-9"/>
          <w:sz w:val="24"/>
          <w:szCs w:val="24"/>
          <w:highlight w:val="none"/>
          <w:lang w:val="en-US" w:eastAsia="zh-CN"/>
        </w:rPr>
        <w:t>图6.5-4  开发区各行业非甲烷总烃排放占比情况</w:t>
      </w:r>
      <w:bookmarkStart w:id="1845" w:name="pindex12873"/>
      <w:bookmarkEnd w:id="1845"/>
    </w:p>
    <w:p w14:paraId="2D7840D8">
      <w:pPr>
        <w:spacing w:before="107" w:line="355" w:lineRule="auto"/>
        <w:ind w:left="37" w:firstLine="482"/>
        <w:rPr>
          <w:rFonts w:hint="default" w:ascii="Times New Roman" w:hAnsi="Times New Roman" w:eastAsia="宋体" w:cs="Times New Roman"/>
          <w:color w:val="auto"/>
          <w:spacing w:val="-9"/>
          <w:sz w:val="24"/>
          <w:szCs w:val="24"/>
          <w:highlight w:val="none"/>
        </w:rPr>
      </w:pPr>
      <w:r>
        <w:rPr>
          <w:rFonts w:hint="default" w:ascii="Times New Roman" w:hAnsi="Times New Roman" w:eastAsia="宋体" w:cs="Times New Roman"/>
          <w:color w:val="auto"/>
          <w:spacing w:val="-9"/>
          <w:sz w:val="24"/>
          <w:szCs w:val="24"/>
        </w:rPr>
        <w:t>开发区严格落实国家、省、市打好污染防治攻坚战行动计划，制定出台《</w:t>
      </w:r>
      <w:r>
        <w:rPr>
          <w:rFonts w:hint="default" w:ascii="Times New Roman" w:hAnsi="Times New Roman" w:eastAsia="宋体" w:cs="Times New Roman"/>
          <w:color w:val="auto"/>
          <w:spacing w:val="-9"/>
          <w:sz w:val="24"/>
          <w:szCs w:val="24"/>
        </w:rPr>
        <w:fldChar w:fldCharType="begin"/>
      </w:r>
      <w:r>
        <w:rPr>
          <w:rFonts w:hint="default" w:ascii="Times New Roman" w:hAnsi="Times New Roman" w:eastAsia="宋体" w:cs="Times New Roman"/>
          <w:color w:val="auto"/>
          <w:spacing w:val="-9"/>
          <w:sz w:val="24"/>
          <w:szCs w:val="24"/>
        </w:rPr>
        <w:instrText xml:space="preserve"> HYPERLINK "https://www.mee.gov.cn/zcwj/gwywj/202312/t20231208_1058492.shtml" </w:instrText>
      </w:r>
      <w:r>
        <w:rPr>
          <w:rFonts w:hint="default" w:ascii="Times New Roman" w:hAnsi="Times New Roman" w:eastAsia="宋体" w:cs="Times New Roman"/>
          <w:color w:val="auto"/>
          <w:spacing w:val="-9"/>
          <w:sz w:val="24"/>
          <w:szCs w:val="24"/>
        </w:rPr>
        <w:fldChar w:fldCharType="separate"/>
      </w:r>
      <w:r>
        <w:rPr>
          <w:rFonts w:hint="default" w:ascii="Times New Roman" w:hAnsi="Times New Roman" w:eastAsia="宋体" w:cs="Times New Roman"/>
          <w:color w:val="auto"/>
          <w:spacing w:val="-9"/>
          <w:sz w:val="24"/>
          <w:szCs w:val="24"/>
        </w:rPr>
        <w:t>空气质量持续改善行动计划》</w:t>
      </w:r>
      <w:r>
        <w:rPr>
          <w:rFonts w:hint="default" w:ascii="Times New Roman" w:hAnsi="Times New Roman" w:eastAsia="宋体" w:cs="Times New Roman"/>
          <w:color w:val="auto"/>
          <w:spacing w:val="-9"/>
          <w:sz w:val="24"/>
          <w:szCs w:val="24"/>
        </w:rPr>
        <w:fldChar w:fldCharType="end"/>
      </w:r>
      <w:r>
        <w:rPr>
          <w:rFonts w:hint="default" w:ascii="Times New Roman" w:hAnsi="Times New Roman" w:eastAsia="宋体" w:cs="Times New Roman"/>
          <w:color w:val="auto"/>
          <w:spacing w:val="-9"/>
          <w:sz w:val="24"/>
          <w:szCs w:val="24"/>
        </w:rPr>
        <w:t>，通过产业及能源结构调整、加强末端治理与监管能力。控尘降霾治气力度空前，建成热电行业“煤改气”工程、水泥行业脱硝工程，连续9年实现秸秆禁烧“零火点”，大力整治改造燃煤锅炉、升级加油站油气回收设施、整治餐饮企业、创建智慧工地等，全面强化工业污染源、移动源、城市面源污染管控。在挥发性有机物治理方面</w:t>
      </w:r>
      <w:r>
        <w:rPr>
          <w:rFonts w:hint="default" w:ascii="Times New Roman" w:hAnsi="Times New Roman" w:eastAsia="宋体" w:cs="Times New Roman"/>
          <w:color w:val="auto"/>
          <w:spacing w:val="-9"/>
          <w:sz w:val="24"/>
          <w:szCs w:val="24"/>
          <w:lang w:eastAsia="zh-CN"/>
        </w:rPr>
        <w:t>，</w:t>
      </w:r>
      <w:r>
        <w:rPr>
          <w:rFonts w:hint="default" w:ascii="Times New Roman" w:hAnsi="Times New Roman" w:eastAsia="宋体" w:cs="Times New Roman"/>
          <w:color w:val="auto"/>
          <w:spacing w:val="-9"/>
          <w:sz w:val="24"/>
          <w:szCs w:val="24"/>
        </w:rPr>
        <w:t>开发区按照《江苏省</w:t>
      </w:r>
      <w:r>
        <w:rPr>
          <w:rFonts w:hint="eastAsia" w:ascii="Times New Roman" w:hAnsi="Times New Roman" w:eastAsia="宋体" w:cs="Times New Roman"/>
          <w:color w:val="auto"/>
          <w:spacing w:val="-9"/>
          <w:sz w:val="24"/>
          <w:szCs w:val="24"/>
          <w:lang w:val="en-US" w:eastAsia="zh-CN"/>
        </w:rPr>
        <w:t>挥发性有机物清洁原料替代工作方案</w:t>
      </w:r>
      <w:r>
        <w:rPr>
          <w:rFonts w:hint="default" w:ascii="Times New Roman" w:hAnsi="Times New Roman" w:eastAsia="宋体" w:cs="Times New Roman"/>
          <w:color w:val="auto"/>
          <w:spacing w:val="-9"/>
          <w:sz w:val="24"/>
          <w:szCs w:val="24"/>
        </w:rPr>
        <w:t>》</w:t>
      </w:r>
      <w:r>
        <w:rPr>
          <w:rFonts w:hint="eastAsia" w:ascii="Times New Roman" w:hAnsi="Times New Roman" w:eastAsia="宋体" w:cs="Times New Roman"/>
          <w:color w:val="auto"/>
          <w:spacing w:val="-9"/>
          <w:sz w:val="24"/>
          <w:szCs w:val="24"/>
          <w:lang w:eastAsia="zh-CN"/>
        </w:rPr>
        <w:t>（</w:t>
      </w:r>
      <w:r>
        <w:rPr>
          <w:rFonts w:hint="default" w:ascii="Times New Roman" w:hAnsi="Times New Roman" w:eastAsia="宋体" w:cs="Times New Roman"/>
          <w:color w:val="auto"/>
          <w:spacing w:val="-9"/>
          <w:sz w:val="24"/>
          <w:szCs w:val="24"/>
        </w:rPr>
        <w:t>苏</w:t>
      </w:r>
      <w:r>
        <w:rPr>
          <w:rFonts w:hint="eastAsia" w:ascii="Times New Roman" w:hAnsi="Times New Roman" w:eastAsia="宋体" w:cs="Times New Roman"/>
          <w:color w:val="auto"/>
          <w:spacing w:val="-9"/>
          <w:sz w:val="24"/>
          <w:szCs w:val="24"/>
          <w:lang w:val="en-US" w:eastAsia="zh-CN"/>
        </w:rPr>
        <w:t>大气</w:t>
      </w:r>
      <w:r>
        <w:rPr>
          <w:rFonts w:hint="default" w:ascii="Times New Roman" w:hAnsi="Times New Roman" w:eastAsia="宋体" w:cs="Times New Roman"/>
          <w:color w:val="auto"/>
          <w:spacing w:val="-9"/>
          <w:sz w:val="24"/>
          <w:szCs w:val="24"/>
        </w:rPr>
        <w:t>办</w:t>
      </w:r>
      <w:r>
        <w:rPr>
          <w:rFonts w:hint="eastAsia" w:ascii="Times New Roman" w:hAnsi="Times New Roman" w:eastAsia="宋体" w:cs="Times New Roman"/>
          <w:color w:val="auto"/>
          <w:spacing w:val="-9"/>
          <w:sz w:val="24"/>
          <w:szCs w:val="24"/>
          <w:lang w:eastAsia="zh-CN"/>
        </w:rPr>
        <w:t>〔</w:t>
      </w:r>
      <w:r>
        <w:rPr>
          <w:rFonts w:hint="default" w:ascii="Times New Roman" w:hAnsi="Times New Roman" w:eastAsia="宋体" w:cs="Times New Roman"/>
          <w:color w:val="auto"/>
          <w:spacing w:val="-9"/>
          <w:sz w:val="24"/>
          <w:szCs w:val="24"/>
        </w:rPr>
        <w:t>2</w:t>
      </w:r>
      <w:r>
        <w:rPr>
          <w:rFonts w:hint="eastAsia" w:ascii="Times New Roman" w:hAnsi="Times New Roman" w:eastAsia="宋体" w:cs="Times New Roman"/>
          <w:color w:val="auto"/>
          <w:spacing w:val="-9"/>
          <w:sz w:val="24"/>
          <w:szCs w:val="24"/>
          <w:lang w:val="en-US" w:eastAsia="zh-CN"/>
        </w:rPr>
        <w:t>021</w:t>
      </w:r>
      <w:r>
        <w:rPr>
          <w:rFonts w:hint="eastAsia" w:ascii="Times New Roman" w:hAnsi="Times New Roman" w:eastAsia="宋体" w:cs="Times New Roman"/>
          <w:color w:val="auto"/>
          <w:spacing w:val="-9"/>
          <w:sz w:val="24"/>
          <w:szCs w:val="24"/>
          <w:lang w:eastAsia="zh-CN"/>
        </w:rPr>
        <w:t>〕</w:t>
      </w:r>
      <w:r>
        <w:rPr>
          <w:rFonts w:hint="eastAsia" w:ascii="Times New Roman" w:hAnsi="Times New Roman" w:eastAsia="宋体" w:cs="Times New Roman"/>
          <w:color w:val="auto"/>
          <w:spacing w:val="-9"/>
          <w:sz w:val="24"/>
          <w:szCs w:val="24"/>
          <w:lang w:val="en-US" w:eastAsia="zh-CN"/>
        </w:rPr>
        <w:t>2</w:t>
      </w:r>
      <w:r>
        <w:rPr>
          <w:rFonts w:hint="default" w:ascii="Times New Roman" w:hAnsi="Times New Roman" w:eastAsia="宋体" w:cs="Times New Roman"/>
          <w:color w:val="auto"/>
          <w:spacing w:val="-9"/>
          <w:sz w:val="24"/>
          <w:szCs w:val="24"/>
        </w:rPr>
        <w:t>号</w:t>
      </w:r>
      <w:r>
        <w:rPr>
          <w:rFonts w:hint="eastAsia" w:ascii="Times New Roman" w:hAnsi="Times New Roman" w:eastAsia="宋体" w:cs="Times New Roman"/>
          <w:color w:val="auto"/>
          <w:spacing w:val="-9"/>
          <w:sz w:val="24"/>
          <w:szCs w:val="24"/>
          <w:lang w:eastAsia="zh-CN"/>
        </w:rPr>
        <w:t>）</w:t>
      </w:r>
      <w:r>
        <w:rPr>
          <w:rFonts w:hint="default" w:ascii="Times New Roman" w:hAnsi="Times New Roman" w:eastAsia="宋体" w:cs="Times New Roman"/>
          <w:color w:val="auto"/>
          <w:spacing w:val="-9"/>
          <w:sz w:val="24"/>
          <w:szCs w:val="24"/>
        </w:rPr>
        <w:t>，加强表面涂装行业VOCs排放的控制，根据涂装工艺的不同，全面推广使用水性、高固份、粉末、紫外光固化涂料等低VOCs含量的环保型涂料，推广采用静电喷涂、淋涂、浸涂等效率较高的涂装工艺。</w:t>
      </w:r>
      <w:r>
        <w:rPr>
          <w:rFonts w:hint="default" w:ascii="Times New Roman" w:hAnsi="Times New Roman" w:eastAsia="宋体" w:cs="Times New Roman"/>
          <w:color w:val="auto"/>
          <w:spacing w:val="-9"/>
          <w:sz w:val="24"/>
          <w:szCs w:val="24"/>
          <w:highlight w:val="none"/>
        </w:rPr>
        <w:t>禁止露天和敞开式喷涂作业。</w:t>
      </w:r>
      <w:r>
        <w:rPr>
          <w:rFonts w:hint="default" w:ascii="Times New Roman" w:hAnsi="Times New Roman" w:eastAsia="宋体" w:cs="Times New Roman"/>
          <w:color w:val="auto"/>
          <w:spacing w:val="-9"/>
          <w:sz w:val="24"/>
          <w:szCs w:val="24"/>
        </w:rPr>
        <w:t>深化VOCs治理专项行动</w:t>
      </w:r>
      <w:r>
        <w:rPr>
          <w:rFonts w:hint="eastAsia" w:ascii="Times New Roman" w:hAnsi="Times New Roman" w:eastAsia="宋体" w:cs="Times New Roman"/>
          <w:color w:val="auto"/>
          <w:spacing w:val="-9"/>
          <w:sz w:val="24"/>
          <w:szCs w:val="24"/>
          <w:lang w:eastAsia="zh-CN"/>
        </w:rPr>
        <w:t>，</w:t>
      </w:r>
      <w:r>
        <w:rPr>
          <w:rFonts w:hint="default" w:ascii="Times New Roman" w:hAnsi="Times New Roman" w:eastAsia="宋体" w:cs="Times New Roman"/>
          <w:color w:val="auto"/>
          <w:spacing w:val="-9"/>
          <w:sz w:val="24"/>
          <w:szCs w:val="24"/>
        </w:rPr>
        <w:t>开展LDAR泄漏检测与修复</w:t>
      </w:r>
      <w:r>
        <w:rPr>
          <w:rFonts w:hint="eastAsia" w:ascii="Times New Roman" w:hAnsi="Times New Roman" w:eastAsia="宋体" w:cs="Times New Roman"/>
          <w:color w:val="auto"/>
          <w:spacing w:val="-9"/>
          <w:sz w:val="24"/>
          <w:szCs w:val="24"/>
          <w:lang w:eastAsia="zh-CN"/>
        </w:rPr>
        <w:t>，</w:t>
      </w:r>
      <w:r>
        <w:rPr>
          <w:rFonts w:hint="default" w:ascii="Times New Roman" w:hAnsi="Times New Roman" w:eastAsia="宋体" w:cs="Times New Roman"/>
          <w:color w:val="auto"/>
          <w:spacing w:val="-9"/>
          <w:sz w:val="24"/>
          <w:szCs w:val="24"/>
        </w:rPr>
        <w:t>重点监管企业组织编</w:t>
      </w:r>
      <w:r>
        <w:rPr>
          <w:rFonts w:hint="eastAsia" w:ascii="宋体" w:hAnsi="宋体" w:eastAsia="宋体" w:cs="宋体"/>
          <w:color w:val="auto"/>
          <w:spacing w:val="-9"/>
          <w:sz w:val="24"/>
          <w:szCs w:val="24"/>
        </w:rPr>
        <w:t>制“一企一策”</w:t>
      </w:r>
      <w:r>
        <w:rPr>
          <w:rFonts w:hint="default" w:ascii="Times New Roman" w:hAnsi="Times New Roman" w:eastAsia="宋体" w:cs="Times New Roman"/>
          <w:color w:val="auto"/>
          <w:spacing w:val="-9"/>
          <w:sz w:val="24"/>
          <w:szCs w:val="24"/>
        </w:rPr>
        <w:t>方案，确保治理见成效。目前开发区SO</w:t>
      </w:r>
      <w:r>
        <w:rPr>
          <w:rFonts w:hint="default" w:ascii="Times New Roman" w:hAnsi="Times New Roman" w:eastAsia="宋体" w:cs="Times New Roman"/>
          <w:color w:val="auto"/>
          <w:spacing w:val="-9"/>
          <w:sz w:val="24"/>
          <w:szCs w:val="24"/>
          <w:vertAlign w:val="subscript"/>
        </w:rPr>
        <w:t>2</w:t>
      </w:r>
      <w:r>
        <w:rPr>
          <w:rFonts w:hint="default" w:ascii="Times New Roman" w:hAnsi="Times New Roman" w:eastAsia="宋体" w:cs="Times New Roman"/>
          <w:color w:val="auto"/>
          <w:spacing w:val="-9"/>
          <w:sz w:val="24"/>
          <w:szCs w:val="24"/>
        </w:rPr>
        <w:t>、NOx、烟粉尘和挥发性有机物排放量均较上一轮规划环评时有较大削减。</w:t>
      </w:r>
    </w:p>
    <w:p w14:paraId="79D1ED4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b/>
          <w:bCs/>
          <w:snapToGrid w:val="0"/>
          <w:color w:val="auto"/>
          <w:spacing w:val="-4"/>
          <w:kern w:val="0"/>
          <w:sz w:val="24"/>
          <w:szCs w:val="24"/>
          <w:lang w:val="en-US" w:eastAsia="en-US" w:bidi="ar-SA"/>
        </w:rPr>
      </w:pPr>
      <w:r>
        <w:rPr>
          <w:rFonts w:hint="default" w:ascii="Times New Roman" w:hAnsi="Times New Roman" w:eastAsia="宋体" w:cs="Times New Roman"/>
          <w:b/>
          <w:bCs/>
          <w:snapToGrid w:val="0"/>
          <w:color w:val="auto"/>
          <w:spacing w:val="-4"/>
          <w:kern w:val="0"/>
          <w:sz w:val="24"/>
          <w:szCs w:val="24"/>
          <w:lang w:val="en-US" w:eastAsia="en-US" w:bidi="ar-SA"/>
        </w:rPr>
        <w:t>（2）废水污染源</w:t>
      </w:r>
      <w:bookmarkStart w:id="1846" w:name="pindex12875"/>
      <w:bookmarkEnd w:id="1846"/>
    </w:p>
    <w:p w14:paraId="686CDD0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4" w:firstLineChars="200"/>
        <w:textAlignment w:val="baseline"/>
        <w:rPr>
          <w:rFonts w:hint="default" w:ascii="Times New Roman" w:hAnsi="Times New Roman" w:eastAsia="宋体" w:cs="Times New Roman"/>
          <w:b w:val="0"/>
          <w:bCs w:val="0"/>
          <w:snapToGrid w:val="0"/>
          <w:color w:val="auto"/>
          <w:spacing w:val="-4"/>
          <w:kern w:val="0"/>
          <w:sz w:val="24"/>
          <w:szCs w:val="24"/>
          <w:lang w:val="en-US" w:eastAsia="zh-CN" w:bidi="ar-SA"/>
        </w:rPr>
      </w:pPr>
      <w:r>
        <w:rPr>
          <w:rFonts w:hint="default" w:ascii="Times New Roman" w:hAnsi="Times New Roman" w:eastAsia="宋体" w:cs="Times New Roman"/>
          <w:b w:val="0"/>
          <w:bCs w:val="0"/>
          <w:snapToGrid w:val="0"/>
          <w:color w:val="auto"/>
          <w:spacing w:val="-4"/>
          <w:kern w:val="0"/>
          <w:sz w:val="24"/>
          <w:szCs w:val="24"/>
          <w:lang w:val="en-US" w:eastAsia="zh-CN" w:bidi="ar-SA"/>
        </w:rPr>
        <w:t>1）生活污染源</w:t>
      </w:r>
      <w:bookmarkStart w:id="1847" w:name="pindex12876"/>
      <w:bookmarkEnd w:id="1847"/>
    </w:p>
    <w:p w14:paraId="3E9789F6">
      <w:pPr>
        <w:keepNext w:val="0"/>
        <w:keepLines w:val="0"/>
        <w:pageBreakBefore w:val="0"/>
        <w:widowControl/>
        <w:numPr>
          <w:ilvl w:val="0"/>
          <w:numId w:val="0"/>
        </w:numPr>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en-US"/>
        </w:rPr>
        <w:t>根据第七次全国人口普查相关数据，目前开发区内常住人口约为120万人，人均用水系数为250L/d，产物</w:t>
      </w:r>
      <w:r>
        <w:rPr>
          <w:rFonts w:hint="default" w:ascii="Times New Roman" w:hAnsi="Times New Roman" w:eastAsia="宋体" w:cs="Times New Roman"/>
          <w:color w:val="auto"/>
          <w:sz w:val="24"/>
          <w:szCs w:val="24"/>
        </w:rPr>
        <w:t>系数为0.85，通过计算，目前开发区内生活污水量约为9340.9万t/a，根据调查，开发区内各污水处理厂已接管生活污水量为7939.8万t</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a，则开发区生活污水集中处理率约为85.0%。</w:t>
      </w:r>
    </w:p>
    <w:p w14:paraId="627CDC7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4" w:firstLineChars="200"/>
        <w:textAlignment w:val="baseline"/>
        <w:rPr>
          <w:rFonts w:hint="default" w:ascii="宋体" w:hAnsi="宋体" w:eastAsia="宋体" w:cs="宋体"/>
          <w:b w:val="0"/>
          <w:bCs w:val="0"/>
          <w:snapToGrid w:val="0"/>
          <w:color w:val="auto"/>
          <w:spacing w:val="-4"/>
          <w:kern w:val="0"/>
          <w:sz w:val="24"/>
          <w:szCs w:val="24"/>
          <w:lang w:val="en-US" w:eastAsia="zh-CN" w:bidi="ar-SA"/>
        </w:rPr>
      </w:pPr>
      <w:r>
        <w:rPr>
          <w:rFonts w:hint="default" w:ascii="Times New Roman" w:hAnsi="Times New Roman" w:eastAsia="宋体" w:cs="Times New Roman"/>
          <w:b w:val="0"/>
          <w:bCs w:val="0"/>
          <w:snapToGrid w:val="0"/>
          <w:color w:val="auto"/>
          <w:spacing w:val="-4"/>
          <w:kern w:val="0"/>
          <w:sz w:val="24"/>
          <w:szCs w:val="24"/>
          <w:lang w:val="en-US" w:eastAsia="zh-CN" w:bidi="ar-SA"/>
        </w:rPr>
        <w:t>2）工</w:t>
      </w:r>
      <w:r>
        <w:rPr>
          <w:rFonts w:hint="default" w:ascii="宋体" w:hAnsi="宋体" w:eastAsia="宋体" w:cs="宋体"/>
          <w:b w:val="0"/>
          <w:bCs w:val="0"/>
          <w:snapToGrid w:val="0"/>
          <w:color w:val="auto"/>
          <w:spacing w:val="-4"/>
          <w:kern w:val="0"/>
          <w:sz w:val="24"/>
          <w:szCs w:val="24"/>
          <w:lang w:val="en-US" w:eastAsia="zh-CN" w:bidi="ar-SA"/>
        </w:rPr>
        <w:t>业企业污染源</w:t>
      </w:r>
      <w:bookmarkStart w:id="1848" w:name="pindex12878"/>
      <w:bookmarkEnd w:id="1848"/>
    </w:p>
    <w:p w14:paraId="02DD51F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rPr>
        <w:t>开发区企业</w:t>
      </w:r>
      <w:r>
        <w:rPr>
          <w:rFonts w:hint="eastAsia" w:ascii="Times New Roman" w:hAnsi="Times New Roman" w:eastAsia="宋体" w:cs="Times New Roman"/>
          <w:color w:val="auto"/>
          <w:sz w:val="24"/>
          <w:szCs w:val="24"/>
          <w:lang w:val="en-US" w:eastAsia="zh-CN"/>
        </w:rPr>
        <w:t>废水</w:t>
      </w:r>
      <w:r>
        <w:rPr>
          <w:rFonts w:hint="default" w:ascii="Times New Roman" w:hAnsi="Times New Roman" w:eastAsia="宋体" w:cs="Times New Roman"/>
          <w:color w:val="auto"/>
          <w:sz w:val="24"/>
          <w:szCs w:val="24"/>
        </w:rPr>
        <w:t>排放量较大的行业主要是电子信息、食品加工、汽车产业等行业，</w:t>
      </w:r>
      <w:r>
        <w:rPr>
          <w:rFonts w:hint="default" w:ascii="Times New Roman" w:hAnsi="Times New Roman" w:eastAsia="宋体" w:cs="Times New Roman"/>
          <w:color w:val="auto"/>
          <w:sz w:val="24"/>
          <w:szCs w:val="24"/>
          <w:highlight w:val="none"/>
        </w:rPr>
        <w:t>企业废水常规因子排放情况见附表</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，分行业废水量情况如表</w:t>
      </w:r>
      <w:r>
        <w:rPr>
          <w:rFonts w:hint="eastAsia" w:ascii="Times New Roman" w:hAnsi="Times New Roman" w:eastAsia="宋体" w:cs="Times New Roman"/>
          <w:color w:val="auto"/>
          <w:sz w:val="24"/>
          <w:szCs w:val="24"/>
          <w:highlight w:val="none"/>
          <w:lang w:val="en-US" w:eastAsia="zh-CN"/>
        </w:rPr>
        <w:t>6.5</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和图</w:t>
      </w:r>
      <w:r>
        <w:rPr>
          <w:rFonts w:hint="eastAsia" w:ascii="Times New Roman" w:hAnsi="Times New Roman" w:eastAsia="宋体" w:cs="Times New Roman"/>
          <w:color w:val="auto"/>
          <w:sz w:val="24"/>
          <w:szCs w:val="24"/>
          <w:highlight w:val="none"/>
          <w:lang w:val="en-US" w:eastAsia="zh-CN"/>
        </w:rPr>
        <w:t>6.5-5</w:t>
      </w:r>
      <w:r>
        <w:rPr>
          <w:rFonts w:hint="default" w:ascii="Times New Roman" w:hAnsi="Times New Roman" w:eastAsia="宋体" w:cs="Times New Roman"/>
          <w:color w:val="auto"/>
          <w:sz w:val="24"/>
          <w:szCs w:val="24"/>
          <w:highlight w:val="none"/>
        </w:rPr>
        <w:t>所示</w:t>
      </w:r>
      <w:r>
        <w:rPr>
          <w:rFonts w:hint="default" w:ascii="Times New Roman" w:hAnsi="Times New Roman" w:eastAsia="宋体" w:cs="Times New Roman"/>
          <w:color w:val="auto"/>
          <w:sz w:val="24"/>
          <w:szCs w:val="24"/>
          <w:lang w:eastAsia="zh-CN"/>
        </w:rPr>
        <w:t>。</w:t>
      </w:r>
    </w:p>
    <w:p w14:paraId="34166E26">
      <w:pPr>
        <w:keepNext w:val="0"/>
        <w:keepLines w:val="0"/>
        <w:pageBreakBefore w:val="0"/>
        <w:widowControl/>
        <w:numPr>
          <w:ilvl w:val="0"/>
          <w:numId w:val="0"/>
        </w:numPr>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开发区严格落实《生态环境部关于进一步规范城镇</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园区</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污水处理环境管理的通知》</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环水体</w:t>
      </w:r>
      <w:r>
        <w:rPr>
          <w:rFonts w:hint="eastAsia" w:ascii="Times New Roman" w:hAnsi="Times New Roman" w:eastAsia="宋体" w:cs="Times New Roman"/>
          <w:color w:val="auto"/>
          <w:sz w:val="24"/>
          <w:szCs w:val="24"/>
          <w:highlight w:val="none"/>
          <w:lang w:eastAsia="zh-CN"/>
        </w:rPr>
        <w:t>〔2020〕</w:t>
      </w:r>
      <w:r>
        <w:rPr>
          <w:rFonts w:hint="default" w:ascii="Times New Roman" w:hAnsi="Times New Roman" w:eastAsia="宋体" w:cs="Times New Roman"/>
          <w:color w:val="auto"/>
          <w:sz w:val="24"/>
          <w:szCs w:val="24"/>
          <w:highlight w:val="none"/>
        </w:rPr>
        <w:t>71号</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断加快园区污水配套管网建设，提升污水接管率，开展污水处理厂提标改造工程，预计至2025年区内新改扩污水处理厂均实现准I类排放，至2030年污水处理厂全面实现准Ⅳ类排放，进一步削减污染物排放量。建立和落实污水处理收费机制，合理制定和动态调整收费标准。</w:t>
      </w:r>
      <w:bookmarkStart w:id="1849" w:name="sys12880178108"/>
      <w:r>
        <w:rPr>
          <w:rFonts w:hint="default" w:ascii="Times New Roman" w:hAnsi="Times New Roman" w:eastAsia="宋体" w:cs="Times New Roman"/>
          <w:color w:val="auto"/>
          <w:sz w:val="24"/>
          <w:szCs w:val="24"/>
          <w:highlight w:val="none"/>
        </w:rPr>
        <w:t>目前，开发区内工业废水排放企业均已配置预处理设施，第一类污染物及其他有毒有害污染物，均在车间或车间处理设施排放口处理达标，并安装有在线监控设施，对于水环境重点排污单位，依法安装使用自动监测设备，并与生态环境部门联网。</w:t>
      </w:r>
      <w:bookmarkEnd w:id="1849"/>
      <w:bookmarkStart w:id="1850" w:name="sys1288028671"/>
      <w:r>
        <w:rPr>
          <w:rFonts w:hint="default" w:ascii="Times New Roman" w:hAnsi="Times New Roman" w:eastAsia="宋体" w:cs="Times New Roman"/>
          <w:color w:val="auto"/>
          <w:sz w:val="24"/>
          <w:szCs w:val="24"/>
          <w:highlight w:val="none"/>
        </w:rPr>
        <w:t>开发区内现有企业均已实施排污许可管理，企业污水经预处理后接管后，污水集中处理厂可实现稳定达标排放，未发现影响污水处理厂出水稳定达标的纳管企业。</w:t>
      </w:r>
      <w:bookmarkEnd w:id="1850"/>
      <w:bookmarkStart w:id="1851" w:name="sys12880357164"/>
      <w:r>
        <w:rPr>
          <w:rFonts w:hint="default" w:ascii="Times New Roman" w:hAnsi="Times New Roman" w:eastAsia="宋体" w:cs="Times New Roman"/>
          <w:color w:val="auto"/>
          <w:sz w:val="24"/>
          <w:szCs w:val="24"/>
          <w:highlight w:val="none"/>
        </w:rPr>
        <w:t>同时，开发区加强污水处理设施的运维管理，开展进出水水质水量等监测，定期向社会公开运营维护及污染物排放等信息，合理设置与抗风险能力相匹配的事故调蓄设施和环境应急措施，各重点企业及污水集中处理厂均设置事故应急池并建立应急预案，发现进水异常，可能导致污水处理系统受损和出水超标时，立即启动应急预案，并向生态环境部门及相关主管部门报告。</w:t>
      </w:r>
      <w:bookmarkEnd w:id="1851"/>
    </w:p>
    <w:p w14:paraId="5CC6CD8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240" w:lineRule="auto"/>
        <w:jc w:val="center"/>
        <w:textAlignment w:val="baseline"/>
        <w:rPr>
          <w:rFonts w:hint="default" w:ascii="宋体" w:hAnsi="宋体" w:eastAsia="宋体" w:cs="宋体"/>
          <w:b/>
          <w:bCs/>
          <w:color w:val="auto"/>
          <w:spacing w:val="-3"/>
          <w:sz w:val="24"/>
          <w:szCs w:val="24"/>
          <w:highlight w:val="none"/>
          <w:lang w:val="en-US" w:eastAsia="zh-CN"/>
        </w:rPr>
      </w:pPr>
      <w:bookmarkStart w:id="1852" w:name="OLE_LINK1127"/>
      <w:r>
        <w:rPr>
          <w:rFonts w:hint="default" w:ascii="Times New Roman" w:hAnsi="Times New Roman" w:eastAsia="宋体" w:cs="Times New Roman"/>
          <w:b/>
          <w:bCs/>
          <w:color w:val="auto"/>
          <w:spacing w:val="-3"/>
          <w:sz w:val="24"/>
          <w:szCs w:val="24"/>
          <w:highlight w:val="none"/>
          <w:lang w:val="en-US" w:eastAsia="zh-CN"/>
        </w:rPr>
        <w:t>表6</w:t>
      </w:r>
      <w:r>
        <w:rPr>
          <w:rFonts w:hint="eastAsia" w:ascii="Times New Roman" w:hAnsi="Times New Roman" w:eastAsia="宋体" w:cs="Times New Roman"/>
          <w:b/>
          <w:bCs/>
          <w:color w:val="auto"/>
          <w:spacing w:val="-3"/>
          <w:sz w:val="24"/>
          <w:szCs w:val="24"/>
          <w:highlight w:val="none"/>
          <w:lang w:val="en-US" w:eastAsia="zh-CN"/>
        </w:rPr>
        <w:t>.5-4</w:t>
      </w:r>
      <w:r>
        <w:rPr>
          <w:rFonts w:hint="default" w:ascii="Times New Roman" w:hAnsi="Times New Roman" w:eastAsia="宋体" w:cs="Times New Roman"/>
          <w:b/>
          <w:bCs/>
          <w:color w:val="auto"/>
          <w:spacing w:val="-3"/>
          <w:sz w:val="24"/>
          <w:szCs w:val="24"/>
          <w:highlight w:val="none"/>
          <w:lang w:val="en-US" w:eastAsia="zh-CN"/>
        </w:rPr>
        <w:t xml:space="preserve"> </w:t>
      </w:r>
      <w:r>
        <w:rPr>
          <w:rFonts w:hint="eastAsia" w:ascii="宋体" w:hAnsi="宋体" w:eastAsia="宋体" w:cs="宋体"/>
          <w:b/>
          <w:bCs/>
          <w:color w:val="auto"/>
          <w:spacing w:val="-3"/>
          <w:sz w:val="24"/>
          <w:szCs w:val="24"/>
          <w:highlight w:val="none"/>
          <w:lang w:val="en-US" w:eastAsia="zh-CN"/>
        </w:rPr>
        <w:t xml:space="preserve"> 各行业废水排放情况一览表</w:t>
      </w:r>
      <w:r>
        <w:rPr>
          <w:rFonts w:hint="default" w:ascii="Times New Roman" w:hAnsi="Times New Roman" w:eastAsia="宋体" w:cs="Times New Roman"/>
          <w:b/>
          <w:bCs/>
          <w:color w:val="auto"/>
          <w:spacing w:val="-3"/>
          <w:sz w:val="24"/>
          <w:szCs w:val="24"/>
          <w:highlight w:val="none"/>
          <w:lang w:val="en-US" w:eastAsia="zh-CN"/>
        </w:rPr>
        <w:t>（t/a）</w:t>
      </w:r>
      <w:bookmarkEnd w:id="1852"/>
      <w:bookmarkStart w:id="1853" w:name="pindex12881"/>
      <w:bookmarkEnd w:id="1853"/>
    </w:p>
    <w:tbl>
      <w:tblPr>
        <w:tblStyle w:val="2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1780"/>
        <w:gridCol w:w="1319"/>
        <w:gridCol w:w="1233"/>
        <w:gridCol w:w="1229"/>
        <w:gridCol w:w="1234"/>
        <w:gridCol w:w="1230"/>
      </w:tblGrid>
      <w:tr w14:paraId="3BB297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148C11DE">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1780" w:type="dxa"/>
            <w:tcBorders>
              <w:tl2br w:val="nil"/>
              <w:tr2bl w:val="nil"/>
            </w:tcBorders>
            <w:vAlign w:val="center"/>
          </w:tcPr>
          <w:p w14:paraId="0A23003E">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行业类别</w:t>
            </w:r>
          </w:p>
        </w:tc>
        <w:tc>
          <w:tcPr>
            <w:tcW w:w="1319" w:type="dxa"/>
            <w:tcBorders>
              <w:tl2br w:val="nil"/>
              <w:tr2bl w:val="nil"/>
            </w:tcBorders>
            <w:vAlign w:val="center"/>
          </w:tcPr>
          <w:p w14:paraId="25E1C1BC">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工业废水排放量</w:t>
            </w:r>
          </w:p>
        </w:tc>
        <w:tc>
          <w:tcPr>
            <w:tcW w:w="1233" w:type="dxa"/>
            <w:tcBorders>
              <w:tl2br w:val="nil"/>
              <w:tr2bl w:val="nil"/>
            </w:tcBorders>
            <w:vAlign w:val="center"/>
          </w:tcPr>
          <w:p w14:paraId="6FF55B6A">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COD</w:t>
            </w:r>
          </w:p>
        </w:tc>
        <w:tc>
          <w:tcPr>
            <w:tcW w:w="1229" w:type="dxa"/>
            <w:tcBorders>
              <w:tl2br w:val="nil"/>
              <w:tr2bl w:val="nil"/>
            </w:tcBorders>
            <w:vAlign w:val="center"/>
          </w:tcPr>
          <w:p w14:paraId="3E6D93F5">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NH</w:t>
            </w:r>
            <w:r>
              <w:rPr>
                <w:rFonts w:hint="default" w:ascii="Times New Roman" w:hAnsi="Times New Roman" w:eastAsia="宋体" w:cs="Times New Roman"/>
                <w:b/>
                <w:bCs/>
                <w:color w:val="auto"/>
                <w:sz w:val="21"/>
                <w:szCs w:val="21"/>
                <w:highlight w:val="none"/>
                <w:vertAlign w:val="subscript"/>
                <w:lang w:val="en-US" w:eastAsia="zh-CN"/>
              </w:rPr>
              <w:t>3</w:t>
            </w:r>
            <w:r>
              <w:rPr>
                <w:rFonts w:hint="default" w:ascii="Times New Roman" w:hAnsi="Times New Roman" w:eastAsia="宋体" w:cs="Times New Roman"/>
                <w:b/>
                <w:bCs/>
                <w:color w:val="auto"/>
                <w:sz w:val="21"/>
                <w:szCs w:val="21"/>
                <w:highlight w:val="none"/>
                <w:lang w:val="en-US" w:eastAsia="zh-CN"/>
              </w:rPr>
              <w:t>-N</w:t>
            </w:r>
          </w:p>
        </w:tc>
        <w:tc>
          <w:tcPr>
            <w:tcW w:w="1234" w:type="dxa"/>
            <w:tcBorders>
              <w:tl2br w:val="nil"/>
              <w:tr2bl w:val="nil"/>
            </w:tcBorders>
            <w:vAlign w:val="center"/>
          </w:tcPr>
          <w:p w14:paraId="1A09B914">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TN</w:t>
            </w:r>
          </w:p>
        </w:tc>
        <w:tc>
          <w:tcPr>
            <w:tcW w:w="1230" w:type="dxa"/>
            <w:tcBorders>
              <w:tl2br w:val="nil"/>
              <w:tr2bl w:val="nil"/>
            </w:tcBorders>
            <w:vAlign w:val="center"/>
          </w:tcPr>
          <w:p w14:paraId="5B3CC6FD">
            <w:pPr>
              <w:widowControl w:val="0"/>
              <w:bidi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TP</w:t>
            </w:r>
          </w:p>
        </w:tc>
      </w:tr>
      <w:tr w14:paraId="7DD4C6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545C24A9">
            <w:pPr>
              <w:widowControl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780" w:type="dxa"/>
            <w:tcBorders>
              <w:tl2br w:val="nil"/>
              <w:tr2bl w:val="nil"/>
            </w:tcBorders>
            <w:shd w:val="clear" w:color="auto" w:fill="auto"/>
            <w:vAlign w:val="center"/>
          </w:tcPr>
          <w:p w14:paraId="00245AC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宋体" w:hAnsi="宋体" w:eastAsia="宋体" w:cs="宋体"/>
                <w:i w:val="0"/>
                <w:iCs w:val="0"/>
                <w:snapToGrid w:val="0"/>
                <w:color w:val="auto"/>
                <w:kern w:val="0"/>
                <w:sz w:val="21"/>
                <w:szCs w:val="21"/>
                <w:highlight w:val="none"/>
                <w:u w:val="none"/>
                <w:lang w:val="en-US" w:eastAsia="zh-CN" w:bidi="ar"/>
              </w:rPr>
              <w:t>食品制造业</w:t>
            </w:r>
          </w:p>
        </w:tc>
        <w:tc>
          <w:tcPr>
            <w:tcW w:w="1319" w:type="dxa"/>
            <w:tcBorders>
              <w:tl2br w:val="nil"/>
              <w:tr2bl w:val="nil"/>
            </w:tcBorders>
            <w:vAlign w:val="center"/>
          </w:tcPr>
          <w:p w14:paraId="2A58947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 xml:space="preserve">85090.40 </w:t>
            </w:r>
          </w:p>
        </w:tc>
        <w:tc>
          <w:tcPr>
            <w:tcW w:w="1233" w:type="dxa"/>
            <w:tcBorders>
              <w:tl2br w:val="nil"/>
              <w:tr2bl w:val="nil"/>
            </w:tcBorders>
            <w:vAlign w:val="center"/>
          </w:tcPr>
          <w:p w14:paraId="49CEC20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 xml:space="preserve">4.17 </w:t>
            </w:r>
          </w:p>
        </w:tc>
        <w:tc>
          <w:tcPr>
            <w:tcW w:w="1229" w:type="dxa"/>
            <w:tcBorders>
              <w:tl2br w:val="nil"/>
              <w:tr2bl w:val="nil"/>
            </w:tcBorders>
            <w:vAlign w:val="center"/>
          </w:tcPr>
          <w:p w14:paraId="7041D16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 xml:space="preserve">0.53 </w:t>
            </w:r>
          </w:p>
        </w:tc>
        <w:tc>
          <w:tcPr>
            <w:tcW w:w="1234" w:type="dxa"/>
            <w:tcBorders>
              <w:tl2br w:val="nil"/>
              <w:tr2bl w:val="nil"/>
            </w:tcBorders>
            <w:vAlign w:val="center"/>
          </w:tcPr>
          <w:p w14:paraId="40E2BCD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 xml:space="preserve">1.49 </w:t>
            </w:r>
          </w:p>
        </w:tc>
        <w:tc>
          <w:tcPr>
            <w:tcW w:w="1230" w:type="dxa"/>
            <w:tcBorders>
              <w:tl2br w:val="nil"/>
              <w:tr2bl w:val="nil"/>
            </w:tcBorders>
            <w:vAlign w:val="center"/>
          </w:tcPr>
          <w:p w14:paraId="7A42603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 xml:space="preserve">0.07 </w:t>
            </w:r>
          </w:p>
        </w:tc>
      </w:tr>
      <w:tr w14:paraId="0E7DAA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280B3843">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1780" w:type="dxa"/>
            <w:tcBorders>
              <w:tl2br w:val="nil"/>
              <w:tr2bl w:val="nil"/>
            </w:tcBorders>
            <w:shd w:val="clear" w:color="auto" w:fill="auto"/>
            <w:vAlign w:val="center"/>
          </w:tcPr>
          <w:p w14:paraId="155FE24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酒、饮料和精制茶制造业</w:t>
            </w:r>
          </w:p>
        </w:tc>
        <w:tc>
          <w:tcPr>
            <w:tcW w:w="1319" w:type="dxa"/>
            <w:tcBorders>
              <w:tl2br w:val="nil"/>
              <w:tr2bl w:val="nil"/>
            </w:tcBorders>
            <w:vAlign w:val="center"/>
          </w:tcPr>
          <w:p w14:paraId="3A6288C6">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49498.24 </w:t>
            </w:r>
          </w:p>
        </w:tc>
        <w:tc>
          <w:tcPr>
            <w:tcW w:w="1233" w:type="dxa"/>
            <w:tcBorders>
              <w:tl2br w:val="nil"/>
              <w:tr2bl w:val="nil"/>
            </w:tcBorders>
            <w:vAlign w:val="center"/>
          </w:tcPr>
          <w:p w14:paraId="721E056A">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0.64 </w:t>
            </w:r>
          </w:p>
        </w:tc>
        <w:tc>
          <w:tcPr>
            <w:tcW w:w="1229" w:type="dxa"/>
            <w:tcBorders>
              <w:tl2br w:val="nil"/>
              <w:tr2bl w:val="nil"/>
            </w:tcBorders>
            <w:vAlign w:val="center"/>
          </w:tcPr>
          <w:p w14:paraId="79D6AD2C">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0.03 </w:t>
            </w:r>
          </w:p>
        </w:tc>
        <w:tc>
          <w:tcPr>
            <w:tcW w:w="1234" w:type="dxa"/>
            <w:tcBorders>
              <w:tl2br w:val="nil"/>
              <w:tr2bl w:val="nil"/>
            </w:tcBorders>
            <w:vAlign w:val="center"/>
          </w:tcPr>
          <w:p w14:paraId="136CA2BF">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0.47 </w:t>
            </w:r>
          </w:p>
        </w:tc>
        <w:tc>
          <w:tcPr>
            <w:tcW w:w="1230" w:type="dxa"/>
            <w:tcBorders>
              <w:tl2br w:val="nil"/>
              <w:tr2bl w:val="nil"/>
            </w:tcBorders>
            <w:vAlign w:val="center"/>
          </w:tcPr>
          <w:p w14:paraId="44ECC010">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 </w:t>
            </w:r>
          </w:p>
        </w:tc>
      </w:tr>
      <w:tr w14:paraId="337801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4D926577">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780" w:type="dxa"/>
            <w:tcBorders>
              <w:tl2br w:val="nil"/>
              <w:tr2bl w:val="nil"/>
            </w:tcBorders>
            <w:shd w:val="clear" w:color="auto" w:fill="auto"/>
            <w:vAlign w:val="center"/>
          </w:tcPr>
          <w:p w14:paraId="4816A4F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纺织业</w:t>
            </w:r>
          </w:p>
        </w:tc>
        <w:tc>
          <w:tcPr>
            <w:tcW w:w="1319" w:type="dxa"/>
            <w:tcBorders>
              <w:tl2br w:val="nil"/>
              <w:tr2bl w:val="nil"/>
            </w:tcBorders>
            <w:vAlign w:val="center"/>
          </w:tcPr>
          <w:p w14:paraId="17B7DDD1">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12800.00 </w:t>
            </w:r>
          </w:p>
        </w:tc>
        <w:tc>
          <w:tcPr>
            <w:tcW w:w="1233" w:type="dxa"/>
            <w:tcBorders>
              <w:tl2br w:val="nil"/>
              <w:tr2bl w:val="nil"/>
            </w:tcBorders>
            <w:vAlign w:val="center"/>
          </w:tcPr>
          <w:p w14:paraId="7BDA9C4B">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0.17 </w:t>
            </w:r>
          </w:p>
        </w:tc>
        <w:tc>
          <w:tcPr>
            <w:tcW w:w="1229" w:type="dxa"/>
            <w:tcBorders>
              <w:tl2br w:val="nil"/>
              <w:tr2bl w:val="nil"/>
            </w:tcBorders>
            <w:vAlign w:val="center"/>
          </w:tcPr>
          <w:p w14:paraId="21F42D1F">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0.01 </w:t>
            </w:r>
          </w:p>
        </w:tc>
        <w:tc>
          <w:tcPr>
            <w:tcW w:w="1234" w:type="dxa"/>
            <w:tcBorders>
              <w:tl2br w:val="nil"/>
              <w:tr2bl w:val="nil"/>
            </w:tcBorders>
            <w:vAlign w:val="center"/>
          </w:tcPr>
          <w:p w14:paraId="5AF15E8C">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0.12 </w:t>
            </w:r>
          </w:p>
        </w:tc>
        <w:tc>
          <w:tcPr>
            <w:tcW w:w="1230" w:type="dxa"/>
            <w:tcBorders>
              <w:tl2br w:val="nil"/>
              <w:tr2bl w:val="nil"/>
            </w:tcBorders>
            <w:vAlign w:val="center"/>
          </w:tcPr>
          <w:p w14:paraId="4B1254A7">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 </w:t>
            </w:r>
          </w:p>
        </w:tc>
      </w:tr>
      <w:tr w14:paraId="637762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38" w:type="dxa"/>
            <w:tcBorders>
              <w:tl2br w:val="nil"/>
              <w:tr2bl w:val="nil"/>
            </w:tcBorders>
            <w:vAlign w:val="center"/>
          </w:tcPr>
          <w:p w14:paraId="62164724">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780" w:type="dxa"/>
            <w:tcBorders>
              <w:tl2br w:val="nil"/>
              <w:tr2bl w:val="nil"/>
            </w:tcBorders>
            <w:shd w:val="clear" w:color="auto" w:fill="auto"/>
            <w:vAlign w:val="center"/>
          </w:tcPr>
          <w:p w14:paraId="2AA0ABF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纺织服装、服饰业</w:t>
            </w:r>
          </w:p>
        </w:tc>
        <w:tc>
          <w:tcPr>
            <w:tcW w:w="1319" w:type="dxa"/>
            <w:tcBorders>
              <w:tl2br w:val="nil"/>
              <w:tr2bl w:val="nil"/>
            </w:tcBorders>
            <w:vAlign w:val="center"/>
          </w:tcPr>
          <w:p w14:paraId="7E677FA6">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73373.02 </w:t>
            </w:r>
          </w:p>
        </w:tc>
        <w:tc>
          <w:tcPr>
            <w:tcW w:w="1233" w:type="dxa"/>
            <w:tcBorders>
              <w:tl2br w:val="nil"/>
              <w:tr2bl w:val="nil"/>
            </w:tcBorders>
            <w:vAlign w:val="center"/>
          </w:tcPr>
          <w:p w14:paraId="1090BA10">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1.11 </w:t>
            </w:r>
          </w:p>
        </w:tc>
        <w:tc>
          <w:tcPr>
            <w:tcW w:w="1229" w:type="dxa"/>
            <w:tcBorders>
              <w:tl2br w:val="nil"/>
              <w:tr2bl w:val="nil"/>
            </w:tcBorders>
            <w:vAlign w:val="center"/>
          </w:tcPr>
          <w:p w14:paraId="00F1860E">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0.07 </w:t>
            </w:r>
          </w:p>
        </w:tc>
        <w:tc>
          <w:tcPr>
            <w:tcW w:w="1234" w:type="dxa"/>
            <w:tcBorders>
              <w:tl2br w:val="nil"/>
              <w:tr2bl w:val="nil"/>
            </w:tcBorders>
            <w:vAlign w:val="center"/>
          </w:tcPr>
          <w:p w14:paraId="3132DBBF">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0.59 </w:t>
            </w:r>
          </w:p>
        </w:tc>
        <w:tc>
          <w:tcPr>
            <w:tcW w:w="1230" w:type="dxa"/>
            <w:tcBorders>
              <w:tl2br w:val="nil"/>
              <w:tr2bl w:val="nil"/>
            </w:tcBorders>
            <w:vAlign w:val="center"/>
          </w:tcPr>
          <w:p w14:paraId="09155161">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0.02 </w:t>
            </w:r>
          </w:p>
        </w:tc>
      </w:tr>
      <w:tr w14:paraId="4EED8C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396D59BF">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1780" w:type="dxa"/>
            <w:tcBorders>
              <w:tl2br w:val="nil"/>
              <w:tr2bl w:val="nil"/>
            </w:tcBorders>
            <w:shd w:val="clear" w:color="auto" w:fill="auto"/>
            <w:vAlign w:val="center"/>
          </w:tcPr>
          <w:p w14:paraId="2179F640">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印刷和记录媒介复制业</w:t>
            </w:r>
          </w:p>
        </w:tc>
        <w:tc>
          <w:tcPr>
            <w:tcW w:w="1319" w:type="dxa"/>
            <w:tcBorders>
              <w:tl2br w:val="nil"/>
              <w:tr2bl w:val="nil"/>
            </w:tcBorders>
            <w:vAlign w:val="center"/>
          </w:tcPr>
          <w:p w14:paraId="68576486">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51224.40 </w:t>
            </w:r>
          </w:p>
        </w:tc>
        <w:tc>
          <w:tcPr>
            <w:tcW w:w="1233" w:type="dxa"/>
            <w:tcBorders>
              <w:tl2br w:val="nil"/>
              <w:tr2bl w:val="nil"/>
            </w:tcBorders>
            <w:vAlign w:val="center"/>
          </w:tcPr>
          <w:p w14:paraId="7FF285EE">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0.70 </w:t>
            </w:r>
          </w:p>
        </w:tc>
        <w:tc>
          <w:tcPr>
            <w:tcW w:w="1229" w:type="dxa"/>
            <w:tcBorders>
              <w:tl2br w:val="nil"/>
              <w:tr2bl w:val="nil"/>
            </w:tcBorders>
            <w:vAlign w:val="center"/>
          </w:tcPr>
          <w:p w14:paraId="654AAD27">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0.04 </w:t>
            </w:r>
          </w:p>
        </w:tc>
        <w:tc>
          <w:tcPr>
            <w:tcW w:w="1234" w:type="dxa"/>
            <w:tcBorders>
              <w:tl2br w:val="nil"/>
              <w:tr2bl w:val="nil"/>
            </w:tcBorders>
            <w:vAlign w:val="center"/>
          </w:tcPr>
          <w:p w14:paraId="483F7E2E">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0.52 </w:t>
            </w:r>
          </w:p>
        </w:tc>
        <w:tc>
          <w:tcPr>
            <w:tcW w:w="1230" w:type="dxa"/>
            <w:tcBorders>
              <w:tl2br w:val="nil"/>
              <w:tr2bl w:val="nil"/>
            </w:tcBorders>
            <w:vAlign w:val="center"/>
          </w:tcPr>
          <w:p w14:paraId="76D9B47A">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0.01 </w:t>
            </w:r>
          </w:p>
        </w:tc>
      </w:tr>
      <w:tr w14:paraId="2ADFC4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39AE8D1F">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1780" w:type="dxa"/>
            <w:tcBorders>
              <w:tl2br w:val="nil"/>
              <w:tr2bl w:val="nil"/>
            </w:tcBorders>
            <w:shd w:val="clear" w:color="auto" w:fill="auto"/>
            <w:vAlign w:val="center"/>
          </w:tcPr>
          <w:p w14:paraId="0E76E57F">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SA"/>
              </w:rPr>
            </w:pPr>
            <w:r>
              <w:rPr>
                <w:rFonts w:hint="eastAsia" w:ascii="宋体" w:hAnsi="宋体" w:eastAsia="宋体" w:cs="宋体"/>
                <w:i w:val="0"/>
                <w:iCs w:val="0"/>
                <w:snapToGrid w:val="0"/>
                <w:color w:val="auto"/>
                <w:kern w:val="0"/>
                <w:sz w:val="21"/>
                <w:szCs w:val="21"/>
                <w:u w:val="none"/>
                <w:lang w:val="en-US" w:eastAsia="zh-CN" w:bidi="ar"/>
              </w:rPr>
              <w:t>生物医药业</w:t>
            </w:r>
          </w:p>
        </w:tc>
        <w:tc>
          <w:tcPr>
            <w:tcW w:w="1319" w:type="dxa"/>
            <w:tcBorders>
              <w:tl2br w:val="nil"/>
              <w:tr2bl w:val="nil"/>
            </w:tcBorders>
            <w:vAlign w:val="center"/>
          </w:tcPr>
          <w:p w14:paraId="02E5CA24">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106518.47 </w:t>
            </w:r>
          </w:p>
        </w:tc>
        <w:tc>
          <w:tcPr>
            <w:tcW w:w="1233" w:type="dxa"/>
            <w:tcBorders>
              <w:tl2br w:val="nil"/>
              <w:tr2bl w:val="nil"/>
            </w:tcBorders>
            <w:vAlign w:val="center"/>
          </w:tcPr>
          <w:p w14:paraId="4AADB60E">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3.60 </w:t>
            </w:r>
          </w:p>
        </w:tc>
        <w:tc>
          <w:tcPr>
            <w:tcW w:w="1229" w:type="dxa"/>
            <w:tcBorders>
              <w:tl2br w:val="nil"/>
              <w:tr2bl w:val="nil"/>
            </w:tcBorders>
            <w:vAlign w:val="center"/>
          </w:tcPr>
          <w:p w14:paraId="018D84C0">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0.18 </w:t>
            </w:r>
          </w:p>
        </w:tc>
        <w:tc>
          <w:tcPr>
            <w:tcW w:w="1234" w:type="dxa"/>
            <w:tcBorders>
              <w:tl2br w:val="nil"/>
              <w:tr2bl w:val="nil"/>
            </w:tcBorders>
            <w:vAlign w:val="center"/>
          </w:tcPr>
          <w:p w14:paraId="1014C085">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1.05 </w:t>
            </w:r>
          </w:p>
        </w:tc>
        <w:tc>
          <w:tcPr>
            <w:tcW w:w="1230" w:type="dxa"/>
            <w:tcBorders>
              <w:tl2br w:val="nil"/>
              <w:tr2bl w:val="nil"/>
            </w:tcBorders>
            <w:vAlign w:val="center"/>
          </w:tcPr>
          <w:p w14:paraId="4DBF7F19">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0.04 </w:t>
            </w:r>
          </w:p>
        </w:tc>
      </w:tr>
      <w:tr w14:paraId="1898E2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7EB3F710">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1780" w:type="dxa"/>
            <w:tcBorders>
              <w:tl2br w:val="nil"/>
              <w:tr2bl w:val="nil"/>
            </w:tcBorders>
            <w:shd w:val="clear" w:color="auto" w:fill="auto"/>
            <w:vAlign w:val="center"/>
          </w:tcPr>
          <w:p w14:paraId="2042C54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橡胶和塑料制品业</w:t>
            </w:r>
          </w:p>
        </w:tc>
        <w:tc>
          <w:tcPr>
            <w:tcW w:w="1319" w:type="dxa"/>
            <w:tcBorders>
              <w:tl2br w:val="nil"/>
              <w:tr2bl w:val="nil"/>
            </w:tcBorders>
            <w:vAlign w:val="center"/>
          </w:tcPr>
          <w:p w14:paraId="7659A13D">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103043.00 </w:t>
            </w:r>
          </w:p>
        </w:tc>
        <w:tc>
          <w:tcPr>
            <w:tcW w:w="1233" w:type="dxa"/>
            <w:tcBorders>
              <w:tl2br w:val="nil"/>
              <w:tr2bl w:val="nil"/>
            </w:tcBorders>
            <w:vAlign w:val="center"/>
          </w:tcPr>
          <w:p w14:paraId="436F0BA8">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1.46 </w:t>
            </w:r>
          </w:p>
        </w:tc>
        <w:tc>
          <w:tcPr>
            <w:tcW w:w="1229" w:type="dxa"/>
            <w:tcBorders>
              <w:tl2br w:val="nil"/>
              <w:tr2bl w:val="nil"/>
            </w:tcBorders>
            <w:vAlign w:val="center"/>
          </w:tcPr>
          <w:p w14:paraId="1F8482A9">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0.11 </w:t>
            </w:r>
          </w:p>
        </w:tc>
        <w:tc>
          <w:tcPr>
            <w:tcW w:w="1234" w:type="dxa"/>
            <w:tcBorders>
              <w:tl2br w:val="nil"/>
              <w:tr2bl w:val="nil"/>
            </w:tcBorders>
            <w:vAlign w:val="center"/>
          </w:tcPr>
          <w:p w14:paraId="581F69FC">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1.10 </w:t>
            </w:r>
          </w:p>
        </w:tc>
        <w:tc>
          <w:tcPr>
            <w:tcW w:w="1230" w:type="dxa"/>
            <w:tcBorders>
              <w:tl2br w:val="nil"/>
              <w:tr2bl w:val="nil"/>
            </w:tcBorders>
            <w:vAlign w:val="center"/>
          </w:tcPr>
          <w:p w14:paraId="18BCD80B">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0.02 </w:t>
            </w:r>
          </w:p>
        </w:tc>
      </w:tr>
      <w:tr w14:paraId="0F7C15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51D316FE">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1780" w:type="dxa"/>
            <w:tcBorders>
              <w:tl2br w:val="nil"/>
              <w:tr2bl w:val="nil"/>
            </w:tcBorders>
            <w:shd w:val="clear" w:color="auto" w:fill="auto"/>
            <w:vAlign w:val="center"/>
          </w:tcPr>
          <w:p w14:paraId="0DD8B3E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非金属矿物制品业</w:t>
            </w:r>
          </w:p>
        </w:tc>
        <w:tc>
          <w:tcPr>
            <w:tcW w:w="1319" w:type="dxa"/>
            <w:tcBorders>
              <w:tl2br w:val="nil"/>
              <w:tr2bl w:val="nil"/>
            </w:tcBorders>
            <w:vAlign w:val="center"/>
          </w:tcPr>
          <w:p w14:paraId="3F9B4A9C">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10210.00 </w:t>
            </w:r>
          </w:p>
        </w:tc>
        <w:tc>
          <w:tcPr>
            <w:tcW w:w="1233" w:type="dxa"/>
            <w:tcBorders>
              <w:tl2br w:val="nil"/>
              <w:tr2bl w:val="nil"/>
            </w:tcBorders>
            <w:vAlign w:val="center"/>
          </w:tcPr>
          <w:p w14:paraId="62CF956F">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0.16 </w:t>
            </w:r>
          </w:p>
        </w:tc>
        <w:tc>
          <w:tcPr>
            <w:tcW w:w="1229" w:type="dxa"/>
            <w:tcBorders>
              <w:tl2br w:val="nil"/>
              <w:tr2bl w:val="nil"/>
            </w:tcBorders>
            <w:vAlign w:val="center"/>
          </w:tcPr>
          <w:p w14:paraId="0A25CBBB">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0.01 </w:t>
            </w:r>
          </w:p>
        </w:tc>
        <w:tc>
          <w:tcPr>
            <w:tcW w:w="1234" w:type="dxa"/>
            <w:tcBorders>
              <w:tl2br w:val="nil"/>
              <w:tr2bl w:val="nil"/>
            </w:tcBorders>
            <w:vAlign w:val="center"/>
          </w:tcPr>
          <w:p w14:paraId="52B1B8AC">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0.12 </w:t>
            </w:r>
          </w:p>
        </w:tc>
        <w:tc>
          <w:tcPr>
            <w:tcW w:w="1230" w:type="dxa"/>
            <w:tcBorders>
              <w:tl2br w:val="nil"/>
              <w:tr2bl w:val="nil"/>
            </w:tcBorders>
            <w:vAlign w:val="center"/>
          </w:tcPr>
          <w:p w14:paraId="0D40EE4F">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 </w:t>
            </w:r>
          </w:p>
        </w:tc>
      </w:tr>
      <w:tr w14:paraId="7BA549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38" w:type="dxa"/>
            <w:tcBorders>
              <w:tl2br w:val="nil"/>
              <w:tr2bl w:val="nil"/>
            </w:tcBorders>
            <w:vAlign w:val="center"/>
          </w:tcPr>
          <w:p w14:paraId="11D61C5D">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w:t>
            </w:r>
          </w:p>
        </w:tc>
        <w:tc>
          <w:tcPr>
            <w:tcW w:w="1780" w:type="dxa"/>
            <w:tcBorders>
              <w:tl2br w:val="nil"/>
              <w:tr2bl w:val="nil"/>
            </w:tcBorders>
            <w:shd w:val="clear" w:color="auto" w:fill="auto"/>
            <w:vAlign w:val="center"/>
          </w:tcPr>
          <w:p w14:paraId="45CA584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有色金属冶炼和压延加工业</w:t>
            </w:r>
          </w:p>
        </w:tc>
        <w:tc>
          <w:tcPr>
            <w:tcW w:w="1319" w:type="dxa"/>
            <w:tcBorders>
              <w:tl2br w:val="nil"/>
              <w:tr2bl w:val="nil"/>
            </w:tcBorders>
            <w:vAlign w:val="center"/>
          </w:tcPr>
          <w:p w14:paraId="0C5FFA5D">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4906.00 </w:t>
            </w:r>
          </w:p>
        </w:tc>
        <w:tc>
          <w:tcPr>
            <w:tcW w:w="1233" w:type="dxa"/>
            <w:tcBorders>
              <w:tl2br w:val="nil"/>
              <w:tr2bl w:val="nil"/>
            </w:tcBorders>
            <w:vAlign w:val="center"/>
          </w:tcPr>
          <w:p w14:paraId="5EE7F599">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0.04 </w:t>
            </w:r>
          </w:p>
        </w:tc>
        <w:tc>
          <w:tcPr>
            <w:tcW w:w="1229" w:type="dxa"/>
            <w:tcBorders>
              <w:tl2br w:val="nil"/>
              <w:tr2bl w:val="nil"/>
            </w:tcBorders>
            <w:vAlign w:val="center"/>
          </w:tcPr>
          <w:p w14:paraId="769A572B">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 </w:t>
            </w:r>
          </w:p>
        </w:tc>
        <w:tc>
          <w:tcPr>
            <w:tcW w:w="1234" w:type="dxa"/>
            <w:tcBorders>
              <w:tl2br w:val="nil"/>
              <w:tr2bl w:val="nil"/>
            </w:tcBorders>
            <w:vAlign w:val="center"/>
          </w:tcPr>
          <w:p w14:paraId="650B61EC">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 </w:t>
            </w:r>
          </w:p>
        </w:tc>
        <w:tc>
          <w:tcPr>
            <w:tcW w:w="1230" w:type="dxa"/>
            <w:tcBorders>
              <w:tl2br w:val="nil"/>
              <w:tr2bl w:val="nil"/>
            </w:tcBorders>
            <w:vAlign w:val="center"/>
          </w:tcPr>
          <w:p w14:paraId="34F1A863">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 </w:t>
            </w:r>
          </w:p>
        </w:tc>
      </w:tr>
      <w:tr w14:paraId="024C85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76B8A4CF">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1780" w:type="dxa"/>
            <w:tcBorders>
              <w:tl2br w:val="nil"/>
              <w:tr2bl w:val="nil"/>
            </w:tcBorders>
            <w:shd w:val="clear" w:color="auto" w:fill="auto"/>
            <w:vAlign w:val="center"/>
          </w:tcPr>
          <w:p w14:paraId="5CF83BD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金属制品业</w:t>
            </w:r>
          </w:p>
        </w:tc>
        <w:tc>
          <w:tcPr>
            <w:tcW w:w="1319" w:type="dxa"/>
            <w:tcBorders>
              <w:tl2br w:val="nil"/>
              <w:tr2bl w:val="nil"/>
            </w:tcBorders>
            <w:vAlign w:val="center"/>
          </w:tcPr>
          <w:p w14:paraId="627B2963">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158528.00 </w:t>
            </w:r>
          </w:p>
        </w:tc>
        <w:tc>
          <w:tcPr>
            <w:tcW w:w="1233" w:type="dxa"/>
            <w:tcBorders>
              <w:tl2br w:val="nil"/>
              <w:tr2bl w:val="nil"/>
            </w:tcBorders>
            <w:vAlign w:val="center"/>
          </w:tcPr>
          <w:p w14:paraId="0213326F">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2.19 </w:t>
            </w:r>
          </w:p>
        </w:tc>
        <w:tc>
          <w:tcPr>
            <w:tcW w:w="1229" w:type="dxa"/>
            <w:tcBorders>
              <w:tl2br w:val="nil"/>
              <w:tr2bl w:val="nil"/>
            </w:tcBorders>
            <w:vAlign w:val="center"/>
          </w:tcPr>
          <w:p w14:paraId="0E8B9646">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0.10 </w:t>
            </w:r>
          </w:p>
        </w:tc>
        <w:tc>
          <w:tcPr>
            <w:tcW w:w="1234" w:type="dxa"/>
            <w:tcBorders>
              <w:tl2br w:val="nil"/>
              <w:tr2bl w:val="nil"/>
            </w:tcBorders>
            <w:vAlign w:val="center"/>
          </w:tcPr>
          <w:p w14:paraId="6ED2F6D0">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0.87 </w:t>
            </w:r>
          </w:p>
        </w:tc>
        <w:tc>
          <w:tcPr>
            <w:tcW w:w="1230" w:type="dxa"/>
            <w:tcBorders>
              <w:tl2br w:val="nil"/>
              <w:tr2bl w:val="nil"/>
            </w:tcBorders>
            <w:vAlign w:val="center"/>
          </w:tcPr>
          <w:p w14:paraId="1B2DB7DA">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0.01 </w:t>
            </w:r>
          </w:p>
        </w:tc>
      </w:tr>
      <w:tr w14:paraId="65C5BD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268C3017">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w:t>
            </w:r>
          </w:p>
        </w:tc>
        <w:tc>
          <w:tcPr>
            <w:tcW w:w="1780" w:type="dxa"/>
            <w:tcBorders>
              <w:tl2br w:val="nil"/>
              <w:tr2bl w:val="nil"/>
            </w:tcBorders>
            <w:shd w:val="clear" w:color="auto" w:fill="auto"/>
            <w:vAlign w:val="center"/>
          </w:tcPr>
          <w:p w14:paraId="66D0E71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通用设备制造业</w:t>
            </w:r>
          </w:p>
        </w:tc>
        <w:tc>
          <w:tcPr>
            <w:tcW w:w="1319" w:type="dxa"/>
            <w:tcBorders>
              <w:tl2br w:val="nil"/>
              <w:tr2bl w:val="nil"/>
            </w:tcBorders>
            <w:vAlign w:val="center"/>
          </w:tcPr>
          <w:p w14:paraId="0CECA29B">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230832.80 </w:t>
            </w:r>
          </w:p>
        </w:tc>
        <w:tc>
          <w:tcPr>
            <w:tcW w:w="1233" w:type="dxa"/>
            <w:tcBorders>
              <w:tl2br w:val="nil"/>
              <w:tr2bl w:val="nil"/>
            </w:tcBorders>
            <w:vAlign w:val="center"/>
          </w:tcPr>
          <w:p w14:paraId="7A843060">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3.64 </w:t>
            </w:r>
          </w:p>
        </w:tc>
        <w:tc>
          <w:tcPr>
            <w:tcW w:w="1229" w:type="dxa"/>
            <w:tcBorders>
              <w:tl2br w:val="nil"/>
              <w:tr2bl w:val="nil"/>
            </w:tcBorders>
            <w:vAlign w:val="center"/>
          </w:tcPr>
          <w:p w14:paraId="66F90F0A">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0.24 </w:t>
            </w:r>
          </w:p>
        </w:tc>
        <w:tc>
          <w:tcPr>
            <w:tcW w:w="1234" w:type="dxa"/>
            <w:tcBorders>
              <w:tl2br w:val="nil"/>
              <w:tr2bl w:val="nil"/>
            </w:tcBorders>
            <w:vAlign w:val="center"/>
          </w:tcPr>
          <w:p w14:paraId="63466302">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2.06 </w:t>
            </w:r>
          </w:p>
        </w:tc>
        <w:tc>
          <w:tcPr>
            <w:tcW w:w="1230" w:type="dxa"/>
            <w:tcBorders>
              <w:tl2br w:val="nil"/>
              <w:tr2bl w:val="nil"/>
            </w:tcBorders>
            <w:vAlign w:val="center"/>
          </w:tcPr>
          <w:p w14:paraId="344486C8">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0.03 </w:t>
            </w:r>
          </w:p>
        </w:tc>
      </w:tr>
      <w:tr w14:paraId="5E693C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32A04295">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1780" w:type="dxa"/>
            <w:tcBorders>
              <w:tl2br w:val="nil"/>
              <w:tr2bl w:val="nil"/>
            </w:tcBorders>
            <w:shd w:val="clear" w:color="auto" w:fill="auto"/>
            <w:vAlign w:val="center"/>
          </w:tcPr>
          <w:p w14:paraId="18BDD74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专用设备制造业</w:t>
            </w:r>
          </w:p>
        </w:tc>
        <w:tc>
          <w:tcPr>
            <w:tcW w:w="1319" w:type="dxa"/>
            <w:tcBorders>
              <w:tl2br w:val="nil"/>
              <w:tr2bl w:val="nil"/>
            </w:tcBorders>
            <w:vAlign w:val="center"/>
          </w:tcPr>
          <w:p w14:paraId="6FDA2AD4">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372117.76 </w:t>
            </w:r>
          </w:p>
        </w:tc>
        <w:tc>
          <w:tcPr>
            <w:tcW w:w="1233" w:type="dxa"/>
            <w:tcBorders>
              <w:tl2br w:val="nil"/>
              <w:tr2bl w:val="nil"/>
            </w:tcBorders>
            <w:vAlign w:val="center"/>
          </w:tcPr>
          <w:p w14:paraId="5F59F14E">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24.69 </w:t>
            </w:r>
          </w:p>
        </w:tc>
        <w:tc>
          <w:tcPr>
            <w:tcW w:w="1229" w:type="dxa"/>
            <w:tcBorders>
              <w:tl2br w:val="nil"/>
              <w:tr2bl w:val="nil"/>
            </w:tcBorders>
            <w:vAlign w:val="center"/>
          </w:tcPr>
          <w:p w14:paraId="4C499F9D">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2.16 </w:t>
            </w:r>
          </w:p>
        </w:tc>
        <w:tc>
          <w:tcPr>
            <w:tcW w:w="1234" w:type="dxa"/>
            <w:tcBorders>
              <w:tl2br w:val="nil"/>
              <w:tr2bl w:val="nil"/>
            </w:tcBorders>
            <w:vAlign w:val="center"/>
          </w:tcPr>
          <w:p w14:paraId="731CF4CD">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3.30 </w:t>
            </w:r>
          </w:p>
        </w:tc>
        <w:tc>
          <w:tcPr>
            <w:tcW w:w="1230" w:type="dxa"/>
            <w:tcBorders>
              <w:tl2br w:val="nil"/>
              <w:tr2bl w:val="nil"/>
            </w:tcBorders>
            <w:vAlign w:val="center"/>
          </w:tcPr>
          <w:p w14:paraId="20BAD684">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0.26 </w:t>
            </w:r>
          </w:p>
        </w:tc>
      </w:tr>
      <w:tr w14:paraId="337CD3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03DD7604">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w:t>
            </w:r>
          </w:p>
        </w:tc>
        <w:tc>
          <w:tcPr>
            <w:tcW w:w="1780" w:type="dxa"/>
            <w:tcBorders>
              <w:tl2br w:val="nil"/>
              <w:tr2bl w:val="nil"/>
            </w:tcBorders>
            <w:shd w:val="clear" w:color="auto" w:fill="auto"/>
            <w:vAlign w:val="center"/>
          </w:tcPr>
          <w:p w14:paraId="00D0163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汽车制造业</w:t>
            </w:r>
          </w:p>
        </w:tc>
        <w:tc>
          <w:tcPr>
            <w:tcW w:w="1319" w:type="dxa"/>
            <w:tcBorders>
              <w:tl2br w:val="nil"/>
              <w:tr2bl w:val="nil"/>
            </w:tcBorders>
            <w:vAlign w:val="center"/>
          </w:tcPr>
          <w:p w14:paraId="6A80A40B">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1316239.06 </w:t>
            </w:r>
          </w:p>
        </w:tc>
        <w:tc>
          <w:tcPr>
            <w:tcW w:w="1233" w:type="dxa"/>
            <w:tcBorders>
              <w:tl2br w:val="nil"/>
              <w:tr2bl w:val="nil"/>
            </w:tcBorders>
            <w:vAlign w:val="center"/>
          </w:tcPr>
          <w:p w14:paraId="3D05694A">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56.17 </w:t>
            </w:r>
          </w:p>
        </w:tc>
        <w:tc>
          <w:tcPr>
            <w:tcW w:w="1229" w:type="dxa"/>
            <w:tcBorders>
              <w:tl2br w:val="nil"/>
              <w:tr2bl w:val="nil"/>
            </w:tcBorders>
            <w:vAlign w:val="center"/>
          </w:tcPr>
          <w:p w14:paraId="2C74AB41">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5.39 </w:t>
            </w:r>
          </w:p>
        </w:tc>
        <w:tc>
          <w:tcPr>
            <w:tcW w:w="1234" w:type="dxa"/>
            <w:tcBorders>
              <w:tl2br w:val="nil"/>
              <w:tr2bl w:val="nil"/>
            </w:tcBorders>
            <w:vAlign w:val="center"/>
          </w:tcPr>
          <w:p w14:paraId="288536CB">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23.92 </w:t>
            </w:r>
          </w:p>
        </w:tc>
        <w:tc>
          <w:tcPr>
            <w:tcW w:w="1230" w:type="dxa"/>
            <w:tcBorders>
              <w:tl2br w:val="nil"/>
              <w:tr2bl w:val="nil"/>
            </w:tcBorders>
            <w:vAlign w:val="center"/>
          </w:tcPr>
          <w:p w14:paraId="51F80C89">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0.62 </w:t>
            </w:r>
          </w:p>
        </w:tc>
      </w:tr>
      <w:tr w14:paraId="6B902F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70FA8B2C">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w:t>
            </w:r>
          </w:p>
        </w:tc>
        <w:tc>
          <w:tcPr>
            <w:tcW w:w="1780" w:type="dxa"/>
            <w:tcBorders>
              <w:tl2br w:val="nil"/>
              <w:tr2bl w:val="nil"/>
            </w:tcBorders>
            <w:shd w:val="clear" w:color="auto" w:fill="auto"/>
            <w:vAlign w:val="center"/>
          </w:tcPr>
          <w:p w14:paraId="038E688B">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铁路、船舶、航空航天和其他运输设备制造业</w:t>
            </w:r>
          </w:p>
        </w:tc>
        <w:tc>
          <w:tcPr>
            <w:tcW w:w="1319" w:type="dxa"/>
            <w:tcBorders>
              <w:tl2br w:val="nil"/>
              <w:tr2bl w:val="nil"/>
            </w:tcBorders>
            <w:vAlign w:val="center"/>
          </w:tcPr>
          <w:p w14:paraId="71FC2E45">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176483.20 </w:t>
            </w:r>
          </w:p>
        </w:tc>
        <w:tc>
          <w:tcPr>
            <w:tcW w:w="1233" w:type="dxa"/>
            <w:tcBorders>
              <w:tl2br w:val="nil"/>
              <w:tr2bl w:val="nil"/>
            </w:tcBorders>
            <w:vAlign w:val="center"/>
          </w:tcPr>
          <w:p w14:paraId="32B2E547">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2.29 </w:t>
            </w:r>
          </w:p>
        </w:tc>
        <w:tc>
          <w:tcPr>
            <w:tcW w:w="1229" w:type="dxa"/>
            <w:tcBorders>
              <w:tl2br w:val="nil"/>
              <w:tr2bl w:val="nil"/>
            </w:tcBorders>
            <w:vAlign w:val="center"/>
          </w:tcPr>
          <w:p w14:paraId="6C4AD88D">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0.12 </w:t>
            </w:r>
          </w:p>
        </w:tc>
        <w:tc>
          <w:tcPr>
            <w:tcW w:w="1234" w:type="dxa"/>
            <w:tcBorders>
              <w:tl2br w:val="nil"/>
              <w:tr2bl w:val="nil"/>
            </w:tcBorders>
            <w:vAlign w:val="center"/>
          </w:tcPr>
          <w:p w14:paraId="09676DB3">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1.69 </w:t>
            </w:r>
          </w:p>
        </w:tc>
        <w:tc>
          <w:tcPr>
            <w:tcW w:w="1230" w:type="dxa"/>
            <w:tcBorders>
              <w:tl2br w:val="nil"/>
              <w:tr2bl w:val="nil"/>
            </w:tcBorders>
            <w:vAlign w:val="center"/>
          </w:tcPr>
          <w:p w14:paraId="277C6AEA">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0.02 </w:t>
            </w:r>
          </w:p>
        </w:tc>
      </w:tr>
      <w:tr w14:paraId="015C82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499EA52A">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1780" w:type="dxa"/>
            <w:tcBorders>
              <w:tl2br w:val="nil"/>
              <w:tr2bl w:val="nil"/>
            </w:tcBorders>
            <w:shd w:val="clear" w:color="auto" w:fill="auto"/>
            <w:vAlign w:val="center"/>
          </w:tcPr>
          <w:p w14:paraId="0EFC95D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电气机械和器材制造业</w:t>
            </w:r>
          </w:p>
        </w:tc>
        <w:tc>
          <w:tcPr>
            <w:tcW w:w="1319" w:type="dxa"/>
            <w:tcBorders>
              <w:tl2br w:val="nil"/>
              <w:tr2bl w:val="nil"/>
            </w:tcBorders>
            <w:vAlign w:val="center"/>
          </w:tcPr>
          <w:p w14:paraId="524B41A3">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156217.86 </w:t>
            </w:r>
          </w:p>
        </w:tc>
        <w:tc>
          <w:tcPr>
            <w:tcW w:w="1233" w:type="dxa"/>
            <w:tcBorders>
              <w:tl2br w:val="nil"/>
              <w:tr2bl w:val="nil"/>
            </w:tcBorders>
            <w:vAlign w:val="center"/>
          </w:tcPr>
          <w:p w14:paraId="7E0CE8CC">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6.08 </w:t>
            </w:r>
          </w:p>
        </w:tc>
        <w:tc>
          <w:tcPr>
            <w:tcW w:w="1229" w:type="dxa"/>
            <w:tcBorders>
              <w:tl2br w:val="nil"/>
              <w:tr2bl w:val="nil"/>
            </w:tcBorders>
            <w:vAlign w:val="center"/>
          </w:tcPr>
          <w:p w14:paraId="12889255">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0.65 </w:t>
            </w:r>
          </w:p>
        </w:tc>
        <w:tc>
          <w:tcPr>
            <w:tcW w:w="1234" w:type="dxa"/>
            <w:tcBorders>
              <w:tl2br w:val="nil"/>
              <w:tr2bl w:val="nil"/>
            </w:tcBorders>
            <w:vAlign w:val="center"/>
          </w:tcPr>
          <w:p w14:paraId="5367AA13">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0.54 </w:t>
            </w:r>
          </w:p>
        </w:tc>
        <w:tc>
          <w:tcPr>
            <w:tcW w:w="1230" w:type="dxa"/>
            <w:tcBorders>
              <w:tl2br w:val="nil"/>
              <w:tr2bl w:val="nil"/>
            </w:tcBorders>
            <w:vAlign w:val="center"/>
          </w:tcPr>
          <w:p w14:paraId="0C3B0594">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0.09 </w:t>
            </w:r>
          </w:p>
        </w:tc>
      </w:tr>
      <w:tr w14:paraId="62A933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1EFB2EE8">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w:t>
            </w:r>
          </w:p>
        </w:tc>
        <w:tc>
          <w:tcPr>
            <w:tcW w:w="1780" w:type="dxa"/>
            <w:tcBorders>
              <w:tl2br w:val="nil"/>
              <w:tr2bl w:val="nil"/>
            </w:tcBorders>
            <w:shd w:val="clear" w:color="auto" w:fill="auto"/>
            <w:vAlign w:val="center"/>
          </w:tcPr>
          <w:p w14:paraId="566C22E8">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SA"/>
              </w:rPr>
            </w:pPr>
            <w:r>
              <w:rPr>
                <w:rFonts w:hint="eastAsia" w:ascii="宋体" w:hAnsi="宋体" w:eastAsia="宋体" w:cs="宋体"/>
                <w:i w:val="0"/>
                <w:iCs w:val="0"/>
                <w:snapToGrid w:val="0"/>
                <w:color w:val="auto"/>
                <w:kern w:val="0"/>
                <w:sz w:val="21"/>
                <w:szCs w:val="21"/>
                <w:u w:val="none"/>
                <w:lang w:val="en-US" w:eastAsia="zh-CN" w:bidi="ar"/>
              </w:rPr>
              <w:t>计算机、通信和其他电子设备制造业</w:t>
            </w:r>
          </w:p>
        </w:tc>
        <w:tc>
          <w:tcPr>
            <w:tcW w:w="1319" w:type="dxa"/>
            <w:tcBorders>
              <w:tl2br w:val="nil"/>
              <w:tr2bl w:val="nil"/>
            </w:tcBorders>
            <w:vAlign w:val="center"/>
          </w:tcPr>
          <w:p w14:paraId="4C91D37D">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3828529.42</w:t>
            </w:r>
          </w:p>
        </w:tc>
        <w:tc>
          <w:tcPr>
            <w:tcW w:w="1233" w:type="dxa"/>
            <w:tcBorders>
              <w:tl2br w:val="nil"/>
              <w:tr2bl w:val="nil"/>
            </w:tcBorders>
            <w:vAlign w:val="center"/>
          </w:tcPr>
          <w:p w14:paraId="3F9D1C83">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166.642</w:t>
            </w:r>
          </w:p>
        </w:tc>
        <w:tc>
          <w:tcPr>
            <w:tcW w:w="1229" w:type="dxa"/>
            <w:tcBorders>
              <w:tl2br w:val="nil"/>
              <w:tr2bl w:val="nil"/>
            </w:tcBorders>
            <w:vAlign w:val="center"/>
          </w:tcPr>
          <w:p w14:paraId="3F229889">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16.2162</w:t>
            </w:r>
          </w:p>
        </w:tc>
        <w:tc>
          <w:tcPr>
            <w:tcW w:w="1234" w:type="dxa"/>
            <w:tcBorders>
              <w:tl2br w:val="nil"/>
              <w:tr2bl w:val="nil"/>
            </w:tcBorders>
            <w:vAlign w:val="center"/>
          </w:tcPr>
          <w:p w14:paraId="632F608D">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28.0776</w:t>
            </w:r>
          </w:p>
        </w:tc>
        <w:tc>
          <w:tcPr>
            <w:tcW w:w="1230" w:type="dxa"/>
            <w:tcBorders>
              <w:tl2br w:val="nil"/>
              <w:tr2bl w:val="nil"/>
            </w:tcBorders>
            <w:vAlign w:val="center"/>
          </w:tcPr>
          <w:p w14:paraId="6E249379">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1.5883</w:t>
            </w:r>
          </w:p>
        </w:tc>
      </w:tr>
      <w:tr w14:paraId="13600E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0E446BB8">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w:t>
            </w:r>
          </w:p>
        </w:tc>
        <w:tc>
          <w:tcPr>
            <w:tcW w:w="1780" w:type="dxa"/>
            <w:tcBorders>
              <w:tl2br w:val="nil"/>
              <w:tr2bl w:val="nil"/>
            </w:tcBorders>
            <w:shd w:val="clear" w:color="auto" w:fill="auto"/>
            <w:vAlign w:val="center"/>
          </w:tcPr>
          <w:p w14:paraId="17A9532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仪器仪表制造业</w:t>
            </w:r>
          </w:p>
        </w:tc>
        <w:tc>
          <w:tcPr>
            <w:tcW w:w="1319" w:type="dxa"/>
            <w:tcBorders>
              <w:tl2br w:val="nil"/>
              <w:tr2bl w:val="nil"/>
            </w:tcBorders>
            <w:vAlign w:val="center"/>
          </w:tcPr>
          <w:p w14:paraId="6D4184D6">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284852.80 </w:t>
            </w:r>
          </w:p>
        </w:tc>
        <w:tc>
          <w:tcPr>
            <w:tcW w:w="1233" w:type="dxa"/>
            <w:tcBorders>
              <w:tl2br w:val="nil"/>
              <w:tr2bl w:val="nil"/>
            </w:tcBorders>
            <w:vAlign w:val="center"/>
          </w:tcPr>
          <w:p w14:paraId="0A626901">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3.76 </w:t>
            </w:r>
          </w:p>
        </w:tc>
        <w:tc>
          <w:tcPr>
            <w:tcW w:w="1229" w:type="dxa"/>
            <w:tcBorders>
              <w:tl2br w:val="nil"/>
              <w:tr2bl w:val="nil"/>
            </w:tcBorders>
            <w:vAlign w:val="center"/>
          </w:tcPr>
          <w:p w14:paraId="3BC892CD">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0.09 </w:t>
            </w:r>
          </w:p>
        </w:tc>
        <w:tc>
          <w:tcPr>
            <w:tcW w:w="1234" w:type="dxa"/>
            <w:tcBorders>
              <w:tl2br w:val="nil"/>
              <w:tr2bl w:val="nil"/>
            </w:tcBorders>
            <w:vAlign w:val="center"/>
          </w:tcPr>
          <w:p w14:paraId="6047F12B">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1.54 </w:t>
            </w:r>
          </w:p>
        </w:tc>
        <w:tc>
          <w:tcPr>
            <w:tcW w:w="1230" w:type="dxa"/>
            <w:tcBorders>
              <w:tl2br w:val="nil"/>
              <w:tr2bl w:val="nil"/>
            </w:tcBorders>
            <w:vAlign w:val="center"/>
          </w:tcPr>
          <w:p w14:paraId="66FF8D43">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0.05 </w:t>
            </w:r>
          </w:p>
        </w:tc>
      </w:tr>
      <w:tr w14:paraId="79FD73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079F9F3F">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w:t>
            </w:r>
          </w:p>
        </w:tc>
        <w:tc>
          <w:tcPr>
            <w:tcW w:w="1780" w:type="dxa"/>
            <w:tcBorders>
              <w:tl2br w:val="nil"/>
              <w:tr2bl w:val="nil"/>
            </w:tcBorders>
            <w:shd w:val="clear" w:color="auto" w:fill="auto"/>
            <w:vAlign w:val="center"/>
          </w:tcPr>
          <w:p w14:paraId="647777B2">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宋体" w:hAnsi="宋体" w:eastAsia="宋体" w:cs="宋体"/>
                <w:i w:val="0"/>
                <w:iCs w:val="0"/>
                <w:snapToGrid w:val="0"/>
                <w:color w:val="auto"/>
                <w:kern w:val="0"/>
                <w:sz w:val="21"/>
                <w:szCs w:val="21"/>
                <w:u w:val="none"/>
                <w:lang w:val="en-US" w:eastAsia="zh-CN" w:bidi="ar"/>
              </w:rPr>
              <w:t>装卸搬运和仓储业</w:t>
            </w:r>
          </w:p>
        </w:tc>
        <w:tc>
          <w:tcPr>
            <w:tcW w:w="1319" w:type="dxa"/>
            <w:tcBorders>
              <w:tl2br w:val="nil"/>
              <w:tr2bl w:val="nil"/>
            </w:tcBorders>
            <w:vAlign w:val="center"/>
          </w:tcPr>
          <w:p w14:paraId="647BD6B2">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23200.00 </w:t>
            </w:r>
          </w:p>
        </w:tc>
        <w:tc>
          <w:tcPr>
            <w:tcW w:w="1233" w:type="dxa"/>
            <w:tcBorders>
              <w:tl2br w:val="nil"/>
              <w:tr2bl w:val="nil"/>
            </w:tcBorders>
            <w:vAlign w:val="center"/>
          </w:tcPr>
          <w:p w14:paraId="5642711F">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2.55 </w:t>
            </w:r>
          </w:p>
        </w:tc>
        <w:tc>
          <w:tcPr>
            <w:tcW w:w="1229" w:type="dxa"/>
            <w:tcBorders>
              <w:tl2br w:val="nil"/>
              <w:tr2bl w:val="nil"/>
            </w:tcBorders>
            <w:vAlign w:val="center"/>
          </w:tcPr>
          <w:p w14:paraId="4A146A6D">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0.37 </w:t>
            </w:r>
          </w:p>
        </w:tc>
        <w:tc>
          <w:tcPr>
            <w:tcW w:w="1234" w:type="dxa"/>
            <w:tcBorders>
              <w:tl2br w:val="nil"/>
              <w:tr2bl w:val="nil"/>
            </w:tcBorders>
            <w:vAlign w:val="center"/>
          </w:tcPr>
          <w:p w14:paraId="1EAD5882">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0.47 </w:t>
            </w:r>
          </w:p>
        </w:tc>
        <w:tc>
          <w:tcPr>
            <w:tcW w:w="1230" w:type="dxa"/>
            <w:tcBorders>
              <w:tl2br w:val="nil"/>
              <w:tr2bl w:val="nil"/>
            </w:tcBorders>
            <w:vAlign w:val="center"/>
          </w:tcPr>
          <w:p w14:paraId="234CCECF">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0.05 </w:t>
            </w:r>
          </w:p>
        </w:tc>
      </w:tr>
      <w:tr w14:paraId="633301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249CEC6F">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w:t>
            </w:r>
          </w:p>
        </w:tc>
        <w:tc>
          <w:tcPr>
            <w:tcW w:w="1780" w:type="dxa"/>
            <w:tcBorders>
              <w:tl2br w:val="nil"/>
              <w:tr2bl w:val="nil"/>
            </w:tcBorders>
            <w:shd w:val="clear" w:color="auto" w:fill="auto"/>
            <w:vAlign w:val="center"/>
          </w:tcPr>
          <w:p w14:paraId="748E509E">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宋体" w:hAnsi="宋体" w:eastAsia="宋体" w:cs="宋体"/>
                <w:i w:val="0"/>
                <w:iCs w:val="0"/>
                <w:snapToGrid w:val="0"/>
                <w:color w:val="auto"/>
                <w:kern w:val="0"/>
                <w:sz w:val="21"/>
                <w:szCs w:val="21"/>
                <w:u w:val="none"/>
                <w:lang w:val="en-US" w:eastAsia="zh-CN" w:bidi="ar"/>
              </w:rPr>
              <w:t>研究与试验发展</w:t>
            </w:r>
          </w:p>
        </w:tc>
        <w:tc>
          <w:tcPr>
            <w:tcW w:w="1319" w:type="dxa"/>
            <w:tcBorders>
              <w:tl2br w:val="nil"/>
              <w:tr2bl w:val="nil"/>
            </w:tcBorders>
            <w:vAlign w:val="center"/>
          </w:tcPr>
          <w:p w14:paraId="300648F5">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141258.00 </w:t>
            </w:r>
          </w:p>
        </w:tc>
        <w:tc>
          <w:tcPr>
            <w:tcW w:w="1233" w:type="dxa"/>
            <w:tcBorders>
              <w:tl2br w:val="nil"/>
              <w:tr2bl w:val="nil"/>
            </w:tcBorders>
            <w:vAlign w:val="center"/>
          </w:tcPr>
          <w:p w14:paraId="725747B0">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1.76 </w:t>
            </w:r>
          </w:p>
        </w:tc>
        <w:tc>
          <w:tcPr>
            <w:tcW w:w="1229" w:type="dxa"/>
            <w:tcBorders>
              <w:tl2br w:val="nil"/>
              <w:tr2bl w:val="nil"/>
            </w:tcBorders>
            <w:vAlign w:val="center"/>
          </w:tcPr>
          <w:p w14:paraId="420F51BE">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0.09 </w:t>
            </w:r>
          </w:p>
        </w:tc>
        <w:tc>
          <w:tcPr>
            <w:tcW w:w="1234" w:type="dxa"/>
            <w:tcBorders>
              <w:tl2br w:val="nil"/>
              <w:tr2bl w:val="nil"/>
            </w:tcBorders>
            <w:vAlign w:val="center"/>
          </w:tcPr>
          <w:p w14:paraId="36AA76E2">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1.28 </w:t>
            </w:r>
          </w:p>
        </w:tc>
        <w:tc>
          <w:tcPr>
            <w:tcW w:w="1230" w:type="dxa"/>
            <w:tcBorders>
              <w:tl2br w:val="nil"/>
              <w:tr2bl w:val="nil"/>
            </w:tcBorders>
            <w:vAlign w:val="center"/>
          </w:tcPr>
          <w:p w14:paraId="72659D19">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0.01 </w:t>
            </w:r>
          </w:p>
        </w:tc>
      </w:tr>
      <w:tr w14:paraId="5603AA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14:paraId="3461D79D">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1780" w:type="dxa"/>
            <w:tcBorders>
              <w:tl2br w:val="nil"/>
              <w:tr2bl w:val="nil"/>
            </w:tcBorders>
            <w:shd w:val="clear" w:color="auto" w:fill="auto"/>
            <w:vAlign w:val="center"/>
          </w:tcPr>
          <w:p w14:paraId="5F6F1986">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宋体" w:hAnsi="宋体" w:eastAsia="宋体" w:cs="宋体"/>
                <w:i w:val="0"/>
                <w:iCs w:val="0"/>
                <w:snapToGrid w:val="0"/>
                <w:color w:val="auto"/>
                <w:kern w:val="0"/>
                <w:sz w:val="21"/>
                <w:szCs w:val="21"/>
                <w:u w:val="none"/>
                <w:lang w:val="en-US" w:eastAsia="zh-CN" w:bidi="ar"/>
              </w:rPr>
              <w:t>其他服务业</w:t>
            </w:r>
          </w:p>
        </w:tc>
        <w:tc>
          <w:tcPr>
            <w:tcW w:w="1319" w:type="dxa"/>
            <w:tcBorders>
              <w:tl2br w:val="nil"/>
              <w:tr2bl w:val="nil"/>
            </w:tcBorders>
            <w:vAlign w:val="center"/>
          </w:tcPr>
          <w:p w14:paraId="388EF72A">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37020.00 </w:t>
            </w:r>
          </w:p>
        </w:tc>
        <w:tc>
          <w:tcPr>
            <w:tcW w:w="1233" w:type="dxa"/>
            <w:tcBorders>
              <w:tl2br w:val="nil"/>
              <w:tr2bl w:val="nil"/>
            </w:tcBorders>
            <w:vAlign w:val="center"/>
          </w:tcPr>
          <w:p w14:paraId="766A4F2C">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0.48 </w:t>
            </w:r>
          </w:p>
        </w:tc>
        <w:tc>
          <w:tcPr>
            <w:tcW w:w="1229" w:type="dxa"/>
            <w:tcBorders>
              <w:tl2br w:val="nil"/>
              <w:tr2bl w:val="nil"/>
            </w:tcBorders>
            <w:vAlign w:val="center"/>
          </w:tcPr>
          <w:p w14:paraId="79E9A2FC">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0.02 </w:t>
            </w:r>
          </w:p>
        </w:tc>
        <w:tc>
          <w:tcPr>
            <w:tcW w:w="1234" w:type="dxa"/>
            <w:tcBorders>
              <w:tl2br w:val="nil"/>
              <w:tr2bl w:val="nil"/>
            </w:tcBorders>
            <w:vAlign w:val="center"/>
          </w:tcPr>
          <w:p w14:paraId="47C73EA8">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0.35 </w:t>
            </w:r>
          </w:p>
        </w:tc>
        <w:tc>
          <w:tcPr>
            <w:tcW w:w="1230" w:type="dxa"/>
            <w:tcBorders>
              <w:tl2br w:val="nil"/>
              <w:tr2bl w:val="nil"/>
            </w:tcBorders>
            <w:vAlign w:val="center"/>
          </w:tcPr>
          <w:p w14:paraId="5B50E047">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0.00 </w:t>
            </w:r>
          </w:p>
        </w:tc>
      </w:tr>
      <w:tr w14:paraId="4478B5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18" w:type="dxa"/>
            <w:gridSpan w:val="2"/>
            <w:tcBorders>
              <w:tl2br w:val="nil"/>
              <w:tr2bl w:val="nil"/>
            </w:tcBorders>
            <w:vAlign w:val="center"/>
          </w:tcPr>
          <w:p w14:paraId="69B3A8C8">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1319" w:type="dxa"/>
            <w:tcBorders>
              <w:tl2br w:val="nil"/>
              <w:tr2bl w:val="nil"/>
            </w:tcBorders>
            <w:shd w:val="clear" w:color="auto" w:fill="auto"/>
            <w:vAlign w:val="center"/>
          </w:tcPr>
          <w:p w14:paraId="08E934FF">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7221942.43 </w:t>
            </w:r>
          </w:p>
        </w:tc>
        <w:tc>
          <w:tcPr>
            <w:tcW w:w="1233" w:type="dxa"/>
            <w:tcBorders>
              <w:tl2br w:val="nil"/>
              <w:tr2bl w:val="nil"/>
            </w:tcBorders>
            <w:shd w:val="clear" w:color="auto" w:fill="auto"/>
            <w:vAlign w:val="center"/>
          </w:tcPr>
          <w:p w14:paraId="5CB87D1F">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282.32 </w:t>
            </w:r>
          </w:p>
        </w:tc>
        <w:tc>
          <w:tcPr>
            <w:tcW w:w="1229" w:type="dxa"/>
            <w:tcBorders>
              <w:tl2br w:val="nil"/>
              <w:tr2bl w:val="nil"/>
            </w:tcBorders>
            <w:shd w:val="clear" w:color="auto" w:fill="auto"/>
            <w:vAlign w:val="center"/>
          </w:tcPr>
          <w:p w14:paraId="4C516A3C">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26.42 </w:t>
            </w:r>
          </w:p>
        </w:tc>
        <w:tc>
          <w:tcPr>
            <w:tcW w:w="1234" w:type="dxa"/>
            <w:tcBorders>
              <w:tl2br w:val="nil"/>
              <w:tr2bl w:val="nil"/>
            </w:tcBorders>
            <w:shd w:val="clear" w:color="auto" w:fill="auto"/>
            <w:vAlign w:val="center"/>
          </w:tcPr>
          <w:p w14:paraId="50EB2CBC">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69.58 </w:t>
            </w:r>
          </w:p>
        </w:tc>
        <w:tc>
          <w:tcPr>
            <w:tcW w:w="1230" w:type="dxa"/>
            <w:tcBorders>
              <w:tl2br w:val="nil"/>
              <w:tr2bl w:val="nil"/>
            </w:tcBorders>
            <w:shd w:val="clear" w:color="auto" w:fill="auto"/>
            <w:vAlign w:val="center"/>
          </w:tcPr>
          <w:p w14:paraId="5871BBB7">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 xml:space="preserve">2.89 </w:t>
            </w:r>
          </w:p>
        </w:tc>
      </w:tr>
    </w:tbl>
    <w:p w14:paraId="4FF2ACEF">
      <w:pPr>
        <w:spacing w:before="182" w:line="346" w:lineRule="auto"/>
        <w:ind w:right="23"/>
        <w:jc w:val="center"/>
        <w:rPr>
          <w:b/>
          <w:bCs/>
          <w:color w:val="auto"/>
        </w:rPr>
      </w:pPr>
      <w:r>
        <w:rPr>
          <w:color w:val="auto"/>
        </w:rPr>
        <w:drawing>
          <wp:inline distT="0" distB="0" distL="114300" distR="114300">
            <wp:extent cx="5358130" cy="4223385"/>
            <wp:effectExtent l="4445" t="4445" r="9525" b="58420"/>
            <wp:docPr id="18" name="图表 3" descr="7b0a202020202263686172745265734964223a2022323034373637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E10F990">
      <w:pPr>
        <w:keepNext w:val="0"/>
        <w:keepLines w:val="0"/>
        <w:pageBreakBefore w:val="0"/>
        <w:widowControl/>
        <w:kinsoku w:val="0"/>
        <w:wordWrap/>
        <w:overflowPunct/>
        <w:topLinePunct w:val="0"/>
        <w:autoSpaceDE w:val="0"/>
        <w:autoSpaceDN w:val="0"/>
        <w:bidi w:val="0"/>
        <w:adjustRightInd w:val="0"/>
        <w:snapToGrid w:val="0"/>
        <w:spacing w:before="182" w:line="240" w:lineRule="auto"/>
        <w:ind w:right="23"/>
        <w:jc w:val="center"/>
        <w:textAlignment w:val="baseline"/>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图6</w:t>
      </w:r>
      <w:r>
        <w:rPr>
          <w:rFonts w:hint="eastAsia"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 xml:space="preserve">  开发区各行业废水排放比分析图</w:t>
      </w:r>
      <w:bookmarkStart w:id="1854" w:name="pindex13036"/>
      <w:bookmarkEnd w:id="1854"/>
    </w:p>
    <w:p w14:paraId="17BE0F86">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4" w:firstLineChars="200"/>
        <w:textAlignment w:val="baseline"/>
        <w:rPr>
          <w:rFonts w:hint="eastAsia" w:ascii="宋体" w:hAnsi="宋体" w:eastAsia="宋体" w:cs="宋体"/>
          <w:snapToGrid w:val="0"/>
          <w:color w:val="auto"/>
          <w:spacing w:val="-4"/>
          <w:kern w:val="0"/>
          <w:sz w:val="24"/>
          <w:szCs w:val="24"/>
          <w:lang w:val="en-US" w:eastAsia="zh-CN" w:bidi="ar-SA"/>
        </w:rPr>
      </w:pPr>
      <w:r>
        <w:rPr>
          <w:rFonts w:hint="default" w:ascii="Times New Roman" w:hAnsi="Times New Roman" w:eastAsia="宋体" w:cs="Times New Roman"/>
          <w:snapToGrid w:val="0"/>
          <w:color w:val="auto"/>
          <w:spacing w:val="-4"/>
          <w:kern w:val="0"/>
          <w:sz w:val="24"/>
          <w:szCs w:val="24"/>
          <w:lang w:val="en-US" w:eastAsia="zh-CN" w:bidi="ar-SA"/>
        </w:rPr>
        <w:t>3）</w:t>
      </w:r>
      <w:r>
        <w:rPr>
          <w:rFonts w:hint="eastAsia" w:ascii="宋体" w:hAnsi="宋体" w:eastAsia="宋体" w:cs="宋体"/>
          <w:snapToGrid w:val="0"/>
          <w:color w:val="auto"/>
          <w:spacing w:val="-4"/>
          <w:kern w:val="0"/>
          <w:sz w:val="24"/>
          <w:szCs w:val="24"/>
          <w:lang w:val="en-US" w:eastAsia="zh-CN" w:bidi="ar-SA"/>
        </w:rPr>
        <w:t>常规污染物</w:t>
      </w:r>
      <w:bookmarkStart w:id="1855" w:name="pindex13037"/>
      <w:bookmarkEnd w:id="1855"/>
    </w:p>
    <w:p w14:paraId="5E6454A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宋体" w:hAnsi="宋体" w:eastAsia="宋体" w:cs="宋体"/>
          <w:color w:val="auto"/>
          <w:spacing w:val="-3"/>
          <w:sz w:val="24"/>
          <w:szCs w:val="24"/>
          <w:highlight w:val="yellow"/>
          <w:lang w:val="en-US" w:eastAsia="zh-CN"/>
        </w:rPr>
      </w:pPr>
      <w:r>
        <w:rPr>
          <w:rFonts w:hint="default" w:ascii="Times New Roman" w:hAnsi="Times New Roman" w:eastAsia="宋体" w:cs="Times New Roman"/>
          <w:color w:val="auto"/>
          <w:spacing w:val="-3"/>
          <w:sz w:val="24"/>
          <w:szCs w:val="24"/>
          <w:lang w:val="en-US" w:eastAsia="zh-CN"/>
        </w:rPr>
        <w:t>通过收集整理开发区环统数据、排污许可数据、环评数据以及第二次全国污染源数据等，开发区常规污染物COD、氨氮、总氮、总磷的排放量分别为</w:t>
      </w:r>
      <w:r>
        <w:rPr>
          <w:rFonts w:hint="eastAsia" w:ascii="Times New Roman" w:hAnsi="Times New Roman" w:eastAsia="宋体" w:cs="Times New Roman"/>
          <w:color w:val="auto"/>
          <w:spacing w:val="-3"/>
          <w:sz w:val="24"/>
          <w:szCs w:val="24"/>
          <w:lang w:val="en-US" w:eastAsia="zh-CN"/>
        </w:rPr>
        <w:t>282.32</w:t>
      </w:r>
      <w:r>
        <w:rPr>
          <w:rFonts w:hint="default" w:ascii="Times New Roman" w:hAnsi="Times New Roman" w:eastAsia="宋体" w:cs="Times New Roman"/>
          <w:color w:val="auto"/>
          <w:spacing w:val="-3"/>
          <w:sz w:val="24"/>
          <w:szCs w:val="24"/>
          <w:lang w:val="en-US" w:eastAsia="zh-CN"/>
        </w:rPr>
        <w:t>t/a、</w:t>
      </w:r>
      <w:r>
        <w:rPr>
          <w:rFonts w:hint="eastAsia" w:ascii="Times New Roman" w:hAnsi="Times New Roman" w:eastAsia="宋体" w:cs="Times New Roman"/>
          <w:color w:val="auto"/>
          <w:spacing w:val="-3"/>
          <w:sz w:val="24"/>
          <w:szCs w:val="24"/>
          <w:lang w:val="en-US" w:eastAsia="zh-CN"/>
        </w:rPr>
        <w:t>26.42</w:t>
      </w:r>
      <w:r>
        <w:rPr>
          <w:rFonts w:hint="default" w:ascii="Times New Roman" w:hAnsi="Times New Roman" w:eastAsia="宋体" w:cs="Times New Roman"/>
          <w:color w:val="auto"/>
          <w:spacing w:val="-3"/>
          <w:sz w:val="24"/>
          <w:szCs w:val="24"/>
          <w:lang w:val="en-US" w:eastAsia="zh-CN"/>
        </w:rPr>
        <w:t>t/a</w:t>
      </w:r>
      <w:r>
        <w:rPr>
          <w:rFonts w:hint="eastAsia" w:ascii="Times New Roman" w:hAnsi="Times New Roman" w:eastAsia="宋体" w:cs="Times New Roman"/>
          <w:color w:val="auto"/>
          <w:spacing w:val="-3"/>
          <w:sz w:val="24"/>
          <w:szCs w:val="24"/>
          <w:lang w:val="en-US" w:eastAsia="zh-CN"/>
        </w:rPr>
        <w:t>、69.58</w:t>
      </w:r>
      <w:r>
        <w:rPr>
          <w:rFonts w:hint="default" w:ascii="Times New Roman" w:hAnsi="Times New Roman" w:eastAsia="宋体" w:cs="Times New Roman"/>
          <w:color w:val="auto"/>
          <w:spacing w:val="-3"/>
          <w:sz w:val="24"/>
          <w:szCs w:val="24"/>
          <w:lang w:val="en-US" w:eastAsia="zh-CN"/>
        </w:rPr>
        <w:t>t/a和</w:t>
      </w:r>
      <w:r>
        <w:rPr>
          <w:rFonts w:hint="eastAsia" w:ascii="Times New Roman" w:hAnsi="Times New Roman" w:eastAsia="宋体" w:cs="Times New Roman"/>
          <w:color w:val="auto"/>
          <w:spacing w:val="-3"/>
          <w:sz w:val="24"/>
          <w:szCs w:val="24"/>
          <w:lang w:val="en-US" w:eastAsia="zh-CN"/>
        </w:rPr>
        <w:t>2.89</w:t>
      </w:r>
      <w:r>
        <w:rPr>
          <w:rFonts w:hint="default" w:ascii="Times New Roman" w:hAnsi="Times New Roman" w:eastAsia="宋体" w:cs="Times New Roman"/>
          <w:color w:val="auto"/>
          <w:spacing w:val="-3"/>
          <w:sz w:val="24"/>
          <w:szCs w:val="24"/>
          <w:lang w:val="en-US" w:eastAsia="zh-CN"/>
        </w:rPr>
        <w:t>t/a；废水常规污染物</w:t>
      </w:r>
      <w:r>
        <w:rPr>
          <w:rFonts w:hint="eastAsia" w:ascii="Times New Roman" w:hAnsi="Times New Roman" w:eastAsia="宋体" w:cs="Times New Roman"/>
          <w:color w:val="auto"/>
          <w:spacing w:val="-3"/>
          <w:sz w:val="24"/>
          <w:szCs w:val="24"/>
          <w:lang w:val="en-US" w:eastAsia="zh-CN"/>
        </w:rPr>
        <w:t>（</w:t>
      </w:r>
      <w:r>
        <w:rPr>
          <w:rFonts w:hint="default" w:ascii="Times New Roman" w:hAnsi="Times New Roman" w:eastAsia="宋体" w:cs="Times New Roman"/>
          <w:color w:val="auto"/>
          <w:spacing w:val="-3"/>
          <w:sz w:val="24"/>
          <w:szCs w:val="24"/>
          <w:lang w:val="en-US" w:eastAsia="zh-CN"/>
        </w:rPr>
        <w:t>COD、氨氮、总氮、总磷</w:t>
      </w:r>
      <w:r>
        <w:rPr>
          <w:rFonts w:hint="eastAsia" w:ascii="Times New Roman" w:hAnsi="Times New Roman" w:eastAsia="宋体" w:cs="Times New Roman"/>
          <w:color w:val="auto"/>
          <w:spacing w:val="-3"/>
          <w:sz w:val="24"/>
          <w:szCs w:val="24"/>
          <w:lang w:val="en-US" w:eastAsia="zh-CN"/>
        </w:rPr>
        <w:t>）</w:t>
      </w:r>
      <w:r>
        <w:rPr>
          <w:rFonts w:hint="default" w:ascii="Times New Roman" w:hAnsi="Times New Roman" w:eastAsia="宋体" w:cs="Times New Roman"/>
          <w:color w:val="auto"/>
          <w:spacing w:val="-3"/>
          <w:sz w:val="24"/>
          <w:szCs w:val="24"/>
          <w:lang w:val="en-US" w:eastAsia="zh-CN"/>
        </w:rPr>
        <w:t>排放以电子信息、绿色智能汽车产业、</w:t>
      </w:r>
      <w:r>
        <w:rPr>
          <w:rFonts w:hint="eastAsia" w:ascii="Times New Roman" w:hAnsi="Times New Roman" w:eastAsia="宋体" w:cs="Times New Roman"/>
          <w:color w:val="auto"/>
          <w:spacing w:val="-3"/>
          <w:sz w:val="24"/>
          <w:szCs w:val="24"/>
          <w:lang w:val="en-US" w:eastAsia="zh-CN"/>
        </w:rPr>
        <w:t>专用设备制造业</w:t>
      </w:r>
      <w:r>
        <w:rPr>
          <w:rFonts w:hint="default" w:ascii="Times New Roman" w:hAnsi="Times New Roman" w:eastAsia="宋体" w:cs="Times New Roman"/>
          <w:color w:val="auto"/>
          <w:spacing w:val="-3"/>
          <w:sz w:val="24"/>
          <w:szCs w:val="24"/>
          <w:lang w:val="en-US" w:eastAsia="zh-CN"/>
        </w:rPr>
        <w:t>企业为主。</w:t>
      </w:r>
    </w:p>
    <w:p w14:paraId="01392EE0">
      <w:pPr>
        <w:keepNext w:val="0"/>
        <w:keepLines w:val="0"/>
        <w:pageBreakBefore w:val="0"/>
        <w:widowControl/>
        <w:numPr>
          <w:ilvl w:val="0"/>
          <w:numId w:val="9"/>
        </w:numPr>
        <w:kinsoku w:val="0"/>
        <w:wordWrap/>
        <w:overflowPunct/>
        <w:topLinePunct w:val="0"/>
        <w:autoSpaceDE w:val="0"/>
        <w:autoSpaceDN w:val="0"/>
        <w:bidi w:val="0"/>
        <w:adjustRightInd w:val="0"/>
        <w:snapToGrid w:val="0"/>
        <w:spacing w:line="360" w:lineRule="auto"/>
        <w:ind w:firstLine="464" w:firstLineChars="200"/>
        <w:textAlignment w:val="baseline"/>
        <w:rPr>
          <w:rFonts w:hint="default" w:ascii="Times New Roman" w:hAnsi="Times New Roman" w:eastAsia="宋体" w:cs="Times New Roman"/>
          <w:snapToGrid w:val="0"/>
          <w:color w:val="auto"/>
          <w:spacing w:val="-4"/>
          <w:kern w:val="0"/>
          <w:sz w:val="24"/>
          <w:szCs w:val="24"/>
          <w:lang w:val="en-US" w:eastAsia="zh-CN" w:bidi="ar-SA"/>
        </w:rPr>
      </w:pPr>
      <w:r>
        <w:rPr>
          <w:rFonts w:hint="default" w:ascii="Times New Roman" w:hAnsi="Times New Roman" w:eastAsia="宋体" w:cs="Times New Roman"/>
          <w:snapToGrid w:val="0"/>
          <w:color w:val="auto"/>
          <w:spacing w:val="-4"/>
          <w:kern w:val="0"/>
          <w:sz w:val="24"/>
          <w:szCs w:val="24"/>
          <w:lang w:val="en-US" w:eastAsia="zh-CN" w:bidi="ar-SA"/>
        </w:rPr>
        <w:t>特征污染物</w:t>
      </w:r>
      <w:bookmarkStart w:id="1856" w:name="pindex13039"/>
      <w:bookmarkEnd w:id="1856"/>
    </w:p>
    <w:p w14:paraId="5A61CB5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8" w:firstLineChars="200"/>
        <w:textAlignment w:val="baseline"/>
        <w:rPr>
          <w:rFonts w:hint="default" w:ascii="Times New Roman" w:hAnsi="Times New Roman" w:eastAsia="宋体" w:cs="Times New Roman"/>
          <w:color w:val="auto"/>
          <w:spacing w:val="-3"/>
          <w:sz w:val="24"/>
          <w:szCs w:val="24"/>
          <w:highlight w:val="yellow"/>
          <w:lang w:val="en-US" w:eastAsia="zh-CN"/>
        </w:rPr>
      </w:pPr>
      <w:r>
        <w:rPr>
          <w:rFonts w:hint="default" w:ascii="Times New Roman" w:hAnsi="Times New Roman" w:eastAsia="宋体" w:cs="Times New Roman"/>
          <w:color w:val="auto"/>
          <w:spacing w:val="-3"/>
          <w:sz w:val="24"/>
          <w:szCs w:val="24"/>
          <w:lang w:val="en-US" w:eastAsia="zh-CN"/>
        </w:rPr>
        <w:t>开发区内废水除常规因子外，还有特征污染物重金属</w:t>
      </w:r>
      <w:r>
        <w:rPr>
          <w:rFonts w:hint="eastAsia" w:ascii="Times New Roman" w:hAnsi="Times New Roman" w:eastAsia="宋体" w:cs="Times New Roman"/>
          <w:color w:val="auto"/>
          <w:spacing w:val="-3"/>
          <w:sz w:val="24"/>
          <w:szCs w:val="24"/>
          <w:lang w:val="en-US" w:eastAsia="zh-CN"/>
        </w:rPr>
        <w:t>（</w:t>
      </w:r>
      <w:r>
        <w:rPr>
          <w:rFonts w:hint="default" w:ascii="Times New Roman" w:hAnsi="Times New Roman" w:eastAsia="宋体" w:cs="Times New Roman"/>
          <w:color w:val="auto"/>
          <w:spacing w:val="-3"/>
          <w:sz w:val="24"/>
          <w:szCs w:val="24"/>
          <w:lang w:val="en-US" w:eastAsia="zh-CN"/>
        </w:rPr>
        <w:t>总镍、总锌、总铬、六价铬、总锰、总锑、钒</w:t>
      </w:r>
      <w:r>
        <w:rPr>
          <w:rFonts w:hint="eastAsia" w:ascii="Times New Roman" w:hAnsi="Times New Roman" w:eastAsia="宋体" w:cs="Times New Roman"/>
          <w:color w:val="auto"/>
          <w:spacing w:val="-3"/>
          <w:sz w:val="24"/>
          <w:szCs w:val="24"/>
          <w:lang w:val="en-US" w:eastAsia="zh-CN"/>
        </w:rPr>
        <w:t>）</w:t>
      </w:r>
      <w:r>
        <w:rPr>
          <w:rFonts w:hint="default" w:ascii="Times New Roman" w:hAnsi="Times New Roman" w:eastAsia="宋体" w:cs="Times New Roman"/>
          <w:color w:val="auto"/>
          <w:spacing w:val="-3"/>
          <w:sz w:val="24"/>
          <w:szCs w:val="24"/>
          <w:lang w:val="en-US" w:eastAsia="zh-CN"/>
        </w:rPr>
        <w:t>、有机物</w:t>
      </w:r>
      <w:r>
        <w:rPr>
          <w:rFonts w:hint="eastAsia" w:ascii="Times New Roman" w:hAnsi="Times New Roman" w:eastAsia="宋体" w:cs="Times New Roman"/>
          <w:color w:val="auto"/>
          <w:spacing w:val="-3"/>
          <w:sz w:val="24"/>
          <w:szCs w:val="24"/>
          <w:lang w:val="en-US" w:eastAsia="zh-CN"/>
        </w:rPr>
        <w:t>（</w:t>
      </w:r>
      <w:r>
        <w:rPr>
          <w:rFonts w:hint="default" w:ascii="Times New Roman" w:hAnsi="Times New Roman" w:eastAsia="宋体" w:cs="Times New Roman"/>
          <w:color w:val="auto"/>
          <w:spacing w:val="-3"/>
          <w:sz w:val="24"/>
          <w:szCs w:val="24"/>
          <w:lang w:val="en-US" w:eastAsia="zh-CN"/>
        </w:rPr>
        <w:t>石油类</w:t>
      </w:r>
      <w:r>
        <w:rPr>
          <w:rFonts w:hint="eastAsia" w:ascii="Times New Roman" w:hAnsi="Times New Roman" w:eastAsia="宋体" w:cs="Times New Roman"/>
          <w:color w:val="auto"/>
          <w:spacing w:val="-3"/>
          <w:sz w:val="24"/>
          <w:szCs w:val="24"/>
          <w:lang w:val="en-US" w:eastAsia="zh-CN"/>
        </w:rPr>
        <w:t>）</w:t>
      </w:r>
      <w:r>
        <w:rPr>
          <w:rFonts w:hint="default" w:ascii="Times New Roman" w:hAnsi="Times New Roman" w:eastAsia="宋体" w:cs="Times New Roman"/>
          <w:color w:val="auto"/>
          <w:spacing w:val="-3"/>
          <w:sz w:val="24"/>
          <w:szCs w:val="24"/>
          <w:lang w:val="en-US" w:eastAsia="zh-CN"/>
        </w:rPr>
        <w:t>、氰化物、氟化物、LAS等排放。开发区特征污染物排放量较大的是氟化物</w:t>
      </w:r>
      <w:r>
        <w:rPr>
          <w:rFonts w:hint="eastAsia" w:ascii="Times New Roman" w:hAnsi="Times New Roman" w:eastAsia="宋体" w:cs="Times New Roman"/>
          <w:color w:val="auto"/>
          <w:spacing w:val="-3"/>
          <w:sz w:val="24"/>
          <w:szCs w:val="24"/>
          <w:lang w:val="en-US" w:eastAsia="zh-CN"/>
        </w:rPr>
        <w:t>5.472</w:t>
      </w:r>
      <w:r>
        <w:rPr>
          <w:rFonts w:hint="default" w:ascii="Times New Roman" w:hAnsi="Times New Roman" w:eastAsia="宋体" w:cs="Times New Roman"/>
          <w:color w:val="auto"/>
          <w:spacing w:val="-3"/>
          <w:sz w:val="24"/>
          <w:szCs w:val="24"/>
          <w:lang w:val="en-US" w:eastAsia="zh-CN"/>
        </w:rPr>
        <w:t>t/a、LAS</w:t>
      </w:r>
      <w:r>
        <w:rPr>
          <w:rFonts w:hint="eastAsia" w:ascii="Times New Roman" w:hAnsi="Times New Roman" w:eastAsia="宋体" w:cs="Times New Roman"/>
          <w:color w:val="auto"/>
          <w:spacing w:val="-3"/>
          <w:sz w:val="24"/>
          <w:szCs w:val="24"/>
          <w:lang w:val="en-US" w:eastAsia="zh-CN"/>
        </w:rPr>
        <w:t>4.5963</w:t>
      </w:r>
      <w:r>
        <w:rPr>
          <w:rFonts w:hint="default" w:ascii="Times New Roman" w:hAnsi="Times New Roman" w:eastAsia="宋体" w:cs="Times New Roman"/>
          <w:color w:val="auto"/>
          <w:spacing w:val="-3"/>
          <w:sz w:val="24"/>
          <w:szCs w:val="24"/>
          <w:lang w:val="en-US" w:eastAsia="zh-CN"/>
        </w:rPr>
        <w:t>t/a、石油类</w:t>
      </w:r>
      <w:r>
        <w:rPr>
          <w:rFonts w:hint="eastAsia" w:ascii="Times New Roman" w:hAnsi="Times New Roman" w:eastAsia="宋体" w:cs="Times New Roman"/>
          <w:color w:val="auto"/>
          <w:spacing w:val="-3"/>
          <w:sz w:val="24"/>
          <w:szCs w:val="24"/>
          <w:lang w:val="en-US" w:eastAsia="zh-CN"/>
        </w:rPr>
        <w:t>3.3783</w:t>
      </w:r>
      <w:r>
        <w:rPr>
          <w:rFonts w:hint="default" w:ascii="Times New Roman" w:hAnsi="Times New Roman" w:eastAsia="宋体" w:cs="Times New Roman"/>
          <w:color w:val="auto"/>
          <w:spacing w:val="-3"/>
          <w:sz w:val="24"/>
          <w:szCs w:val="24"/>
          <w:lang w:val="en-US" w:eastAsia="zh-CN"/>
        </w:rPr>
        <w:t>t/a，此外总铬排放量2.43kg/a，六价铬排放0.3kg/a，主要废水特征污染源的特征污染物排放情况</w:t>
      </w:r>
      <w:r>
        <w:rPr>
          <w:rFonts w:hint="default" w:ascii="Times New Roman" w:hAnsi="Times New Roman" w:eastAsia="宋体" w:cs="Times New Roman"/>
          <w:color w:val="auto"/>
          <w:spacing w:val="-3"/>
          <w:sz w:val="24"/>
          <w:szCs w:val="24"/>
          <w:highlight w:val="none"/>
          <w:lang w:val="en-US" w:eastAsia="zh-CN"/>
        </w:rPr>
        <w:t>见附表</w:t>
      </w:r>
      <w:r>
        <w:rPr>
          <w:rFonts w:hint="eastAsia" w:ascii="Times New Roman" w:hAnsi="Times New Roman" w:eastAsia="宋体" w:cs="Times New Roman"/>
          <w:color w:val="auto"/>
          <w:spacing w:val="-3"/>
          <w:sz w:val="24"/>
          <w:szCs w:val="24"/>
          <w:highlight w:val="none"/>
          <w:lang w:val="en-US" w:eastAsia="zh-CN"/>
        </w:rPr>
        <w:t>3。</w:t>
      </w:r>
    </w:p>
    <w:p w14:paraId="2383C78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8" w:firstLineChars="200"/>
        <w:textAlignment w:val="baseline"/>
        <w:rPr>
          <w:rFonts w:hint="default" w:ascii="Times New Roman" w:hAnsi="Times New Roman" w:eastAsia="宋体" w:cs="Times New Roman"/>
          <w:color w:val="auto"/>
          <w:spacing w:val="-3"/>
          <w:sz w:val="24"/>
          <w:szCs w:val="24"/>
          <w:lang w:val="en-US" w:eastAsia="zh-CN"/>
        </w:rPr>
      </w:pPr>
      <w:r>
        <w:rPr>
          <w:rFonts w:hint="default" w:ascii="Times New Roman" w:hAnsi="Times New Roman" w:eastAsia="宋体" w:cs="Times New Roman"/>
          <w:color w:val="auto"/>
          <w:spacing w:val="-3"/>
          <w:sz w:val="24"/>
          <w:szCs w:val="24"/>
          <w:lang w:val="en-US" w:eastAsia="zh-CN"/>
        </w:rPr>
        <w:t>开发区涉镍、铬、钒等重金属排放的主要企业合计有</w:t>
      </w:r>
      <w:r>
        <w:rPr>
          <w:rFonts w:hint="eastAsia" w:ascii="Times New Roman" w:hAnsi="Times New Roman" w:eastAsia="宋体" w:cs="Times New Roman"/>
          <w:color w:val="auto"/>
          <w:spacing w:val="-3"/>
          <w:sz w:val="24"/>
          <w:szCs w:val="24"/>
          <w:lang w:val="en-US" w:eastAsia="zh-CN"/>
        </w:rPr>
        <w:t>6</w:t>
      </w:r>
      <w:r>
        <w:rPr>
          <w:rFonts w:hint="default" w:ascii="Times New Roman" w:hAnsi="Times New Roman" w:eastAsia="宋体" w:cs="Times New Roman"/>
          <w:color w:val="auto"/>
          <w:spacing w:val="-3"/>
          <w:sz w:val="24"/>
          <w:szCs w:val="24"/>
          <w:lang w:val="en-US" w:eastAsia="zh-CN"/>
        </w:rPr>
        <w:t>家，各企业废水重金属排放及污染防治措施详见</w:t>
      </w:r>
      <w:r>
        <w:rPr>
          <w:rFonts w:hint="default" w:ascii="Times New Roman" w:hAnsi="Times New Roman" w:eastAsia="宋体" w:cs="Times New Roman"/>
          <w:color w:val="auto"/>
          <w:spacing w:val="-3"/>
          <w:sz w:val="24"/>
          <w:szCs w:val="24"/>
          <w:highlight w:val="none"/>
          <w:lang w:val="en-US" w:eastAsia="zh-CN"/>
        </w:rPr>
        <w:t>表</w:t>
      </w:r>
      <w:r>
        <w:rPr>
          <w:rFonts w:hint="eastAsia" w:ascii="Times New Roman" w:hAnsi="Times New Roman" w:eastAsia="宋体" w:cs="Times New Roman"/>
          <w:color w:val="auto"/>
          <w:spacing w:val="-3"/>
          <w:sz w:val="24"/>
          <w:szCs w:val="24"/>
          <w:highlight w:val="none"/>
          <w:lang w:val="en-US" w:eastAsia="zh-CN"/>
        </w:rPr>
        <w:t>6.5-5</w:t>
      </w:r>
      <w:r>
        <w:rPr>
          <w:rFonts w:hint="default" w:ascii="Times New Roman" w:hAnsi="Times New Roman" w:eastAsia="宋体" w:cs="Times New Roman"/>
          <w:color w:val="auto"/>
          <w:spacing w:val="-3"/>
          <w:sz w:val="24"/>
          <w:szCs w:val="24"/>
          <w:highlight w:val="none"/>
          <w:lang w:val="en-US" w:eastAsia="zh-CN"/>
        </w:rPr>
        <w:t>。</w:t>
      </w:r>
      <w:r>
        <w:rPr>
          <w:rFonts w:hint="default" w:ascii="Times New Roman" w:hAnsi="Times New Roman" w:eastAsia="宋体" w:cs="Times New Roman"/>
          <w:color w:val="auto"/>
          <w:spacing w:val="-3"/>
          <w:sz w:val="24"/>
          <w:szCs w:val="24"/>
          <w:lang w:val="en-US" w:eastAsia="zh-CN"/>
        </w:rPr>
        <w:t>开发区严格执行重金属污染物排放标准并落实相关总量控制指标，加大监督检查力度，要求各一类重金属排放企业在车间排口安装在线监控设施，严格落实国家涉重金属重点工业行业清洁生产技术推行方案有关要求，鼓励企业采用先进适用生产工艺和技术。</w:t>
      </w:r>
    </w:p>
    <w:p w14:paraId="0AB61B20">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182" w:line="346" w:lineRule="auto"/>
        <w:ind w:right="23" w:rightChars="0" w:firstLine="468" w:firstLineChars="200"/>
        <w:jc w:val="left"/>
        <w:textAlignment w:val="baseline"/>
        <w:rPr>
          <w:rFonts w:hint="default" w:ascii="宋体" w:hAnsi="宋体" w:eastAsia="宋体" w:cs="宋体"/>
          <w:color w:val="auto"/>
          <w:spacing w:val="-3"/>
          <w:sz w:val="24"/>
          <w:szCs w:val="24"/>
          <w:lang w:val="en-US" w:eastAsia="zh-CN"/>
        </w:rPr>
      </w:pPr>
    </w:p>
    <w:p w14:paraId="11DE30DA">
      <w:pPr>
        <w:pStyle w:val="8"/>
        <w:spacing w:line="232" w:lineRule="exact"/>
        <w:rPr>
          <w:color w:val="auto"/>
          <w:sz w:val="20"/>
        </w:rPr>
      </w:pPr>
    </w:p>
    <w:p w14:paraId="2727FB83">
      <w:pPr>
        <w:spacing w:line="232" w:lineRule="exact"/>
        <w:rPr>
          <w:color w:val="auto"/>
          <w:sz w:val="20"/>
          <w:szCs w:val="20"/>
        </w:rPr>
        <w:sectPr>
          <w:headerReference r:id="rId32" w:type="default"/>
          <w:footerReference r:id="rId33" w:type="default"/>
          <w:pgSz w:w="11907" w:h="16839"/>
          <w:pgMar w:top="1175" w:right="1689" w:bottom="1622" w:left="1771" w:header="862" w:footer="1445" w:gutter="0"/>
          <w:pgBorders>
            <w:top w:val="none" w:sz="0" w:space="0"/>
            <w:left w:val="none" w:sz="0" w:space="0"/>
            <w:bottom w:val="none" w:sz="0" w:space="0"/>
            <w:right w:val="none" w:sz="0" w:space="0"/>
          </w:pgBorders>
          <w:pgNumType w:fmt="decimal"/>
          <w:cols w:space="720" w:num="1"/>
        </w:sectPr>
      </w:pPr>
    </w:p>
    <w:p w14:paraId="331BB604">
      <w:pPr>
        <w:keepNext w:val="0"/>
        <w:keepLines w:val="0"/>
        <w:pageBreakBefore w:val="0"/>
        <w:widowControl/>
        <w:kinsoku w:val="0"/>
        <w:wordWrap/>
        <w:overflowPunct/>
        <w:topLinePunct w:val="0"/>
        <w:autoSpaceDE w:val="0"/>
        <w:autoSpaceDN w:val="0"/>
        <w:bidi w:val="0"/>
        <w:adjustRightInd w:val="0"/>
        <w:snapToGrid w:val="0"/>
        <w:spacing w:before="22"/>
        <w:jc w:val="center"/>
        <w:textAlignment w:val="baseline"/>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highlight w:val="none"/>
          <w:lang w:val="en-US" w:eastAsia="zh-CN"/>
        </w:rPr>
        <w:t>表6</w:t>
      </w:r>
      <w:r>
        <w:rPr>
          <w:rFonts w:hint="eastAsia"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 xml:space="preserve">  主要企业废水重金属排放及污染防治措施一览表</w:t>
      </w:r>
      <w:bookmarkStart w:id="1857" w:name="pindex13045"/>
      <w:bookmarkEnd w:id="1857"/>
    </w:p>
    <w:tbl>
      <w:tblPr>
        <w:tblStyle w:val="2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3"/>
        <w:gridCol w:w="1350"/>
        <w:gridCol w:w="750"/>
        <w:gridCol w:w="1440"/>
        <w:gridCol w:w="1965"/>
        <w:gridCol w:w="6169"/>
        <w:gridCol w:w="2081"/>
      </w:tblGrid>
      <w:tr w14:paraId="56CCA6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3" w:type="dxa"/>
            <w:tcBorders>
              <w:tl2br w:val="nil"/>
              <w:tr2bl w:val="nil"/>
            </w:tcBorders>
            <w:vAlign w:val="center"/>
          </w:tcPr>
          <w:p w14:paraId="098F8EC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序号</w:t>
            </w:r>
          </w:p>
        </w:tc>
        <w:tc>
          <w:tcPr>
            <w:tcW w:w="1350" w:type="dxa"/>
            <w:tcBorders>
              <w:tl2br w:val="nil"/>
              <w:tr2bl w:val="nil"/>
            </w:tcBorders>
            <w:vAlign w:val="center"/>
          </w:tcPr>
          <w:p w14:paraId="32CA2E3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企业名称</w:t>
            </w:r>
          </w:p>
        </w:tc>
        <w:tc>
          <w:tcPr>
            <w:tcW w:w="750" w:type="dxa"/>
            <w:tcBorders>
              <w:tl2br w:val="nil"/>
              <w:tr2bl w:val="nil"/>
            </w:tcBorders>
            <w:vAlign w:val="center"/>
          </w:tcPr>
          <w:p w14:paraId="3F4F7B2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行业类别</w:t>
            </w:r>
          </w:p>
        </w:tc>
        <w:tc>
          <w:tcPr>
            <w:tcW w:w="1440" w:type="dxa"/>
            <w:tcBorders>
              <w:tl2br w:val="nil"/>
              <w:tr2bl w:val="nil"/>
            </w:tcBorders>
            <w:vAlign w:val="center"/>
          </w:tcPr>
          <w:p w14:paraId="2D798F9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特征污染物（t/a）</w:t>
            </w:r>
          </w:p>
        </w:tc>
        <w:tc>
          <w:tcPr>
            <w:tcW w:w="1965" w:type="dxa"/>
            <w:tcBorders>
              <w:tl2br w:val="nil"/>
              <w:tr2bl w:val="nil"/>
            </w:tcBorders>
            <w:vAlign w:val="center"/>
          </w:tcPr>
          <w:p w14:paraId="6DD0E7B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重金属来源</w:t>
            </w:r>
          </w:p>
        </w:tc>
        <w:tc>
          <w:tcPr>
            <w:tcW w:w="6169" w:type="dxa"/>
            <w:tcBorders>
              <w:tl2br w:val="nil"/>
              <w:tr2bl w:val="nil"/>
            </w:tcBorders>
            <w:vAlign w:val="center"/>
          </w:tcPr>
          <w:p w14:paraId="71CB082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污染防治措施</w:t>
            </w:r>
          </w:p>
        </w:tc>
        <w:tc>
          <w:tcPr>
            <w:tcW w:w="2081" w:type="dxa"/>
            <w:tcBorders>
              <w:tl2br w:val="nil"/>
              <w:tr2bl w:val="nil"/>
            </w:tcBorders>
            <w:vAlign w:val="center"/>
          </w:tcPr>
          <w:p w14:paraId="79FB111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重金属检测达标情况</w:t>
            </w:r>
          </w:p>
        </w:tc>
      </w:tr>
      <w:tr w14:paraId="71B83E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1" w:hRule="atLeast"/>
        </w:trPr>
        <w:tc>
          <w:tcPr>
            <w:tcW w:w="503" w:type="dxa"/>
            <w:tcBorders>
              <w:tl2br w:val="nil"/>
              <w:tr2bl w:val="nil"/>
            </w:tcBorders>
            <w:vAlign w:val="center"/>
          </w:tcPr>
          <w:p w14:paraId="58B50F7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1350" w:type="dxa"/>
            <w:tcBorders>
              <w:tl2br w:val="nil"/>
              <w:tr2bl w:val="nil"/>
            </w:tcBorders>
            <w:vAlign w:val="center"/>
          </w:tcPr>
          <w:p w14:paraId="146C264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上汽大众汽车有限公司南京分公司</w:t>
            </w:r>
          </w:p>
        </w:tc>
        <w:tc>
          <w:tcPr>
            <w:tcW w:w="750" w:type="dxa"/>
            <w:tcBorders>
              <w:tl2br w:val="nil"/>
              <w:tr2bl w:val="nil"/>
            </w:tcBorders>
            <w:vAlign w:val="center"/>
          </w:tcPr>
          <w:p w14:paraId="47D6252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绿色智能汽车产业</w:t>
            </w:r>
          </w:p>
        </w:tc>
        <w:tc>
          <w:tcPr>
            <w:tcW w:w="1440" w:type="dxa"/>
            <w:tcBorders>
              <w:tl2br w:val="nil"/>
              <w:tr2bl w:val="nil"/>
            </w:tcBorders>
            <w:vAlign w:val="center"/>
          </w:tcPr>
          <w:p w14:paraId="382F640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LAS1.018；石油类1.11；总锌0.099；总镍0.04</w:t>
            </w:r>
          </w:p>
        </w:tc>
        <w:tc>
          <w:tcPr>
            <w:tcW w:w="1965" w:type="dxa"/>
            <w:tcBorders>
              <w:tl2br w:val="nil"/>
              <w:tr2bl w:val="nil"/>
            </w:tcBorders>
            <w:vAlign w:val="center"/>
          </w:tcPr>
          <w:p w14:paraId="219896E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企业重金属总锌、总镍主要来自涂装车间磷化废水，即工件磷化后的冲洗水</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含磷化废液，磷化槽每月倒槽一次</w:t>
            </w:r>
            <w:r>
              <w:rPr>
                <w:rFonts w:hint="eastAsia" w:ascii="Times New Roman" w:hAnsi="Times New Roman" w:eastAsia="宋体" w:cs="Times New Roman"/>
                <w:color w:val="auto"/>
                <w:sz w:val="21"/>
                <w:szCs w:val="21"/>
                <w:vertAlign w:val="baseline"/>
                <w:lang w:eastAsia="zh-CN"/>
              </w:rPr>
              <w:t>）</w:t>
            </w:r>
          </w:p>
        </w:tc>
        <w:tc>
          <w:tcPr>
            <w:tcW w:w="6169" w:type="dxa"/>
            <w:tcBorders>
              <w:tl2br w:val="nil"/>
              <w:tr2bl w:val="nil"/>
            </w:tcBorders>
            <w:vAlign w:val="center"/>
          </w:tcPr>
          <w:p w14:paraId="546FFFB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采用“雨污分流，污污分流”排水体制。企业废水处理站内单独建有1套磷化废水处理装置处理至车间排口达标后与脱脂废水等其他废水一并排入厂内污水处理站进行处理。</w:t>
            </w:r>
          </w:p>
          <w:p w14:paraId="387D8BB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现有厂区已建有废水在线监控系统，监控指标主要为车间总排口处COD、氨氮、pH，车间排口镍。</w:t>
            </w:r>
          </w:p>
          <w:p w14:paraId="750BC82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应急管控措施</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企业在磷化废水处理排口安装总镍在线监测仪，厂内污水通过提升泵提升后外排，紧急状态下，可及时关闭提升泵，将其截留在厂内，确保不会流入外围环境，将废水通过提升泵提升至应急事故池暂存。</w:t>
            </w:r>
          </w:p>
        </w:tc>
        <w:tc>
          <w:tcPr>
            <w:tcW w:w="2081" w:type="dxa"/>
            <w:tcBorders>
              <w:tl2br w:val="nil"/>
              <w:tr2bl w:val="nil"/>
            </w:tcBorders>
            <w:vAlign w:val="center"/>
          </w:tcPr>
          <w:p w14:paraId="244C0C4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2024年第二季度例行监测报告废水总排口</w:t>
            </w:r>
            <w:r>
              <w:rPr>
                <w:rFonts w:hint="default" w:ascii="Times New Roman" w:hAnsi="Times New Roman" w:eastAsia="宋体" w:cs="Times New Roman"/>
                <w:color w:val="auto"/>
                <w:sz w:val="21"/>
                <w:szCs w:val="21"/>
                <w:highlight w:val="none"/>
                <w:vertAlign w:val="baseline"/>
              </w:rPr>
              <w:t>总镍</w:t>
            </w:r>
            <w:r>
              <w:rPr>
                <w:rFonts w:hint="eastAsia" w:ascii="Times New Roman" w:hAnsi="Times New Roman" w:eastAsia="宋体" w:cs="Times New Roman"/>
                <w:color w:val="auto"/>
                <w:sz w:val="21"/>
                <w:szCs w:val="21"/>
                <w:highlight w:val="none"/>
                <w:vertAlign w:val="baseline"/>
                <w:lang w:val="en-US" w:eastAsia="zh-CN"/>
              </w:rPr>
              <w:t>ND（</w:t>
            </w:r>
            <w:r>
              <w:rPr>
                <w:rFonts w:hint="default" w:ascii="Times New Roman" w:hAnsi="Times New Roman" w:eastAsia="宋体" w:cs="Times New Roman"/>
                <w:color w:val="auto"/>
                <w:sz w:val="21"/>
                <w:szCs w:val="21"/>
                <w:highlight w:val="none"/>
                <w:vertAlign w:val="baseline"/>
              </w:rPr>
              <w:t>达标</w:t>
            </w:r>
            <w:r>
              <w:rPr>
                <w:rFonts w:hint="eastAsia" w:ascii="Times New Roman" w:hAnsi="Times New Roman" w:eastAsia="宋体" w:cs="Times New Roman"/>
                <w:color w:val="auto"/>
                <w:sz w:val="21"/>
                <w:szCs w:val="21"/>
                <w:highlight w:val="none"/>
                <w:vertAlign w:val="baseline"/>
                <w:lang w:eastAsia="zh-CN"/>
              </w:rPr>
              <w:t>）</w:t>
            </w:r>
          </w:p>
        </w:tc>
      </w:tr>
      <w:tr w14:paraId="155246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3" w:type="dxa"/>
            <w:tcBorders>
              <w:tl2br w:val="nil"/>
              <w:tr2bl w:val="nil"/>
            </w:tcBorders>
            <w:vAlign w:val="center"/>
          </w:tcPr>
          <w:p w14:paraId="642DBF3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1350" w:type="dxa"/>
            <w:tcBorders>
              <w:tl2br w:val="nil"/>
              <w:tr2bl w:val="nil"/>
            </w:tcBorders>
            <w:vAlign w:val="center"/>
          </w:tcPr>
          <w:p w14:paraId="1E64417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长安马自达汽车有限公司</w:t>
            </w:r>
          </w:p>
        </w:tc>
        <w:tc>
          <w:tcPr>
            <w:tcW w:w="750" w:type="dxa"/>
            <w:tcBorders>
              <w:tl2br w:val="nil"/>
              <w:tr2bl w:val="nil"/>
            </w:tcBorders>
            <w:vAlign w:val="center"/>
          </w:tcPr>
          <w:p w14:paraId="32610BC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绿色智能汽车产业</w:t>
            </w:r>
          </w:p>
        </w:tc>
        <w:tc>
          <w:tcPr>
            <w:tcW w:w="1440" w:type="dxa"/>
            <w:tcBorders>
              <w:tl2br w:val="nil"/>
              <w:tr2bl w:val="nil"/>
            </w:tcBorders>
            <w:vAlign w:val="center"/>
          </w:tcPr>
          <w:p w14:paraId="20019B2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LAS1.54；石油类0.162；总锌0.08；总镍0.02</w:t>
            </w:r>
          </w:p>
        </w:tc>
        <w:tc>
          <w:tcPr>
            <w:tcW w:w="1965" w:type="dxa"/>
            <w:tcBorders>
              <w:tl2br w:val="nil"/>
              <w:tr2bl w:val="nil"/>
            </w:tcBorders>
            <w:vAlign w:val="center"/>
          </w:tcPr>
          <w:p w14:paraId="33CC1A7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企业重金属总锌、总镍主要来自涂装车间磷化钝化废水</w:t>
            </w:r>
          </w:p>
        </w:tc>
        <w:tc>
          <w:tcPr>
            <w:tcW w:w="6169" w:type="dxa"/>
            <w:tcBorders>
              <w:tl2br w:val="nil"/>
              <w:tr2bl w:val="nil"/>
            </w:tcBorders>
            <w:vAlign w:val="center"/>
          </w:tcPr>
          <w:p w14:paraId="75FC1D0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企业磷化钝化废水采用单独的物化处理系统处理，磷化废水依次进入pH调节池、混合反应池、絮凝沉淀池达标处理后，进入污水处理站生化处理，企业车间排口设有镍在线监测。</w:t>
            </w:r>
          </w:p>
          <w:p w14:paraId="1BE3131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应急管控措施</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企业已建立三级风险应急体系，针对事故废水，企业加强地面防渗，排水系统采用清污分流制，雨水管网外排口及污水排口均加装有截断阀，若有消防废水或其他事故废水混入污水管道，将及时将其截留在厂内，确保不会流入外围环境，开启污水管网通往事故池的阀门，将废水收集进应急事故池暂存。</w:t>
            </w:r>
          </w:p>
        </w:tc>
        <w:tc>
          <w:tcPr>
            <w:tcW w:w="2081" w:type="dxa"/>
            <w:tcBorders>
              <w:tl2br w:val="nil"/>
              <w:tr2bl w:val="nil"/>
            </w:tcBorders>
            <w:vAlign w:val="center"/>
          </w:tcPr>
          <w:p w14:paraId="5E3C9E6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vertAlign w:val="baseline"/>
                <w:lang w:val="en-US" w:eastAsia="zh-CN"/>
              </w:rPr>
              <w:t>根据企业2021-2023年例行监测数据，</w:t>
            </w:r>
            <w:r>
              <w:rPr>
                <w:rFonts w:hint="default" w:ascii="Times New Roman" w:hAnsi="Times New Roman" w:eastAsia="宋体" w:cs="Times New Roman"/>
                <w:color w:val="auto"/>
                <w:sz w:val="21"/>
                <w:szCs w:val="21"/>
                <w:vertAlign w:val="baseline"/>
                <w:lang w:val="en-US" w:eastAsia="zh-CN"/>
              </w:rPr>
              <w:t>涂装车间排口总镍达标</w:t>
            </w:r>
          </w:p>
        </w:tc>
      </w:tr>
      <w:tr w14:paraId="7F397A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3" w:type="dxa"/>
            <w:tcBorders>
              <w:tl2br w:val="nil"/>
              <w:tr2bl w:val="nil"/>
            </w:tcBorders>
            <w:vAlign w:val="center"/>
          </w:tcPr>
          <w:p w14:paraId="591C1D8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1350" w:type="dxa"/>
            <w:tcBorders>
              <w:tl2br w:val="nil"/>
              <w:tr2bl w:val="nil"/>
            </w:tcBorders>
            <w:shd w:val="clear" w:color="auto" w:fill="auto"/>
            <w:vAlign w:val="center"/>
          </w:tcPr>
          <w:p w14:paraId="0FFDB04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en-US" w:bidi="ar-SA"/>
              </w:rPr>
            </w:pPr>
            <w:r>
              <w:rPr>
                <w:rFonts w:hint="default" w:ascii="Times New Roman" w:hAnsi="Times New Roman" w:eastAsia="宋体" w:cs="Times New Roman"/>
                <w:color w:val="auto"/>
                <w:sz w:val="21"/>
                <w:szCs w:val="21"/>
                <w:vertAlign w:val="baseline"/>
              </w:rPr>
              <w:t>中国航空工业集团公司金城南京机电液压工程研究中心</w:t>
            </w:r>
          </w:p>
        </w:tc>
        <w:tc>
          <w:tcPr>
            <w:tcW w:w="750" w:type="dxa"/>
            <w:tcBorders>
              <w:tl2br w:val="nil"/>
              <w:tr2bl w:val="nil"/>
            </w:tcBorders>
            <w:shd w:val="clear" w:color="auto" w:fill="auto"/>
            <w:vAlign w:val="center"/>
          </w:tcPr>
          <w:p w14:paraId="5CFAE0F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航空产业</w:t>
            </w:r>
          </w:p>
        </w:tc>
        <w:tc>
          <w:tcPr>
            <w:tcW w:w="1440" w:type="dxa"/>
            <w:tcBorders>
              <w:tl2br w:val="nil"/>
              <w:tr2bl w:val="nil"/>
            </w:tcBorders>
            <w:shd w:val="clear" w:color="auto" w:fill="auto"/>
            <w:vAlign w:val="center"/>
          </w:tcPr>
          <w:p w14:paraId="2683EA6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总铬0.00193；氰化物0.0286</w:t>
            </w:r>
          </w:p>
        </w:tc>
        <w:tc>
          <w:tcPr>
            <w:tcW w:w="1965" w:type="dxa"/>
            <w:tcBorders>
              <w:tl2br w:val="nil"/>
              <w:tr2bl w:val="nil"/>
            </w:tcBorders>
            <w:shd w:val="clear" w:color="auto" w:fill="auto"/>
            <w:vAlign w:val="center"/>
          </w:tcPr>
          <w:p w14:paraId="1994042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/（工艺涉密）</w:t>
            </w:r>
          </w:p>
        </w:tc>
        <w:tc>
          <w:tcPr>
            <w:tcW w:w="6169" w:type="dxa"/>
            <w:tcBorders>
              <w:tl2br w:val="nil"/>
              <w:tr2bl w:val="nil"/>
            </w:tcBorders>
            <w:shd w:val="clear" w:color="auto" w:fill="auto"/>
            <w:vAlign w:val="center"/>
          </w:tcPr>
          <w:p w14:paraId="65E02E6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企业含铬废水主要采用中和调节+混合反应+膜分离等措施，在车间排口处设有检测点，确保排水达标。</w:t>
            </w:r>
          </w:p>
          <w:p w14:paraId="6AE705A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en-US" w:bidi="ar-SA"/>
              </w:rPr>
            </w:pPr>
            <w:r>
              <w:rPr>
                <w:rFonts w:hint="default" w:ascii="Times New Roman" w:hAnsi="Times New Roman" w:eastAsia="宋体" w:cs="Times New Roman"/>
                <w:color w:val="auto"/>
                <w:sz w:val="21"/>
                <w:szCs w:val="21"/>
                <w:vertAlign w:val="baseline"/>
              </w:rPr>
              <w:t>应急管控措施</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成立了应急救援指挥部，下设综合协调组、应急抢险组、引导疏散组、医疗救助组。厂区内设置一座176m</w:t>
            </w:r>
            <w:r>
              <w:rPr>
                <w:rFonts w:hint="eastAsia"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rPr>
              <w:t>应急事故池，企业发生事故产生消防废水时，应做好应急准备，将事故废水截留在应急事故池中，防止公司内部污水流出厂区</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小量的泄漏用沙土或其他棉质物质进行收集，废物等事件结束后集中处理</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大量泄漏，公司无法全部拦截，除采取必要的拦截措施外，紧急指挥中心</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公司应急指挥部</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需通知江宁区生态环境局及应急管理局，请求援助。</w:t>
            </w:r>
          </w:p>
        </w:tc>
        <w:tc>
          <w:tcPr>
            <w:tcW w:w="2081" w:type="dxa"/>
            <w:tcBorders>
              <w:tl2br w:val="nil"/>
              <w:tr2bl w:val="nil"/>
            </w:tcBorders>
            <w:shd w:val="clear" w:color="auto" w:fill="auto"/>
            <w:vAlign w:val="center"/>
          </w:tcPr>
          <w:p w14:paraId="69DC5206">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en-US"/>
              </w:rPr>
            </w:pPr>
            <w:r>
              <w:rPr>
                <w:rFonts w:hint="eastAsia" w:ascii="Times New Roman" w:hAnsi="Times New Roman" w:eastAsia="宋体" w:cs="Times New Roman"/>
                <w:color w:val="auto"/>
                <w:sz w:val="21"/>
                <w:szCs w:val="21"/>
                <w:highlight w:val="none"/>
                <w:vertAlign w:val="baseline"/>
                <w:lang w:val="en-US" w:eastAsia="zh-CN"/>
              </w:rPr>
              <w:t>根据企业2022-2023年例行监测数据，总铬和总氰化物均为未检出</w:t>
            </w:r>
          </w:p>
        </w:tc>
      </w:tr>
      <w:tr w14:paraId="595DE3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3" w:type="dxa"/>
            <w:tcBorders>
              <w:tl2br w:val="nil"/>
              <w:tr2bl w:val="nil"/>
            </w:tcBorders>
            <w:vAlign w:val="center"/>
          </w:tcPr>
          <w:p w14:paraId="59D79F0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1350" w:type="dxa"/>
            <w:tcBorders>
              <w:tl2br w:val="nil"/>
              <w:tr2bl w:val="nil"/>
            </w:tcBorders>
            <w:shd w:val="clear" w:color="auto" w:fill="auto"/>
            <w:vAlign w:val="center"/>
          </w:tcPr>
          <w:p w14:paraId="341A44D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en-US" w:bidi="ar-SA"/>
              </w:rPr>
            </w:pPr>
            <w:r>
              <w:rPr>
                <w:rFonts w:hint="default" w:ascii="Times New Roman" w:hAnsi="Times New Roman" w:eastAsia="宋体" w:cs="Times New Roman"/>
                <w:color w:val="auto"/>
                <w:sz w:val="21"/>
                <w:szCs w:val="21"/>
                <w:vertAlign w:val="baseline"/>
              </w:rPr>
              <w:t>翰昂杰希思汽车零部件（南京）有限公司</w:t>
            </w:r>
          </w:p>
        </w:tc>
        <w:tc>
          <w:tcPr>
            <w:tcW w:w="750" w:type="dxa"/>
            <w:tcBorders>
              <w:tl2br w:val="nil"/>
              <w:tr2bl w:val="nil"/>
            </w:tcBorders>
            <w:shd w:val="clear" w:color="auto" w:fill="auto"/>
            <w:vAlign w:val="center"/>
          </w:tcPr>
          <w:p w14:paraId="1087436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rPr>
              <w:t>绿色智能汽车产业</w:t>
            </w:r>
          </w:p>
        </w:tc>
        <w:tc>
          <w:tcPr>
            <w:tcW w:w="1440" w:type="dxa"/>
            <w:tcBorders>
              <w:tl2br w:val="nil"/>
              <w:tr2bl w:val="nil"/>
            </w:tcBorders>
            <w:shd w:val="clear" w:color="auto" w:fill="auto"/>
            <w:vAlign w:val="center"/>
          </w:tcPr>
          <w:p w14:paraId="25A4794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石油类0.0002；总铬0.0005；六价铬0.0003；总锰0.001；氟化物0.003</w:t>
            </w:r>
          </w:p>
        </w:tc>
        <w:tc>
          <w:tcPr>
            <w:tcW w:w="1965" w:type="dxa"/>
            <w:tcBorders>
              <w:tl2br w:val="nil"/>
              <w:tr2bl w:val="nil"/>
            </w:tcBorders>
            <w:shd w:val="clear" w:color="auto" w:fill="auto"/>
            <w:vAlign w:val="center"/>
          </w:tcPr>
          <w:p w14:paraId="7EE0524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企业重金属来源于表面处理工序产生的重金属废水</w:t>
            </w:r>
          </w:p>
        </w:tc>
        <w:tc>
          <w:tcPr>
            <w:tcW w:w="6169" w:type="dxa"/>
            <w:tcBorders>
              <w:tl2br w:val="nil"/>
              <w:tr2bl w:val="nil"/>
            </w:tcBorders>
            <w:shd w:val="clear" w:color="auto" w:fill="auto"/>
            <w:vAlign w:val="center"/>
          </w:tcPr>
          <w:p w14:paraId="1C54CC0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企业建有一套重金属处理装置，主要工艺为中和还原+絮凝沉淀等，企业在车间排口设有重金属铬在线检测，达标后进入厂区污水处理站生化处理。</w:t>
            </w:r>
          </w:p>
          <w:p w14:paraId="14957B8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en-US" w:bidi="ar-SA"/>
              </w:rPr>
            </w:pPr>
            <w:r>
              <w:rPr>
                <w:rFonts w:hint="default" w:ascii="Times New Roman" w:hAnsi="Times New Roman" w:eastAsia="宋体" w:cs="Times New Roman"/>
                <w:color w:val="auto"/>
                <w:sz w:val="21"/>
                <w:szCs w:val="21"/>
                <w:vertAlign w:val="baseline"/>
              </w:rPr>
              <w:t>应急管控措施</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公司设立现场应急指挥部，下设环境保护组</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物资供应组、抢险抢修组等。针对废水处理设施发生故障，污水处理人员立即停机，停止排污，同时通知应急抢险组对故障设施进行维修</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针对废水处理设施处理后的废水超标，将超标的废水通过提升泵排入处理设施重新处理，若废水仍超标，污水处理人员立即停机、停止排放，关闭阀门，同时上报部门主管或公司领导并对故障进行分析、排除</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针对有污水外泄，造成外环境水体污染时，应立即告知当地生态环境部门，采取补救措施。事故产生的污水由环保组收集暂存，然后经抽水泵</w:t>
            </w:r>
            <w:r>
              <w:rPr>
                <w:rFonts w:hint="eastAsia" w:ascii="Times New Roman" w:hAnsi="Times New Roman" w:eastAsia="宋体" w:cs="Times New Roman"/>
                <w:color w:val="auto"/>
                <w:sz w:val="21"/>
                <w:szCs w:val="21"/>
                <w:vertAlign w:val="baseline"/>
                <w:lang w:eastAsia="zh-CN"/>
              </w:rPr>
              <w:t>排入</w:t>
            </w:r>
            <w:r>
              <w:rPr>
                <w:rFonts w:hint="default" w:ascii="Times New Roman" w:hAnsi="Times New Roman" w:eastAsia="宋体" w:cs="Times New Roman"/>
                <w:color w:val="auto"/>
                <w:sz w:val="21"/>
                <w:szCs w:val="21"/>
                <w:vertAlign w:val="baseline"/>
              </w:rPr>
              <w:t>厂区污水处理设施进行处理，处理结束后经监测达标后，排放至集中污水处理厂</w:t>
            </w:r>
          </w:p>
        </w:tc>
        <w:tc>
          <w:tcPr>
            <w:tcW w:w="2081" w:type="dxa"/>
            <w:tcBorders>
              <w:tl2br w:val="nil"/>
              <w:tr2bl w:val="nil"/>
            </w:tcBorders>
            <w:shd w:val="clear" w:color="auto" w:fill="auto"/>
            <w:vAlign w:val="center"/>
          </w:tcPr>
          <w:p w14:paraId="02959B8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2024年第一季度例行监测</w:t>
            </w:r>
            <w:r>
              <w:rPr>
                <w:rFonts w:hint="default" w:ascii="Times New Roman" w:hAnsi="Times New Roman" w:eastAsia="宋体" w:cs="Times New Roman"/>
                <w:color w:val="auto"/>
                <w:sz w:val="21"/>
                <w:szCs w:val="21"/>
                <w:highlight w:val="none"/>
                <w:vertAlign w:val="baseline"/>
              </w:rPr>
              <w:t>车间排口总铬</w:t>
            </w:r>
            <w:r>
              <w:rPr>
                <w:rFonts w:hint="eastAsia" w:ascii="Times New Roman" w:hAnsi="Times New Roman" w:eastAsia="宋体" w:cs="Times New Roman"/>
                <w:color w:val="auto"/>
                <w:sz w:val="21"/>
                <w:szCs w:val="21"/>
                <w:highlight w:val="none"/>
                <w:vertAlign w:val="baseline"/>
                <w:lang w:val="en-US" w:eastAsia="zh-CN"/>
              </w:rPr>
              <w:t>ND（</w:t>
            </w:r>
            <w:r>
              <w:rPr>
                <w:rFonts w:hint="default" w:ascii="Times New Roman" w:hAnsi="Times New Roman" w:eastAsia="宋体" w:cs="Times New Roman"/>
                <w:color w:val="auto"/>
                <w:sz w:val="21"/>
                <w:szCs w:val="21"/>
                <w:highlight w:val="none"/>
                <w:vertAlign w:val="baseline"/>
              </w:rPr>
              <w:t>达标</w:t>
            </w:r>
            <w:r>
              <w:rPr>
                <w:rFonts w:hint="eastAsia" w:ascii="Times New Roman" w:hAnsi="Times New Roman" w:eastAsia="宋体" w:cs="Times New Roman"/>
                <w:color w:val="auto"/>
                <w:sz w:val="21"/>
                <w:szCs w:val="21"/>
                <w:highlight w:val="none"/>
                <w:vertAlign w:val="baseline"/>
                <w:lang w:eastAsia="zh-CN"/>
              </w:rPr>
              <w:t>）、</w:t>
            </w:r>
            <w:r>
              <w:rPr>
                <w:rFonts w:hint="eastAsia" w:ascii="Times New Roman" w:hAnsi="Times New Roman" w:eastAsia="宋体" w:cs="Times New Roman"/>
                <w:color w:val="auto"/>
                <w:sz w:val="21"/>
                <w:szCs w:val="21"/>
                <w:highlight w:val="none"/>
                <w:vertAlign w:val="baseline"/>
                <w:lang w:val="en-US" w:eastAsia="zh-CN"/>
              </w:rPr>
              <w:t>六价铬ND（达标）</w:t>
            </w:r>
          </w:p>
        </w:tc>
      </w:tr>
      <w:tr w14:paraId="02E2E8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3" w:type="dxa"/>
            <w:tcBorders>
              <w:tl2br w:val="nil"/>
              <w:tr2bl w:val="nil"/>
            </w:tcBorders>
            <w:vAlign w:val="center"/>
          </w:tcPr>
          <w:p w14:paraId="2A82A5A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1350" w:type="dxa"/>
            <w:tcBorders>
              <w:tl2br w:val="nil"/>
              <w:tr2bl w:val="nil"/>
            </w:tcBorders>
            <w:shd w:val="clear" w:color="auto" w:fill="auto"/>
            <w:vAlign w:val="center"/>
          </w:tcPr>
          <w:p w14:paraId="40DFCC9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en-US" w:bidi="ar-SA"/>
              </w:rPr>
            </w:pPr>
            <w:r>
              <w:rPr>
                <w:rFonts w:hint="default" w:ascii="Times New Roman" w:hAnsi="Times New Roman" w:eastAsia="宋体" w:cs="Times New Roman"/>
                <w:color w:val="auto"/>
                <w:sz w:val="21"/>
                <w:szCs w:val="21"/>
                <w:vertAlign w:val="baseline"/>
              </w:rPr>
              <w:t>大唐南京环保科技有限责任公司</w:t>
            </w:r>
          </w:p>
        </w:tc>
        <w:tc>
          <w:tcPr>
            <w:tcW w:w="750" w:type="dxa"/>
            <w:tcBorders>
              <w:tl2br w:val="nil"/>
              <w:tr2bl w:val="nil"/>
            </w:tcBorders>
            <w:shd w:val="clear" w:color="auto" w:fill="auto"/>
            <w:vAlign w:val="center"/>
          </w:tcPr>
          <w:p w14:paraId="4FCF3F7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环保产业</w:t>
            </w:r>
          </w:p>
        </w:tc>
        <w:tc>
          <w:tcPr>
            <w:tcW w:w="1440" w:type="dxa"/>
            <w:tcBorders>
              <w:tl2br w:val="nil"/>
              <w:tr2bl w:val="nil"/>
            </w:tcBorders>
            <w:shd w:val="clear" w:color="auto" w:fill="auto"/>
            <w:vAlign w:val="center"/>
          </w:tcPr>
          <w:p w14:paraId="6404DF0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LAS0.085；钒0.008</w:t>
            </w:r>
          </w:p>
        </w:tc>
        <w:tc>
          <w:tcPr>
            <w:tcW w:w="1965" w:type="dxa"/>
            <w:tcBorders>
              <w:tl2br w:val="nil"/>
              <w:tr2bl w:val="nil"/>
            </w:tcBorders>
            <w:shd w:val="clear" w:color="auto" w:fill="auto"/>
            <w:vAlign w:val="center"/>
          </w:tcPr>
          <w:p w14:paraId="56325B4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rPr>
              <w:t>企业重金属来源于酸洗、碱洗、中和工序产生的废水。</w:t>
            </w:r>
          </w:p>
        </w:tc>
        <w:tc>
          <w:tcPr>
            <w:tcW w:w="6169" w:type="dxa"/>
            <w:tcBorders>
              <w:tl2br w:val="nil"/>
              <w:tr2bl w:val="nil"/>
            </w:tcBorders>
            <w:shd w:val="clear" w:color="auto" w:fill="auto"/>
            <w:vAlign w:val="center"/>
          </w:tcPr>
          <w:p w14:paraId="6776EBE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企业重金属废水提升进入一级反应池，通过投加硫酸、双氧水、硫酸亚铁进行铁氧体沉淀反应，使得废水中的重金属离子与硫酸亚铁生成铁氧体，回调废水的pH值，经过PAM进行絮凝沉淀，然后进入到二级反应沉淀系统，第三级混凝沉淀，投加重金属捕捉剂，加快沉淀，去除可能残留的重金属污染物。并在车间排口设置钒在线监测。</w:t>
            </w:r>
          </w:p>
          <w:p w14:paraId="445D80E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en-US" w:bidi="ar-SA"/>
              </w:rPr>
            </w:pPr>
            <w:r>
              <w:rPr>
                <w:rFonts w:hint="default" w:ascii="Times New Roman" w:hAnsi="Times New Roman" w:eastAsia="宋体" w:cs="Times New Roman"/>
                <w:color w:val="auto"/>
                <w:sz w:val="21"/>
                <w:szCs w:val="21"/>
                <w:vertAlign w:val="baseline"/>
              </w:rPr>
              <w:t>应急管控措施</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公司成立应急救援指挥部，下设总指挥、副总指挥、信息联络组、环境检测组、医疗救助组、事故处理组、消防和设备抢救组等，企业设有专门的部门24小时负责雨水排口和污水排口切断装置的正常和维护。企业建有事故池1座650m</w:t>
            </w:r>
            <w:r>
              <w:rPr>
                <w:rFonts w:hint="eastAsia"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rPr>
              <w:t>，雨水收集池1座500m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w:t>
            </w:r>
            <w:r>
              <w:rPr>
                <w:rFonts w:hint="default" w:ascii="Times New Roman" w:hAnsi="Times New Roman" w:eastAsia="宋体" w:cs="Times New Roman"/>
                <w:color w:val="auto"/>
                <w:sz w:val="21"/>
                <w:szCs w:val="21"/>
                <w:vertAlign w:val="baseline"/>
              </w:rPr>
              <w:t>若污水处理设施出现故障不能正常运行，将收集其所有废</w:t>
            </w:r>
            <w:r>
              <w:rPr>
                <w:rFonts w:hint="eastAsia" w:ascii="Times New Roman" w:hAnsi="Times New Roman" w:eastAsia="宋体" w:cs="Times New Roman"/>
                <w:color w:val="auto"/>
                <w:sz w:val="21"/>
                <w:szCs w:val="21"/>
                <w:vertAlign w:val="baseline"/>
                <w:lang w:eastAsia="zh-CN"/>
              </w:rPr>
              <w:t>水进</w:t>
            </w:r>
            <w:r>
              <w:rPr>
                <w:rFonts w:hint="default" w:ascii="Times New Roman" w:hAnsi="Times New Roman" w:eastAsia="宋体" w:cs="Times New Roman"/>
                <w:color w:val="auto"/>
                <w:sz w:val="21"/>
                <w:szCs w:val="21"/>
                <w:vertAlign w:val="baseline"/>
              </w:rPr>
              <w:t>入事故池，如果事故池储满废水后污水处理站还无法正常运行，车间必须临时停产。公司污水处理站总排口与外部水体之间均安装切断设施，若废水处理设施运行不正常时，启用切断设施，确保不达标的生产废水控制在厂内，不进入园区污水管网，进入园区污水处理厂</w:t>
            </w:r>
          </w:p>
        </w:tc>
        <w:tc>
          <w:tcPr>
            <w:tcW w:w="2081" w:type="dxa"/>
            <w:tcBorders>
              <w:tl2br w:val="nil"/>
              <w:tr2bl w:val="nil"/>
            </w:tcBorders>
            <w:shd w:val="clear" w:color="auto" w:fill="auto"/>
            <w:vAlign w:val="center"/>
          </w:tcPr>
          <w:p w14:paraId="51B8196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2024年第二季度例行监测报告，总排口钒0.06mg/L（达标）</w:t>
            </w:r>
          </w:p>
        </w:tc>
      </w:tr>
      <w:tr w14:paraId="4A4C58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3" w:type="dxa"/>
            <w:tcBorders>
              <w:tl2br w:val="nil"/>
              <w:tr2bl w:val="nil"/>
            </w:tcBorders>
            <w:vAlign w:val="center"/>
          </w:tcPr>
          <w:p w14:paraId="26208BB9">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1350" w:type="dxa"/>
            <w:tcBorders>
              <w:tl2br w:val="nil"/>
              <w:tr2bl w:val="nil"/>
            </w:tcBorders>
            <w:shd w:val="clear" w:color="auto" w:fill="auto"/>
            <w:vAlign w:val="center"/>
          </w:tcPr>
          <w:p w14:paraId="6D9A3E6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en-US" w:bidi="ar-SA"/>
              </w:rPr>
            </w:pPr>
            <w:r>
              <w:rPr>
                <w:rFonts w:hint="default" w:ascii="Times New Roman" w:hAnsi="Times New Roman" w:eastAsia="宋体" w:cs="Times New Roman"/>
                <w:color w:val="auto"/>
                <w:sz w:val="21"/>
                <w:szCs w:val="21"/>
                <w:vertAlign w:val="baseline"/>
              </w:rPr>
              <w:t>中国电子科技集团公司第五十五研究所</w:t>
            </w:r>
          </w:p>
        </w:tc>
        <w:tc>
          <w:tcPr>
            <w:tcW w:w="750" w:type="dxa"/>
            <w:tcBorders>
              <w:tl2br w:val="nil"/>
              <w:tr2bl w:val="nil"/>
            </w:tcBorders>
            <w:shd w:val="clear" w:color="auto" w:fill="auto"/>
            <w:vAlign w:val="center"/>
          </w:tcPr>
          <w:p w14:paraId="711D533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电子信息产业</w:t>
            </w:r>
          </w:p>
        </w:tc>
        <w:tc>
          <w:tcPr>
            <w:tcW w:w="1440" w:type="dxa"/>
            <w:tcBorders>
              <w:tl2br w:val="nil"/>
              <w:tr2bl w:val="nil"/>
            </w:tcBorders>
            <w:shd w:val="clear" w:color="auto" w:fill="auto"/>
            <w:vAlign w:val="center"/>
          </w:tcPr>
          <w:p w14:paraId="5653D5B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石油类1.5364；氟化物5.469；氰化物0.00905；总镍0.0162</w:t>
            </w:r>
          </w:p>
        </w:tc>
        <w:tc>
          <w:tcPr>
            <w:tcW w:w="1965" w:type="dxa"/>
            <w:tcBorders>
              <w:tl2br w:val="nil"/>
              <w:tr2bl w:val="nil"/>
            </w:tcBorders>
            <w:shd w:val="clear" w:color="auto" w:fill="auto"/>
            <w:vAlign w:val="center"/>
          </w:tcPr>
          <w:p w14:paraId="03E1506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en-US" w:bidi="ar-SA"/>
              </w:rPr>
            </w:pPr>
            <w:r>
              <w:rPr>
                <w:rFonts w:hint="eastAsia" w:ascii="Times New Roman" w:hAnsi="Times New Roman" w:eastAsia="宋体" w:cs="Times New Roman"/>
                <w:color w:val="auto"/>
                <w:sz w:val="21"/>
                <w:szCs w:val="21"/>
                <w:vertAlign w:val="baseline"/>
                <w:lang w:val="en-US" w:eastAsia="zh-CN"/>
              </w:rPr>
              <w:t>企业重金属来源于表面处理工序产生的重金属废水</w:t>
            </w:r>
          </w:p>
        </w:tc>
        <w:tc>
          <w:tcPr>
            <w:tcW w:w="6169" w:type="dxa"/>
            <w:tcBorders>
              <w:tl2br w:val="nil"/>
              <w:tr2bl w:val="nil"/>
            </w:tcBorders>
            <w:shd w:val="clear" w:color="auto" w:fill="auto"/>
            <w:vAlign w:val="center"/>
          </w:tcPr>
          <w:p w14:paraId="3EAB6E6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重金属废水经车间单独收集后，提升至重金属废水处理系统，当收集池水位到达高液位时，提升泵将自动启动将废水打入的重金属废水pH调节池。采用“化学沉淀法+重金属离子交换”</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对镍离子等重金属进行处理。经过化学沉淀后的上清液通过溢流进入重金属pH回调池，回调pH至6~9范围后，流入重金属中间水池。中间水池后重金属离子交换柱作为把关措施，可根据需要进一步吸附废水中重金属离子。通过以上流程处理后的废水进入重金属单元待排池，经在线监测设备检测废水中重金属浓度达标后，排至废水总排口。若监测浓度接近超标则进行回流处理，以确保废水处理至达标后排放。</w:t>
            </w:r>
          </w:p>
          <w:p w14:paraId="26FCBDF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vertAlign w:val="baseline"/>
                <w:lang w:val="en-US" w:eastAsia="en-US" w:bidi="ar-SA"/>
              </w:rPr>
            </w:pPr>
            <w:r>
              <w:rPr>
                <w:rFonts w:hint="default" w:ascii="Times New Roman" w:hAnsi="Times New Roman" w:eastAsia="宋体" w:cs="Times New Roman"/>
                <w:color w:val="auto"/>
                <w:sz w:val="21"/>
                <w:szCs w:val="21"/>
                <w:vertAlign w:val="baseline"/>
              </w:rPr>
              <w:t>应急管控措施</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公司成立了应急救援指挥部，下设综合协调组、环境应急组、后勤保障组、医疗救助组，设置了污水截流阀，可实现截流，在车间和储存区设有排水沟和围堰，已建设地埋式事故应急池1座400m</w:t>
            </w:r>
            <w:r>
              <w:rPr>
                <w:rFonts w:hint="eastAsia"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rPr>
              <w:t>，事故废水可由污水管网及地沟流入应急事故水池。</w:t>
            </w:r>
          </w:p>
        </w:tc>
        <w:tc>
          <w:tcPr>
            <w:tcW w:w="2081" w:type="dxa"/>
            <w:tcBorders>
              <w:tl2br w:val="nil"/>
              <w:tr2bl w:val="nil"/>
            </w:tcBorders>
            <w:shd w:val="clear" w:color="auto" w:fill="auto"/>
            <w:vAlign w:val="center"/>
          </w:tcPr>
          <w:p w14:paraId="107142C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en-US"/>
              </w:rPr>
            </w:pPr>
            <w:r>
              <w:rPr>
                <w:rFonts w:hint="eastAsia" w:ascii="Times New Roman" w:hAnsi="Times New Roman" w:eastAsia="宋体" w:cs="Times New Roman"/>
                <w:color w:val="auto"/>
                <w:sz w:val="21"/>
                <w:szCs w:val="21"/>
                <w:highlight w:val="none"/>
                <w:vertAlign w:val="baseline"/>
                <w:lang w:val="en-US" w:eastAsia="zh-CN"/>
              </w:rPr>
              <w:t>2024</w:t>
            </w:r>
            <w:r>
              <w:rPr>
                <w:rFonts w:hint="default" w:ascii="Times New Roman" w:hAnsi="Times New Roman" w:eastAsia="宋体" w:cs="Times New Roman"/>
                <w:color w:val="auto"/>
                <w:sz w:val="21"/>
                <w:szCs w:val="21"/>
                <w:highlight w:val="none"/>
                <w:vertAlign w:val="baseline"/>
              </w:rPr>
              <w:t>年</w:t>
            </w:r>
            <w:r>
              <w:rPr>
                <w:rFonts w:hint="eastAsia" w:ascii="Times New Roman" w:hAnsi="Times New Roman" w:eastAsia="宋体" w:cs="Times New Roman"/>
                <w:color w:val="auto"/>
                <w:sz w:val="21"/>
                <w:szCs w:val="21"/>
                <w:highlight w:val="none"/>
                <w:vertAlign w:val="baseline"/>
                <w:lang w:val="en-US" w:eastAsia="zh-CN"/>
              </w:rPr>
              <w:t>3</w:t>
            </w:r>
            <w:r>
              <w:rPr>
                <w:rFonts w:hint="default" w:ascii="Times New Roman" w:hAnsi="Times New Roman" w:eastAsia="宋体" w:cs="Times New Roman"/>
                <w:color w:val="auto"/>
                <w:sz w:val="21"/>
                <w:szCs w:val="21"/>
                <w:highlight w:val="none"/>
                <w:vertAlign w:val="baseline"/>
              </w:rPr>
              <w:t>月</w:t>
            </w:r>
            <w:r>
              <w:rPr>
                <w:rFonts w:hint="eastAsia" w:ascii="Times New Roman" w:hAnsi="Times New Roman" w:eastAsia="宋体" w:cs="Times New Roman"/>
                <w:color w:val="auto"/>
                <w:sz w:val="21"/>
                <w:szCs w:val="21"/>
                <w:highlight w:val="none"/>
                <w:vertAlign w:val="baseline"/>
                <w:lang w:val="en-US" w:eastAsia="zh-CN"/>
              </w:rPr>
              <w:t>例行</w:t>
            </w:r>
            <w:r>
              <w:rPr>
                <w:rFonts w:hint="default" w:ascii="Times New Roman" w:hAnsi="Times New Roman" w:eastAsia="宋体" w:cs="Times New Roman"/>
                <w:color w:val="auto"/>
                <w:sz w:val="21"/>
                <w:szCs w:val="21"/>
                <w:highlight w:val="none"/>
                <w:vertAlign w:val="baseline"/>
              </w:rPr>
              <w:t>监测报告</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rPr>
              <w:t>车间排口总</w:t>
            </w:r>
            <w:r>
              <w:rPr>
                <w:rFonts w:hint="eastAsia" w:ascii="Times New Roman" w:hAnsi="Times New Roman" w:eastAsia="宋体" w:cs="Times New Roman"/>
                <w:color w:val="auto"/>
                <w:sz w:val="21"/>
                <w:szCs w:val="21"/>
                <w:highlight w:val="none"/>
                <w:vertAlign w:val="baseline"/>
                <w:lang w:val="en-US" w:eastAsia="zh-CN"/>
              </w:rPr>
              <w:t>镍＜0.05</w:t>
            </w:r>
            <w:r>
              <w:rPr>
                <w:rFonts w:hint="default" w:ascii="Times New Roman" w:hAnsi="Times New Roman" w:eastAsia="宋体" w:cs="Times New Roman"/>
                <w:color w:val="auto"/>
                <w:sz w:val="21"/>
                <w:szCs w:val="21"/>
                <w:highlight w:val="none"/>
                <w:vertAlign w:val="baseline"/>
              </w:rPr>
              <w:t>mg</w:t>
            </w:r>
            <w:r>
              <w:rPr>
                <w:rFonts w:hint="eastAsia" w:ascii="Times New Roman" w:hAnsi="Times New Roman" w:eastAsia="宋体" w:cs="Times New Roman"/>
                <w:color w:val="auto"/>
                <w:sz w:val="21"/>
                <w:szCs w:val="21"/>
                <w:highlight w:val="none"/>
                <w:vertAlign w:val="baseline"/>
                <w:lang w:val="en-US" w:eastAsia="zh-CN"/>
              </w:rPr>
              <w:t>/L（</w:t>
            </w:r>
            <w:r>
              <w:rPr>
                <w:rFonts w:hint="default" w:ascii="Times New Roman" w:hAnsi="Times New Roman" w:eastAsia="宋体" w:cs="Times New Roman"/>
                <w:color w:val="auto"/>
                <w:sz w:val="21"/>
                <w:szCs w:val="21"/>
                <w:highlight w:val="none"/>
                <w:vertAlign w:val="baseline"/>
              </w:rPr>
              <w:t>达标</w:t>
            </w:r>
            <w:r>
              <w:rPr>
                <w:rFonts w:hint="eastAsia" w:ascii="Times New Roman" w:hAnsi="Times New Roman" w:eastAsia="宋体" w:cs="Times New Roman"/>
                <w:color w:val="auto"/>
                <w:sz w:val="21"/>
                <w:szCs w:val="21"/>
                <w:highlight w:val="none"/>
                <w:vertAlign w:val="baseline"/>
                <w:lang w:eastAsia="zh-CN"/>
              </w:rPr>
              <w:t>）</w:t>
            </w:r>
          </w:p>
        </w:tc>
      </w:tr>
    </w:tbl>
    <w:p w14:paraId="78343BB2">
      <w:pPr>
        <w:spacing w:line="210" w:lineRule="exact"/>
        <w:rPr>
          <w:color w:val="auto"/>
          <w:sz w:val="18"/>
          <w:szCs w:val="18"/>
        </w:rPr>
        <w:sectPr>
          <w:headerReference r:id="rId34" w:type="default"/>
          <w:footerReference r:id="rId35" w:type="default"/>
          <w:pgSz w:w="16839" w:h="11907" w:orient="landscape"/>
          <w:pgMar w:top="1771" w:right="1175" w:bottom="1769" w:left="1622" w:header="862" w:footer="1445" w:gutter="0"/>
          <w:pgBorders>
            <w:top w:val="none" w:sz="0" w:space="0"/>
            <w:left w:val="none" w:sz="0" w:space="0"/>
            <w:bottom w:val="none" w:sz="0" w:space="0"/>
            <w:right w:val="none" w:sz="0" w:space="0"/>
          </w:pgBorders>
          <w:pgNumType w:fmt="decimal"/>
          <w:cols w:space="720" w:num="1"/>
        </w:sectPr>
      </w:pPr>
    </w:p>
    <w:p w14:paraId="63E04B77">
      <w:pPr>
        <w:keepNext w:val="0"/>
        <w:keepLines w:val="0"/>
        <w:pageBreakBefore w:val="0"/>
        <w:widowControl/>
        <w:kinsoku/>
        <w:wordWrap/>
        <w:overflowPunct/>
        <w:topLinePunct w:val="0"/>
        <w:autoSpaceDE w:val="0"/>
        <w:autoSpaceDN w:val="0"/>
        <w:bidi w:val="0"/>
        <w:adjustRightInd w:val="0"/>
        <w:snapToGrid w:val="0"/>
        <w:spacing w:before="109" w:line="358" w:lineRule="auto"/>
        <w:ind w:left="40" w:firstLine="482"/>
        <w:jc w:val="both"/>
        <w:textAlignment w:val="baseline"/>
        <w:rPr>
          <w:rFonts w:ascii="宋体" w:hAnsi="宋体" w:eastAsia="宋体" w:cs="宋体"/>
          <w:color w:val="auto"/>
          <w:spacing w:val="-3"/>
          <w:sz w:val="24"/>
          <w:szCs w:val="24"/>
          <w:highlight w:val="none"/>
        </w:rPr>
      </w:pPr>
      <w:r>
        <w:rPr>
          <w:rFonts w:ascii="宋体" w:hAnsi="宋体" w:eastAsia="宋体" w:cs="宋体"/>
          <w:color w:val="auto"/>
          <w:spacing w:val="-3"/>
          <w:sz w:val="24"/>
          <w:szCs w:val="24"/>
          <w:highlight w:val="none"/>
        </w:rPr>
        <w:t>开发区严格落实《生态环境部关于进一步规范城镇（园区）污</w:t>
      </w:r>
      <w:r>
        <w:rPr>
          <w:rFonts w:ascii="宋体" w:hAnsi="宋体" w:eastAsia="宋体" w:cs="宋体"/>
          <w:color w:val="auto"/>
          <w:spacing w:val="-4"/>
          <w:sz w:val="24"/>
          <w:szCs w:val="24"/>
          <w:highlight w:val="none"/>
        </w:rPr>
        <w:t>水处理环境管理的通知》（环水体〔</w:t>
      </w:r>
      <w:r>
        <w:rPr>
          <w:rFonts w:ascii="Times New Roman" w:hAnsi="Times New Roman" w:eastAsia="Times New Roman" w:cs="Times New Roman"/>
          <w:color w:val="auto"/>
          <w:spacing w:val="-4"/>
          <w:sz w:val="24"/>
          <w:szCs w:val="24"/>
          <w:highlight w:val="none"/>
        </w:rPr>
        <w:t>2020</w:t>
      </w:r>
      <w:r>
        <w:rPr>
          <w:rFonts w:ascii="宋体" w:hAnsi="宋体" w:eastAsia="宋体" w:cs="宋体"/>
          <w:color w:val="auto"/>
          <w:spacing w:val="-4"/>
          <w:sz w:val="24"/>
          <w:szCs w:val="24"/>
          <w:highlight w:val="none"/>
        </w:rPr>
        <w:t>〕</w:t>
      </w:r>
      <w:r>
        <w:rPr>
          <w:rFonts w:ascii="Times New Roman" w:hAnsi="Times New Roman" w:eastAsia="Times New Roman" w:cs="Times New Roman"/>
          <w:color w:val="auto"/>
          <w:spacing w:val="-4"/>
          <w:sz w:val="24"/>
          <w:szCs w:val="24"/>
          <w:highlight w:val="none"/>
        </w:rPr>
        <w:t>71</w:t>
      </w:r>
      <w:r>
        <w:rPr>
          <w:rFonts w:ascii="宋体" w:hAnsi="宋体" w:eastAsia="宋体" w:cs="宋体"/>
          <w:color w:val="auto"/>
          <w:spacing w:val="-4"/>
          <w:sz w:val="24"/>
          <w:szCs w:val="24"/>
          <w:highlight w:val="none"/>
        </w:rPr>
        <w:t>号</w:t>
      </w:r>
      <w:r>
        <w:rPr>
          <w:rFonts w:ascii="宋体" w:hAnsi="宋体" w:eastAsia="宋体" w:cs="宋体"/>
          <w:color w:val="auto"/>
          <w:spacing w:val="-17"/>
          <w:sz w:val="24"/>
          <w:szCs w:val="24"/>
          <w:highlight w:val="none"/>
        </w:rPr>
        <w:t>），</w:t>
      </w:r>
      <w:r>
        <w:rPr>
          <w:rFonts w:ascii="宋体" w:hAnsi="宋体" w:eastAsia="宋体" w:cs="宋体"/>
          <w:color w:val="auto"/>
          <w:spacing w:val="-4"/>
          <w:sz w:val="24"/>
          <w:szCs w:val="24"/>
          <w:highlight w:val="none"/>
        </w:rPr>
        <w:t>不断加快园区污水配套管网建设，提升污</w:t>
      </w:r>
      <w:r>
        <w:rPr>
          <w:rFonts w:ascii="宋体" w:hAnsi="宋体" w:eastAsia="宋体" w:cs="宋体"/>
          <w:color w:val="auto"/>
          <w:spacing w:val="-3"/>
          <w:sz w:val="24"/>
          <w:szCs w:val="24"/>
          <w:highlight w:val="none"/>
        </w:rPr>
        <w:t>水接管率，开展污水处理厂提标改造工程，进一步削减污染物排放量。建立和落</w:t>
      </w:r>
      <w:r>
        <w:rPr>
          <w:rFonts w:ascii="宋体" w:hAnsi="宋体" w:eastAsia="宋体" w:cs="宋体"/>
          <w:color w:val="auto"/>
          <w:spacing w:val="-6"/>
          <w:sz w:val="24"/>
          <w:szCs w:val="24"/>
          <w:highlight w:val="none"/>
        </w:rPr>
        <w:t>实污水处理收费机制，合理制定和动态调整收费标准。</w:t>
      </w:r>
      <w:bookmarkStart w:id="1858" w:name="sys13103130108"/>
      <w:r>
        <w:rPr>
          <w:rFonts w:ascii="宋体" w:hAnsi="宋体" w:eastAsia="宋体" w:cs="宋体"/>
          <w:color w:val="auto"/>
          <w:spacing w:val="-6"/>
          <w:sz w:val="24"/>
          <w:szCs w:val="24"/>
          <w:highlight w:val="none"/>
        </w:rPr>
        <w:t>目前，</w:t>
      </w:r>
      <w:r>
        <w:rPr>
          <w:rFonts w:ascii="宋体" w:hAnsi="宋体" w:eastAsia="宋体" w:cs="宋体"/>
          <w:color w:val="auto"/>
          <w:spacing w:val="-7"/>
          <w:sz w:val="24"/>
          <w:szCs w:val="24"/>
          <w:highlight w:val="none"/>
        </w:rPr>
        <w:t>开发区内工业废水</w:t>
      </w:r>
      <w:r>
        <w:rPr>
          <w:rFonts w:ascii="宋体" w:hAnsi="宋体" w:eastAsia="宋体" w:cs="宋体"/>
          <w:color w:val="auto"/>
          <w:spacing w:val="-3"/>
          <w:sz w:val="24"/>
          <w:szCs w:val="24"/>
          <w:highlight w:val="none"/>
        </w:rPr>
        <w:t>排放企业均已配置预处理设施，第一类污染物及其他有毒有害污染物，均在</w:t>
      </w:r>
      <w:r>
        <w:rPr>
          <w:rFonts w:ascii="宋体" w:hAnsi="宋体" w:eastAsia="宋体" w:cs="宋体"/>
          <w:color w:val="auto"/>
          <w:spacing w:val="-4"/>
          <w:sz w:val="24"/>
          <w:szCs w:val="24"/>
          <w:highlight w:val="none"/>
        </w:rPr>
        <w:t>车间</w:t>
      </w:r>
      <w:r>
        <w:rPr>
          <w:rFonts w:ascii="宋体" w:hAnsi="宋体" w:eastAsia="宋体" w:cs="宋体"/>
          <w:color w:val="auto"/>
          <w:spacing w:val="-3"/>
          <w:sz w:val="24"/>
          <w:szCs w:val="24"/>
          <w:highlight w:val="none"/>
        </w:rPr>
        <w:t>或车间处理设施排放口处理达标，并安装有在线监控设施，对于水环境重点排污单位，依法安装使用自动监测设备，并与生态环境部门联网。</w:t>
      </w:r>
      <w:bookmarkEnd w:id="1858"/>
      <w:bookmarkStart w:id="1859" w:name="sys1310323872"/>
      <w:r>
        <w:rPr>
          <w:rFonts w:ascii="宋体" w:hAnsi="宋体" w:eastAsia="宋体" w:cs="宋体"/>
          <w:color w:val="auto"/>
          <w:spacing w:val="-3"/>
          <w:sz w:val="24"/>
          <w:szCs w:val="24"/>
          <w:highlight w:val="none"/>
        </w:rPr>
        <w:t>开发区片区内现有企业基本实施排污许可管理，企业污水经预处理接管后，污水集中处理厂可</w:t>
      </w:r>
      <w:r>
        <w:rPr>
          <w:rFonts w:ascii="宋体" w:hAnsi="宋体" w:eastAsia="宋体" w:cs="宋体"/>
          <w:color w:val="auto"/>
          <w:spacing w:val="-4"/>
          <w:sz w:val="24"/>
          <w:szCs w:val="24"/>
          <w:highlight w:val="none"/>
        </w:rPr>
        <w:t>实现</w:t>
      </w:r>
      <w:r>
        <w:rPr>
          <w:rFonts w:ascii="宋体" w:hAnsi="宋体" w:eastAsia="宋体" w:cs="宋体"/>
          <w:color w:val="auto"/>
          <w:spacing w:val="-6"/>
          <w:sz w:val="24"/>
          <w:szCs w:val="24"/>
          <w:highlight w:val="none"/>
        </w:rPr>
        <w:t>稳定达标排放，未发现影响污水处理厂出水稳定达标的纳管企业</w:t>
      </w:r>
      <w:r>
        <w:rPr>
          <w:rFonts w:ascii="宋体" w:hAnsi="宋体" w:eastAsia="宋体" w:cs="宋体"/>
          <w:color w:val="auto"/>
          <w:spacing w:val="-7"/>
          <w:sz w:val="24"/>
          <w:szCs w:val="24"/>
          <w:highlight w:val="none"/>
        </w:rPr>
        <w:t>。</w:t>
      </w:r>
      <w:bookmarkEnd w:id="1859"/>
      <w:bookmarkStart w:id="1860" w:name="sys13103310165"/>
      <w:r>
        <w:rPr>
          <w:rFonts w:ascii="宋体" w:hAnsi="宋体" w:eastAsia="宋体" w:cs="宋体"/>
          <w:color w:val="auto"/>
          <w:spacing w:val="-7"/>
          <w:sz w:val="24"/>
          <w:szCs w:val="24"/>
          <w:highlight w:val="none"/>
        </w:rPr>
        <w:t>同时，开发区</w:t>
      </w:r>
      <w:r>
        <w:rPr>
          <w:rFonts w:ascii="宋体" w:hAnsi="宋体" w:eastAsia="宋体" w:cs="宋体"/>
          <w:color w:val="auto"/>
          <w:spacing w:val="-3"/>
          <w:sz w:val="24"/>
          <w:szCs w:val="24"/>
          <w:highlight w:val="none"/>
        </w:rPr>
        <w:t>加强污水处理设施的运维管理，开展进出水水质水量等监测，定期向社会公</w:t>
      </w:r>
      <w:r>
        <w:rPr>
          <w:rFonts w:ascii="宋体" w:hAnsi="宋体" w:eastAsia="宋体" w:cs="宋体"/>
          <w:color w:val="auto"/>
          <w:spacing w:val="-4"/>
          <w:sz w:val="24"/>
          <w:szCs w:val="24"/>
          <w:highlight w:val="none"/>
        </w:rPr>
        <w:t>开运</w:t>
      </w:r>
      <w:r>
        <w:rPr>
          <w:rFonts w:ascii="宋体" w:hAnsi="宋体" w:eastAsia="宋体" w:cs="宋体"/>
          <w:color w:val="auto"/>
          <w:spacing w:val="-3"/>
          <w:sz w:val="24"/>
          <w:szCs w:val="24"/>
          <w:highlight w:val="none"/>
        </w:rPr>
        <w:t>营维护及污染物排放等信息，合理设置与抗风险能力相匹配的事故调蓄设施和环</w:t>
      </w:r>
      <w:r>
        <w:rPr>
          <w:rFonts w:ascii="宋体" w:hAnsi="宋体" w:eastAsia="宋体" w:cs="宋体"/>
          <w:color w:val="auto"/>
          <w:spacing w:val="-8"/>
          <w:sz w:val="24"/>
          <w:szCs w:val="24"/>
          <w:highlight w:val="none"/>
        </w:rPr>
        <w:t>境应急措施，各重点企业及污水集中处理厂均设置事故应急池，并建立应急预案，</w:t>
      </w:r>
      <w:r>
        <w:rPr>
          <w:rFonts w:ascii="宋体" w:hAnsi="宋体" w:eastAsia="宋体" w:cs="宋体"/>
          <w:color w:val="auto"/>
          <w:spacing w:val="-1"/>
          <w:sz w:val="24"/>
          <w:szCs w:val="24"/>
          <w:highlight w:val="none"/>
        </w:rPr>
        <w:t>发现进水异常，可能导致污水处理系统受损和出水超标时，立即启动</w:t>
      </w:r>
      <w:r>
        <w:rPr>
          <w:rFonts w:ascii="宋体" w:hAnsi="宋体" w:eastAsia="宋体" w:cs="宋体"/>
          <w:color w:val="auto"/>
          <w:spacing w:val="-2"/>
          <w:sz w:val="24"/>
          <w:szCs w:val="24"/>
          <w:highlight w:val="none"/>
        </w:rPr>
        <w:t>应急预案，</w:t>
      </w:r>
      <w:r>
        <w:rPr>
          <w:rFonts w:ascii="宋体" w:hAnsi="宋体" w:eastAsia="宋体" w:cs="宋体"/>
          <w:color w:val="auto"/>
          <w:spacing w:val="-3"/>
          <w:sz w:val="24"/>
          <w:szCs w:val="24"/>
          <w:highlight w:val="none"/>
        </w:rPr>
        <w:t>并向生态环境部门及相关主管部门报告。</w:t>
      </w:r>
      <w:bookmarkEnd w:id="1860"/>
    </w:p>
    <w:p w14:paraId="2830F322">
      <w:pPr>
        <w:spacing w:before="32" w:line="220" w:lineRule="auto"/>
        <w:rPr>
          <w:rFonts w:ascii="宋体" w:hAnsi="宋体" w:eastAsia="宋体" w:cs="宋体"/>
          <w:color w:val="auto"/>
          <w:sz w:val="24"/>
          <w:szCs w:val="24"/>
          <w:highlight w:val="none"/>
        </w:rPr>
      </w:pPr>
      <w:r>
        <w:rPr>
          <w:rFonts w:ascii="宋体" w:hAnsi="宋体" w:eastAsia="宋体" w:cs="宋体"/>
          <w:b/>
          <w:bCs/>
          <w:color w:val="auto"/>
          <w:spacing w:val="-4"/>
          <w:sz w:val="24"/>
          <w:szCs w:val="24"/>
          <w:highlight w:val="none"/>
        </w:rPr>
        <w:t>（</w:t>
      </w:r>
      <w:r>
        <w:rPr>
          <w:rFonts w:ascii="Times New Roman" w:hAnsi="Times New Roman" w:eastAsia="Times New Roman" w:cs="Times New Roman"/>
          <w:b/>
          <w:bCs/>
          <w:color w:val="auto"/>
          <w:spacing w:val="-4"/>
          <w:sz w:val="24"/>
          <w:szCs w:val="24"/>
          <w:highlight w:val="none"/>
        </w:rPr>
        <w:t>3</w:t>
      </w:r>
      <w:r>
        <w:rPr>
          <w:rFonts w:ascii="宋体" w:hAnsi="宋体" w:eastAsia="宋体" w:cs="宋体"/>
          <w:b/>
          <w:bCs/>
          <w:color w:val="auto"/>
          <w:spacing w:val="-4"/>
          <w:sz w:val="24"/>
          <w:szCs w:val="24"/>
          <w:highlight w:val="none"/>
        </w:rPr>
        <w:t>）固体废弃物</w:t>
      </w:r>
      <w:bookmarkStart w:id="1861" w:name="pindex13104"/>
      <w:bookmarkEnd w:id="1861"/>
    </w:p>
    <w:p w14:paraId="36EF6F40">
      <w:pPr>
        <w:spacing w:before="181" w:line="355" w:lineRule="auto"/>
        <w:ind w:left="37" w:right="91" w:firstLine="480"/>
        <w:jc w:val="both"/>
        <w:rPr>
          <w:rFonts w:ascii="宋体" w:hAnsi="宋体" w:eastAsia="宋体" w:cs="宋体"/>
          <w:color w:val="auto"/>
          <w:sz w:val="24"/>
          <w:szCs w:val="24"/>
          <w:highlight w:val="none"/>
        </w:rPr>
      </w:pPr>
      <w:r>
        <w:rPr>
          <w:rFonts w:ascii="宋体" w:hAnsi="宋体" w:eastAsia="宋体" w:cs="宋体"/>
          <w:color w:val="auto"/>
          <w:spacing w:val="-5"/>
          <w:sz w:val="24"/>
          <w:szCs w:val="24"/>
          <w:highlight w:val="none"/>
        </w:rPr>
        <w:t>通过收集整理开发区片区</w:t>
      </w:r>
      <w:r>
        <w:rPr>
          <w:rFonts w:hint="eastAsia" w:ascii="宋体" w:hAnsi="宋体" w:eastAsia="宋体" w:cs="宋体"/>
          <w:color w:val="auto"/>
          <w:spacing w:val="-5"/>
          <w:sz w:val="24"/>
          <w:szCs w:val="24"/>
          <w:highlight w:val="none"/>
          <w:lang w:val="en-US" w:eastAsia="zh-CN"/>
        </w:rPr>
        <w:t>环统数据、</w:t>
      </w:r>
      <w:r>
        <w:rPr>
          <w:rFonts w:ascii="宋体" w:hAnsi="宋体" w:eastAsia="宋体" w:cs="宋体"/>
          <w:color w:val="auto"/>
          <w:spacing w:val="-5"/>
          <w:sz w:val="24"/>
          <w:szCs w:val="24"/>
          <w:highlight w:val="none"/>
        </w:rPr>
        <w:t>排污许可数据、环</w:t>
      </w:r>
      <w:r>
        <w:rPr>
          <w:rFonts w:ascii="宋体" w:hAnsi="宋体" w:eastAsia="宋体" w:cs="宋体"/>
          <w:color w:val="auto"/>
          <w:spacing w:val="-6"/>
          <w:sz w:val="24"/>
          <w:szCs w:val="24"/>
          <w:highlight w:val="none"/>
        </w:rPr>
        <w:t>评数据</w:t>
      </w:r>
      <w:r>
        <w:rPr>
          <w:rFonts w:hint="eastAsia" w:ascii="宋体" w:hAnsi="宋体" w:eastAsia="宋体" w:cs="宋体"/>
          <w:color w:val="auto"/>
          <w:spacing w:val="-6"/>
          <w:sz w:val="24"/>
          <w:szCs w:val="24"/>
          <w:highlight w:val="none"/>
          <w:lang w:val="en-US" w:eastAsia="zh-CN"/>
        </w:rPr>
        <w:t>以及第二次全国污染源数据</w:t>
      </w:r>
      <w:r>
        <w:rPr>
          <w:rFonts w:ascii="宋体" w:hAnsi="宋体" w:eastAsia="宋体" w:cs="宋体"/>
          <w:color w:val="auto"/>
          <w:spacing w:val="-6"/>
          <w:sz w:val="24"/>
          <w:szCs w:val="24"/>
          <w:highlight w:val="none"/>
        </w:rPr>
        <w:t>等，</w:t>
      </w:r>
      <w:r>
        <w:rPr>
          <w:rFonts w:hint="eastAsia" w:ascii="宋体" w:hAnsi="宋体" w:eastAsia="宋体" w:cs="宋体"/>
          <w:color w:val="auto"/>
          <w:spacing w:val="-6"/>
          <w:sz w:val="24"/>
          <w:szCs w:val="24"/>
          <w:highlight w:val="none"/>
          <w:lang w:val="en-US" w:eastAsia="zh-CN"/>
        </w:rPr>
        <w:t>开发区</w:t>
      </w:r>
      <w:r>
        <w:rPr>
          <w:rFonts w:ascii="宋体" w:hAnsi="宋体" w:eastAsia="宋体" w:cs="宋体"/>
          <w:color w:val="auto"/>
          <w:spacing w:val="-6"/>
          <w:sz w:val="24"/>
          <w:szCs w:val="24"/>
          <w:highlight w:val="none"/>
        </w:rPr>
        <w:t>一般工业固废产生量约</w:t>
      </w:r>
      <w:r>
        <w:rPr>
          <w:rFonts w:hint="eastAsia" w:ascii="Times New Roman" w:hAnsi="Times New Roman" w:eastAsia="宋体" w:cs="Times New Roman"/>
          <w:color w:val="auto"/>
          <w:spacing w:val="-6"/>
          <w:sz w:val="24"/>
          <w:szCs w:val="24"/>
          <w:highlight w:val="none"/>
          <w:lang w:val="en-US" w:eastAsia="zh-CN"/>
        </w:rPr>
        <w:t>8.69</w:t>
      </w:r>
      <w:r>
        <w:rPr>
          <w:rFonts w:ascii="宋体" w:hAnsi="宋体" w:eastAsia="宋体" w:cs="宋体"/>
          <w:color w:val="auto"/>
          <w:spacing w:val="-6"/>
          <w:sz w:val="24"/>
          <w:szCs w:val="24"/>
          <w:highlight w:val="none"/>
        </w:rPr>
        <w:t>万</w:t>
      </w:r>
      <w:r>
        <w:rPr>
          <w:rFonts w:ascii="Times New Roman" w:hAnsi="Times New Roman" w:eastAsia="Times New Roman" w:cs="Times New Roman"/>
          <w:color w:val="auto"/>
          <w:spacing w:val="-6"/>
          <w:sz w:val="24"/>
          <w:szCs w:val="24"/>
          <w:highlight w:val="none"/>
        </w:rPr>
        <w:t>t/a</w:t>
      </w:r>
      <w:r>
        <w:rPr>
          <w:rFonts w:ascii="宋体" w:hAnsi="宋体" w:eastAsia="宋体" w:cs="宋体"/>
          <w:color w:val="auto"/>
          <w:spacing w:val="-6"/>
          <w:sz w:val="24"/>
          <w:szCs w:val="24"/>
          <w:highlight w:val="none"/>
        </w:rPr>
        <w:t>，产生的一般工业固废主要包括废金属、废</w:t>
      </w:r>
      <w:r>
        <w:rPr>
          <w:rFonts w:ascii="宋体" w:hAnsi="宋体" w:eastAsia="宋体" w:cs="宋体"/>
          <w:color w:val="auto"/>
          <w:spacing w:val="-7"/>
          <w:sz w:val="24"/>
          <w:szCs w:val="24"/>
          <w:highlight w:val="none"/>
        </w:rPr>
        <w:t>包装材料、污泥等，一</w:t>
      </w:r>
      <w:r>
        <w:rPr>
          <w:rFonts w:ascii="宋体" w:hAnsi="宋体" w:eastAsia="宋体" w:cs="宋体"/>
          <w:color w:val="auto"/>
          <w:sz w:val="24"/>
          <w:szCs w:val="24"/>
          <w:highlight w:val="none"/>
        </w:rPr>
        <w:t>般工业固废处置去向为</w:t>
      </w:r>
      <w:r>
        <w:rPr>
          <w:rFonts w:hint="eastAsia" w:ascii="宋体" w:hAnsi="宋体" w:eastAsia="宋体" w:cs="宋体"/>
          <w:color w:val="auto"/>
          <w:sz w:val="24"/>
          <w:szCs w:val="24"/>
          <w:highlight w:val="none"/>
          <w:lang w:val="en-US" w:eastAsia="zh-CN"/>
        </w:rPr>
        <w:t>综合利用、焚烧填埋等</w:t>
      </w:r>
      <w:r>
        <w:rPr>
          <w:rFonts w:ascii="宋体" w:hAnsi="宋体" w:eastAsia="宋体" w:cs="宋体"/>
          <w:color w:val="auto"/>
          <w:sz w:val="24"/>
          <w:szCs w:val="24"/>
          <w:highlight w:val="none"/>
        </w:rPr>
        <w:t>安全处置方式。</w:t>
      </w:r>
      <w:r>
        <w:rPr>
          <w:rFonts w:hint="eastAsia" w:ascii="宋体" w:hAnsi="宋体" w:eastAsia="宋体" w:cs="宋体"/>
          <w:color w:val="auto"/>
          <w:sz w:val="24"/>
          <w:szCs w:val="24"/>
          <w:highlight w:val="none"/>
          <w:lang w:val="en-US" w:eastAsia="zh-CN"/>
        </w:rPr>
        <w:t>开发区</w:t>
      </w:r>
      <w:r>
        <w:rPr>
          <w:rFonts w:ascii="宋体" w:hAnsi="宋体" w:eastAsia="宋体" w:cs="宋体"/>
          <w:color w:val="auto"/>
          <w:sz w:val="24"/>
          <w:szCs w:val="24"/>
          <w:highlight w:val="none"/>
        </w:rPr>
        <w:t>危险废物产生量为</w:t>
      </w:r>
      <w:r>
        <w:rPr>
          <w:rFonts w:hint="eastAsia" w:ascii="Times New Roman" w:hAnsi="Times New Roman" w:eastAsia="宋体" w:cs="Times New Roman"/>
          <w:color w:val="auto"/>
          <w:sz w:val="24"/>
          <w:szCs w:val="24"/>
          <w:highlight w:val="none"/>
          <w:lang w:val="en-US" w:eastAsia="zh-CN"/>
        </w:rPr>
        <w:t>0.9179万</w:t>
      </w:r>
      <w:r>
        <w:rPr>
          <w:rFonts w:ascii="Times New Roman" w:hAnsi="Times New Roman" w:eastAsia="Times New Roman" w:cs="Times New Roman"/>
          <w:color w:val="auto"/>
          <w:sz w:val="24"/>
          <w:szCs w:val="24"/>
          <w:highlight w:val="none"/>
        </w:rPr>
        <w:t>t/a</w:t>
      </w:r>
      <w:r>
        <w:rPr>
          <w:rFonts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其中以绿色智能汽车产业、装备制造（含高端智能装备）、电子信息产业危废产生量较大，详见</w:t>
      </w:r>
      <w:r>
        <w:rPr>
          <w:rFonts w:hint="default" w:ascii="Times New Roman" w:hAnsi="Times New Roman" w:eastAsia="宋体" w:cs="Times New Roman"/>
          <w:color w:val="auto"/>
          <w:sz w:val="24"/>
          <w:szCs w:val="24"/>
          <w:highlight w:val="none"/>
          <w:lang w:val="en-US" w:eastAsia="zh-CN"/>
        </w:rPr>
        <w:t>图6.5-6</w:t>
      </w:r>
      <w:r>
        <w:rPr>
          <w:rFonts w:hint="eastAsia" w:ascii="宋体" w:hAnsi="宋体" w:eastAsia="宋体" w:cs="宋体"/>
          <w:color w:val="auto"/>
          <w:sz w:val="24"/>
          <w:szCs w:val="24"/>
          <w:highlight w:val="none"/>
          <w:lang w:val="en-US" w:eastAsia="zh-CN"/>
        </w:rPr>
        <w:t>。</w:t>
      </w:r>
      <w:r>
        <w:rPr>
          <w:rFonts w:hint="eastAsia" w:ascii="宋体" w:hAnsi="宋体" w:eastAsia="宋体" w:cs="宋体"/>
          <w:color w:val="auto"/>
          <w:sz w:val="24"/>
          <w:szCs w:val="24"/>
          <w:lang w:val="en-US" w:eastAsia="zh-CN"/>
        </w:rPr>
        <w:t>各企业危废均委托有资质单位处置，安全处置率</w:t>
      </w:r>
      <w:r>
        <w:rPr>
          <w:rFonts w:hint="default" w:ascii="Times New Roman" w:hAnsi="Times New Roman" w:eastAsia="宋体" w:cs="Times New Roman"/>
          <w:color w:val="auto"/>
          <w:sz w:val="24"/>
          <w:szCs w:val="24"/>
          <w:lang w:val="en-US" w:eastAsia="zh-CN"/>
        </w:rPr>
        <w:t>100%，</w:t>
      </w:r>
      <w:r>
        <w:rPr>
          <w:rFonts w:hint="eastAsia" w:ascii="宋体" w:hAnsi="宋体" w:eastAsia="宋体" w:cs="宋体"/>
          <w:color w:val="auto"/>
          <w:sz w:val="24"/>
          <w:szCs w:val="24"/>
          <w:lang w:val="en-US" w:eastAsia="zh-CN"/>
        </w:rPr>
        <w:t>危险固废暂存均由相关企业按规定自行贮存。</w:t>
      </w:r>
    </w:p>
    <w:p w14:paraId="7BF75EAC">
      <w:pPr>
        <w:keepNext w:val="0"/>
        <w:keepLines w:val="0"/>
        <w:pageBreakBefore w:val="0"/>
        <w:widowControl/>
        <w:kinsoku w:val="0"/>
        <w:wordWrap/>
        <w:overflowPunct/>
        <w:topLinePunct w:val="0"/>
        <w:autoSpaceDE w:val="0"/>
        <w:autoSpaceDN w:val="0"/>
        <w:bidi w:val="0"/>
        <w:adjustRightInd w:val="0"/>
        <w:snapToGrid w:val="0"/>
        <w:spacing w:before="38" w:line="240" w:lineRule="auto"/>
        <w:jc w:val="center"/>
        <w:textAlignment w:val="baseline"/>
        <w:rPr>
          <w:rFonts w:ascii="宋体" w:hAnsi="宋体" w:eastAsia="宋体" w:cs="宋体"/>
          <w:b/>
          <w:bCs/>
          <w:color w:val="auto"/>
          <w:spacing w:val="-2"/>
          <w:sz w:val="24"/>
          <w:szCs w:val="24"/>
          <w:highlight w:val="none"/>
        </w:rPr>
      </w:pPr>
      <w:bookmarkStart w:id="1862" w:name="OLE_LINK1128"/>
      <w:r>
        <w:rPr>
          <w:rFonts w:ascii="宋体" w:hAnsi="宋体" w:eastAsia="宋体" w:cs="宋体"/>
          <w:b/>
          <w:bCs/>
          <w:color w:val="auto"/>
          <w:spacing w:val="-2"/>
          <w:sz w:val="24"/>
          <w:szCs w:val="24"/>
          <w:highlight w:val="none"/>
        </w:rPr>
        <w:t>表</w:t>
      </w:r>
      <w:r>
        <w:rPr>
          <w:rFonts w:ascii="Times New Roman" w:hAnsi="Times New Roman" w:eastAsia="Times New Roman" w:cs="Times New Roman"/>
          <w:b/>
          <w:bCs/>
          <w:color w:val="auto"/>
          <w:spacing w:val="-2"/>
          <w:sz w:val="24"/>
          <w:szCs w:val="24"/>
          <w:highlight w:val="none"/>
        </w:rPr>
        <w:t>6.5-</w:t>
      </w:r>
      <w:r>
        <w:rPr>
          <w:rFonts w:hint="eastAsia" w:ascii="Times New Roman" w:hAnsi="Times New Roman" w:eastAsia="宋体" w:cs="Times New Roman"/>
          <w:b/>
          <w:bCs/>
          <w:color w:val="auto"/>
          <w:spacing w:val="-2"/>
          <w:sz w:val="24"/>
          <w:szCs w:val="24"/>
          <w:highlight w:val="none"/>
          <w:lang w:val="en-US" w:eastAsia="zh-CN"/>
        </w:rPr>
        <w:t xml:space="preserve">6  </w:t>
      </w:r>
      <w:r>
        <w:rPr>
          <w:rFonts w:ascii="宋体" w:hAnsi="宋体" w:eastAsia="宋体" w:cs="宋体"/>
          <w:b/>
          <w:bCs/>
          <w:color w:val="auto"/>
          <w:spacing w:val="-2"/>
          <w:sz w:val="24"/>
          <w:szCs w:val="24"/>
          <w:highlight w:val="none"/>
        </w:rPr>
        <w:t>开发区各行业固废产生情况一览表（</w:t>
      </w:r>
      <w:r>
        <w:rPr>
          <w:rFonts w:ascii="Times New Roman" w:hAnsi="Times New Roman" w:eastAsia="Times New Roman" w:cs="Times New Roman"/>
          <w:b/>
          <w:bCs/>
          <w:color w:val="auto"/>
          <w:spacing w:val="-2"/>
          <w:sz w:val="24"/>
          <w:szCs w:val="24"/>
          <w:highlight w:val="none"/>
        </w:rPr>
        <w:t>t/a</w:t>
      </w:r>
      <w:r>
        <w:rPr>
          <w:rFonts w:ascii="宋体" w:hAnsi="宋体" w:eastAsia="宋体" w:cs="宋体"/>
          <w:b/>
          <w:bCs/>
          <w:color w:val="auto"/>
          <w:spacing w:val="-2"/>
          <w:sz w:val="24"/>
          <w:szCs w:val="24"/>
          <w:highlight w:val="none"/>
        </w:rPr>
        <w:t>）</w:t>
      </w:r>
      <w:bookmarkStart w:id="1863" w:name="pindex13106"/>
      <w:bookmarkEnd w:id="1863"/>
    </w:p>
    <w:bookmarkEnd w:id="1862"/>
    <w:tbl>
      <w:tblPr>
        <w:tblStyle w:val="2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51"/>
        <w:gridCol w:w="2910"/>
        <w:gridCol w:w="2722"/>
      </w:tblGrid>
      <w:tr w14:paraId="23DBED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951" w:type="dxa"/>
            <w:tcBorders>
              <w:tl2br w:val="nil"/>
              <w:tr2bl w:val="nil"/>
            </w:tcBorders>
            <w:vAlign w:val="center"/>
          </w:tcPr>
          <w:p w14:paraId="15887782">
            <w:pPr>
              <w:pStyle w:val="27"/>
              <w:widowControl w:val="0"/>
              <w:spacing w:before="90" w:line="221" w:lineRule="auto"/>
              <w:jc w:val="center"/>
              <w:rPr>
                <w:rFonts w:ascii="宋体" w:hAnsi="宋体" w:eastAsia="宋体" w:cs="宋体"/>
                <w:snapToGrid w:val="0"/>
                <w:color w:val="auto"/>
                <w:kern w:val="0"/>
                <w:sz w:val="21"/>
                <w:szCs w:val="21"/>
                <w:lang w:val="en-US" w:eastAsia="en-US" w:bidi="ar-SA"/>
              </w:rPr>
            </w:pPr>
            <w:r>
              <w:rPr>
                <w:b/>
                <w:bCs/>
                <w:color w:val="auto"/>
                <w:spacing w:val="-3"/>
                <w:sz w:val="21"/>
                <w:szCs w:val="21"/>
              </w:rPr>
              <w:t>产业类别</w:t>
            </w:r>
          </w:p>
        </w:tc>
        <w:tc>
          <w:tcPr>
            <w:tcW w:w="2910" w:type="dxa"/>
            <w:tcBorders>
              <w:tl2br w:val="nil"/>
              <w:tr2bl w:val="nil"/>
            </w:tcBorders>
            <w:vAlign w:val="center"/>
          </w:tcPr>
          <w:p w14:paraId="5CA20863">
            <w:pPr>
              <w:pStyle w:val="27"/>
              <w:widowControl w:val="0"/>
              <w:spacing w:before="91" w:line="221" w:lineRule="auto"/>
              <w:jc w:val="center"/>
              <w:rPr>
                <w:rFonts w:ascii="宋体" w:hAnsi="宋体" w:eastAsia="宋体" w:cs="宋体"/>
                <w:snapToGrid w:val="0"/>
                <w:color w:val="auto"/>
                <w:kern w:val="0"/>
                <w:sz w:val="21"/>
                <w:szCs w:val="21"/>
                <w:lang w:val="en-US" w:eastAsia="en-US" w:bidi="ar-SA"/>
              </w:rPr>
            </w:pPr>
            <w:r>
              <w:rPr>
                <w:b/>
                <w:bCs/>
                <w:color w:val="auto"/>
                <w:spacing w:val="-4"/>
                <w:sz w:val="21"/>
                <w:szCs w:val="21"/>
              </w:rPr>
              <w:t>一般固废</w:t>
            </w:r>
          </w:p>
        </w:tc>
        <w:tc>
          <w:tcPr>
            <w:tcW w:w="2722" w:type="dxa"/>
            <w:tcBorders>
              <w:tl2br w:val="nil"/>
              <w:tr2bl w:val="nil"/>
            </w:tcBorders>
            <w:vAlign w:val="center"/>
          </w:tcPr>
          <w:p w14:paraId="1B15760E">
            <w:pPr>
              <w:pStyle w:val="27"/>
              <w:widowControl w:val="0"/>
              <w:spacing w:before="91" w:line="221" w:lineRule="auto"/>
              <w:jc w:val="center"/>
              <w:rPr>
                <w:rFonts w:ascii="宋体" w:hAnsi="宋体" w:eastAsia="宋体" w:cs="宋体"/>
                <w:snapToGrid w:val="0"/>
                <w:color w:val="auto"/>
                <w:kern w:val="0"/>
                <w:sz w:val="21"/>
                <w:szCs w:val="21"/>
                <w:lang w:val="en-US" w:eastAsia="en-US" w:bidi="ar-SA"/>
              </w:rPr>
            </w:pPr>
            <w:r>
              <w:rPr>
                <w:b/>
                <w:bCs/>
                <w:color w:val="auto"/>
                <w:spacing w:val="-4"/>
                <w:sz w:val="21"/>
                <w:szCs w:val="21"/>
              </w:rPr>
              <w:t>危险固废</w:t>
            </w:r>
          </w:p>
        </w:tc>
      </w:tr>
      <w:tr w14:paraId="169526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7C8FCDAE">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食品制造业</w:t>
            </w:r>
          </w:p>
        </w:tc>
        <w:tc>
          <w:tcPr>
            <w:tcW w:w="2910" w:type="dxa"/>
            <w:tcBorders>
              <w:tl2br w:val="nil"/>
              <w:tr2bl w:val="nil"/>
            </w:tcBorders>
            <w:vAlign w:val="center"/>
          </w:tcPr>
          <w:p w14:paraId="53BA4650">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584.69</w:t>
            </w:r>
          </w:p>
        </w:tc>
        <w:tc>
          <w:tcPr>
            <w:tcW w:w="2722" w:type="dxa"/>
            <w:tcBorders>
              <w:tl2br w:val="nil"/>
              <w:tr2bl w:val="nil"/>
            </w:tcBorders>
            <w:vAlign w:val="center"/>
          </w:tcPr>
          <w:p w14:paraId="2204E5C0">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13.7025 </w:t>
            </w:r>
          </w:p>
        </w:tc>
      </w:tr>
      <w:tr w14:paraId="40E238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42740B67">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酒、饮料和精制茶制造业</w:t>
            </w:r>
          </w:p>
        </w:tc>
        <w:tc>
          <w:tcPr>
            <w:tcW w:w="2910" w:type="dxa"/>
            <w:tcBorders>
              <w:tl2br w:val="nil"/>
              <w:tr2bl w:val="nil"/>
            </w:tcBorders>
            <w:vAlign w:val="center"/>
          </w:tcPr>
          <w:p w14:paraId="4C369728">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53</w:t>
            </w:r>
          </w:p>
        </w:tc>
        <w:tc>
          <w:tcPr>
            <w:tcW w:w="2722" w:type="dxa"/>
            <w:tcBorders>
              <w:tl2br w:val="nil"/>
              <w:tr2bl w:val="nil"/>
            </w:tcBorders>
            <w:vAlign w:val="center"/>
          </w:tcPr>
          <w:p w14:paraId="4F4CCB09">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0.0743 </w:t>
            </w:r>
          </w:p>
        </w:tc>
      </w:tr>
      <w:tr w14:paraId="614AEA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687D06C6">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纺织业</w:t>
            </w:r>
          </w:p>
        </w:tc>
        <w:tc>
          <w:tcPr>
            <w:tcW w:w="2910" w:type="dxa"/>
            <w:tcBorders>
              <w:tl2br w:val="nil"/>
              <w:tr2bl w:val="nil"/>
            </w:tcBorders>
            <w:vAlign w:val="center"/>
          </w:tcPr>
          <w:p w14:paraId="5A68A056">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w:t>
            </w:r>
          </w:p>
        </w:tc>
        <w:tc>
          <w:tcPr>
            <w:tcW w:w="2722" w:type="dxa"/>
            <w:tcBorders>
              <w:tl2br w:val="nil"/>
              <w:tr2bl w:val="nil"/>
            </w:tcBorders>
            <w:vAlign w:val="center"/>
          </w:tcPr>
          <w:p w14:paraId="4C29271D">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50.9490</w:t>
            </w:r>
          </w:p>
        </w:tc>
      </w:tr>
      <w:tr w14:paraId="034128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6F757D7C">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纺织服装、服饰业</w:t>
            </w:r>
          </w:p>
        </w:tc>
        <w:tc>
          <w:tcPr>
            <w:tcW w:w="2910" w:type="dxa"/>
            <w:tcBorders>
              <w:tl2br w:val="nil"/>
              <w:tr2bl w:val="nil"/>
            </w:tcBorders>
            <w:vAlign w:val="center"/>
          </w:tcPr>
          <w:p w14:paraId="20D86323">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15</w:t>
            </w:r>
          </w:p>
        </w:tc>
        <w:tc>
          <w:tcPr>
            <w:tcW w:w="2722" w:type="dxa"/>
            <w:tcBorders>
              <w:tl2br w:val="nil"/>
              <w:tr2bl w:val="nil"/>
            </w:tcBorders>
            <w:vAlign w:val="center"/>
          </w:tcPr>
          <w:p w14:paraId="3234EEC9">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9.0763 </w:t>
            </w:r>
          </w:p>
        </w:tc>
      </w:tr>
      <w:tr w14:paraId="062694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57C627AA">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造纸和纸制品业</w:t>
            </w:r>
          </w:p>
        </w:tc>
        <w:tc>
          <w:tcPr>
            <w:tcW w:w="2910" w:type="dxa"/>
            <w:tcBorders>
              <w:tl2br w:val="nil"/>
              <w:tr2bl w:val="nil"/>
            </w:tcBorders>
            <w:vAlign w:val="center"/>
          </w:tcPr>
          <w:p w14:paraId="18A71178">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34.1</w:t>
            </w:r>
          </w:p>
        </w:tc>
        <w:tc>
          <w:tcPr>
            <w:tcW w:w="2722" w:type="dxa"/>
            <w:tcBorders>
              <w:tl2br w:val="nil"/>
              <w:tr2bl w:val="nil"/>
            </w:tcBorders>
            <w:vAlign w:val="center"/>
          </w:tcPr>
          <w:p w14:paraId="58F8A844">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3.55</w:t>
            </w:r>
          </w:p>
        </w:tc>
      </w:tr>
      <w:tr w14:paraId="606044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7B835CC3">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SA"/>
              </w:rPr>
            </w:pPr>
            <w:r>
              <w:rPr>
                <w:rFonts w:hint="eastAsia" w:ascii="宋体" w:hAnsi="宋体" w:eastAsia="宋体" w:cs="宋体"/>
                <w:i w:val="0"/>
                <w:iCs w:val="0"/>
                <w:snapToGrid w:val="0"/>
                <w:color w:val="auto"/>
                <w:kern w:val="0"/>
                <w:sz w:val="21"/>
                <w:szCs w:val="21"/>
                <w:u w:val="none"/>
                <w:lang w:val="en-US" w:eastAsia="zh-CN" w:bidi="ar"/>
              </w:rPr>
              <w:t>印刷和记录媒介复制业</w:t>
            </w:r>
          </w:p>
        </w:tc>
        <w:tc>
          <w:tcPr>
            <w:tcW w:w="2910" w:type="dxa"/>
            <w:tcBorders>
              <w:tl2br w:val="nil"/>
              <w:tr2bl w:val="nil"/>
            </w:tcBorders>
            <w:vAlign w:val="center"/>
          </w:tcPr>
          <w:p w14:paraId="71AB6A88">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1028.72</w:t>
            </w:r>
          </w:p>
        </w:tc>
        <w:tc>
          <w:tcPr>
            <w:tcW w:w="2722" w:type="dxa"/>
            <w:tcBorders>
              <w:tl2br w:val="nil"/>
              <w:tr2bl w:val="nil"/>
            </w:tcBorders>
            <w:vAlign w:val="center"/>
          </w:tcPr>
          <w:p w14:paraId="296906BB">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36.365</w:t>
            </w:r>
          </w:p>
        </w:tc>
      </w:tr>
      <w:tr w14:paraId="37CAD9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4CF6EDC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生物医药业</w:t>
            </w:r>
          </w:p>
        </w:tc>
        <w:tc>
          <w:tcPr>
            <w:tcW w:w="2910" w:type="dxa"/>
            <w:tcBorders>
              <w:tl2br w:val="nil"/>
              <w:tr2bl w:val="nil"/>
            </w:tcBorders>
            <w:vAlign w:val="center"/>
          </w:tcPr>
          <w:p w14:paraId="63F3DB76">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1266.1560</w:t>
            </w:r>
          </w:p>
        </w:tc>
        <w:tc>
          <w:tcPr>
            <w:tcW w:w="2722" w:type="dxa"/>
            <w:tcBorders>
              <w:tl2br w:val="nil"/>
              <w:tr2bl w:val="nil"/>
            </w:tcBorders>
            <w:vAlign w:val="center"/>
          </w:tcPr>
          <w:p w14:paraId="5F0F16A8">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164.705</w:t>
            </w:r>
          </w:p>
        </w:tc>
      </w:tr>
      <w:tr w14:paraId="70A0E7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42867C5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橡胶和塑料制品业</w:t>
            </w:r>
          </w:p>
        </w:tc>
        <w:tc>
          <w:tcPr>
            <w:tcW w:w="2910" w:type="dxa"/>
            <w:tcBorders>
              <w:tl2br w:val="nil"/>
              <w:tr2bl w:val="nil"/>
            </w:tcBorders>
            <w:vAlign w:val="center"/>
          </w:tcPr>
          <w:p w14:paraId="57E4F535">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3318.06</w:t>
            </w:r>
          </w:p>
        </w:tc>
        <w:tc>
          <w:tcPr>
            <w:tcW w:w="2722" w:type="dxa"/>
            <w:tcBorders>
              <w:tl2br w:val="nil"/>
              <w:tr2bl w:val="nil"/>
            </w:tcBorders>
            <w:vAlign w:val="center"/>
          </w:tcPr>
          <w:p w14:paraId="76048A6C">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76.005</w:t>
            </w:r>
          </w:p>
        </w:tc>
      </w:tr>
      <w:tr w14:paraId="586395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32142025">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非金属矿物制品业</w:t>
            </w:r>
          </w:p>
        </w:tc>
        <w:tc>
          <w:tcPr>
            <w:tcW w:w="2910" w:type="dxa"/>
            <w:tcBorders>
              <w:tl2br w:val="nil"/>
              <w:tr2bl w:val="nil"/>
            </w:tcBorders>
            <w:vAlign w:val="center"/>
          </w:tcPr>
          <w:p w14:paraId="10D5148B">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0.5</w:t>
            </w:r>
          </w:p>
        </w:tc>
        <w:tc>
          <w:tcPr>
            <w:tcW w:w="2722" w:type="dxa"/>
            <w:tcBorders>
              <w:tl2br w:val="nil"/>
              <w:tr2bl w:val="nil"/>
            </w:tcBorders>
            <w:vAlign w:val="center"/>
          </w:tcPr>
          <w:p w14:paraId="7F119073">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0</w:t>
            </w:r>
          </w:p>
        </w:tc>
      </w:tr>
      <w:tr w14:paraId="58636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57B96EA8">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有色金属冶炼和压延加工业</w:t>
            </w:r>
          </w:p>
        </w:tc>
        <w:tc>
          <w:tcPr>
            <w:tcW w:w="2910" w:type="dxa"/>
            <w:tcBorders>
              <w:tl2br w:val="nil"/>
              <w:tr2bl w:val="nil"/>
            </w:tcBorders>
            <w:vAlign w:val="center"/>
          </w:tcPr>
          <w:p w14:paraId="5CCE3F51">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4.77 </w:t>
            </w:r>
          </w:p>
        </w:tc>
        <w:tc>
          <w:tcPr>
            <w:tcW w:w="2722" w:type="dxa"/>
            <w:tcBorders>
              <w:tl2br w:val="nil"/>
              <w:tr2bl w:val="nil"/>
            </w:tcBorders>
            <w:vAlign w:val="center"/>
          </w:tcPr>
          <w:p w14:paraId="4294C9AD">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48.275</w:t>
            </w:r>
          </w:p>
        </w:tc>
      </w:tr>
      <w:tr w14:paraId="30E3C9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09B04CE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金属制品业</w:t>
            </w:r>
          </w:p>
        </w:tc>
        <w:tc>
          <w:tcPr>
            <w:tcW w:w="2910" w:type="dxa"/>
            <w:tcBorders>
              <w:tl2br w:val="nil"/>
              <w:tr2bl w:val="nil"/>
            </w:tcBorders>
            <w:vAlign w:val="center"/>
          </w:tcPr>
          <w:p w14:paraId="519FD391">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24.092</w:t>
            </w:r>
          </w:p>
        </w:tc>
        <w:tc>
          <w:tcPr>
            <w:tcW w:w="2722" w:type="dxa"/>
            <w:tcBorders>
              <w:tl2br w:val="nil"/>
              <w:tr2bl w:val="nil"/>
            </w:tcBorders>
            <w:vAlign w:val="center"/>
          </w:tcPr>
          <w:p w14:paraId="2A21BF51">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33.5242 </w:t>
            </w:r>
          </w:p>
        </w:tc>
      </w:tr>
      <w:tr w14:paraId="0FD7B8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613D74D4">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通用设备制造业</w:t>
            </w:r>
          </w:p>
        </w:tc>
        <w:tc>
          <w:tcPr>
            <w:tcW w:w="2910" w:type="dxa"/>
            <w:tcBorders>
              <w:tl2br w:val="nil"/>
              <w:tr2bl w:val="nil"/>
            </w:tcBorders>
            <w:vAlign w:val="center"/>
          </w:tcPr>
          <w:p w14:paraId="184F6ED3">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308.9</w:t>
            </w:r>
          </w:p>
        </w:tc>
        <w:tc>
          <w:tcPr>
            <w:tcW w:w="2722" w:type="dxa"/>
            <w:tcBorders>
              <w:tl2br w:val="nil"/>
              <w:tr2bl w:val="nil"/>
            </w:tcBorders>
            <w:vAlign w:val="center"/>
          </w:tcPr>
          <w:p w14:paraId="50A42157">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268.442</w:t>
            </w:r>
          </w:p>
        </w:tc>
      </w:tr>
      <w:tr w14:paraId="55837C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262AAE53">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专用设备制造业</w:t>
            </w:r>
          </w:p>
        </w:tc>
        <w:tc>
          <w:tcPr>
            <w:tcW w:w="2910" w:type="dxa"/>
            <w:tcBorders>
              <w:tl2br w:val="nil"/>
              <w:tr2bl w:val="nil"/>
            </w:tcBorders>
            <w:vAlign w:val="center"/>
          </w:tcPr>
          <w:p w14:paraId="0A991FB4">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lang w:val="en-US"/>
              </w:rPr>
            </w:pPr>
            <w:r>
              <w:rPr>
                <w:rFonts w:hint="default" w:ascii="Times New Roman" w:hAnsi="Times New Roman" w:eastAsia="宋体" w:cs="Times New Roman"/>
                <w:i w:val="0"/>
                <w:iCs w:val="0"/>
                <w:snapToGrid w:val="0"/>
                <w:color w:val="auto"/>
                <w:kern w:val="0"/>
                <w:sz w:val="21"/>
                <w:szCs w:val="21"/>
                <w:u w:val="none"/>
                <w:lang w:val="en-US" w:eastAsia="zh-CN" w:bidi="ar"/>
              </w:rPr>
              <w:t>57</w:t>
            </w:r>
            <w:r>
              <w:rPr>
                <w:rFonts w:hint="eastAsia" w:ascii="Times New Roman" w:hAnsi="Times New Roman" w:eastAsia="宋体" w:cs="Times New Roman"/>
                <w:i w:val="0"/>
                <w:iCs w:val="0"/>
                <w:snapToGrid w:val="0"/>
                <w:color w:val="auto"/>
                <w:kern w:val="0"/>
                <w:sz w:val="21"/>
                <w:szCs w:val="21"/>
                <w:u w:val="none"/>
                <w:lang w:val="en-US" w:eastAsia="zh-CN" w:bidi="ar"/>
              </w:rPr>
              <w:t>31.057</w:t>
            </w:r>
          </w:p>
        </w:tc>
        <w:tc>
          <w:tcPr>
            <w:tcW w:w="2722" w:type="dxa"/>
            <w:tcBorders>
              <w:tl2br w:val="nil"/>
              <w:tr2bl w:val="nil"/>
            </w:tcBorders>
            <w:vAlign w:val="center"/>
          </w:tcPr>
          <w:p w14:paraId="02AC5036">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lang w:val="en-US"/>
              </w:rPr>
            </w:pPr>
            <w:r>
              <w:rPr>
                <w:rFonts w:hint="eastAsia" w:ascii="Times New Roman" w:hAnsi="Times New Roman" w:eastAsia="宋体" w:cs="Times New Roman"/>
                <w:i w:val="0"/>
                <w:iCs w:val="0"/>
                <w:snapToGrid w:val="0"/>
                <w:color w:val="auto"/>
                <w:kern w:val="0"/>
                <w:sz w:val="21"/>
                <w:szCs w:val="21"/>
                <w:u w:val="none"/>
                <w:lang w:val="en-US" w:eastAsia="zh-CN" w:bidi="ar"/>
              </w:rPr>
              <w:t>187.0341</w:t>
            </w:r>
          </w:p>
        </w:tc>
      </w:tr>
      <w:tr w14:paraId="2A31F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71C0F26F">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汽车制造业</w:t>
            </w:r>
          </w:p>
        </w:tc>
        <w:tc>
          <w:tcPr>
            <w:tcW w:w="2910" w:type="dxa"/>
            <w:tcBorders>
              <w:tl2br w:val="nil"/>
              <w:tr2bl w:val="nil"/>
            </w:tcBorders>
            <w:vAlign w:val="center"/>
          </w:tcPr>
          <w:p w14:paraId="3014F8FE">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59365.6911 </w:t>
            </w:r>
          </w:p>
        </w:tc>
        <w:tc>
          <w:tcPr>
            <w:tcW w:w="2722" w:type="dxa"/>
            <w:tcBorders>
              <w:tl2br w:val="nil"/>
              <w:tr2bl w:val="nil"/>
            </w:tcBorders>
            <w:vAlign w:val="center"/>
          </w:tcPr>
          <w:p w14:paraId="1524AE70">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5473.9258 </w:t>
            </w:r>
          </w:p>
        </w:tc>
      </w:tr>
      <w:tr w14:paraId="01747D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2A66F389">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铁路、船舶、航空航天和其他运输设备制造业</w:t>
            </w:r>
          </w:p>
        </w:tc>
        <w:tc>
          <w:tcPr>
            <w:tcW w:w="2910" w:type="dxa"/>
            <w:tcBorders>
              <w:tl2br w:val="nil"/>
              <w:tr2bl w:val="nil"/>
            </w:tcBorders>
            <w:vAlign w:val="center"/>
          </w:tcPr>
          <w:p w14:paraId="260286DF">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1.5</w:t>
            </w:r>
          </w:p>
        </w:tc>
        <w:tc>
          <w:tcPr>
            <w:tcW w:w="2722" w:type="dxa"/>
            <w:tcBorders>
              <w:tl2br w:val="nil"/>
              <w:tr2bl w:val="nil"/>
            </w:tcBorders>
            <w:vAlign w:val="center"/>
          </w:tcPr>
          <w:p w14:paraId="6E68BF0A">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621</w:t>
            </w:r>
          </w:p>
        </w:tc>
      </w:tr>
      <w:tr w14:paraId="0E3185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2951" w:type="dxa"/>
            <w:tcBorders>
              <w:tl2br w:val="nil"/>
              <w:tr2bl w:val="nil"/>
            </w:tcBorders>
            <w:shd w:val="clear" w:color="auto" w:fill="auto"/>
            <w:vAlign w:val="center"/>
          </w:tcPr>
          <w:p w14:paraId="0B4D8311">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SA"/>
              </w:rPr>
            </w:pPr>
            <w:r>
              <w:rPr>
                <w:rFonts w:hint="eastAsia" w:ascii="宋体" w:hAnsi="宋体" w:eastAsia="宋体" w:cs="宋体"/>
                <w:i w:val="0"/>
                <w:iCs w:val="0"/>
                <w:snapToGrid w:val="0"/>
                <w:color w:val="auto"/>
                <w:kern w:val="0"/>
                <w:sz w:val="21"/>
                <w:szCs w:val="21"/>
                <w:u w:val="none"/>
                <w:lang w:val="en-US" w:eastAsia="zh-CN" w:bidi="ar"/>
              </w:rPr>
              <w:t>电气机械和器材制造业</w:t>
            </w:r>
          </w:p>
        </w:tc>
        <w:tc>
          <w:tcPr>
            <w:tcW w:w="2910" w:type="dxa"/>
            <w:tcBorders>
              <w:tl2br w:val="nil"/>
              <w:tr2bl w:val="nil"/>
            </w:tcBorders>
            <w:vAlign w:val="center"/>
          </w:tcPr>
          <w:p w14:paraId="1764F21D">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326.023</w:t>
            </w:r>
          </w:p>
        </w:tc>
        <w:tc>
          <w:tcPr>
            <w:tcW w:w="2722" w:type="dxa"/>
            <w:tcBorders>
              <w:tl2br w:val="nil"/>
              <w:tr2bl w:val="nil"/>
            </w:tcBorders>
            <w:vAlign w:val="center"/>
          </w:tcPr>
          <w:p w14:paraId="0F433BF8">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116.3473 </w:t>
            </w:r>
          </w:p>
        </w:tc>
      </w:tr>
      <w:tr w14:paraId="58F639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22117662">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lang w:val="en-US" w:eastAsia="zh-CN" w:bidi="ar-SA"/>
              </w:rPr>
            </w:pPr>
            <w:r>
              <w:rPr>
                <w:rFonts w:hint="eastAsia" w:ascii="宋体" w:hAnsi="宋体" w:eastAsia="宋体" w:cs="宋体"/>
                <w:i w:val="0"/>
                <w:iCs w:val="0"/>
                <w:snapToGrid w:val="0"/>
                <w:color w:val="auto"/>
                <w:kern w:val="0"/>
                <w:sz w:val="21"/>
                <w:szCs w:val="21"/>
                <w:u w:val="none"/>
                <w:lang w:val="en-US" w:eastAsia="zh-CN" w:bidi="ar"/>
              </w:rPr>
              <w:t>计算机、通信和其他电子设备制造业</w:t>
            </w:r>
          </w:p>
        </w:tc>
        <w:tc>
          <w:tcPr>
            <w:tcW w:w="2910" w:type="dxa"/>
            <w:tcBorders>
              <w:tl2br w:val="nil"/>
              <w:tr2bl w:val="nil"/>
            </w:tcBorders>
            <w:vAlign w:val="center"/>
          </w:tcPr>
          <w:p w14:paraId="60A900A4">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330</w:t>
            </w:r>
            <w:r>
              <w:rPr>
                <w:rFonts w:hint="eastAsia" w:ascii="Times New Roman" w:hAnsi="Times New Roman" w:eastAsia="宋体" w:cs="Times New Roman"/>
                <w:i w:val="0"/>
                <w:iCs w:val="0"/>
                <w:snapToGrid w:val="0"/>
                <w:color w:val="auto"/>
                <w:kern w:val="0"/>
                <w:sz w:val="21"/>
                <w:szCs w:val="21"/>
                <w:u w:val="none"/>
                <w:lang w:val="en-US" w:eastAsia="zh-CN" w:bidi="ar"/>
              </w:rPr>
              <w:t>2</w:t>
            </w:r>
            <w:r>
              <w:rPr>
                <w:rFonts w:hint="default" w:ascii="Times New Roman" w:hAnsi="Times New Roman" w:eastAsia="宋体" w:cs="Times New Roman"/>
                <w:i w:val="0"/>
                <w:iCs w:val="0"/>
                <w:snapToGrid w:val="0"/>
                <w:color w:val="auto"/>
                <w:kern w:val="0"/>
                <w:sz w:val="21"/>
                <w:szCs w:val="21"/>
                <w:u w:val="none"/>
                <w:lang w:val="en-US" w:eastAsia="zh-CN" w:bidi="ar"/>
              </w:rPr>
              <w:t xml:space="preserve">.9122 </w:t>
            </w:r>
          </w:p>
        </w:tc>
        <w:tc>
          <w:tcPr>
            <w:tcW w:w="2722" w:type="dxa"/>
            <w:tcBorders>
              <w:tl2br w:val="nil"/>
              <w:tr2bl w:val="nil"/>
            </w:tcBorders>
            <w:shd w:val="clear" w:color="auto" w:fill="auto"/>
            <w:vAlign w:val="center"/>
          </w:tcPr>
          <w:p w14:paraId="1B5AD2D2">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2"/>
                <w:szCs w:val="22"/>
                <w:u w:val="none"/>
                <w:lang w:val="en-US" w:eastAsia="en-US" w:bidi="ar-SA"/>
              </w:rPr>
            </w:pPr>
            <w:r>
              <w:rPr>
                <w:rFonts w:hint="default" w:ascii="Times New Roman" w:hAnsi="Times New Roman" w:eastAsia="宋体" w:cs="Times New Roman"/>
                <w:i w:val="0"/>
                <w:iCs w:val="0"/>
                <w:snapToGrid w:val="0"/>
                <w:color w:val="auto"/>
                <w:kern w:val="0"/>
                <w:sz w:val="21"/>
                <w:szCs w:val="21"/>
                <w:u w:val="none"/>
                <w:lang w:val="en-US" w:eastAsia="zh-CN" w:bidi="ar"/>
              </w:rPr>
              <w:t>2105.0316</w:t>
            </w:r>
          </w:p>
        </w:tc>
      </w:tr>
      <w:tr w14:paraId="68051A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07FD1DA8">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宋体" w:hAnsi="宋体" w:eastAsia="宋体" w:cs="宋体"/>
                <w:i w:val="0"/>
                <w:iCs w:val="0"/>
                <w:snapToGrid w:val="0"/>
                <w:color w:val="auto"/>
                <w:kern w:val="0"/>
                <w:sz w:val="21"/>
                <w:szCs w:val="21"/>
                <w:u w:val="none"/>
                <w:lang w:val="en-US" w:eastAsia="zh-CN" w:bidi="ar"/>
              </w:rPr>
              <w:t>仪器仪表制造业</w:t>
            </w:r>
          </w:p>
        </w:tc>
        <w:tc>
          <w:tcPr>
            <w:tcW w:w="2910" w:type="dxa"/>
            <w:tcBorders>
              <w:tl2br w:val="nil"/>
              <w:tr2bl w:val="nil"/>
            </w:tcBorders>
            <w:vAlign w:val="center"/>
          </w:tcPr>
          <w:p w14:paraId="7C109AA3">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6529.5790</w:t>
            </w:r>
          </w:p>
        </w:tc>
        <w:tc>
          <w:tcPr>
            <w:tcW w:w="2722" w:type="dxa"/>
            <w:tcBorders>
              <w:tl2br w:val="nil"/>
              <w:tr2bl w:val="nil"/>
            </w:tcBorders>
            <w:vAlign w:val="center"/>
          </w:tcPr>
          <w:p w14:paraId="40625A93">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49.2115 </w:t>
            </w:r>
          </w:p>
        </w:tc>
      </w:tr>
      <w:tr w14:paraId="6ED00D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1A3ADE0D">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宋体" w:hAnsi="宋体" w:eastAsia="宋体" w:cs="宋体"/>
                <w:i w:val="0"/>
                <w:iCs w:val="0"/>
                <w:snapToGrid w:val="0"/>
                <w:color w:val="auto"/>
                <w:kern w:val="0"/>
                <w:sz w:val="21"/>
                <w:szCs w:val="21"/>
                <w:highlight w:val="none"/>
                <w:u w:val="none"/>
                <w:lang w:val="en-US" w:eastAsia="zh-CN" w:bidi="ar"/>
              </w:rPr>
              <w:t>金属制品、机械和设备修理业</w:t>
            </w:r>
          </w:p>
        </w:tc>
        <w:tc>
          <w:tcPr>
            <w:tcW w:w="2910" w:type="dxa"/>
            <w:tcBorders>
              <w:tl2br w:val="nil"/>
              <w:tr2bl w:val="nil"/>
            </w:tcBorders>
            <w:vAlign w:val="center"/>
          </w:tcPr>
          <w:p w14:paraId="328C53F3">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1.76</w:t>
            </w:r>
          </w:p>
        </w:tc>
        <w:tc>
          <w:tcPr>
            <w:tcW w:w="2722" w:type="dxa"/>
            <w:tcBorders>
              <w:tl2br w:val="nil"/>
              <w:tr2bl w:val="nil"/>
            </w:tcBorders>
            <w:vAlign w:val="center"/>
          </w:tcPr>
          <w:p w14:paraId="3AA05851">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0</w:t>
            </w:r>
          </w:p>
        </w:tc>
      </w:tr>
      <w:tr w14:paraId="093DE3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2B23D3E1">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宋体" w:hAnsi="宋体" w:eastAsia="宋体" w:cs="宋体"/>
                <w:i w:val="0"/>
                <w:iCs w:val="0"/>
                <w:snapToGrid w:val="0"/>
                <w:color w:val="auto"/>
                <w:kern w:val="0"/>
                <w:sz w:val="21"/>
                <w:szCs w:val="21"/>
                <w:u w:val="none"/>
                <w:lang w:val="en-US" w:eastAsia="zh-CN" w:bidi="ar"/>
              </w:rPr>
              <w:t>装卸搬运和仓储业</w:t>
            </w:r>
          </w:p>
        </w:tc>
        <w:tc>
          <w:tcPr>
            <w:tcW w:w="2910" w:type="dxa"/>
            <w:tcBorders>
              <w:tl2br w:val="nil"/>
              <w:tr2bl w:val="nil"/>
            </w:tcBorders>
            <w:vAlign w:val="center"/>
          </w:tcPr>
          <w:p w14:paraId="22E4E129">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eastAsia" w:ascii="Times New Roman" w:hAnsi="Times New Roman" w:eastAsia="宋体" w:cs="Times New Roman"/>
                <w:i w:val="0"/>
                <w:iCs w:val="0"/>
                <w:snapToGrid w:val="0"/>
                <w:color w:val="auto"/>
                <w:kern w:val="0"/>
                <w:sz w:val="21"/>
                <w:szCs w:val="21"/>
                <w:u w:val="none"/>
                <w:lang w:val="en-US" w:eastAsia="zh-CN" w:bidi="ar"/>
              </w:rPr>
              <w:t>0</w:t>
            </w:r>
          </w:p>
        </w:tc>
        <w:tc>
          <w:tcPr>
            <w:tcW w:w="2722" w:type="dxa"/>
            <w:tcBorders>
              <w:tl2br w:val="nil"/>
              <w:tr2bl w:val="nil"/>
            </w:tcBorders>
            <w:vAlign w:val="center"/>
          </w:tcPr>
          <w:p w14:paraId="60753F86">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11.4</w:t>
            </w:r>
          </w:p>
        </w:tc>
      </w:tr>
      <w:tr w14:paraId="2981D8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41CB47DF">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宋体" w:hAnsi="宋体" w:eastAsia="宋体" w:cs="宋体"/>
                <w:i w:val="0"/>
                <w:iCs w:val="0"/>
                <w:snapToGrid w:val="0"/>
                <w:color w:val="auto"/>
                <w:kern w:val="0"/>
                <w:sz w:val="21"/>
                <w:szCs w:val="21"/>
                <w:u w:val="none"/>
                <w:lang w:val="en-US" w:eastAsia="zh-CN" w:bidi="ar"/>
              </w:rPr>
              <w:t>研究与试验发展</w:t>
            </w:r>
          </w:p>
        </w:tc>
        <w:tc>
          <w:tcPr>
            <w:tcW w:w="2910" w:type="dxa"/>
            <w:tcBorders>
              <w:tl2br w:val="nil"/>
              <w:tr2bl w:val="nil"/>
            </w:tcBorders>
            <w:vAlign w:val="center"/>
          </w:tcPr>
          <w:p w14:paraId="77C0E85C">
            <w:pPr>
              <w:keepNext w:val="0"/>
              <w:keepLines w:val="0"/>
              <w:widowControl/>
              <w:suppressLineNumbers w:val="0"/>
              <w:jc w:val="center"/>
              <w:textAlignment w:val="center"/>
              <w:rPr>
                <w:rFonts w:hint="eastAsia" w:ascii="Times New Roman" w:hAnsi="Times New Roman" w:eastAsia="宋体" w:cs="Times New Roman"/>
                <w:b/>
                <w:bCs/>
                <w:color w:val="auto"/>
                <w:spacing w:val="-2"/>
                <w:sz w:val="21"/>
                <w:szCs w:val="21"/>
                <w:highlight w:val="yellow"/>
                <w:vertAlign w:val="baseline"/>
                <w:lang w:val="en-US" w:eastAsia="zh-CN"/>
              </w:rPr>
            </w:pPr>
            <w:r>
              <w:rPr>
                <w:rFonts w:hint="eastAsia" w:ascii="Times New Roman" w:hAnsi="Times New Roman" w:eastAsia="宋体" w:cs="Times New Roman"/>
                <w:i w:val="0"/>
                <w:iCs w:val="0"/>
                <w:snapToGrid w:val="0"/>
                <w:color w:val="auto"/>
                <w:kern w:val="0"/>
                <w:sz w:val="21"/>
                <w:szCs w:val="21"/>
                <w:u w:val="none"/>
                <w:lang w:val="en-US" w:eastAsia="zh-CN" w:bidi="ar"/>
              </w:rPr>
              <w:t>0</w:t>
            </w:r>
          </w:p>
        </w:tc>
        <w:tc>
          <w:tcPr>
            <w:tcW w:w="2722" w:type="dxa"/>
            <w:tcBorders>
              <w:tl2br w:val="nil"/>
              <w:tr2bl w:val="nil"/>
            </w:tcBorders>
            <w:vAlign w:val="center"/>
          </w:tcPr>
          <w:p w14:paraId="2AA48D47">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16</w:t>
            </w:r>
          </w:p>
        </w:tc>
      </w:tr>
      <w:tr w14:paraId="4992ED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625C6D84">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宋体" w:hAnsi="宋体" w:eastAsia="宋体" w:cs="宋体"/>
                <w:i w:val="0"/>
                <w:iCs w:val="0"/>
                <w:snapToGrid w:val="0"/>
                <w:color w:val="auto"/>
                <w:kern w:val="0"/>
                <w:sz w:val="21"/>
                <w:szCs w:val="21"/>
                <w:u w:val="none"/>
                <w:lang w:val="en-US" w:eastAsia="zh-CN" w:bidi="ar"/>
              </w:rPr>
              <w:t>生态保护和环境治理业</w:t>
            </w:r>
          </w:p>
        </w:tc>
        <w:tc>
          <w:tcPr>
            <w:tcW w:w="2910" w:type="dxa"/>
            <w:tcBorders>
              <w:tl2br w:val="nil"/>
              <w:tr2bl w:val="nil"/>
            </w:tcBorders>
            <w:vAlign w:val="center"/>
          </w:tcPr>
          <w:p w14:paraId="6ACAEA7B">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4332</w:t>
            </w:r>
          </w:p>
        </w:tc>
        <w:tc>
          <w:tcPr>
            <w:tcW w:w="2722" w:type="dxa"/>
            <w:tcBorders>
              <w:tl2br w:val="nil"/>
              <w:tr2bl w:val="nil"/>
            </w:tcBorders>
            <w:vAlign w:val="center"/>
          </w:tcPr>
          <w:p w14:paraId="7DE04F14">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1.6907 </w:t>
            </w:r>
          </w:p>
        </w:tc>
      </w:tr>
      <w:tr w14:paraId="3B058E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tcBorders>
              <w:tl2br w:val="nil"/>
              <w:tr2bl w:val="nil"/>
            </w:tcBorders>
            <w:shd w:val="clear" w:color="auto" w:fill="auto"/>
            <w:vAlign w:val="center"/>
          </w:tcPr>
          <w:p w14:paraId="28EF9910">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宋体" w:hAnsi="宋体" w:eastAsia="宋体" w:cs="宋体"/>
                <w:i w:val="0"/>
                <w:iCs w:val="0"/>
                <w:snapToGrid w:val="0"/>
                <w:color w:val="auto"/>
                <w:kern w:val="0"/>
                <w:sz w:val="21"/>
                <w:szCs w:val="21"/>
                <w:u w:val="none"/>
                <w:lang w:val="en-US" w:eastAsia="zh-CN" w:bidi="ar"/>
              </w:rPr>
              <w:t>其他服务业</w:t>
            </w:r>
          </w:p>
        </w:tc>
        <w:tc>
          <w:tcPr>
            <w:tcW w:w="2910" w:type="dxa"/>
            <w:tcBorders>
              <w:tl2br w:val="nil"/>
              <w:tr2bl w:val="nil"/>
            </w:tcBorders>
            <w:vAlign w:val="center"/>
          </w:tcPr>
          <w:p w14:paraId="63262E57">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676.79</w:t>
            </w:r>
          </w:p>
        </w:tc>
        <w:tc>
          <w:tcPr>
            <w:tcW w:w="2722" w:type="dxa"/>
            <w:tcBorders>
              <w:tl2br w:val="nil"/>
              <w:tr2bl w:val="nil"/>
            </w:tcBorders>
            <w:vAlign w:val="center"/>
          </w:tcPr>
          <w:p w14:paraId="4B14E8E4">
            <w:pPr>
              <w:keepNext w:val="0"/>
              <w:keepLines w:val="0"/>
              <w:widowControl/>
              <w:suppressLineNumbers w:val="0"/>
              <w:jc w:val="center"/>
              <w:textAlignment w:val="center"/>
              <w:rPr>
                <w:rFonts w:hint="default" w:ascii="Times New Roman" w:hAnsi="Times New Roman" w:eastAsia="宋体" w:cs="Times New Roman"/>
                <w:b/>
                <w:bCs/>
                <w:color w:val="auto"/>
                <w:spacing w:val="-2"/>
                <w:sz w:val="21"/>
                <w:szCs w:val="21"/>
                <w:highlight w:val="yellow"/>
                <w:vertAlign w:val="baseline"/>
              </w:rPr>
            </w:pPr>
            <w:r>
              <w:rPr>
                <w:rFonts w:hint="default" w:ascii="Times New Roman" w:hAnsi="Times New Roman" w:eastAsia="宋体" w:cs="Times New Roman"/>
                <w:i w:val="0"/>
                <w:iCs w:val="0"/>
                <w:snapToGrid w:val="0"/>
                <w:color w:val="auto"/>
                <w:kern w:val="0"/>
                <w:sz w:val="21"/>
                <w:szCs w:val="21"/>
                <w:u w:val="none"/>
                <w:lang w:val="en-US" w:eastAsia="zh-CN" w:bidi="ar"/>
              </w:rPr>
              <w:t>14.993</w:t>
            </w:r>
          </w:p>
        </w:tc>
      </w:tr>
      <w:tr w14:paraId="6F3666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51" w:type="dxa"/>
            <w:shd w:val="clear" w:color="auto" w:fill="auto"/>
            <w:vAlign w:val="center"/>
          </w:tcPr>
          <w:p w14:paraId="6C615443">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b/>
                <w:bCs/>
                <w:i w:val="0"/>
                <w:iCs w:val="0"/>
                <w:snapToGrid w:val="0"/>
                <w:color w:val="auto"/>
                <w:kern w:val="0"/>
                <w:sz w:val="21"/>
                <w:szCs w:val="21"/>
                <w:u w:val="none"/>
                <w:lang w:val="en-US" w:eastAsia="zh-CN" w:bidi="ar"/>
              </w:rPr>
              <w:t>合计</w:t>
            </w:r>
          </w:p>
        </w:tc>
        <w:tc>
          <w:tcPr>
            <w:tcW w:w="2910" w:type="dxa"/>
            <w:vAlign w:val="center"/>
          </w:tcPr>
          <w:p w14:paraId="279202CB">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86905.30 </w:t>
            </w:r>
          </w:p>
        </w:tc>
        <w:tc>
          <w:tcPr>
            <w:tcW w:w="2722" w:type="dxa"/>
            <w:vAlign w:val="center"/>
          </w:tcPr>
          <w:p w14:paraId="011C3AC2">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 xml:space="preserve">9301.30 </w:t>
            </w:r>
          </w:p>
        </w:tc>
      </w:tr>
    </w:tbl>
    <w:p w14:paraId="22E31899">
      <w:pPr>
        <w:spacing w:before="38" w:line="233" w:lineRule="auto"/>
        <w:rPr>
          <w:rFonts w:ascii="宋体" w:hAnsi="宋体" w:eastAsia="宋体" w:cs="宋体"/>
          <w:b/>
          <w:bCs/>
          <w:color w:val="auto"/>
          <w:spacing w:val="-2"/>
          <w:sz w:val="24"/>
          <w:szCs w:val="24"/>
          <w:highlight w:val="yellow"/>
        </w:rPr>
      </w:pPr>
      <w:r>
        <w:rPr>
          <w:color w:val="auto"/>
        </w:rPr>
        <w:drawing>
          <wp:inline distT="0" distB="0" distL="114300" distR="114300">
            <wp:extent cx="5548630" cy="5498465"/>
            <wp:effectExtent l="4445" t="4445" r="9525" b="59690"/>
            <wp:docPr id="22" name="图表 3" descr="7b0a202020202263686172745265734964223a20223230343736343536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0B60198">
      <w:pPr>
        <w:keepNext w:val="0"/>
        <w:keepLines w:val="0"/>
        <w:pageBreakBefore w:val="0"/>
        <w:widowControl/>
        <w:kinsoku w:val="0"/>
        <w:wordWrap/>
        <w:overflowPunct/>
        <w:topLinePunct w:val="0"/>
        <w:autoSpaceDE w:val="0"/>
        <w:autoSpaceDN w:val="0"/>
        <w:bidi w:val="0"/>
        <w:adjustRightInd w:val="0"/>
        <w:snapToGrid w:val="0"/>
        <w:spacing w:before="178" w:line="240" w:lineRule="auto"/>
        <w:jc w:val="center"/>
        <w:textAlignment w:val="baseline"/>
        <w:rPr>
          <w:rFonts w:ascii="宋体" w:hAnsi="宋体" w:eastAsia="宋体" w:cs="宋体"/>
          <w:color w:val="auto"/>
          <w:sz w:val="24"/>
          <w:szCs w:val="24"/>
          <w:highlight w:val="none"/>
        </w:rPr>
      </w:pPr>
      <w:r>
        <w:rPr>
          <w:rFonts w:ascii="宋体" w:hAnsi="宋体" w:eastAsia="宋体" w:cs="宋体"/>
          <w:b/>
          <w:bCs/>
          <w:color w:val="auto"/>
          <w:spacing w:val="-3"/>
          <w:sz w:val="24"/>
          <w:szCs w:val="24"/>
          <w:highlight w:val="none"/>
        </w:rPr>
        <w:t>图</w:t>
      </w:r>
      <w:r>
        <w:rPr>
          <w:rFonts w:ascii="Times New Roman" w:hAnsi="Times New Roman" w:eastAsia="Times New Roman" w:cs="Times New Roman"/>
          <w:b/>
          <w:bCs/>
          <w:color w:val="auto"/>
          <w:spacing w:val="-3"/>
          <w:sz w:val="24"/>
          <w:szCs w:val="24"/>
          <w:highlight w:val="none"/>
        </w:rPr>
        <w:t>6.5-</w:t>
      </w:r>
      <w:r>
        <w:rPr>
          <w:rFonts w:hint="eastAsia" w:ascii="Times New Roman" w:hAnsi="Times New Roman" w:eastAsia="宋体" w:cs="Times New Roman"/>
          <w:b/>
          <w:bCs/>
          <w:color w:val="auto"/>
          <w:spacing w:val="-3"/>
          <w:sz w:val="24"/>
          <w:szCs w:val="24"/>
          <w:highlight w:val="none"/>
          <w:lang w:val="en-US" w:eastAsia="zh-CN"/>
        </w:rPr>
        <w:t xml:space="preserve">6  </w:t>
      </w:r>
      <w:r>
        <w:rPr>
          <w:rFonts w:ascii="宋体" w:hAnsi="宋体" w:eastAsia="宋体" w:cs="宋体"/>
          <w:b/>
          <w:bCs/>
          <w:color w:val="auto"/>
          <w:spacing w:val="-3"/>
          <w:sz w:val="24"/>
          <w:szCs w:val="24"/>
          <w:highlight w:val="none"/>
        </w:rPr>
        <w:t>开发区各行业危险固废产生</w:t>
      </w:r>
      <w:r>
        <w:rPr>
          <w:rFonts w:hint="eastAsia" w:ascii="宋体" w:hAnsi="宋体" w:eastAsia="宋体" w:cs="宋体"/>
          <w:b/>
          <w:bCs/>
          <w:color w:val="auto"/>
          <w:spacing w:val="-3"/>
          <w:sz w:val="24"/>
          <w:szCs w:val="24"/>
          <w:highlight w:val="none"/>
          <w:lang w:eastAsia="zh-CN"/>
        </w:rPr>
        <w:t>量</w:t>
      </w:r>
      <w:r>
        <w:rPr>
          <w:rFonts w:hint="eastAsia" w:ascii="宋体" w:hAnsi="宋体" w:eastAsia="宋体" w:cs="宋体"/>
          <w:b/>
          <w:bCs/>
          <w:color w:val="auto"/>
          <w:spacing w:val="-3"/>
          <w:sz w:val="24"/>
          <w:szCs w:val="24"/>
          <w:highlight w:val="none"/>
          <w:lang w:val="en-US" w:eastAsia="zh-CN"/>
        </w:rPr>
        <w:t>占比</w:t>
      </w:r>
      <w:r>
        <w:rPr>
          <w:rFonts w:ascii="宋体" w:hAnsi="宋体" w:eastAsia="宋体" w:cs="宋体"/>
          <w:b/>
          <w:bCs/>
          <w:color w:val="auto"/>
          <w:spacing w:val="-3"/>
          <w:sz w:val="24"/>
          <w:szCs w:val="24"/>
          <w:highlight w:val="none"/>
        </w:rPr>
        <w:t>图</w:t>
      </w:r>
      <w:bookmarkStart w:id="1864" w:name="pindex13183"/>
      <w:bookmarkEnd w:id="1864"/>
    </w:p>
    <w:p w14:paraId="18A07E7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rPr>
        <w:t>绿色智能汽车产业占开发区危废总产生量的</w:t>
      </w:r>
      <w:r>
        <w:rPr>
          <w:rFonts w:hint="eastAsia" w:ascii="Times New Roman" w:hAnsi="Times New Roman" w:eastAsia="宋体" w:cs="Times New Roman"/>
          <w:color w:val="auto"/>
          <w:sz w:val="24"/>
          <w:szCs w:val="24"/>
          <w:lang w:val="en-US" w:eastAsia="zh-CN"/>
        </w:rPr>
        <w:t>58.85</w:t>
      </w:r>
      <w:r>
        <w:rPr>
          <w:rFonts w:hint="default" w:ascii="Times New Roman" w:hAnsi="Times New Roman" w:eastAsia="宋体" w:cs="Times New Roman"/>
          <w:color w:val="auto"/>
          <w:sz w:val="24"/>
          <w:szCs w:val="24"/>
        </w:rPr>
        <w:t>%，主要以上汽大众汽车有限公司南京分公司、长安马自达汽车有限公司、长安马自达发动机有限公司等企业为主，危废类型主要有废矿物油、废油漆桶</w:t>
      </w:r>
      <w:r>
        <w:rPr>
          <w:rFonts w:hint="default" w:ascii="Times New Roman" w:hAnsi="Times New Roman" w:eastAsia="宋体" w:cs="Times New Roman"/>
          <w:color w:val="auto"/>
          <w:sz w:val="24"/>
          <w:szCs w:val="24"/>
          <w:highlight w:val="none"/>
        </w:rPr>
        <w:t>、废乳化液、废活性炭、污水处理站污泥等，主要委托南京福昌环保有限公司、南京化学工业园天字固体废弃物处置公司、南京万丰环保科技有限公司等公司处置、淮安华科环保科技有限公司江苏锦明再生资源有限公司、江阴市华丰乳化液处置利用有限公司、南京乾鼎长环保能源发展有限公司等有资质单位处置</w:t>
      </w:r>
      <w:r>
        <w:rPr>
          <w:rFonts w:hint="default" w:ascii="Times New Roman" w:hAnsi="Times New Roman" w:eastAsia="宋体" w:cs="Times New Roman"/>
          <w:color w:val="auto"/>
          <w:sz w:val="24"/>
          <w:szCs w:val="24"/>
          <w:highlight w:val="none"/>
          <w:lang w:eastAsia="zh-CN"/>
        </w:rPr>
        <w:t>。</w:t>
      </w:r>
    </w:p>
    <w:p w14:paraId="4474A69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eastAsia="zh-CN"/>
        </w:rPr>
      </w:pPr>
      <w:bookmarkStart w:id="1865" w:name="sys13185031"/>
      <w:r>
        <w:rPr>
          <w:rFonts w:hint="default" w:ascii="Times New Roman" w:hAnsi="Times New Roman" w:eastAsia="宋体" w:cs="Times New Roman"/>
          <w:color w:val="auto"/>
          <w:sz w:val="24"/>
          <w:szCs w:val="24"/>
          <w:highlight w:val="none"/>
          <w:lang w:eastAsia="zh-CN"/>
        </w:rPr>
        <w:t>规划区内现有大唐南京环保科技有限责任公司1家危险废物处置单位。</w:t>
      </w:r>
      <w:bookmarkEnd w:id="1865"/>
      <w:bookmarkStart w:id="1866" w:name="sys131853190"/>
      <w:r>
        <w:rPr>
          <w:rFonts w:hint="default" w:ascii="Times New Roman" w:hAnsi="Times New Roman" w:eastAsia="宋体" w:cs="Times New Roman"/>
          <w:color w:val="auto"/>
          <w:sz w:val="24"/>
          <w:szCs w:val="24"/>
          <w:highlight w:val="none"/>
          <w:lang w:eastAsia="zh-CN"/>
        </w:rPr>
        <w:t>企业主要从事脱硝催化剂的再生，危险废物经营类别为收集、贮存、处置综合经营，处置类别为：HW50烟气脱硝过程中产生的废钒钛系催化剂</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772-007-50</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，处置规模为8300t</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a；</w:t>
      </w:r>
      <w:bookmarkEnd w:id="1866"/>
      <w:bookmarkStart w:id="1867" w:name="sys1318512135"/>
      <w:r>
        <w:rPr>
          <w:rFonts w:hint="default" w:ascii="Times New Roman" w:hAnsi="Times New Roman" w:eastAsia="宋体" w:cs="Times New Roman"/>
          <w:color w:val="auto"/>
          <w:sz w:val="24"/>
          <w:szCs w:val="24"/>
          <w:highlight w:val="none"/>
          <w:lang w:eastAsia="zh-CN"/>
        </w:rPr>
        <w:t>规划区内企业产生的危险固废均交由区内或周边区域有资质单位进行处理处置。</w:t>
      </w:r>
      <w:bookmarkEnd w:id="1867"/>
    </w:p>
    <w:p w14:paraId="0B476057">
      <w:pPr>
        <w:keepNext w:val="0"/>
        <w:keepLines w:val="0"/>
        <w:pageBreakBefore w:val="0"/>
        <w:widowControl/>
        <w:kinsoku w:val="0"/>
        <w:wordWrap/>
        <w:overflowPunct/>
        <w:topLinePunct w:val="0"/>
        <w:autoSpaceDE w:val="0"/>
        <w:autoSpaceDN w:val="0"/>
        <w:bidi w:val="0"/>
        <w:adjustRightInd w:val="0"/>
        <w:snapToGrid w:val="0"/>
        <w:spacing w:line="360" w:lineRule="auto"/>
        <w:ind w:firstLine="484" w:firstLineChars="200"/>
        <w:textAlignment w:val="baseline"/>
        <w:rPr>
          <w:rFonts w:hint="default" w:ascii="Times New Roman" w:hAnsi="Times New Roman" w:eastAsia="宋体" w:cs="Times New Roman"/>
          <w:color w:val="auto"/>
          <w:spacing w:val="1"/>
          <w:sz w:val="24"/>
          <w:szCs w:val="24"/>
          <w:highlight w:val="none"/>
          <w:lang w:eastAsia="zh-CN"/>
        </w:rPr>
      </w:pPr>
      <w:r>
        <w:rPr>
          <w:rFonts w:hint="default" w:ascii="Times New Roman" w:hAnsi="Times New Roman" w:eastAsia="宋体" w:cs="Times New Roman"/>
          <w:color w:val="auto"/>
          <w:spacing w:val="1"/>
          <w:sz w:val="24"/>
          <w:szCs w:val="24"/>
          <w:highlight w:val="none"/>
          <w:lang w:eastAsia="zh-CN"/>
        </w:rPr>
        <w:t>此外，为帮助中小型企事业单位及时规范收集、贮存、转移产生的危险废物，落实危险废物安全处置利用途径，切实降低环境风险，根据《</w:t>
      </w:r>
      <w:r>
        <w:rPr>
          <w:rFonts w:hint="eastAsia" w:ascii="Times New Roman" w:hAnsi="Times New Roman" w:eastAsia="宋体" w:cs="Times New Roman"/>
          <w:color w:val="auto"/>
          <w:spacing w:val="1"/>
          <w:sz w:val="24"/>
          <w:szCs w:val="24"/>
          <w:highlight w:val="none"/>
          <w:lang w:eastAsia="zh-CN"/>
        </w:rPr>
        <w:t>中华人民共和国固体废物污染环境防治法</w:t>
      </w:r>
      <w:r>
        <w:rPr>
          <w:rFonts w:hint="default" w:ascii="Times New Roman" w:hAnsi="Times New Roman" w:eastAsia="宋体" w:cs="Times New Roman"/>
          <w:color w:val="auto"/>
          <w:spacing w:val="1"/>
          <w:sz w:val="24"/>
          <w:szCs w:val="24"/>
          <w:highlight w:val="none"/>
          <w:lang w:eastAsia="zh-CN"/>
        </w:rPr>
        <w:t>》《关于印发江苏省工业园区危险废物集中收集贮存试点工作方案的通知》</w:t>
      </w:r>
      <w:r>
        <w:rPr>
          <w:rFonts w:hint="eastAsia"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lang w:eastAsia="zh-CN"/>
        </w:rPr>
        <w:t>苏环办</w:t>
      </w:r>
      <w:r>
        <w:rPr>
          <w:rFonts w:hint="eastAsia"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lang w:eastAsia="zh-CN"/>
        </w:rPr>
        <w:t>2017</w:t>
      </w:r>
      <w:r>
        <w:rPr>
          <w:rFonts w:hint="eastAsia"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lang w:eastAsia="zh-CN"/>
        </w:rPr>
        <w:t>142号</w:t>
      </w:r>
      <w:r>
        <w:rPr>
          <w:rFonts w:hint="eastAsia"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lang w:eastAsia="zh-CN"/>
        </w:rPr>
        <w:t>和《关于同意开展危险废物区域集中收集贮存试点前期工作的复函》有关文件</w:t>
      </w:r>
      <w:r>
        <w:rPr>
          <w:rFonts w:hint="eastAsia"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lang w:eastAsia="zh-CN"/>
        </w:rPr>
        <w:t>开发区开展危险废物区域集中收集试点工作，将生命科技小镇的北区1个空置库房、南区的2个空置库房分别改造为北区危废收集贮存库房和南区危废收集贮存库房，集中收集园区内中小研发企业产生的危险废物，项目最大收集贮存量为2000t</w:t>
      </w:r>
      <w:r>
        <w:rPr>
          <w:rFonts w:hint="default" w:ascii="Times New Roman" w:hAnsi="Times New Roman" w:eastAsia="宋体" w:cs="Times New Roman"/>
          <w:color w:val="auto"/>
          <w:spacing w:val="1"/>
          <w:sz w:val="24"/>
          <w:szCs w:val="24"/>
          <w:highlight w:val="none"/>
          <w:lang w:val="en-US" w:eastAsia="zh-CN"/>
        </w:rPr>
        <w:t>/</w:t>
      </w:r>
      <w:r>
        <w:rPr>
          <w:rFonts w:hint="default" w:ascii="Times New Roman" w:hAnsi="Times New Roman" w:eastAsia="宋体" w:cs="Times New Roman"/>
          <w:color w:val="auto"/>
          <w:spacing w:val="1"/>
          <w:sz w:val="24"/>
          <w:szCs w:val="24"/>
          <w:highlight w:val="none"/>
          <w:lang w:eastAsia="zh-CN"/>
        </w:rPr>
        <w:t>a，贮存周期不超过60天，集中收集后委托有资质单位进行处理。</w:t>
      </w:r>
    </w:p>
    <w:p w14:paraId="150C073D">
      <w:pPr>
        <w:keepNext w:val="0"/>
        <w:keepLines w:val="0"/>
        <w:pageBreakBefore w:val="0"/>
        <w:widowControl/>
        <w:kinsoku w:val="0"/>
        <w:wordWrap/>
        <w:overflowPunct/>
        <w:topLinePunct w:val="0"/>
        <w:autoSpaceDE w:val="0"/>
        <w:autoSpaceDN w:val="0"/>
        <w:bidi w:val="0"/>
        <w:adjustRightInd w:val="0"/>
        <w:snapToGrid w:val="0"/>
        <w:spacing w:line="360" w:lineRule="auto"/>
        <w:ind w:firstLine="484" w:firstLineChars="200"/>
        <w:textAlignment w:val="baseline"/>
        <w:rPr>
          <w:color w:val="auto"/>
          <w:highlight w:val="none"/>
        </w:rPr>
      </w:pPr>
      <w:bookmarkStart w:id="1868" w:name="sys13187086"/>
      <w:r>
        <w:rPr>
          <w:rFonts w:hint="default" w:ascii="Times New Roman" w:hAnsi="Times New Roman" w:eastAsia="宋体" w:cs="Times New Roman"/>
          <w:color w:val="auto"/>
          <w:spacing w:val="1"/>
          <w:sz w:val="24"/>
          <w:szCs w:val="24"/>
          <w:highlight w:val="none"/>
          <w:lang w:eastAsia="zh-CN"/>
        </w:rPr>
        <w:t>开发区生活垃圾年产生量约40万t</w:t>
      </w:r>
      <w:r>
        <w:rPr>
          <w:rFonts w:hint="default" w:ascii="Times New Roman" w:hAnsi="Times New Roman" w:eastAsia="宋体" w:cs="Times New Roman"/>
          <w:color w:val="auto"/>
          <w:spacing w:val="1"/>
          <w:sz w:val="24"/>
          <w:szCs w:val="24"/>
          <w:highlight w:val="none"/>
          <w:lang w:val="en-US" w:eastAsia="zh-CN"/>
        </w:rPr>
        <w:t>/</w:t>
      </w:r>
      <w:r>
        <w:rPr>
          <w:rFonts w:hint="default" w:ascii="Times New Roman" w:hAnsi="Times New Roman" w:eastAsia="宋体" w:cs="Times New Roman"/>
          <w:color w:val="auto"/>
          <w:spacing w:val="1"/>
          <w:sz w:val="24"/>
          <w:szCs w:val="24"/>
          <w:highlight w:val="none"/>
          <w:lang w:eastAsia="zh-CN"/>
        </w:rPr>
        <w:t>a，生活垃圾均依托南京江南静脉产业园光大生活垃圾焚烧发电厂进行处理，该厂处理目前日处理垃圾3600吨，位于江宁区铜井社区</w:t>
      </w:r>
      <w:r>
        <w:rPr>
          <w:rFonts w:hint="eastAsia"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lang w:eastAsia="zh-CN"/>
        </w:rPr>
        <w:t>不在开发区内</w:t>
      </w:r>
      <w:r>
        <w:rPr>
          <w:rFonts w:hint="eastAsia" w:ascii="Times New Roman" w:hAnsi="Times New Roman" w:eastAsia="宋体" w:cs="Times New Roman"/>
          <w:color w:val="auto"/>
          <w:spacing w:val="1"/>
          <w:sz w:val="24"/>
          <w:szCs w:val="24"/>
          <w:highlight w:val="none"/>
          <w:lang w:eastAsia="zh-CN"/>
        </w:rPr>
        <w:t>）；</w:t>
      </w:r>
      <w:bookmarkEnd w:id="1868"/>
      <w:bookmarkStart w:id="1869" w:name="sys131878658"/>
      <w:r>
        <w:rPr>
          <w:rFonts w:hint="eastAsia" w:ascii="Times New Roman" w:hAnsi="Times New Roman" w:eastAsia="宋体" w:cs="Times New Roman"/>
          <w:color w:val="auto"/>
          <w:spacing w:val="1"/>
          <w:sz w:val="24"/>
          <w:szCs w:val="24"/>
          <w:highlight w:val="none"/>
          <w:lang w:val="en-US" w:eastAsia="zh-CN"/>
        </w:rPr>
        <w:t>开发区区外</w:t>
      </w:r>
      <w:r>
        <w:rPr>
          <w:rFonts w:hint="eastAsia" w:ascii="Times New Roman" w:hAnsi="Times New Roman" w:eastAsia="宋体" w:cs="Times New Roman"/>
          <w:color w:val="auto"/>
          <w:spacing w:val="1"/>
          <w:sz w:val="24"/>
          <w:szCs w:val="24"/>
          <w:highlight w:val="none"/>
          <w:lang w:eastAsia="zh-CN"/>
        </w:rPr>
        <w:t>光国生物能源（南京）有限公司1家餐厨垃圾处理单位，处理规模为餐厨垃圾660吨/日（含废弃油脂60吨/日）</w:t>
      </w:r>
      <w:r>
        <w:rPr>
          <w:rFonts w:hint="default" w:ascii="Times New Roman" w:hAnsi="Times New Roman" w:eastAsia="宋体" w:cs="Times New Roman"/>
          <w:color w:val="auto"/>
          <w:spacing w:val="1"/>
          <w:sz w:val="24"/>
          <w:szCs w:val="24"/>
          <w:highlight w:val="none"/>
          <w:lang w:eastAsia="zh-CN"/>
        </w:rPr>
        <w:t>。</w:t>
      </w:r>
      <w:bookmarkEnd w:id="1869"/>
    </w:p>
    <w:p w14:paraId="5D13E15A">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default" w:ascii="Times New Roman" w:hAnsi="Times New Roman" w:cs="Times New Roman"/>
          <w:b/>
          <w:bCs/>
          <w:color w:val="auto"/>
          <w:sz w:val="24"/>
          <w:szCs w:val="24"/>
          <w:highlight w:val="none"/>
          <w:lang w:val="en-US" w:eastAsia="zh-CN"/>
        </w:rPr>
      </w:pPr>
      <w:bookmarkStart w:id="1870" w:name="_Toc7719"/>
      <w:r>
        <w:rPr>
          <w:rFonts w:hint="default" w:ascii="Times New Roman" w:hAnsi="Times New Roman" w:cs="Times New Roman"/>
          <w:b/>
          <w:bCs/>
          <w:color w:val="auto"/>
          <w:sz w:val="24"/>
          <w:szCs w:val="24"/>
          <w:highlight w:val="none"/>
          <w:lang w:val="en-US" w:eastAsia="zh-CN"/>
        </w:rPr>
        <w:t>6.5.3主要污染行业、重点企业污染防治情况</w:t>
      </w:r>
      <w:bookmarkEnd w:id="1870"/>
      <w:bookmarkStart w:id="1871" w:name="pindex13188"/>
      <w:bookmarkEnd w:id="1871"/>
    </w:p>
    <w:p w14:paraId="21BB6534">
      <w:pPr>
        <w:spacing w:before="79" w:line="220" w:lineRule="auto"/>
        <w:rPr>
          <w:rFonts w:ascii="宋体" w:hAnsi="宋体" w:eastAsia="宋体" w:cs="宋体"/>
          <w:color w:val="auto"/>
          <w:sz w:val="24"/>
          <w:szCs w:val="24"/>
          <w:highlight w:val="none"/>
        </w:rPr>
      </w:pPr>
      <w:r>
        <w:rPr>
          <w:color w:val="auto"/>
          <w:highlight w:val="none"/>
        </w:rPr>
        <w:fldChar w:fldCharType="begin"/>
      </w:r>
      <w:r>
        <w:rPr>
          <w:color w:val="auto"/>
          <w:highlight w:val="none"/>
        </w:rPr>
        <w:instrText xml:space="preserve"> HYPERLINK "6.5.3.1" </w:instrText>
      </w:r>
      <w:r>
        <w:rPr>
          <w:color w:val="auto"/>
          <w:highlight w:val="none"/>
        </w:rPr>
        <w:fldChar w:fldCharType="separate"/>
      </w:r>
      <w:r>
        <w:rPr>
          <w:rFonts w:ascii="Times New Roman" w:hAnsi="Times New Roman" w:eastAsia="Times New Roman" w:cs="Times New Roman"/>
          <w:b/>
          <w:bCs/>
          <w:color w:val="auto"/>
          <w:spacing w:val="-4"/>
          <w:sz w:val="24"/>
          <w:szCs w:val="24"/>
          <w:highlight w:val="none"/>
        </w:rPr>
        <w:t>6.5.3.1</w:t>
      </w:r>
      <w:r>
        <w:rPr>
          <w:rFonts w:ascii="Times New Roman" w:hAnsi="Times New Roman" w:eastAsia="Times New Roman" w:cs="Times New Roman"/>
          <w:b/>
          <w:bCs/>
          <w:color w:val="auto"/>
          <w:spacing w:val="-4"/>
          <w:sz w:val="24"/>
          <w:szCs w:val="24"/>
          <w:highlight w:val="none"/>
        </w:rPr>
        <w:fldChar w:fldCharType="end"/>
      </w:r>
      <w:r>
        <w:rPr>
          <w:rFonts w:hint="eastAsia" w:ascii="宋体" w:hAnsi="宋体" w:eastAsia="宋体" w:cs="宋体"/>
          <w:b/>
          <w:bCs/>
          <w:color w:val="auto"/>
          <w:spacing w:val="-4"/>
          <w:sz w:val="24"/>
          <w:szCs w:val="24"/>
          <w:highlight w:val="none"/>
          <w:lang w:val="en-US" w:eastAsia="zh-CN"/>
        </w:rPr>
        <w:t>绿色智能汽车产业</w:t>
      </w:r>
      <w:bookmarkStart w:id="1872" w:name="pindex13189"/>
      <w:bookmarkEnd w:id="1872"/>
    </w:p>
    <w:p w14:paraId="0D5E1430">
      <w:pPr>
        <w:spacing w:before="183" w:line="350" w:lineRule="auto"/>
        <w:ind w:left="39" w:right="30" w:firstLine="479"/>
        <w:jc w:val="both"/>
        <w:rPr>
          <w:rFonts w:hint="eastAsia" w:ascii="宋体" w:hAnsi="宋体" w:eastAsia="宋体" w:cs="宋体"/>
          <w:color w:val="auto"/>
          <w:spacing w:val="-3"/>
          <w:sz w:val="24"/>
          <w:szCs w:val="24"/>
          <w:highlight w:val="none"/>
        </w:rPr>
      </w:pPr>
      <w:r>
        <w:rPr>
          <w:rFonts w:hint="eastAsia" w:ascii="宋体" w:hAnsi="宋体" w:eastAsia="宋体" w:cs="宋体"/>
          <w:color w:val="auto"/>
          <w:spacing w:val="-3"/>
          <w:sz w:val="24"/>
          <w:szCs w:val="24"/>
          <w:highlight w:val="none"/>
        </w:rPr>
        <w:t>开发区目前已引进上汽大众、长安马自达、上汽大通等整车生产企业以及长安马自达发动机、塔塔、法雷奥等一批汽车零部件生产企业，本次主要对上汽大众汽车有限公司南京分公司污染防治措施进行分析。</w:t>
      </w:r>
    </w:p>
    <w:p w14:paraId="43BBDC2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1873" w:name="_Toc2218"/>
      <w:r>
        <w:rPr>
          <w:rFonts w:hint="default" w:ascii="Times New Roman" w:hAnsi="Times New Roman" w:eastAsia="宋体" w:cs="Times New Roman"/>
          <w:color w:val="auto"/>
          <w:sz w:val="24"/>
          <w:szCs w:val="24"/>
          <w:highlight w:val="none"/>
        </w:rPr>
        <w:t>1、废气处理</w:t>
      </w:r>
      <w:bookmarkEnd w:id="1873"/>
      <w:bookmarkStart w:id="1874" w:name="pindex13191"/>
      <w:bookmarkEnd w:id="1874"/>
    </w:p>
    <w:p w14:paraId="6A84231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1875" w:name="_Toc30392"/>
      <w:r>
        <w:rPr>
          <w:rFonts w:hint="default" w:ascii="Times New Roman" w:hAnsi="Times New Roman" w:eastAsia="宋体" w:cs="Times New Roman"/>
          <w:color w:val="auto"/>
          <w:sz w:val="24"/>
          <w:szCs w:val="24"/>
          <w:highlight w:val="none"/>
        </w:rPr>
        <w:t>①焊接车间</w:t>
      </w:r>
      <w:bookmarkEnd w:id="1875"/>
      <w:bookmarkStart w:id="1876" w:name="pindex13192"/>
      <w:bookmarkEnd w:id="1876"/>
    </w:p>
    <w:p w14:paraId="26516AF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1877" w:name="sys131930128"/>
      <w:r>
        <w:rPr>
          <w:rFonts w:hint="default" w:ascii="Times New Roman" w:hAnsi="Times New Roman" w:eastAsia="宋体" w:cs="Times New Roman"/>
          <w:color w:val="auto"/>
          <w:sz w:val="24"/>
          <w:szCs w:val="24"/>
          <w:highlight w:val="none"/>
        </w:rPr>
        <w:t>焊接车间除尘均采用常规的滤筒除尘工艺</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车间内主要烟粉尘产生工序废气收集采用除尘器自带抽风装置收集和室体内集中收集两种方式</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焊接和打磨工序均在半封闭室体内进行，废气捕集率约90%，捕集后的烟粉尘由支管汇集到主管道，再输送到</w:t>
      </w:r>
      <w:r>
        <w:rPr>
          <w:rFonts w:hint="eastAsia" w:ascii="Times New Roman" w:hAnsi="Times New Roman" w:eastAsia="宋体" w:cs="Times New Roman"/>
          <w:color w:val="auto"/>
          <w:sz w:val="24"/>
          <w:szCs w:val="24"/>
          <w:highlight w:val="none"/>
          <w:lang w:eastAsia="zh-CN"/>
        </w:rPr>
        <w:t>滤筒</w:t>
      </w:r>
      <w:r>
        <w:rPr>
          <w:rFonts w:hint="default" w:ascii="Times New Roman" w:hAnsi="Times New Roman" w:eastAsia="宋体" w:cs="Times New Roman"/>
          <w:color w:val="auto"/>
          <w:sz w:val="24"/>
          <w:szCs w:val="24"/>
          <w:highlight w:val="none"/>
        </w:rPr>
        <w:t>式除尘净化主机进行集中净化过滤。</w:t>
      </w:r>
      <w:bookmarkEnd w:id="1877"/>
    </w:p>
    <w:p w14:paraId="1957CF7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rPr>
        <w:t>车间内产生的烟粉尘经除尘处理后由屋面通风设备无组织排放。滤筒式除尘工艺在汽车整车行业运用广泛，工艺成熟稳定，类比同类项目在规范生产</w:t>
      </w:r>
      <w:r>
        <w:rPr>
          <w:rFonts w:hint="eastAsia" w:ascii="Times New Roman" w:hAnsi="Times New Roman" w:eastAsia="宋体" w:cs="Times New Roman"/>
          <w:color w:val="auto"/>
          <w:sz w:val="24"/>
          <w:szCs w:val="24"/>
          <w:highlight w:val="none"/>
          <w:lang w:eastAsia="zh-CN"/>
        </w:rPr>
        <w:t>操作</w:t>
      </w:r>
      <w:r>
        <w:rPr>
          <w:rFonts w:hint="default" w:ascii="Times New Roman" w:hAnsi="Times New Roman" w:eastAsia="宋体" w:cs="Times New Roman"/>
          <w:color w:val="auto"/>
          <w:sz w:val="24"/>
          <w:szCs w:val="24"/>
          <w:highlight w:val="none"/>
        </w:rPr>
        <w:t>的前提下，焊接车间烟粉尘采用上述处理方式后排放浓度可以满足</w:t>
      </w:r>
      <w:r>
        <w:rPr>
          <w:rFonts w:hint="default" w:ascii="Times New Roman" w:hAnsi="Times New Roman" w:eastAsia="宋体" w:cs="Times New Roman"/>
          <w:color w:val="auto"/>
          <w:sz w:val="24"/>
          <w:szCs w:val="24"/>
        </w:rPr>
        <w:t>《大气污染物综合排放标准》（DB32/4041-2021）的相应要求。</w:t>
      </w:r>
    </w:p>
    <w:p w14:paraId="4A3A1CA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rPr>
      </w:pPr>
      <w:bookmarkStart w:id="1878" w:name="_Toc31358"/>
      <w:r>
        <w:rPr>
          <w:rFonts w:hint="default" w:ascii="Times New Roman" w:hAnsi="Times New Roman" w:eastAsia="宋体" w:cs="Times New Roman"/>
          <w:color w:val="auto"/>
          <w:sz w:val="24"/>
          <w:szCs w:val="24"/>
        </w:rPr>
        <w:t>②涂装车间</w:t>
      </w:r>
      <w:bookmarkEnd w:id="1878"/>
      <w:bookmarkStart w:id="1879" w:name="pindex13195"/>
      <w:bookmarkEnd w:id="1879"/>
    </w:p>
    <w:p w14:paraId="30AD4226">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涂装车间工艺废气主要包括喷漆、流平、烘干、水性面漆热闪干、点修补、注蜡、调漆及漆渣处理废气，产生的主要污染物为漆雾及TVOC</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含二甲苯、三甲苯等挥发性有机物</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w:t>
      </w:r>
    </w:p>
    <w:p w14:paraId="19F1A752">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涂装车间漆雾采用文丘里水幕法净化处理。该方法不仅效率高，而且由于没有复杂的喷管系统和分离器，结构简单，不存在堵塞问题，整个系统的保养、管理和维修工作量小，目前该处理装置已广泛应用于国内汽车涂装生产线。国内在建或已建成的同类型汽车厂中喷漆室漆雾治理大多采用文氏喷漆室净化，通过</w:t>
      </w:r>
      <w:r>
        <w:rPr>
          <w:rFonts w:hint="eastAsia" w:ascii="Times New Roman" w:hAnsi="Times New Roman" w:eastAsia="宋体" w:cs="Times New Roman"/>
          <w:color w:val="auto"/>
          <w:sz w:val="24"/>
          <w:szCs w:val="24"/>
          <w:lang w:eastAsia="zh-CN"/>
        </w:rPr>
        <w:t>排气筒</w:t>
      </w:r>
      <w:r>
        <w:rPr>
          <w:rFonts w:hint="default" w:ascii="Times New Roman" w:hAnsi="Times New Roman" w:eastAsia="宋体" w:cs="Times New Roman"/>
          <w:color w:val="auto"/>
          <w:sz w:val="24"/>
          <w:szCs w:val="24"/>
        </w:rPr>
        <w:t>排放</w:t>
      </w:r>
      <w:r>
        <w:rPr>
          <w:rFonts w:hint="eastAsia" w:ascii="Times New Roman" w:hAnsi="Times New Roman" w:eastAsia="宋体" w:cs="Times New Roman"/>
          <w:color w:val="auto"/>
          <w:sz w:val="24"/>
          <w:szCs w:val="24"/>
          <w:lang w:eastAsia="zh-CN"/>
        </w:rPr>
        <w:t>，排气筒</w:t>
      </w:r>
      <w:r>
        <w:rPr>
          <w:rFonts w:hint="default" w:ascii="Times New Roman" w:hAnsi="Times New Roman" w:eastAsia="宋体" w:cs="Times New Roman"/>
          <w:color w:val="auto"/>
          <w:sz w:val="24"/>
          <w:szCs w:val="24"/>
        </w:rPr>
        <w:t>高度根据汽车产量及喷漆室工作负荷的不同而不同。采用该方法，漆雾净化效率可达98%以上涂装车间喷漆采取燃烧法、吸附法进行处理，目前最常采用的是吸附法，尤其是蜂窝式沸石分子筛转轮浓缩吸附法。采用蜂窝式沸石分子筛转轮浓缩+RTO焚烧装置处理清漆喷漆</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含流平</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及面漆底色漆热闪干有机废气。涂装车间</w:t>
      </w:r>
      <w:r>
        <w:rPr>
          <w:rFonts w:hint="eastAsia" w:ascii="Times New Roman" w:hAnsi="Times New Roman" w:eastAsia="宋体" w:cs="Times New Roman"/>
          <w:color w:val="auto"/>
          <w:sz w:val="24"/>
          <w:szCs w:val="24"/>
          <w:lang w:eastAsia="zh-CN"/>
        </w:rPr>
        <w:t>小修</w:t>
      </w:r>
      <w:r>
        <w:rPr>
          <w:rFonts w:hint="default" w:ascii="Times New Roman" w:hAnsi="Times New Roman" w:eastAsia="宋体" w:cs="Times New Roman"/>
          <w:color w:val="auto"/>
          <w:sz w:val="24"/>
          <w:szCs w:val="24"/>
        </w:rPr>
        <w:t>点修补废气、注蜡废气采用活性炭纤维吸附装置方式进行处理，处理效率为90%，符合《吸附法工业有机废气治理工程技术规范》</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HJ2026-2013</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要求。</w:t>
      </w:r>
    </w:p>
    <w:p w14:paraId="7DEAA6A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rPr>
      </w:pPr>
      <w:bookmarkStart w:id="1880" w:name="_Toc10383"/>
      <w:r>
        <w:rPr>
          <w:rFonts w:hint="default" w:ascii="Times New Roman" w:hAnsi="Times New Roman" w:eastAsia="宋体" w:cs="Times New Roman"/>
          <w:color w:val="auto"/>
          <w:sz w:val="24"/>
          <w:szCs w:val="24"/>
        </w:rPr>
        <w:t>③冲压车间</w:t>
      </w:r>
      <w:bookmarkEnd w:id="1880"/>
      <w:bookmarkStart w:id="1881" w:name="pindex13198"/>
      <w:bookmarkEnd w:id="1881"/>
    </w:p>
    <w:p w14:paraId="6BC46CA3">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冲压车间铁件和铝件打磨过程中会产生金属粉尘。车间设置滤筒式除尘器，粉尘通过风机产生的负压进入滤筒式除尘器，经多级过滤后，净化后的空气由风道、经风机排出，净化效率达到99%。粉尘阻拦滤芯表面，当滤芯</w:t>
      </w:r>
      <w:r>
        <w:rPr>
          <w:rFonts w:hint="eastAsia" w:ascii="Times New Roman" w:hAnsi="Times New Roman" w:eastAsia="宋体" w:cs="Times New Roman"/>
          <w:color w:val="auto"/>
          <w:sz w:val="24"/>
          <w:szCs w:val="24"/>
          <w:lang w:eastAsia="zh-CN"/>
        </w:rPr>
        <w:t>内外</w:t>
      </w:r>
      <w:r>
        <w:rPr>
          <w:rFonts w:hint="default" w:ascii="Times New Roman" w:hAnsi="Times New Roman" w:eastAsia="宋体" w:cs="Times New Roman"/>
          <w:color w:val="auto"/>
          <w:sz w:val="24"/>
          <w:szCs w:val="24"/>
        </w:rPr>
        <w:t>压差达到设定值时，利用反吹清扫系统，将粉尘吹离滤芯表面，落入灰桶中回收。</w:t>
      </w:r>
    </w:p>
    <w:p w14:paraId="0ABB3D4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rPr>
      </w:pPr>
      <w:bookmarkStart w:id="1882" w:name="_Toc18595"/>
      <w:r>
        <w:rPr>
          <w:rFonts w:hint="default" w:ascii="Times New Roman" w:hAnsi="Times New Roman" w:eastAsia="宋体" w:cs="Times New Roman"/>
          <w:color w:val="auto"/>
          <w:sz w:val="24"/>
          <w:szCs w:val="24"/>
        </w:rPr>
        <w:t>2、废水处理</w:t>
      </w:r>
      <w:bookmarkEnd w:id="1882"/>
      <w:bookmarkStart w:id="1883" w:name="pindex13200"/>
      <w:bookmarkEnd w:id="1883"/>
    </w:p>
    <w:p w14:paraId="6C9B9AD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rPr>
        <w:t>生产废水主要为涂装车间洪流冲洗工序废水、脱脂工序废水、表调磷化废水、电泳工序废水、喷漆废水、打磨废水、水喷淋废水，以及总装车间淋雨试验废水等。</w:t>
      </w:r>
    </w:p>
    <w:p w14:paraId="6895361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rPr>
        <w:t>采用</w:t>
      </w:r>
      <w:r>
        <w:rPr>
          <w:rFonts w:hint="eastAsia" w:ascii="宋体" w:hAnsi="宋体" w:eastAsia="宋体" w:cs="宋体"/>
          <w:color w:val="auto"/>
          <w:sz w:val="24"/>
          <w:szCs w:val="24"/>
        </w:rPr>
        <w:t>“分类预处理+物化处理+生化处理+砂滤+</w:t>
      </w:r>
      <w:r>
        <w:rPr>
          <w:rFonts w:hint="eastAsia" w:ascii="宋体" w:hAnsi="宋体" w:eastAsia="宋体" w:cs="宋体"/>
          <w:color w:val="auto"/>
          <w:sz w:val="24"/>
          <w:szCs w:val="24"/>
          <w:highlight w:val="none"/>
        </w:rPr>
        <w:t>纳滤”</w:t>
      </w:r>
      <w:r>
        <w:rPr>
          <w:rFonts w:hint="default" w:ascii="Times New Roman" w:hAnsi="Times New Roman" w:eastAsia="宋体" w:cs="Times New Roman"/>
          <w:color w:val="auto"/>
          <w:sz w:val="24"/>
          <w:szCs w:val="24"/>
          <w:highlight w:val="none"/>
        </w:rPr>
        <w:t>处理工艺。共分为七股废水进行分质处理</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第一股废水主要包括涂装车间洪流水洗、低浓度脱脂废水和冲压车间模具清洗废水，主要预处理工艺为</w:t>
      </w:r>
      <w:r>
        <w:rPr>
          <w:rFonts w:hint="eastAsia" w:ascii="宋体" w:hAnsi="宋体" w:eastAsia="宋体" w:cs="宋体"/>
          <w:color w:val="auto"/>
          <w:sz w:val="24"/>
          <w:szCs w:val="24"/>
          <w:highlight w:val="none"/>
        </w:rPr>
        <w:t>“混凝沉淀+气浮”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第二股废水主要包括涂装车间洪流水洗槽倒槽废液、高浓度脱脂废水，主要预处理工艺为</w:t>
      </w:r>
      <w:r>
        <w:rPr>
          <w:rFonts w:hint="eastAsia" w:ascii="宋体" w:hAnsi="宋体" w:eastAsia="宋体" w:cs="宋体"/>
          <w:color w:val="auto"/>
          <w:sz w:val="24"/>
          <w:szCs w:val="24"/>
          <w:highlight w:val="none"/>
        </w:rPr>
        <w:t>“二级混凝沉淀+气浮”</w:t>
      </w:r>
      <w:r>
        <w:rPr>
          <w:rFonts w:hint="default" w:ascii="Times New Roman" w:hAnsi="Times New Roman" w:eastAsia="宋体" w:cs="Times New Roman"/>
          <w:color w:val="auto"/>
          <w:sz w:val="24"/>
          <w:szCs w:val="24"/>
          <w:highlight w:val="none"/>
          <w:lang w:eastAsia="zh-CN"/>
        </w:rPr>
        <w:t>；</w:t>
      </w:r>
      <w:bookmarkStart w:id="1884" w:name="sys1320215051"/>
      <w:r>
        <w:rPr>
          <w:rFonts w:hint="default" w:ascii="Times New Roman" w:hAnsi="Times New Roman" w:eastAsia="宋体" w:cs="Times New Roman"/>
          <w:color w:val="auto"/>
          <w:sz w:val="24"/>
          <w:szCs w:val="24"/>
          <w:highlight w:val="none"/>
        </w:rPr>
        <w:t>第三股废水主要包括处理涂装车间高浓度表调、磷化、钝化废水，主要预处理工艺为</w:t>
      </w:r>
      <w:r>
        <w:rPr>
          <w:rFonts w:hint="eastAsia" w:ascii="宋体" w:hAnsi="宋体" w:eastAsia="宋体" w:cs="宋体"/>
          <w:color w:val="auto"/>
          <w:sz w:val="24"/>
          <w:szCs w:val="24"/>
          <w:highlight w:val="none"/>
        </w:rPr>
        <w:t>“二级混凝沉</w:t>
      </w:r>
      <w:r>
        <w:rPr>
          <w:rFonts w:hint="default" w:ascii="Times New Roman" w:hAnsi="Times New Roman" w:eastAsia="宋体" w:cs="Times New Roman"/>
          <w:color w:val="auto"/>
          <w:sz w:val="24"/>
          <w:szCs w:val="24"/>
          <w:highlight w:val="none"/>
        </w:rPr>
        <w:t>淀+pH调</w:t>
      </w:r>
      <w:r>
        <w:rPr>
          <w:rFonts w:hint="eastAsia" w:ascii="宋体" w:hAnsi="宋体" w:eastAsia="宋体" w:cs="宋体"/>
          <w:color w:val="auto"/>
          <w:sz w:val="24"/>
          <w:szCs w:val="24"/>
          <w:highlight w:val="none"/>
        </w:rPr>
        <w:t>节”</w:t>
      </w:r>
      <w:r>
        <w:rPr>
          <w:rFonts w:hint="default" w:ascii="Times New Roman" w:hAnsi="Times New Roman" w:eastAsia="宋体" w:cs="Times New Roman"/>
          <w:color w:val="auto"/>
          <w:sz w:val="24"/>
          <w:szCs w:val="24"/>
          <w:highlight w:val="none"/>
          <w:lang w:eastAsia="zh-CN"/>
        </w:rPr>
        <w:t>；</w:t>
      </w:r>
      <w:bookmarkEnd w:id="1884"/>
      <w:bookmarkStart w:id="1885" w:name="sys1320220144"/>
      <w:r>
        <w:rPr>
          <w:rFonts w:hint="default" w:ascii="Times New Roman" w:hAnsi="Times New Roman" w:eastAsia="宋体" w:cs="Times New Roman"/>
          <w:color w:val="auto"/>
          <w:sz w:val="24"/>
          <w:szCs w:val="24"/>
          <w:highlight w:val="none"/>
        </w:rPr>
        <w:t>第四股废水主要包括涂装车间低浓度磷化、钝化废水，主要预处理工艺为</w:t>
      </w:r>
      <w:r>
        <w:rPr>
          <w:rFonts w:hint="eastAsia" w:ascii="宋体" w:hAnsi="宋体" w:eastAsia="宋体" w:cs="宋体"/>
          <w:color w:val="auto"/>
          <w:sz w:val="24"/>
          <w:szCs w:val="24"/>
          <w:highlight w:val="none"/>
        </w:rPr>
        <w:t>“混</w:t>
      </w:r>
      <w:r>
        <w:rPr>
          <w:rFonts w:hint="default" w:ascii="Times New Roman" w:hAnsi="Times New Roman" w:eastAsia="宋体" w:cs="Times New Roman"/>
          <w:color w:val="auto"/>
          <w:sz w:val="24"/>
          <w:szCs w:val="24"/>
          <w:highlight w:val="none"/>
        </w:rPr>
        <w:t>凝沉淀+pH调节</w:t>
      </w:r>
      <w:r>
        <w:rPr>
          <w:rFonts w:hint="eastAsia" w:ascii="宋体" w:hAnsi="宋体" w:eastAsia="宋体" w:cs="宋体"/>
          <w:color w:val="auto"/>
          <w:sz w:val="24"/>
          <w:szCs w:val="24"/>
          <w:highlight w:val="none"/>
        </w:rPr>
        <w:t>”</w:t>
      </w:r>
      <w:r>
        <w:rPr>
          <w:rFonts w:hint="default" w:ascii="Times New Roman" w:hAnsi="Times New Roman" w:eastAsia="宋体" w:cs="Times New Roman"/>
          <w:color w:val="auto"/>
          <w:sz w:val="24"/>
          <w:szCs w:val="24"/>
          <w:highlight w:val="none"/>
          <w:lang w:eastAsia="zh-CN"/>
        </w:rPr>
        <w:t>；</w:t>
      </w:r>
      <w:bookmarkEnd w:id="1885"/>
      <w:bookmarkStart w:id="1886" w:name="sys1320224553"/>
      <w:r>
        <w:rPr>
          <w:rFonts w:hint="default" w:ascii="Times New Roman" w:hAnsi="Times New Roman" w:eastAsia="宋体" w:cs="Times New Roman"/>
          <w:color w:val="auto"/>
          <w:sz w:val="24"/>
          <w:szCs w:val="24"/>
          <w:highlight w:val="none"/>
        </w:rPr>
        <w:t>第五股废水主要包括涂装车间高浓度电泳废水和文丘里净化装置废水，主要预处理工艺为</w:t>
      </w:r>
      <w:r>
        <w:rPr>
          <w:rFonts w:hint="eastAsia" w:ascii="宋体" w:hAnsi="宋体" w:eastAsia="宋体" w:cs="宋体"/>
          <w:color w:val="auto"/>
          <w:sz w:val="24"/>
          <w:szCs w:val="24"/>
          <w:highlight w:val="none"/>
        </w:rPr>
        <w:t>“二级</w:t>
      </w:r>
      <w:r>
        <w:rPr>
          <w:rFonts w:hint="default" w:ascii="Times New Roman" w:hAnsi="Times New Roman" w:eastAsia="宋体" w:cs="Times New Roman"/>
          <w:color w:val="auto"/>
          <w:sz w:val="24"/>
          <w:szCs w:val="24"/>
          <w:highlight w:val="none"/>
        </w:rPr>
        <w:t>混凝沉淀+pH调节</w:t>
      </w:r>
      <w:r>
        <w:rPr>
          <w:rFonts w:hint="eastAsia" w:ascii="宋体" w:hAnsi="宋体" w:eastAsia="宋体" w:cs="宋体"/>
          <w:color w:val="auto"/>
          <w:sz w:val="24"/>
          <w:szCs w:val="24"/>
          <w:highlight w:val="none"/>
        </w:rPr>
        <w:t>”</w:t>
      </w:r>
      <w:r>
        <w:rPr>
          <w:rFonts w:hint="default" w:ascii="Times New Roman" w:hAnsi="Times New Roman" w:eastAsia="宋体" w:cs="Times New Roman"/>
          <w:color w:val="auto"/>
          <w:sz w:val="24"/>
          <w:szCs w:val="24"/>
          <w:highlight w:val="none"/>
          <w:lang w:eastAsia="zh-CN"/>
        </w:rPr>
        <w:t>；</w:t>
      </w:r>
      <w:bookmarkEnd w:id="1886"/>
      <w:bookmarkStart w:id="1887" w:name="sys1320229846"/>
      <w:r>
        <w:rPr>
          <w:rFonts w:hint="default" w:ascii="Times New Roman" w:hAnsi="Times New Roman" w:eastAsia="宋体" w:cs="Times New Roman"/>
          <w:color w:val="auto"/>
          <w:sz w:val="24"/>
          <w:szCs w:val="24"/>
          <w:highlight w:val="none"/>
        </w:rPr>
        <w:t>第六股废水主要包括涂装车间电泳低浓度废水及打磨废水，主要预处理工艺为</w:t>
      </w:r>
      <w:r>
        <w:rPr>
          <w:rFonts w:hint="eastAsia" w:ascii="宋体" w:hAnsi="宋体" w:eastAsia="宋体" w:cs="宋体"/>
          <w:color w:val="auto"/>
          <w:sz w:val="24"/>
          <w:szCs w:val="24"/>
          <w:highlight w:val="none"/>
        </w:rPr>
        <w:t>“混</w:t>
      </w:r>
      <w:r>
        <w:rPr>
          <w:rFonts w:hint="default" w:ascii="Times New Roman" w:hAnsi="Times New Roman" w:eastAsia="宋体" w:cs="Times New Roman"/>
          <w:color w:val="auto"/>
          <w:sz w:val="24"/>
          <w:szCs w:val="24"/>
          <w:highlight w:val="none"/>
        </w:rPr>
        <w:t>凝沉淀+pH调节</w:t>
      </w:r>
      <w:r>
        <w:rPr>
          <w:rFonts w:hint="eastAsia" w:ascii="宋体" w:hAnsi="宋体" w:eastAsia="宋体" w:cs="宋体"/>
          <w:color w:val="auto"/>
          <w:sz w:val="24"/>
          <w:szCs w:val="24"/>
          <w:highlight w:val="none"/>
        </w:rPr>
        <w:t>”</w:t>
      </w:r>
      <w:r>
        <w:rPr>
          <w:rFonts w:hint="default" w:ascii="Times New Roman" w:hAnsi="Times New Roman" w:eastAsia="宋体" w:cs="Times New Roman"/>
          <w:color w:val="auto"/>
          <w:sz w:val="24"/>
          <w:szCs w:val="24"/>
          <w:highlight w:val="none"/>
          <w:lang w:eastAsia="zh-CN"/>
        </w:rPr>
        <w:t>；</w:t>
      </w:r>
      <w:bookmarkEnd w:id="1887"/>
      <w:r>
        <w:rPr>
          <w:rFonts w:hint="default" w:ascii="Times New Roman" w:hAnsi="Times New Roman" w:eastAsia="宋体" w:cs="Times New Roman"/>
          <w:color w:val="auto"/>
          <w:sz w:val="24"/>
          <w:szCs w:val="24"/>
          <w:highlight w:val="none"/>
        </w:rPr>
        <w:t>以上六股废水经预处理后与总装车间产生的淋雨试验室废水及生活污水混合</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经</w:t>
      </w:r>
      <w:r>
        <w:rPr>
          <w:rFonts w:hint="eastAsia" w:ascii="宋体" w:hAnsi="宋体" w:eastAsia="宋体" w:cs="宋体"/>
          <w:color w:val="auto"/>
          <w:sz w:val="24"/>
          <w:szCs w:val="24"/>
          <w:highlight w:val="none"/>
        </w:rPr>
        <w:t>“生化池生化处理+混凝沉淀+砂滤”处理</w:t>
      </w:r>
      <w:r>
        <w:rPr>
          <w:rFonts w:hint="default" w:ascii="Times New Roman" w:hAnsi="Times New Roman" w:eastAsia="宋体" w:cs="Times New Roman"/>
          <w:color w:val="auto"/>
          <w:sz w:val="24"/>
          <w:szCs w:val="24"/>
          <w:highlight w:val="none"/>
        </w:rPr>
        <w:t>后部分接管污水处理厂，部分经纳滤后回用到循环冷却水站作补给水。</w:t>
      </w:r>
    </w:p>
    <w:p w14:paraId="30ED586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1888" w:name="_Toc9793"/>
      <w:r>
        <w:rPr>
          <w:rFonts w:hint="default" w:ascii="Times New Roman" w:hAnsi="Times New Roman" w:eastAsia="宋体" w:cs="Times New Roman"/>
          <w:color w:val="auto"/>
          <w:sz w:val="24"/>
          <w:szCs w:val="24"/>
          <w:highlight w:val="none"/>
        </w:rPr>
        <w:t>3、固废处理</w:t>
      </w:r>
      <w:bookmarkEnd w:id="1888"/>
      <w:bookmarkStart w:id="1889" w:name="pindex13203"/>
      <w:bookmarkEnd w:id="1889"/>
    </w:p>
    <w:p w14:paraId="19E99F5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企业产生的固废主要是冲压车间产生的剪板落料金属渣、废油、油漆车间产生的喷漆渣、生产过程产生的沾染性废物、涂料废液、包装容器、废溶剂及磷化渣、污水处理站污泥、生活垃圾等。各类危险废物均委托有资质处置单位集中处理。</w:t>
      </w:r>
    </w:p>
    <w:p w14:paraId="664C9E06">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9"/>
        <w:rPr>
          <w:rFonts w:hint="default" w:ascii="Times New Roman" w:hAnsi="Times New Roman" w:eastAsia="宋体" w:cs="Times New Roman"/>
          <w:b/>
          <w:bCs/>
          <w:color w:val="auto"/>
          <w:sz w:val="24"/>
          <w:szCs w:val="24"/>
          <w:highlight w:val="none"/>
          <w:lang w:val="en-US" w:eastAsia="zh-CN"/>
        </w:rPr>
      </w:pPr>
      <w:bookmarkStart w:id="1890" w:name="_Toc24009"/>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HYPERLINK "6.5.3.2"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6.5.3.2</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t>智能电网产业</w:t>
      </w:r>
      <w:bookmarkEnd w:id="1890"/>
      <w:bookmarkStart w:id="1891" w:name="pindex13205"/>
      <w:bookmarkEnd w:id="1891"/>
    </w:p>
    <w:p w14:paraId="6FA61E4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eastAsia" w:ascii="宋体" w:hAnsi="宋体" w:eastAsia="宋体" w:cs="宋体"/>
          <w:color w:val="auto"/>
          <w:sz w:val="24"/>
          <w:szCs w:val="24"/>
          <w:highlight w:val="none"/>
        </w:rPr>
      </w:pPr>
      <w:bookmarkStart w:id="1892" w:name="sys132060120"/>
      <w:r>
        <w:rPr>
          <w:rFonts w:hint="eastAsia" w:ascii="宋体" w:hAnsi="宋体" w:eastAsia="宋体" w:cs="宋体"/>
          <w:color w:val="auto"/>
          <w:sz w:val="24"/>
          <w:szCs w:val="24"/>
          <w:highlight w:val="none"/>
        </w:rPr>
        <w:t>开发区目前已聚集了南瑞继保、国电南自、金智科技等多家企业，产品包括电力一次设备、二次设备研发制造，以二次设备为主，涉及电力设备输变电设备、电器设备、电厂电网监控设备、电力终端设备等几乎所有与电力生产、传输、监控、使用、维护有关的设备和服务。</w:t>
      </w:r>
      <w:bookmarkEnd w:id="1892"/>
      <w:r>
        <w:rPr>
          <w:rFonts w:hint="eastAsia" w:ascii="宋体" w:hAnsi="宋体" w:eastAsia="宋体" w:cs="宋体"/>
          <w:color w:val="auto"/>
          <w:sz w:val="24"/>
          <w:szCs w:val="24"/>
          <w:highlight w:val="none"/>
        </w:rPr>
        <w:t>本次主要对国电南瑞科技股份有限公司污染防治措施进行分析。</w:t>
      </w:r>
    </w:p>
    <w:p w14:paraId="56F9EA8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1893" w:name="_Toc26681"/>
      <w:r>
        <w:rPr>
          <w:rFonts w:hint="default" w:ascii="Times New Roman" w:hAnsi="Times New Roman" w:eastAsia="宋体" w:cs="Times New Roman"/>
          <w:color w:val="auto"/>
          <w:sz w:val="24"/>
          <w:szCs w:val="24"/>
          <w:highlight w:val="none"/>
        </w:rPr>
        <w:t>1、废气处理</w:t>
      </w:r>
      <w:bookmarkEnd w:id="1893"/>
      <w:bookmarkStart w:id="1894" w:name="pindex13207"/>
      <w:bookmarkEnd w:id="1894"/>
    </w:p>
    <w:p w14:paraId="19E5413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eastAsia" w:ascii="Times New Roman" w:hAnsi="Times New Roman" w:eastAsia="宋体" w:cs="Times New Roman"/>
          <w:color w:val="auto"/>
          <w:sz w:val="24"/>
          <w:szCs w:val="24"/>
          <w:highlight w:val="none"/>
        </w:rPr>
      </w:pPr>
      <w:bookmarkStart w:id="1895" w:name="_Toc3907"/>
      <w:r>
        <w:rPr>
          <w:rFonts w:hint="eastAsia" w:ascii="Times New Roman" w:hAnsi="Times New Roman" w:eastAsia="宋体" w:cs="Times New Roman"/>
          <w:color w:val="auto"/>
          <w:sz w:val="24"/>
          <w:szCs w:val="24"/>
          <w:highlight w:val="none"/>
        </w:rPr>
        <w:t>①焊接废气</w:t>
      </w:r>
      <w:bookmarkEnd w:id="1895"/>
      <w:bookmarkStart w:id="1896" w:name="pindex13208"/>
      <w:bookmarkEnd w:id="1896"/>
    </w:p>
    <w:p w14:paraId="29A7030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宋体" w:hAnsi="宋体" w:eastAsia="宋体" w:cs="宋体"/>
          <w:color w:val="auto"/>
          <w:sz w:val="24"/>
          <w:szCs w:val="24"/>
          <w:highlight w:val="none"/>
        </w:rPr>
      </w:pPr>
      <w:bookmarkStart w:id="1897" w:name="sys132090149"/>
      <w:r>
        <w:rPr>
          <w:rFonts w:hint="eastAsia" w:ascii="宋体" w:hAnsi="宋体" w:eastAsia="宋体" w:cs="宋体"/>
          <w:color w:val="auto"/>
          <w:sz w:val="24"/>
          <w:szCs w:val="24"/>
          <w:highlight w:val="none"/>
        </w:rPr>
        <w:t>焊接废气除尘均采用常规的滤筒除尘工艺</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该工艺对烟粉尘的净化效率可达</w:t>
      </w:r>
      <w:r>
        <w:rPr>
          <w:rFonts w:hint="default" w:ascii="Times New Roman" w:hAnsi="Times New Roman" w:eastAsia="宋体" w:cs="Times New Roman"/>
          <w:color w:val="auto"/>
          <w:sz w:val="24"/>
          <w:szCs w:val="24"/>
          <w:highlight w:val="none"/>
        </w:rPr>
        <w:t>到95%以上</w:t>
      </w:r>
      <w:r>
        <w:rPr>
          <w:rFonts w:hint="eastAsia" w:ascii="宋体" w:hAnsi="宋体" w:eastAsia="宋体" w:cs="宋体"/>
          <w:color w:val="auto"/>
          <w:sz w:val="24"/>
          <w:szCs w:val="24"/>
          <w:highlight w:val="none"/>
        </w:rPr>
        <w:t>。</w:t>
      </w:r>
      <w:bookmarkStart w:id="1898" w:name="sys1320940109"/>
      <w:r>
        <w:rPr>
          <w:rFonts w:hint="eastAsia" w:ascii="宋体" w:hAnsi="宋体" w:eastAsia="宋体" w:cs="宋体"/>
          <w:color w:val="auto"/>
          <w:sz w:val="24"/>
          <w:szCs w:val="24"/>
          <w:highlight w:val="none"/>
        </w:rPr>
        <w:t>车间内主要烟粉尘产生工序废气收集采用除尘器自带抽风装置收集和室体内集中收集两种方式，焊接和打磨工序均在半封闭室体内进行，废气捕集率约</w:t>
      </w:r>
      <w:r>
        <w:rPr>
          <w:rFonts w:hint="default"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0%，捕</w:t>
      </w:r>
      <w:r>
        <w:rPr>
          <w:rFonts w:hint="eastAsia" w:ascii="宋体" w:hAnsi="宋体" w:eastAsia="宋体" w:cs="宋体"/>
          <w:color w:val="auto"/>
          <w:sz w:val="24"/>
          <w:szCs w:val="24"/>
          <w:highlight w:val="none"/>
        </w:rPr>
        <w:t>集后的烟粉尘由支管汇集到主管道，再输送到滤筒式除尘净化主机进行集中净化过滤。</w:t>
      </w:r>
      <w:bookmarkEnd w:id="1897"/>
      <w:bookmarkEnd w:id="1898"/>
    </w:p>
    <w:p w14:paraId="5AECBBD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eastAsia" w:ascii="宋体" w:hAnsi="宋体" w:eastAsia="宋体" w:cs="宋体"/>
          <w:color w:val="auto"/>
          <w:sz w:val="24"/>
          <w:szCs w:val="24"/>
          <w:highlight w:val="none"/>
        </w:rPr>
      </w:pPr>
      <w:bookmarkStart w:id="1899" w:name="_Toc31432"/>
      <w:r>
        <w:rPr>
          <w:rFonts w:hint="eastAsia" w:ascii="宋体" w:hAnsi="宋体" w:eastAsia="宋体" w:cs="宋体"/>
          <w:color w:val="auto"/>
          <w:sz w:val="24"/>
          <w:szCs w:val="24"/>
          <w:highlight w:val="none"/>
        </w:rPr>
        <w:t>②塑封、点胶废气</w:t>
      </w:r>
      <w:bookmarkEnd w:id="1899"/>
      <w:bookmarkStart w:id="1900" w:name="pindex13210"/>
      <w:bookmarkEnd w:id="1900"/>
    </w:p>
    <w:p w14:paraId="0AAA4B8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宋体" w:hAnsi="宋体" w:eastAsia="宋体" w:cs="宋体"/>
          <w:color w:val="auto"/>
          <w:sz w:val="24"/>
          <w:szCs w:val="24"/>
          <w:highlight w:val="none"/>
          <w:lang w:val="en-US" w:eastAsia="zh-CN"/>
        </w:rPr>
      </w:pPr>
      <w:bookmarkStart w:id="1901" w:name="sys13211062"/>
      <w:r>
        <w:rPr>
          <w:rFonts w:hint="eastAsia" w:ascii="宋体" w:hAnsi="宋体" w:eastAsia="宋体" w:cs="宋体"/>
          <w:color w:val="auto"/>
          <w:sz w:val="24"/>
          <w:szCs w:val="24"/>
          <w:highlight w:val="none"/>
        </w:rPr>
        <w:t>塑封、点胶过程中产生有机废气，主要为非甲烷总烃和</w:t>
      </w:r>
      <w:r>
        <w:rPr>
          <w:rFonts w:hint="default" w:ascii="Times New Roman" w:hAnsi="Times New Roman" w:eastAsia="宋体" w:cs="Times New Roman"/>
          <w:color w:val="auto"/>
          <w:sz w:val="24"/>
          <w:szCs w:val="24"/>
          <w:highlight w:val="none"/>
        </w:rPr>
        <w:t>VOCs等</w:t>
      </w:r>
      <w:r>
        <w:rPr>
          <w:rFonts w:hint="eastAsia" w:ascii="宋体" w:hAnsi="宋体" w:eastAsia="宋体" w:cs="宋体"/>
          <w:color w:val="auto"/>
          <w:sz w:val="24"/>
          <w:szCs w:val="24"/>
          <w:highlight w:val="none"/>
        </w:rPr>
        <w:t>，收集通过金属过滤网+活性炭吸附装置处理后经15m高的</w:t>
      </w:r>
      <w:r>
        <w:rPr>
          <w:rFonts w:hint="eastAsia" w:ascii="宋体" w:hAnsi="宋体" w:eastAsia="宋体" w:cs="宋体"/>
          <w:color w:val="auto"/>
          <w:sz w:val="24"/>
          <w:szCs w:val="24"/>
          <w:highlight w:val="none"/>
          <w:lang w:eastAsia="zh-CN"/>
        </w:rPr>
        <w:t>排气筒</w:t>
      </w:r>
      <w:r>
        <w:rPr>
          <w:rFonts w:hint="eastAsia" w:ascii="宋体" w:hAnsi="宋体" w:eastAsia="宋体" w:cs="宋体"/>
          <w:color w:val="auto"/>
          <w:sz w:val="24"/>
          <w:szCs w:val="24"/>
          <w:highlight w:val="none"/>
        </w:rPr>
        <w:t>排放。</w:t>
      </w:r>
      <w:bookmarkEnd w:id="1901"/>
    </w:p>
    <w:p w14:paraId="065E89F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8" w:firstLineChars="200"/>
        <w:textAlignment w:val="baseline"/>
        <w:outlineLvl w:val="9"/>
        <w:rPr>
          <w:rFonts w:ascii="宋体" w:hAnsi="宋体" w:eastAsia="宋体" w:cs="宋体"/>
          <w:color w:val="auto"/>
          <w:spacing w:val="-2"/>
          <w:sz w:val="24"/>
          <w:szCs w:val="24"/>
          <w:highlight w:val="none"/>
        </w:rPr>
      </w:pPr>
      <w:bookmarkStart w:id="1902" w:name="_Toc15164"/>
      <w:r>
        <w:rPr>
          <w:rFonts w:ascii="Times New Roman" w:hAnsi="Times New Roman" w:eastAsia="Times New Roman" w:cs="Times New Roman"/>
          <w:color w:val="auto"/>
          <w:spacing w:val="-3"/>
          <w:sz w:val="24"/>
          <w:szCs w:val="24"/>
          <w:highlight w:val="none"/>
          <w:lang w:val="en-US" w:eastAsia="en-US"/>
        </w:rPr>
        <w:t>2、</w:t>
      </w:r>
      <w:r>
        <w:rPr>
          <w:rFonts w:ascii="宋体" w:hAnsi="宋体" w:eastAsia="宋体" w:cs="宋体"/>
          <w:color w:val="auto"/>
          <w:spacing w:val="-2"/>
          <w:sz w:val="24"/>
          <w:szCs w:val="24"/>
          <w:highlight w:val="none"/>
        </w:rPr>
        <w:t>废水处理</w:t>
      </w:r>
      <w:bookmarkEnd w:id="1902"/>
      <w:bookmarkStart w:id="1903" w:name="pindex13212"/>
      <w:bookmarkEnd w:id="1903"/>
    </w:p>
    <w:p w14:paraId="3312B036">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76" w:firstLineChars="200"/>
        <w:textAlignment w:val="baseline"/>
        <w:rPr>
          <w:rFonts w:ascii="宋体" w:hAnsi="宋体" w:eastAsia="宋体" w:cs="宋体"/>
          <w:color w:val="auto"/>
          <w:sz w:val="24"/>
          <w:szCs w:val="24"/>
          <w:highlight w:val="none"/>
        </w:rPr>
      </w:pPr>
      <w:r>
        <w:rPr>
          <w:rFonts w:hint="eastAsia" w:ascii="宋体" w:hAnsi="宋体" w:eastAsia="宋体" w:cs="宋体"/>
          <w:color w:val="auto"/>
          <w:spacing w:val="-1"/>
          <w:sz w:val="24"/>
          <w:szCs w:val="24"/>
          <w:highlight w:val="none"/>
        </w:rPr>
        <w:t>该产业主要废水为员工生活污水、晶圆切割废水和循环冷却水。</w:t>
      </w:r>
      <w:bookmarkStart w:id="1904" w:name="sys1321328112"/>
      <w:r>
        <w:rPr>
          <w:rFonts w:hint="eastAsia" w:ascii="宋体" w:hAnsi="宋体" w:eastAsia="宋体" w:cs="宋体"/>
          <w:color w:val="auto"/>
          <w:spacing w:val="-1"/>
          <w:sz w:val="24"/>
          <w:szCs w:val="24"/>
          <w:highlight w:val="none"/>
        </w:rPr>
        <w:t>项目产生的生活污水由厂区化粪池处理后达到《污水综合排放标准》</w:t>
      </w:r>
      <w:r>
        <w:rPr>
          <w:rFonts w:hint="eastAsia" w:ascii="宋体" w:hAnsi="宋体" w:eastAsia="宋体" w:cs="宋体"/>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GB8978-1996</w:t>
      </w:r>
      <w:r>
        <w:rPr>
          <w:rFonts w:hint="eastAsia" w:ascii="Times New Roman" w:hAnsi="Times New Roman" w:eastAsia="宋体" w:cs="Times New Roman"/>
          <w:color w:val="auto"/>
          <w:spacing w:val="-1"/>
          <w:sz w:val="24"/>
          <w:szCs w:val="24"/>
          <w:highlight w:val="none"/>
          <w:lang w:eastAsia="zh-CN"/>
        </w:rPr>
        <w:t>）</w:t>
      </w:r>
      <w:r>
        <w:rPr>
          <w:rFonts w:hint="eastAsia" w:ascii="宋体" w:hAnsi="宋体" w:eastAsia="宋体" w:cs="宋体"/>
          <w:color w:val="auto"/>
          <w:spacing w:val="-1"/>
          <w:sz w:val="24"/>
          <w:szCs w:val="24"/>
          <w:highlight w:val="none"/>
        </w:rPr>
        <w:t>表</w:t>
      </w:r>
      <w:r>
        <w:rPr>
          <w:rFonts w:hint="default" w:ascii="Times New Roman" w:hAnsi="Times New Roman" w:eastAsia="宋体" w:cs="Times New Roman"/>
          <w:color w:val="auto"/>
          <w:spacing w:val="-1"/>
          <w:sz w:val="24"/>
          <w:szCs w:val="24"/>
          <w:highlight w:val="none"/>
        </w:rPr>
        <w:t>4</w:t>
      </w:r>
      <w:r>
        <w:rPr>
          <w:rFonts w:hint="eastAsia" w:ascii="宋体" w:hAnsi="宋体" w:eastAsia="宋体" w:cs="宋体"/>
          <w:color w:val="auto"/>
          <w:spacing w:val="-1"/>
          <w:sz w:val="24"/>
          <w:szCs w:val="24"/>
          <w:highlight w:val="none"/>
        </w:rPr>
        <w:t>三级标准，晶圆切割废水和循环冷却水经沉淀池处理后，与生活污水混合后，由市政污水管网接入</w:t>
      </w:r>
      <w:r>
        <w:rPr>
          <w:rFonts w:hint="eastAsia" w:ascii="宋体" w:hAnsi="宋体" w:eastAsia="宋体" w:cs="宋体"/>
          <w:color w:val="auto"/>
          <w:spacing w:val="-1"/>
          <w:sz w:val="24"/>
          <w:szCs w:val="24"/>
          <w:highlight w:val="none"/>
          <w:lang w:eastAsia="zh-CN"/>
        </w:rPr>
        <w:t>污水处理厂</w:t>
      </w:r>
      <w:r>
        <w:rPr>
          <w:rFonts w:hint="eastAsia" w:ascii="宋体" w:hAnsi="宋体" w:eastAsia="宋体" w:cs="宋体"/>
          <w:color w:val="auto"/>
          <w:spacing w:val="-1"/>
          <w:sz w:val="24"/>
          <w:szCs w:val="24"/>
          <w:highlight w:val="none"/>
        </w:rPr>
        <w:t>深度处理，尾水达准后排入相应纳污水体。</w:t>
      </w:r>
      <w:bookmarkEnd w:id="1904"/>
    </w:p>
    <w:p w14:paraId="216B2420">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2" w:line="360" w:lineRule="auto"/>
        <w:ind w:left="518" w:leftChars="0"/>
        <w:textAlignment w:val="baseline"/>
        <w:outlineLvl w:val="9"/>
        <w:rPr>
          <w:rFonts w:ascii="宋体" w:hAnsi="宋体" w:eastAsia="宋体" w:cs="宋体"/>
          <w:color w:val="auto"/>
          <w:spacing w:val="-3"/>
          <w:sz w:val="24"/>
          <w:szCs w:val="24"/>
          <w:highlight w:val="none"/>
        </w:rPr>
      </w:pPr>
      <w:bookmarkStart w:id="1905" w:name="_Toc16905"/>
      <w:r>
        <w:rPr>
          <w:rFonts w:ascii="Times New Roman" w:hAnsi="Times New Roman" w:eastAsia="Times New Roman" w:cs="Times New Roman"/>
          <w:color w:val="auto"/>
          <w:spacing w:val="-3"/>
          <w:sz w:val="24"/>
          <w:szCs w:val="24"/>
          <w:highlight w:val="none"/>
          <w:lang w:val="en-US" w:eastAsia="en-US"/>
        </w:rPr>
        <w:t>3、</w:t>
      </w:r>
      <w:r>
        <w:rPr>
          <w:rFonts w:ascii="宋体" w:hAnsi="宋体" w:eastAsia="宋体" w:cs="宋体"/>
          <w:color w:val="auto"/>
          <w:spacing w:val="-3"/>
          <w:sz w:val="24"/>
          <w:szCs w:val="24"/>
          <w:highlight w:val="none"/>
        </w:rPr>
        <w:t>固废处理</w:t>
      </w:r>
      <w:bookmarkEnd w:id="1905"/>
      <w:bookmarkStart w:id="1906" w:name="pindex13214"/>
      <w:bookmarkEnd w:id="1906"/>
    </w:p>
    <w:p w14:paraId="6D356B32">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32" w:line="360" w:lineRule="auto"/>
        <w:ind w:firstLine="480" w:firstLineChars="200"/>
        <w:textAlignment w:val="baseline"/>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该产业主要固废废物有废线路板及覆铜板边角料、废过滤网及活性炭、废气包装容器、废酒精等。各类危险废物均委托有资质处置单位集中处理</w:t>
      </w:r>
      <w:r>
        <w:rPr>
          <w:rFonts w:hint="eastAsia" w:ascii="宋体" w:hAnsi="宋体" w:eastAsia="宋体" w:cs="宋体"/>
          <w:color w:val="auto"/>
          <w:sz w:val="24"/>
          <w:szCs w:val="24"/>
          <w:highlight w:val="none"/>
          <w:lang w:val="en-US" w:eastAsia="zh-CN"/>
        </w:rPr>
        <w:t>。</w:t>
      </w:r>
    </w:p>
    <w:p w14:paraId="1D2E80BF">
      <w:pPr>
        <w:spacing w:before="79" w:line="220" w:lineRule="auto"/>
        <w:outlineLvl w:val="9"/>
        <w:rPr>
          <w:rFonts w:hint="default" w:ascii="Times New Roman" w:hAnsi="Times New Roman" w:eastAsia="宋体" w:cs="Times New Roman"/>
          <w:b/>
          <w:bCs/>
          <w:color w:val="auto"/>
          <w:sz w:val="24"/>
          <w:szCs w:val="24"/>
          <w:highlight w:val="none"/>
        </w:rPr>
      </w:pPr>
      <w:bookmarkStart w:id="1907" w:name="_Toc8601"/>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HYPERLINK "6.5.3.3"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6.5.3.3</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t>电子信息产业</w:t>
      </w:r>
      <w:bookmarkEnd w:id="1907"/>
      <w:bookmarkStart w:id="1908" w:name="pindex13216"/>
      <w:bookmarkEnd w:id="1908"/>
    </w:p>
    <w:p w14:paraId="3E6EF301">
      <w:pPr>
        <w:spacing w:before="182" w:line="351" w:lineRule="auto"/>
        <w:ind w:left="40" w:right="28" w:firstLine="478"/>
        <w:rPr>
          <w:rFonts w:hint="eastAsia" w:ascii="宋体" w:hAnsi="宋体" w:eastAsia="宋体" w:cs="宋体"/>
          <w:color w:val="auto"/>
          <w:spacing w:val="-3"/>
          <w:sz w:val="24"/>
          <w:szCs w:val="24"/>
          <w:highlight w:val="none"/>
        </w:rPr>
      </w:pPr>
      <w:r>
        <w:rPr>
          <w:rFonts w:ascii="宋体" w:hAnsi="宋体" w:eastAsia="宋体" w:cs="宋体"/>
          <w:color w:val="auto"/>
          <w:spacing w:val="-3"/>
          <w:sz w:val="24"/>
          <w:szCs w:val="24"/>
          <w:highlight w:val="none"/>
        </w:rPr>
        <w:t>开发区片区目前已引进</w:t>
      </w:r>
      <w:r>
        <w:rPr>
          <w:rFonts w:hint="eastAsia" w:ascii="宋体" w:hAnsi="宋体" w:eastAsia="宋体" w:cs="宋体"/>
          <w:color w:val="auto"/>
          <w:spacing w:val="-3"/>
          <w:sz w:val="24"/>
          <w:szCs w:val="24"/>
          <w:highlight w:val="none"/>
        </w:rPr>
        <w:t>华宝、英华达、爱立信、伟创力、菲尼克斯电气、代傲电子等企业。本次主要对菲尼克斯亚太电气</w:t>
      </w:r>
      <w:r>
        <w:rPr>
          <w:rFonts w:hint="eastAsia" w:ascii="宋体" w:hAnsi="宋体" w:eastAsia="宋体" w:cs="宋体"/>
          <w:color w:val="auto"/>
          <w:spacing w:val="-3"/>
          <w:sz w:val="24"/>
          <w:szCs w:val="24"/>
          <w:highlight w:val="none"/>
          <w:lang w:eastAsia="zh-CN"/>
        </w:rPr>
        <w:t>（</w:t>
      </w:r>
      <w:r>
        <w:rPr>
          <w:rFonts w:hint="eastAsia" w:ascii="宋体" w:hAnsi="宋体" w:eastAsia="宋体" w:cs="宋体"/>
          <w:color w:val="auto"/>
          <w:spacing w:val="-3"/>
          <w:sz w:val="24"/>
          <w:szCs w:val="24"/>
          <w:highlight w:val="none"/>
        </w:rPr>
        <w:t>南京</w:t>
      </w:r>
      <w:r>
        <w:rPr>
          <w:rFonts w:hint="eastAsia" w:ascii="宋体" w:hAnsi="宋体" w:eastAsia="宋体" w:cs="宋体"/>
          <w:color w:val="auto"/>
          <w:spacing w:val="-3"/>
          <w:sz w:val="24"/>
          <w:szCs w:val="24"/>
          <w:highlight w:val="none"/>
          <w:lang w:eastAsia="zh-CN"/>
        </w:rPr>
        <w:t>）</w:t>
      </w:r>
      <w:r>
        <w:rPr>
          <w:rFonts w:hint="eastAsia" w:ascii="宋体" w:hAnsi="宋体" w:eastAsia="宋体" w:cs="宋体"/>
          <w:color w:val="auto"/>
          <w:spacing w:val="-3"/>
          <w:sz w:val="24"/>
          <w:szCs w:val="24"/>
          <w:highlight w:val="none"/>
        </w:rPr>
        <w:t>有限公司污染防治措施进行分析。</w:t>
      </w:r>
    </w:p>
    <w:p w14:paraId="736F6FC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1909" w:name="_Toc435"/>
      <w:r>
        <w:rPr>
          <w:rFonts w:hint="default" w:ascii="Times New Roman" w:hAnsi="Times New Roman" w:eastAsia="宋体" w:cs="Times New Roman"/>
          <w:color w:val="auto"/>
          <w:sz w:val="24"/>
          <w:szCs w:val="24"/>
          <w:highlight w:val="none"/>
        </w:rPr>
        <w:t>1、废气处理</w:t>
      </w:r>
      <w:bookmarkEnd w:id="1909"/>
      <w:bookmarkStart w:id="1910" w:name="pindex13218"/>
      <w:bookmarkEnd w:id="1910"/>
    </w:p>
    <w:p w14:paraId="598A9FD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eastAsia" w:ascii="Times New Roman" w:hAnsi="Times New Roman" w:eastAsia="宋体" w:cs="Times New Roman"/>
          <w:color w:val="auto"/>
          <w:sz w:val="24"/>
          <w:szCs w:val="24"/>
          <w:highlight w:val="none"/>
        </w:rPr>
      </w:pPr>
      <w:bookmarkStart w:id="1911" w:name="_Toc5363"/>
      <w:r>
        <w:rPr>
          <w:rFonts w:hint="eastAsia" w:ascii="Times New Roman" w:hAnsi="Times New Roman" w:eastAsia="宋体" w:cs="Times New Roman"/>
          <w:color w:val="auto"/>
          <w:sz w:val="24"/>
          <w:szCs w:val="24"/>
          <w:highlight w:val="none"/>
        </w:rPr>
        <w:t>①切割废气</w:t>
      </w:r>
      <w:bookmarkEnd w:id="1911"/>
      <w:bookmarkStart w:id="1912" w:name="pindex13219"/>
      <w:bookmarkEnd w:id="1912"/>
    </w:p>
    <w:p w14:paraId="619B5EFC">
      <w:pPr>
        <w:keepNext w:val="0"/>
        <w:keepLines w:val="0"/>
        <w:pageBreakBefore w:val="0"/>
        <w:widowControl/>
        <w:kinsoku w:val="0"/>
        <w:wordWrap/>
        <w:overflowPunct/>
        <w:topLinePunct w:val="0"/>
        <w:autoSpaceDE w:val="0"/>
        <w:autoSpaceDN w:val="0"/>
        <w:bidi w:val="0"/>
        <w:adjustRightInd w:val="0"/>
        <w:snapToGrid w:val="0"/>
        <w:spacing w:line="360" w:lineRule="auto"/>
        <w:ind w:firstLine="476" w:firstLineChars="200"/>
        <w:textAlignment w:val="baseline"/>
        <w:outlineLvl w:val="9"/>
        <w:rPr>
          <w:rFonts w:hint="eastAsia" w:ascii="宋体" w:hAnsi="宋体" w:eastAsia="宋体" w:cs="宋体"/>
          <w:color w:val="auto"/>
          <w:spacing w:val="-1"/>
          <w:sz w:val="24"/>
          <w:szCs w:val="24"/>
          <w:highlight w:val="none"/>
        </w:rPr>
      </w:pPr>
      <w:r>
        <w:rPr>
          <w:rFonts w:hint="eastAsia" w:ascii="宋体" w:hAnsi="宋体" w:eastAsia="宋体" w:cs="宋体"/>
          <w:color w:val="auto"/>
          <w:spacing w:val="-1"/>
          <w:sz w:val="24"/>
          <w:szCs w:val="24"/>
          <w:highlight w:val="none"/>
        </w:rPr>
        <w:t>电路板分板工序会产生少量切割废气</w:t>
      </w:r>
      <w:r>
        <w:rPr>
          <w:rFonts w:hint="eastAsia" w:ascii="宋体" w:hAnsi="宋体" w:eastAsia="宋体" w:cs="宋体"/>
          <w:color w:val="auto"/>
          <w:spacing w:val="-1"/>
          <w:sz w:val="24"/>
          <w:szCs w:val="24"/>
          <w:highlight w:val="none"/>
          <w:lang w:eastAsia="zh-CN"/>
        </w:rPr>
        <w:t>，</w:t>
      </w:r>
      <w:r>
        <w:rPr>
          <w:rFonts w:hint="eastAsia" w:ascii="宋体" w:hAnsi="宋体" w:eastAsia="宋体" w:cs="宋体"/>
          <w:color w:val="auto"/>
          <w:spacing w:val="-1"/>
          <w:sz w:val="24"/>
          <w:szCs w:val="24"/>
          <w:highlight w:val="none"/>
        </w:rPr>
        <w:t>经切割设备配套的吸尘装置将粉尘废气过滤后，通过排风管道排出室外，收集的粉尘委托处置。</w:t>
      </w:r>
    </w:p>
    <w:p w14:paraId="60D63005">
      <w:pPr>
        <w:keepNext w:val="0"/>
        <w:keepLines w:val="0"/>
        <w:pageBreakBefore w:val="0"/>
        <w:widowControl/>
        <w:kinsoku w:val="0"/>
        <w:wordWrap/>
        <w:overflowPunct/>
        <w:topLinePunct w:val="0"/>
        <w:autoSpaceDE w:val="0"/>
        <w:autoSpaceDN w:val="0"/>
        <w:bidi w:val="0"/>
        <w:adjustRightInd w:val="0"/>
        <w:snapToGrid w:val="0"/>
        <w:spacing w:line="360" w:lineRule="auto"/>
        <w:ind w:firstLine="476" w:firstLineChars="200"/>
        <w:textAlignment w:val="baseline"/>
        <w:outlineLvl w:val="9"/>
        <w:rPr>
          <w:rFonts w:hint="eastAsia" w:ascii="宋体" w:hAnsi="宋体" w:eastAsia="宋体" w:cs="宋体"/>
          <w:color w:val="auto"/>
          <w:spacing w:val="-1"/>
          <w:sz w:val="24"/>
          <w:szCs w:val="24"/>
          <w:highlight w:val="none"/>
        </w:rPr>
      </w:pPr>
      <w:bookmarkStart w:id="1913" w:name="_Toc28856"/>
      <w:r>
        <w:rPr>
          <w:rFonts w:hint="eastAsia" w:ascii="宋体" w:hAnsi="宋体" w:eastAsia="宋体" w:cs="宋体"/>
          <w:color w:val="auto"/>
          <w:spacing w:val="-1"/>
          <w:sz w:val="24"/>
          <w:szCs w:val="24"/>
          <w:highlight w:val="none"/>
        </w:rPr>
        <w:t>②波峰焊接废气</w:t>
      </w:r>
      <w:bookmarkEnd w:id="1913"/>
      <w:bookmarkStart w:id="1914" w:name="pindex13221"/>
      <w:bookmarkEnd w:id="1914"/>
    </w:p>
    <w:p w14:paraId="338DC32C">
      <w:pPr>
        <w:keepNext w:val="0"/>
        <w:keepLines w:val="0"/>
        <w:pageBreakBefore w:val="0"/>
        <w:widowControl/>
        <w:kinsoku w:val="0"/>
        <w:wordWrap/>
        <w:overflowPunct/>
        <w:topLinePunct w:val="0"/>
        <w:autoSpaceDE w:val="0"/>
        <w:autoSpaceDN w:val="0"/>
        <w:bidi w:val="0"/>
        <w:adjustRightInd w:val="0"/>
        <w:snapToGrid w:val="0"/>
        <w:spacing w:line="360" w:lineRule="auto"/>
        <w:ind w:firstLine="476" w:firstLineChars="200"/>
        <w:textAlignment w:val="baseline"/>
        <w:outlineLvl w:val="9"/>
        <w:rPr>
          <w:rFonts w:hint="eastAsia" w:ascii="宋体" w:hAnsi="宋体" w:eastAsia="宋体" w:cs="宋体"/>
          <w:color w:val="auto"/>
          <w:spacing w:val="-1"/>
          <w:sz w:val="24"/>
          <w:szCs w:val="24"/>
          <w:highlight w:val="none"/>
        </w:rPr>
      </w:pPr>
      <w:bookmarkStart w:id="1915" w:name="sys132220149"/>
      <w:r>
        <w:rPr>
          <w:rFonts w:hint="default" w:ascii="Times New Roman" w:hAnsi="Times New Roman" w:eastAsia="宋体" w:cs="Times New Roman"/>
          <w:color w:val="auto"/>
          <w:spacing w:val="-1"/>
          <w:sz w:val="24"/>
          <w:szCs w:val="24"/>
          <w:highlight w:val="none"/>
        </w:rPr>
        <w:t>焊接废气除尘均采用常规的</w:t>
      </w:r>
      <w:r>
        <w:rPr>
          <w:rFonts w:hint="eastAsia" w:ascii="Times New Roman" w:hAnsi="Times New Roman" w:eastAsia="宋体" w:cs="Times New Roman"/>
          <w:color w:val="auto"/>
          <w:spacing w:val="-1"/>
          <w:sz w:val="24"/>
          <w:szCs w:val="24"/>
          <w:highlight w:val="none"/>
          <w:lang w:eastAsia="zh-CN"/>
        </w:rPr>
        <w:t>滤筒</w:t>
      </w:r>
      <w:r>
        <w:rPr>
          <w:rFonts w:hint="default" w:ascii="Times New Roman" w:hAnsi="Times New Roman" w:eastAsia="宋体" w:cs="Times New Roman"/>
          <w:color w:val="auto"/>
          <w:spacing w:val="-1"/>
          <w:sz w:val="24"/>
          <w:szCs w:val="24"/>
          <w:highlight w:val="none"/>
        </w:rPr>
        <w:t>除尘工艺</w:t>
      </w:r>
      <w:r>
        <w:rPr>
          <w:rFonts w:hint="eastAsia"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该工艺对烟粉尘的净化效率可达到95%以上。</w:t>
      </w:r>
      <w:bookmarkStart w:id="1916" w:name="sys1322240109"/>
      <w:r>
        <w:rPr>
          <w:rFonts w:hint="default" w:ascii="Times New Roman" w:hAnsi="Times New Roman" w:eastAsia="宋体" w:cs="Times New Roman"/>
          <w:color w:val="auto"/>
          <w:spacing w:val="-1"/>
          <w:sz w:val="24"/>
          <w:szCs w:val="24"/>
          <w:highlight w:val="none"/>
        </w:rPr>
        <w:t>车间内主要烟粉尘产生工序废气收集采用除尘器自带抽风装置收集和室体内集中收集两种方式，焊接和打磨工序均在半封闭室体内进行，废气捕集率约90%，捕集后的烟粉尘</w:t>
      </w:r>
      <w:r>
        <w:rPr>
          <w:rFonts w:hint="eastAsia" w:ascii="宋体" w:hAnsi="宋体" w:eastAsia="宋体" w:cs="宋体"/>
          <w:color w:val="auto"/>
          <w:spacing w:val="-1"/>
          <w:sz w:val="24"/>
          <w:szCs w:val="24"/>
          <w:highlight w:val="none"/>
        </w:rPr>
        <w:t>由支管汇集到主管道，再输送到滤筒式除尘净化主机进行集中净化过滤。</w:t>
      </w:r>
      <w:bookmarkEnd w:id="1915"/>
      <w:bookmarkEnd w:id="1916"/>
    </w:p>
    <w:p w14:paraId="1F3994E6">
      <w:pPr>
        <w:keepNext w:val="0"/>
        <w:keepLines w:val="0"/>
        <w:pageBreakBefore w:val="0"/>
        <w:widowControl/>
        <w:kinsoku w:val="0"/>
        <w:wordWrap/>
        <w:overflowPunct/>
        <w:topLinePunct w:val="0"/>
        <w:autoSpaceDE w:val="0"/>
        <w:autoSpaceDN w:val="0"/>
        <w:bidi w:val="0"/>
        <w:adjustRightInd w:val="0"/>
        <w:snapToGrid w:val="0"/>
        <w:spacing w:line="360" w:lineRule="auto"/>
        <w:ind w:firstLine="476" w:firstLineChars="200"/>
        <w:textAlignment w:val="baseline"/>
        <w:outlineLvl w:val="9"/>
        <w:rPr>
          <w:rFonts w:hint="eastAsia" w:ascii="宋体" w:hAnsi="宋体" w:eastAsia="宋体" w:cs="宋体"/>
          <w:color w:val="auto"/>
          <w:spacing w:val="-1"/>
          <w:sz w:val="24"/>
          <w:szCs w:val="24"/>
          <w:highlight w:val="none"/>
        </w:rPr>
      </w:pPr>
      <w:bookmarkStart w:id="1917" w:name="_Toc19530"/>
      <w:r>
        <w:rPr>
          <w:rFonts w:hint="eastAsia" w:ascii="宋体" w:hAnsi="宋体" w:eastAsia="宋体" w:cs="宋体"/>
          <w:color w:val="auto"/>
          <w:spacing w:val="-1"/>
          <w:sz w:val="24"/>
          <w:szCs w:val="24"/>
          <w:highlight w:val="none"/>
        </w:rPr>
        <w:t>③有机废气</w:t>
      </w:r>
      <w:bookmarkEnd w:id="1917"/>
      <w:bookmarkStart w:id="1918" w:name="pindex13223"/>
      <w:bookmarkEnd w:id="1918"/>
    </w:p>
    <w:p w14:paraId="4940FBE7">
      <w:pPr>
        <w:keepNext w:val="0"/>
        <w:keepLines w:val="0"/>
        <w:pageBreakBefore w:val="0"/>
        <w:widowControl/>
        <w:kinsoku w:val="0"/>
        <w:wordWrap/>
        <w:overflowPunct/>
        <w:topLinePunct w:val="0"/>
        <w:autoSpaceDE w:val="0"/>
        <w:autoSpaceDN w:val="0"/>
        <w:bidi w:val="0"/>
        <w:adjustRightInd w:val="0"/>
        <w:snapToGrid w:val="0"/>
        <w:spacing w:line="360" w:lineRule="auto"/>
        <w:ind w:firstLine="476" w:firstLineChars="200"/>
        <w:textAlignment w:val="baseline"/>
        <w:rPr>
          <w:rFonts w:hint="default" w:ascii="Times New Roman" w:hAnsi="Times New Roman" w:eastAsia="宋体" w:cs="Times New Roman"/>
          <w:color w:val="auto"/>
          <w:spacing w:val="-1"/>
          <w:sz w:val="24"/>
          <w:szCs w:val="24"/>
          <w:highlight w:val="none"/>
        </w:rPr>
      </w:pPr>
      <w:bookmarkStart w:id="1919" w:name="sys13224060"/>
      <w:r>
        <w:rPr>
          <w:rFonts w:hint="eastAsia" w:ascii="宋体" w:hAnsi="宋体" w:eastAsia="宋体" w:cs="宋体"/>
          <w:color w:val="auto"/>
          <w:spacing w:val="-1"/>
          <w:sz w:val="24"/>
          <w:szCs w:val="24"/>
          <w:highlight w:val="none"/>
        </w:rPr>
        <w:t>塑封过程中产生有机废气，有机废气污染物主要为非甲烷总烃和</w:t>
      </w:r>
      <w:r>
        <w:rPr>
          <w:rFonts w:hint="default" w:ascii="Times New Roman" w:hAnsi="Times New Roman" w:eastAsia="宋体" w:cs="Times New Roman"/>
          <w:color w:val="auto"/>
          <w:spacing w:val="-1"/>
          <w:sz w:val="24"/>
          <w:szCs w:val="24"/>
          <w:highlight w:val="none"/>
        </w:rPr>
        <w:t>VOCs等，收集通过活性炭吸附装置处理后经20m高的排气筒排放。</w:t>
      </w:r>
      <w:bookmarkEnd w:id="1919"/>
    </w:p>
    <w:p w14:paraId="0385726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72" w:firstLineChars="200"/>
        <w:textAlignment w:val="baseline"/>
        <w:outlineLvl w:val="9"/>
        <w:rPr>
          <w:rFonts w:ascii="宋体" w:hAnsi="宋体" w:eastAsia="宋体" w:cs="宋体"/>
          <w:color w:val="auto"/>
          <w:spacing w:val="-2"/>
          <w:sz w:val="24"/>
          <w:szCs w:val="24"/>
          <w:highlight w:val="none"/>
        </w:rPr>
      </w:pPr>
      <w:bookmarkStart w:id="1920" w:name="_Toc7843"/>
      <w:r>
        <w:rPr>
          <w:rFonts w:hint="default" w:ascii="Times New Roman" w:hAnsi="Times New Roman" w:eastAsia="宋体" w:cs="Times New Roman"/>
          <w:snapToGrid w:val="0"/>
          <w:color w:val="auto"/>
          <w:spacing w:val="-2"/>
          <w:kern w:val="0"/>
          <w:sz w:val="24"/>
          <w:szCs w:val="24"/>
          <w:highlight w:val="none"/>
          <w:lang w:val="en-US" w:eastAsia="en-US" w:bidi="ar-SA"/>
        </w:rPr>
        <w:t>2、</w:t>
      </w:r>
      <w:r>
        <w:rPr>
          <w:rFonts w:hint="default" w:ascii="Times New Roman" w:hAnsi="Times New Roman" w:eastAsia="宋体" w:cs="Times New Roman"/>
          <w:color w:val="auto"/>
          <w:spacing w:val="-2"/>
          <w:sz w:val="24"/>
          <w:szCs w:val="24"/>
          <w:highlight w:val="none"/>
        </w:rPr>
        <w:t>废水</w:t>
      </w:r>
      <w:r>
        <w:rPr>
          <w:rFonts w:ascii="宋体" w:hAnsi="宋体" w:eastAsia="宋体" w:cs="宋体"/>
          <w:color w:val="auto"/>
          <w:spacing w:val="-2"/>
          <w:sz w:val="24"/>
          <w:szCs w:val="24"/>
          <w:highlight w:val="none"/>
        </w:rPr>
        <w:t>处理</w:t>
      </w:r>
      <w:bookmarkEnd w:id="1920"/>
      <w:bookmarkStart w:id="1921" w:name="pindex13225"/>
      <w:bookmarkEnd w:id="1921"/>
    </w:p>
    <w:p w14:paraId="5934063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76" w:firstLineChars="200"/>
        <w:textAlignment w:val="baseline"/>
        <w:rPr>
          <w:rFonts w:hint="eastAsia" w:ascii="宋体" w:hAnsi="宋体" w:eastAsia="宋体" w:cs="宋体"/>
          <w:color w:val="auto"/>
          <w:spacing w:val="-1"/>
          <w:sz w:val="24"/>
          <w:szCs w:val="24"/>
          <w:highlight w:val="none"/>
        </w:rPr>
      </w:pPr>
      <w:r>
        <w:rPr>
          <w:rFonts w:hint="eastAsia" w:ascii="宋体" w:hAnsi="宋体" w:eastAsia="宋体" w:cs="宋体"/>
          <w:color w:val="auto"/>
          <w:spacing w:val="-1"/>
          <w:sz w:val="24"/>
          <w:szCs w:val="24"/>
          <w:highlight w:val="none"/>
        </w:rPr>
        <w:t>此类产业废水主要包括食堂废水、生活污水、清洁废水、锅炉清洗废水、软水制备反冲洗废水。食堂废水经隔油池预处理、生活污水和清洁废水经化粪池预处理、锅炉清洗废水和软水制备反冲洗废水经中和沉淀池预处理，预处理后的废水</w:t>
      </w:r>
      <w:r>
        <w:rPr>
          <w:rFonts w:hint="eastAsia" w:ascii="宋体" w:hAnsi="宋体" w:eastAsia="宋体" w:cs="宋体"/>
          <w:color w:val="auto"/>
          <w:spacing w:val="-1"/>
          <w:sz w:val="24"/>
          <w:szCs w:val="24"/>
          <w:highlight w:val="none"/>
          <w:lang w:eastAsia="zh-CN"/>
        </w:rPr>
        <w:t>达到</w:t>
      </w:r>
      <w:r>
        <w:rPr>
          <w:rFonts w:hint="eastAsia" w:ascii="宋体" w:hAnsi="宋体" w:eastAsia="宋体" w:cs="宋体"/>
          <w:color w:val="auto"/>
          <w:spacing w:val="-1"/>
          <w:sz w:val="24"/>
          <w:szCs w:val="24"/>
          <w:highlight w:val="none"/>
        </w:rPr>
        <w:t>《污水综合排放标准》</w:t>
      </w:r>
      <w:r>
        <w:rPr>
          <w:rFonts w:hint="eastAsia" w:ascii="宋体" w:hAnsi="宋体" w:eastAsia="宋体" w:cs="宋体"/>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GB8978-1996</w:t>
      </w:r>
      <w:r>
        <w:rPr>
          <w:rFonts w:hint="eastAsia" w:ascii="Times New Roman" w:hAnsi="Times New Roman" w:eastAsia="宋体" w:cs="Times New Roman"/>
          <w:color w:val="auto"/>
          <w:spacing w:val="-1"/>
          <w:sz w:val="24"/>
          <w:szCs w:val="24"/>
          <w:highlight w:val="none"/>
          <w:lang w:eastAsia="zh-CN"/>
        </w:rPr>
        <w:t>）</w:t>
      </w:r>
      <w:r>
        <w:rPr>
          <w:rFonts w:hint="eastAsia" w:ascii="宋体" w:hAnsi="宋体" w:eastAsia="宋体" w:cs="宋体"/>
          <w:color w:val="auto"/>
          <w:spacing w:val="-1"/>
          <w:sz w:val="24"/>
          <w:szCs w:val="24"/>
          <w:highlight w:val="none"/>
        </w:rPr>
        <w:t>表</w:t>
      </w:r>
      <w:r>
        <w:rPr>
          <w:rFonts w:hint="default" w:ascii="Times New Roman" w:hAnsi="Times New Roman" w:eastAsia="宋体" w:cs="Times New Roman"/>
          <w:color w:val="auto"/>
          <w:spacing w:val="-1"/>
          <w:sz w:val="24"/>
          <w:szCs w:val="24"/>
          <w:highlight w:val="none"/>
        </w:rPr>
        <w:t>4</w:t>
      </w:r>
      <w:r>
        <w:rPr>
          <w:rFonts w:hint="eastAsia" w:ascii="宋体" w:hAnsi="宋体" w:eastAsia="宋体" w:cs="宋体"/>
          <w:color w:val="auto"/>
          <w:spacing w:val="-1"/>
          <w:sz w:val="24"/>
          <w:szCs w:val="24"/>
          <w:highlight w:val="none"/>
        </w:rPr>
        <w:t>三级标准后接管污水处理厂，处理达标后排放至纳污河流</w:t>
      </w:r>
      <w:r>
        <w:rPr>
          <w:rFonts w:hint="eastAsia" w:ascii="宋体" w:hAnsi="宋体" w:eastAsia="宋体" w:cs="宋体"/>
          <w:color w:val="auto"/>
          <w:spacing w:val="-1"/>
          <w:sz w:val="24"/>
          <w:szCs w:val="24"/>
          <w:highlight w:val="none"/>
          <w:lang w:eastAsia="zh-CN"/>
        </w:rPr>
        <w:t>。</w:t>
      </w:r>
    </w:p>
    <w:p w14:paraId="670A81EB">
      <w:pPr>
        <w:spacing w:before="33" w:line="220" w:lineRule="auto"/>
        <w:ind w:left="518"/>
        <w:outlineLvl w:val="9"/>
        <w:rPr>
          <w:rFonts w:ascii="宋体" w:hAnsi="宋体" w:eastAsia="宋体" w:cs="宋体"/>
          <w:color w:val="auto"/>
          <w:sz w:val="24"/>
          <w:szCs w:val="24"/>
          <w:highlight w:val="none"/>
        </w:rPr>
      </w:pPr>
      <w:bookmarkStart w:id="1922" w:name="_Toc9053"/>
      <w:r>
        <w:rPr>
          <w:rFonts w:ascii="Times New Roman" w:hAnsi="Times New Roman" w:eastAsia="Times New Roman" w:cs="Times New Roman"/>
          <w:color w:val="auto"/>
          <w:spacing w:val="-3"/>
          <w:sz w:val="24"/>
          <w:szCs w:val="24"/>
          <w:highlight w:val="none"/>
        </w:rPr>
        <w:t>3</w:t>
      </w:r>
      <w:r>
        <w:rPr>
          <w:rFonts w:ascii="宋体" w:hAnsi="宋体" w:eastAsia="宋体" w:cs="宋体"/>
          <w:color w:val="auto"/>
          <w:spacing w:val="-3"/>
          <w:sz w:val="24"/>
          <w:szCs w:val="24"/>
          <w:highlight w:val="none"/>
        </w:rPr>
        <w:t>、固废处理</w:t>
      </w:r>
      <w:bookmarkEnd w:id="1922"/>
      <w:bookmarkStart w:id="1923" w:name="pindex13227"/>
      <w:bookmarkEnd w:id="1923"/>
    </w:p>
    <w:p w14:paraId="684BBEF1">
      <w:pPr>
        <w:spacing w:before="183" w:line="350" w:lineRule="auto"/>
        <w:ind w:left="39" w:right="78" w:firstLine="478"/>
        <w:outlineLvl w:val="9"/>
        <w:rPr>
          <w:rFonts w:hint="eastAsia" w:ascii="宋体" w:hAnsi="宋体" w:eastAsia="宋体" w:cs="宋体"/>
          <w:color w:val="auto"/>
          <w:spacing w:val="-3"/>
          <w:sz w:val="24"/>
          <w:szCs w:val="24"/>
          <w:highlight w:val="none"/>
          <w:lang w:eastAsia="zh-CN"/>
        </w:rPr>
      </w:pPr>
      <w:r>
        <w:rPr>
          <w:rFonts w:hint="eastAsia" w:ascii="宋体" w:hAnsi="宋体" w:eastAsia="宋体" w:cs="宋体"/>
          <w:color w:val="auto"/>
          <w:spacing w:val="-3"/>
          <w:sz w:val="24"/>
          <w:szCs w:val="24"/>
          <w:highlight w:val="none"/>
        </w:rPr>
        <w:t>企业产生的固废主要有废边角料、废乳化液、废清洗剂、废活性炭、隔油池浮油、中和沉淀池废渣、软水设备产生的废树脂、化粪池污泥等。企业产生的固体废弃物</w:t>
      </w:r>
      <w:r>
        <w:rPr>
          <w:rFonts w:hint="eastAsia" w:ascii="宋体" w:hAnsi="宋体" w:eastAsia="宋体" w:cs="宋体"/>
          <w:color w:val="auto"/>
          <w:spacing w:val="-3"/>
          <w:sz w:val="24"/>
          <w:szCs w:val="24"/>
          <w:highlight w:val="none"/>
          <w:lang w:eastAsia="zh-CN"/>
        </w:rPr>
        <w:t>中</w:t>
      </w:r>
      <w:r>
        <w:rPr>
          <w:rFonts w:hint="eastAsia" w:ascii="宋体" w:hAnsi="宋体" w:eastAsia="宋体" w:cs="宋体"/>
          <w:color w:val="auto"/>
          <w:spacing w:val="-3"/>
          <w:sz w:val="24"/>
          <w:szCs w:val="24"/>
          <w:highlight w:val="none"/>
        </w:rPr>
        <w:t>乳化液、废清洗剂等均为危险废物，均暂存于企业内危险废物暂存库内，按照危险废物贮存污染控制标准</w:t>
      </w:r>
      <w:r>
        <w:rPr>
          <w:rFonts w:hint="eastAsia" w:ascii="宋体" w:hAnsi="宋体" w:eastAsia="宋体" w:cs="宋体"/>
          <w:color w:val="auto"/>
          <w:spacing w:val="-3"/>
          <w:sz w:val="24"/>
          <w:szCs w:val="24"/>
          <w:highlight w:val="none"/>
          <w:lang w:eastAsia="zh-CN"/>
        </w:rPr>
        <w:t>，</w:t>
      </w:r>
      <w:r>
        <w:rPr>
          <w:rFonts w:hint="eastAsia" w:ascii="宋体" w:hAnsi="宋体" w:eastAsia="宋体" w:cs="宋体"/>
          <w:color w:val="auto"/>
          <w:spacing w:val="-3"/>
          <w:sz w:val="24"/>
          <w:szCs w:val="24"/>
          <w:highlight w:val="none"/>
        </w:rPr>
        <w:t>做好“三防”措施</w:t>
      </w:r>
      <w:r>
        <w:rPr>
          <w:rFonts w:hint="eastAsia" w:ascii="宋体" w:hAnsi="宋体" w:eastAsia="宋体" w:cs="宋体"/>
          <w:color w:val="auto"/>
          <w:spacing w:val="-3"/>
          <w:sz w:val="24"/>
          <w:szCs w:val="24"/>
          <w:highlight w:val="none"/>
          <w:lang w:eastAsia="zh-CN"/>
        </w:rPr>
        <w:t>，</w:t>
      </w:r>
      <w:r>
        <w:rPr>
          <w:rFonts w:hint="eastAsia" w:ascii="宋体" w:hAnsi="宋体" w:eastAsia="宋体" w:cs="宋体"/>
          <w:color w:val="auto"/>
          <w:spacing w:val="-3"/>
          <w:sz w:val="24"/>
          <w:szCs w:val="24"/>
          <w:highlight w:val="none"/>
        </w:rPr>
        <w:t>同时定期委托有处置资质的公司统一运输、处置</w:t>
      </w:r>
      <w:r>
        <w:rPr>
          <w:rFonts w:hint="eastAsia" w:ascii="宋体" w:hAnsi="宋体" w:eastAsia="宋体" w:cs="宋体"/>
          <w:color w:val="auto"/>
          <w:spacing w:val="-3"/>
          <w:sz w:val="24"/>
          <w:szCs w:val="24"/>
          <w:highlight w:val="none"/>
          <w:lang w:eastAsia="zh-CN"/>
        </w:rPr>
        <w:t>。</w:t>
      </w:r>
    </w:p>
    <w:p w14:paraId="33F0B03C">
      <w:pPr>
        <w:pStyle w:val="8"/>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HYPERLINK "6.5.3.3"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6.5.3.</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fldChar w:fldCharType="end"/>
      </w:r>
      <w:r>
        <w:rPr>
          <w:rFonts w:hint="eastAsia" w:ascii="Times New Roman" w:hAnsi="Times New Roman" w:eastAsia="宋体" w:cs="Times New Roman"/>
          <w:b/>
          <w:bCs/>
          <w:color w:val="auto"/>
          <w:sz w:val="24"/>
          <w:szCs w:val="24"/>
          <w:highlight w:val="none"/>
          <w:lang w:val="en-US" w:eastAsia="zh-CN"/>
        </w:rPr>
        <w:t>高端智能装备制造</w:t>
      </w:r>
      <w:r>
        <w:rPr>
          <w:rFonts w:hint="default" w:ascii="Times New Roman" w:hAnsi="Times New Roman" w:eastAsia="宋体" w:cs="Times New Roman"/>
          <w:b/>
          <w:bCs/>
          <w:color w:val="auto"/>
          <w:sz w:val="24"/>
          <w:szCs w:val="24"/>
          <w:highlight w:val="none"/>
          <w:lang w:val="en-US" w:eastAsia="zh-CN"/>
        </w:rPr>
        <w:t>产业</w:t>
      </w:r>
      <w:bookmarkStart w:id="1924" w:name="pindex13229"/>
      <w:bookmarkEnd w:id="1924"/>
    </w:p>
    <w:p w14:paraId="32BF73F3">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宋体" w:hAnsi="宋体" w:eastAsia="宋体" w:cs="宋体"/>
          <w:snapToGrid w:val="0"/>
          <w:color w:val="auto"/>
          <w:spacing w:val="-3"/>
          <w:kern w:val="0"/>
          <w:sz w:val="24"/>
          <w:szCs w:val="24"/>
          <w:highlight w:val="none"/>
          <w:lang w:val="en-US" w:eastAsia="zh-CN" w:bidi="ar-SA"/>
        </w:rPr>
      </w:pPr>
      <w:r>
        <w:rPr>
          <w:rFonts w:hint="eastAsia" w:ascii="宋体" w:hAnsi="宋体" w:eastAsia="宋体" w:cs="宋体"/>
          <w:snapToGrid w:val="0"/>
          <w:color w:val="auto"/>
          <w:spacing w:val="-3"/>
          <w:kern w:val="0"/>
          <w:sz w:val="24"/>
          <w:szCs w:val="24"/>
          <w:highlight w:val="none"/>
          <w:lang w:val="en-US" w:eastAsia="zh-CN" w:bidi="ar-SA"/>
        </w:rPr>
        <w:t>开发区已引进埃斯顿等多家高端装备制造企业，打造了江苏省高档数控机床及智能装备制造业创新中心等创新平台，“智能工厂”“智能车间”数量占南京“半壁江山”。本次主要以埃斯顿自动控制技术有限公司污染防治措施为例。</w:t>
      </w:r>
    </w:p>
    <w:p w14:paraId="44E7821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1、废气处理</w:t>
      </w:r>
      <w:bookmarkStart w:id="1925" w:name="pindex13231"/>
      <w:bookmarkEnd w:id="1925"/>
    </w:p>
    <w:p w14:paraId="569187FD">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default" w:ascii="Times New Roman" w:hAnsi="Times New Roman" w:eastAsia="宋体" w:cs="Times New Roman"/>
          <w:snapToGrid w:val="0"/>
          <w:color w:val="auto"/>
          <w:spacing w:val="-3"/>
          <w:kern w:val="0"/>
          <w:sz w:val="24"/>
          <w:szCs w:val="24"/>
          <w:highlight w:val="none"/>
          <w:lang w:val="en-US" w:eastAsia="zh-CN" w:bidi="ar-SA"/>
        </w:rPr>
      </w:pPr>
      <w:r>
        <w:rPr>
          <w:rFonts w:hint="default" w:ascii="Times New Roman" w:hAnsi="Times New Roman" w:eastAsia="宋体" w:cs="Times New Roman"/>
          <w:snapToGrid w:val="0"/>
          <w:color w:val="auto"/>
          <w:spacing w:val="-3"/>
          <w:kern w:val="0"/>
          <w:sz w:val="24"/>
          <w:szCs w:val="24"/>
          <w:highlight w:val="none"/>
          <w:lang w:val="en-US" w:eastAsia="zh-CN" w:bidi="ar-SA"/>
        </w:rPr>
        <w:t>①伺服驱动器进出浸漆</w:t>
      </w:r>
      <w:r>
        <w:rPr>
          <w:rFonts w:hint="eastAsia" w:ascii="Times New Roman" w:hAnsi="Times New Roman" w:eastAsia="宋体" w:cs="Times New Roman"/>
          <w:snapToGrid w:val="0"/>
          <w:color w:val="auto"/>
          <w:spacing w:val="-3"/>
          <w:kern w:val="0"/>
          <w:sz w:val="24"/>
          <w:szCs w:val="24"/>
          <w:highlight w:val="none"/>
          <w:lang w:val="en-US" w:eastAsia="zh-CN" w:bidi="ar-SA"/>
        </w:rPr>
        <w:t>（</w:t>
      </w:r>
      <w:r>
        <w:rPr>
          <w:rFonts w:hint="default" w:ascii="Times New Roman" w:hAnsi="Times New Roman" w:eastAsia="宋体" w:cs="Times New Roman"/>
          <w:snapToGrid w:val="0"/>
          <w:color w:val="auto"/>
          <w:spacing w:val="-3"/>
          <w:kern w:val="0"/>
          <w:sz w:val="24"/>
          <w:szCs w:val="24"/>
          <w:highlight w:val="none"/>
          <w:lang w:val="en-US" w:eastAsia="zh-CN" w:bidi="ar-SA"/>
        </w:rPr>
        <w:t>三防漆</w:t>
      </w:r>
      <w:r>
        <w:rPr>
          <w:rFonts w:hint="eastAsia" w:ascii="Times New Roman" w:hAnsi="Times New Roman" w:eastAsia="宋体" w:cs="Times New Roman"/>
          <w:snapToGrid w:val="0"/>
          <w:color w:val="auto"/>
          <w:spacing w:val="-3"/>
          <w:kern w:val="0"/>
          <w:sz w:val="24"/>
          <w:szCs w:val="24"/>
          <w:highlight w:val="none"/>
          <w:lang w:val="en-US" w:eastAsia="zh-CN" w:bidi="ar-SA"/>
        </w:rPr>
        <w:t>）</w:t>
      </w:r>
      <w:r>
        <w:rPr>
          <w:rFonts w:hint="default" w:ascii="Times New Roman" w:hAnsi="Times New Roman" w:eastAsia="宋体" w:cs="Times New Roman"/>
          <w:snapToGrid w:val="0"/>
          <w:color w:val="auto"/>
          <w:spacing w:val="-3"/>
          <w:kern w:val="0"/>
          <w:sz w:val="24"/>
          <w:szCs w:val="24"/>
          <w:highlight w:val="none"/>
          <w:lang w:val="en-US" w:eastAsia="zh-CN" w:bidi="ar-SA"/>
        </w:rPr>
        <w:t>机时有有机废气逸出，产生的有机废气经活性炭纤维吸附后经15m高排气筒排放</w:t>
      </w:r>
      <w:r>
        <w:rPr>
          <w:rFonts w:hint="eastAsia" w:ascii="Times New Roman" w:hAnsi="Times New Roman" w:eastAsia="宋体" w:cs="Times New Roman"/>
          <w:snapToGrid w:val="0"/>
          <w:color w:val="auto"/>
          <w:spacing w:val="-3"/>
          <w:kern w:val="0"/>
          <w:sz w:val="24"/>
          <w:szCs w:val="24"/>
          <w:highlight w:val="none"/>
          <w:lang w:val="en-US" w:eastAsia="zh-CN" w:bidi="ar-SA"/>
        </w:rPr>
        <w:t>；</w:t>
      </w:r>
      <w:r>
        <w:rPr>
          <w:rFonts w:hint="default" w:ascii="Times New Roman" w:hAnsi="Times New Roman" w:eastAsia="宋体" w:cs="Times New Roman"/>
          <w:snapToGrid w:val="0"/>
          <w:color w:val="auto"/>
          <w:spacing w:val="-3"/>
          <w:kern w:val="0"/>
          <w:sz w:val="24"/>
          <w:szCs w:val="24"/>
          <w:highlight w:val="none"/>
          <w:lang w:val="en-US" w:eastAsia="zh-CN" w:bidi="ar-SA"/>
        </w:rPr>
        <w:t>②伺服电机进出浸漆</w:t>
      </w:r>
      <w:r>
        <w:rPr>
          <w:rFonts w:hint="eastAsia" w:ascii="Times New Roman" w:hAnsi="Times New Roman" w:eastAsia="宋体" w:cs="Times New Roman"/>
          <w:snapToGrid w:val="0"/>
          <w:color w:val="auto"/>
          <w:spacing w:val="-3"/>
          <w:kern w:val="0"/>
          <w:sz w:val="24"/>
          <w:szCs w:val="24"/>
          <w:highlight w:val="none"/>
          <w:lang w:val="en-US" w:eastAsia="zh-CN" w:bidi="ar-SA"/>
        </w:rPr>
        <w:t>（</w:t>
      </w:r>
      <w:r>
        <w:rPr>
          <w:rFonts w:hint="default" w:ascii="Times New Roman" w:hAnsi="Times New Roman" w:eastAsia="宋体" w:cs="Times New Roman"/>
          <w:snapToGrid w:val="0"/>
          <w:color w:val="auto"/>
          <w:spacing w:val="-3"/>
          <w:kern w:val="0"/>
          <w:sz w:val="24"/>
          <w:szCs w:val="24"/>
          <w:highlight w:val="none"/>
          <w:lang w:val="en-US" w:eastAsia="zh-CN" w:bidi="ar-SA"/>
        </w:rPr>
        <w:t>油漆</w:t>
      </w:r>
      <w:r>
        <w:rPr>
          <w:rFonts w:hint="eastAsia" w:ascii="Times New Roman" w:hAnsi="Times New Roman" w:eastAsia="宋体" w:cs="Times New Roman"/>
          <w:snapToGrid w:val="0"/>
          <w:color w:val="auto"/>
          <w:spacing w:val="-3"/>
          <w:kern w:val="0"/>
          <w:sz w:val="24"/>
          <w:szCs w:val="24"/>
          <w:highlight w:val="none"/>
          <w:lang w:val="en-US" w:eastAsia="zh-CN" w:bidi="ar-SA"/>
        </w:rPr>
        <w:t>）</w:t>
      </w:r>
      <w:r>
        <w:rPr>
          <w:rFonts w:hint="default" w:ascii="Times New Roman" w:hAnsi="Times New Roman" w:eastAsia="宋体" w:cs="Times New Roman"/>
          <w:snapToGrid w:val="0"/>
          <w:color w:val="auto"/>
          <w:spacing w:val="-3"/>
          <w:kern w:val="0"/>
          <w:sz w:val="24"/>
          <w:szCs w:val="24"/>
          <w:highlight w:val="none"/>
          <w:lang w:val="en-US" w:eastAsia="zh-CN" w:bidi="ar-SA"/>
        </w:rPr>
        <w:t>机时有有机废气逸出</w:t>
      </w:r>
      <w:r>
        <w:rPr>
          <w:rFonts w:hint="eastAsia" w:ascii="Times New Roman" w:hAnsi="Times New Roman" w:eastAsia="宋体" w:cs="Times New Roman"/>
          <w:snapToGrid w:val="0"/>
          <w:color w:val="auto"/>
          <w:spacing w:val="-3"/>
          <w:kern w:val="0"/>
          <w:sz w:val="24"/>
          <w:szCs w:val="24"/>
          <w:highlight w:val="none"/>
          <w:lang w:val="en-US" w:eastAsia="zh-CN" w:bidi="ar-SA"/>
        </w:rPr>
        <w:t>，</w:t>
      </w:r>
      <w:r>
        <w:rPr>
          <w:rFonts w:hint="default" w:ascii="Times New Roman" w:hAnsi="Times New Roman" w:eastAsia="宋体" w:cs="Times New Roman"/>
          <w:snapToGrid w:val="0"/>
          <w:color w:val="auto"/>
          <w:spacing w:val="-3"/>
          <w:kern w:val="0"/>
          <w:sz w:val="24"/>
          <w:szCs w:val="24"/>
          <w:highlight w:val="none"/>
          <w:lang w:val="en-US" w:eastAsia="zh-CN" w:bidi="ar-SA"/>
        </w:rPr>
        <w:t>浸漆废气主要污染物成分为非甲烷总烃、甲苯、二甲苯，废气经集气罩收集后由活性炭纤维吸附，经15m高</w:t>
      </w:r>
      <w:r>
        <w:rPr>
          <w:rFonts w:hint="eastAsia" w:ascii="Times New Roman" w:hAnsi="Times New Roman" w:eastAsia="宋体" w:cs="Times New Roman"/>
          <w:snapToGrid w:val="0"/>
          <w:color w:val="auto"/>
          <w:spacing w:val="-3"/>
          <w:kern w:val="0"/>
          <w:sz w:val="24"/>
          <w:szCs w:val="24"/>
          <w:highlight w:val="none"/>
          <w:lang w:val="en-US" w:eastAsia="zh-CN" w:bidi="ar-SA"/>
        </w:rPr>
        <w:t>排气筒</w:t>
      </w:r>
      <w:r>
        <w:rPr>
          <w:rFonts w:hint="default" w:ascii="Times New Roman" w:hAnsi="Times New Roman" w:eastAsia="宋体" w:cs="Times New Roman"/>
          <w:snapToGrid w:val="0"/>
          <w:color w:val="auto"/>
          <w:spacing w:val="-3"/>
          <w:kern w:val="0"/>
          <w:sz w:val="24"/>
          <w:szCs w:val="24"/>
          <w:highlight w:val="none"/>
          <w:lang w:val="en-US" w:eastAsia="zh-CN" w:bidi="ar-SA"/>
        </w:rPr>
        <w:t>排放</w:t>
      </w:r>
      <w:r>
        <w:rPr>
          <w:rFonts w:hint="eastAsia" w:ascii="Times New Roman" w:hAnsi="Times New Roman" w:eastAsia="宋体" w:cs="Times New Roman"/>
          <w:snapToGrid w:val="0"/>
          <w:color w:val="auto"/>
          <w:spacing w:val="-3"/>
          <w:kern w:val="0"/>
          <w:sz w:val="24"/>
          <w:szCs w:val="24"/>
          <w:highlight w:val="none"/>
          <w:lang w:val="en-US" w:eastAsia="zh-CN" w:bidi="ar-SA"/>
        </w:rPr>
        <w:t>；</w:t>
      </w:r>
      <w:r>
        <w:rPr>
          <w:rFonts w:hint="default" w:ascii="Times New Roman" w:hAnsi="Times New Roman" w:eastAsia="宋体" w:cs="Times New Roman"/>
          <w:snapToGrid w:val="0"/>
          <w:color w:val="auto"/>
          <w:spacing w:val="-3"/>
          <w:kern w:val="0"/>
          <w:sz w:val="24"/>
          <w:szCs w:val="24"/>
          <w:highlight w:val="none"/>
          <w:lang w:val="en-US" w:eastAsia="zh-CN" w:bidi="ar-SA"/>
        </w:rPr>
        <w:t>③对各元件及半成品进行整体装配，在伺服系统外壳装配时，首先用酒精</w:t>
      </w:r>
      <w:r>
        <w:rPr>
          <w:rFonts w:hint="eastAsia" w:ascii="Times New Roman" w:hAnsi="Times New Roman" w:eastAsia="宋体" w:cs="Times New Roman"/>
          <w:snapToGrid w:val="0"/>
          <w:color w:val="auto"/>
          <w:spacing w:val="-3"/>
          <w:kern w:val="0"/>
          <w:sz w:val="24"/>
          <w:szCs w:val="24"/>
          <w:highlight w:val="none"/>
          <w:lang w:val="en-US" w:eastAsia="zh-CN" w:bidi="ar-SA"/>
        </w:rPr>
        <w:t>（</w:t>
      </w:r>
      <w:r>
        <w:rPr>
          <w:rFonts w:hint="default" w:ascii="Times New Roman" w:hAnsi="Times New Roman" w:eastAsia="宋体" w:cs="Times New Roman"/>
          <w:snapToGrid w:val="0"/>
          <w:color w:val="auto"/>
          <w:spacing w:val="-3"/>
          <w:kern w:val="0"/>
          <w:sz w:val="24"/>
          <w:szCs w:val="24"/>
          <w:highlight w:val="none"/>
          <w:lang w:val="en-US" w:eastAsia="zh-CN" w:bidi="ar-SA"/>
        </w:rPr>
        <w:t>乙醇</w:t>
      </w:r>
      <w:r>
        <w:rPr>
          <w:rFonts w:hint="eastAsia" w:ascii="Times New Roman" w:hAnsi="Times New Roman" w:eastAsia="宋体" w:cs="Times New Roman"/>
          <w:snapToGrid w:val="0"/>
          <w:color w:val="auto"/>
          <w:spacing w:val="-3"/>
          <w:kern w:val="0"/>
          <w:sz w:val="24"/>
          <w:szCs w:val="24"/>
          <w:highlight w:val="none"/>
          <w:lang w:val="en-US" w:eastAsia="zh-CN" w:bidi="ar-SA"/>
        </w:rPr>
        <w:t>）</w:t>
      </w:r>
      <w:r>
        <w:rPr>
          <w:rFonts w:hint="default" w:ascii="Times New Roman" w:hAnsi="Times New Roman" w:eastAsia="宋体" w:cs="Times New Roman"/>
          <w:snapToGrid w:val="0"/>
          <w:color w:val="auto"/>
          <w:spacing w:val="-3"/>
          <w:kern w:val="0"/>
          <w:sz w:val="24"/>
          <w:szCs w:val="24"/>
          <w:highlight w:val="none"/>
          <w:lang w:val="en-US" w:eastAsia="zh-CN" w:bidi="ar-SA"/>
        </w:rPr>
        <w:t>进行清洗，自然</w:t>
      </w:r>
      <w:r>
        <w:rPr>
          <w:rFonts w:hint="eastAsia" w:ascii="Times New Roman" w:hAnsi="Times New Roman" w:eastAsia="宋体" w:cs="Times New Roman"/>
          <w:snapToGrid w:val="0"/>
          <w:color w:val="auto"/>
          <w:spacing w:val="-3"/>
          <w:kern w:val="0"/>
          <w:sz w:val="24"/>
          <w:szCs w:val="24"/>
          <w:highlight w:val="none"/>
          <w:lang w:val="en-US" w:eastAsia="zh-CN" w:bidi="ar-SA"/>
        </w:rPr>
        <w:t>晾干后</w:t>
      </w:r>
      <w:r>
        <w:rPr>
          <w:rFonts w:hint="default" w:ascii="Times New Roman" w:hAnsi="Times New Roman" w:eastAsia="宋体" w:cs="Times New Roman"/>
          <w:snapToGrid w:val="0"/>
          <w:color w:val="auto"/>
          <w:spacing w:val="-3"/>
          <w:kern w:val="0"/>
          <w:sz w:val="24"/>
          <w:szCs w:val="24"/>
          <w:highlight w:val="none"/>
          <w:lang w:val="en-US" w:eastAsia="zh-CN" w:bidi="ar-SA"/>
        </w:rPr>
        <w:t>再均匀涂抹一层AB胶</w:t>
      </w:r>
      <w:r>
        <w:rPr>
          <w:rFonts w:hint="eastAsia" w:ascii="Times New Roman" w:hAnsi="Times New Roman" w:eastAsia="宋体" w:cs="Times New Roman"/>
          <w:snapToGrid w:val="0"/>
          <w:color w:val="auto"/>
          <w:spacing w:val="-3"/>
          <w:kern w:val="0"/>
          <w:sz w:val="24"/>
          <w:szCs w:val="24"/>
          <w:highlight w:val="none"/>
          <w:lang w:val="en-US" w:eastAsia="zh-CN" w:bidi="ar-SA"/>
        </w:rPr>
        <w:t>（</w:t>
      </w:r>
      <w:r>
        <w:rPr>
          <w:rFonts w:hint="default" w:ascii="Times New Roman" w:hAnsi="Times New Roman" w:eastAsia="宋体" w:cs="Times New Roman"/>
          <w:snapToGrid w:val="0"/>
          <w:color w:val="auto"/>
          <w:spacing w:val="-3"/>
          <w:kern w:val="0"/>
          <w:sz w:val="24"/>
          <w:szCs w:val="24"/>
          <w:highlight w:val="none"/>
          <w:lang w:val="en-US" w:eastAsia="zh-CN" w:bidi="ar-SA"/>
        </w:rPr>
        <w:t>主要成分为环氧树脂</w:t>
      </w:r>
      <w:r>
        <w:rPr>
          <w:rFonts w:hint="eastAsia" w:ascii="Times New Roman" w:hAnsi="Times New Roman" w:eastAsia="宋体" w:cs="Times New Roman"/>
          <w:snapToGrid w:val="0"/>
          <w:color w:val="auto"/>
          <w:spacing w:val="-3"/>
          <w:kern w:val="0"/>
          <w:sz w:val="24"/>
          <w:szCs w:val="24"/>
          <w:highlight w:val="none"/>
          <w:lang w:val="en-US" w:eastAsia="zh-CN" w:bidi="ar-SA"/>
        </w:rPr>
        <w:t>）</w:t>
      </w:r>
      <w:r>
        <w:rPr>
          <w:rFonts w:hint="default" w:ascii="Times New Roman" w:hAnsi="Times New Roman" w:eastAsia="宋体" w:cs="Times New Roman"/>
          <w:snapToGrid w:val="0"/>
          <w:color w:val="auto"/>
          <w:spacing w:val="-3"/>
          <w:kern w:val="0"/>
          <w:sz w:val="24"/>
          <w:szCs w:val="24"/>
          <w:highlight w:val="none"/>
          <w:lang w:val="en-US" w:eastAsia="zh-CN" w:bidi="ar-SA"/>
        </w:rPr>
        <w:t>，然后将外壳粘连装配上去，该工序产生有机废气</w:t>
      </w:r>
      <w:r>
        <w:rPr>
          <w:rFonts w:hint="eastAsia" w:ascii="Times New Roman" w:hAnsi="Times New Roman" w:eastAsia="宋体" w:cs="Times New Roman"/>
          <w:snapToGrid w:val="0"/>
          <w:color w:val="auto"/>
          <w:spacing w:val="-3"/>
          <w:kern w:val="0"/>
          <w:sz w:val="24"/>
          <w:szCs w:val="24"/>
          <w:highlight w:val="none"/>
          <w:lang w:val="en-US" w:eastAsia="zh-CN" w:bidi="ar-SA"/>
        </w:rPr>
        <w:t>，</w:t>
      </w:r>
      <w:r>
        <w:rPr>
          <w:rFonts w:hint="default" w:ascii="Times New Roman" w:hAnsi="Times New Roman" w:eastAsia="宋体" w:cs="Times New Roman"/>
          <w:snapToGrid w:val="0"/>
          <w:color w:val="auto"/>
          <w:spacing w:val="-3"/>
          <w:kern w:val="0"/>
          <w:sz w:val="24"/>
          <w:szCs w:val="24"/>
          <w:highlight w:val="none"/>
          <w:lang w:val="en-US" w:eastAsia="zh-CN" w:bidi="ar-SA"/>
        </w:rPr>
        <w:t>主要污染物为乙醇非甲烷总烃。经集气罩收集后由活性炭纤维吸附处理，再经15m高</w:t>
      </w:r>
      <w:r>
        <w:rPr>
          <w:rFonts w:hint="eastAsia" w:ascii="Times New Roman" w:hAnsi="Times New Roman" w:eastAsia="宋体" w:cs="Times New Roman"/>
          <w:snapToGrid w:val="0"/>
          <w:color w:val="auto"/>
          <w:spacing w:val="-3"/>
          <w:kern w:val="0"/>
          <w:sz w:val="24"/>
          <w:szCs w:val="24"/>
          <w:highlight w:val="none"/>
          <w:lang w:val="en-US" w:eastAsia="zh-CN" w:bidi="ar-SA"/>
        </w:rPr>
        <w:t>排气管</w:t>
      </w:r>
      <w:r>
        <w:rPr>
          <w:rFonts w:hint="default" w:ascii="Times New Roman" w:hAnsi="Times New Roman" w:eastAsia="宋体" w:cs="Times New Roman"/>
          <w:snapToGrid w:val="0"/>
          <w:color w:val="auto"/>
          <w:spacing w:val="-3"/>
          <w:kern w:val="0"/>
          <w:sz w:val="24"/>
          <w:szCs w:val="24"/>
          <w:highlight w:val="none"/>
          <w:lang w:val="en-US" w:eastAsia="zh-CN" w:bidi="ar-SA"/>
        </w:rPr>
        <w:t>排放。</w:t>
      </w:r>
      <w:bookmarkStart w:id="1926" w:name="pindex13232"/>
      <w:bookmarkEnd w:id="1926"/>
    </w:p>
    <w:p w14:paraId="6E595CA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72" w:firstLineChars="200"/>
        <w:textAlignment w:val="baseline"/>
        <w:outlineLvl w:val="9"/>
        <w:rPr>
          <w:rFonts w:ascii="宋体" w:hAnsi="宋体" w:eastAsia="宋体" w:cs="宋体"/>
          <w:color w:val="auto"/>
          <w:spacing w:val="-2"/>
          <w:sz w:val="24"/>
          <w:szCs w:val="24"/>
          <w:highlight w:val="none"/>
        </w:rPr>
      </w:pPr>
      <w:r>
        <w:rPr>
          <w:rFonts w:hint="default" w:ascii="Times New Roman" w:hAnsi="Times New Roman" w:eastAsia="宋体" w:cs="Times New Roman"/>
          <w:snapToGrid w:val="0"/>
          <w:color w:val="auto"/>
          <w:spacing w:val="-2"/>
          <w:kern w:val="0"/>
          <w:sz w:val="24"/>
          <w:szCs w:val="24"/>
          <w:highlight w:val="none"/>
          <w:lang w:val="en-US" w:eastAsia="en-US" w:bidi="ar-SA"/>
        </w:rPr>
        <w:t>2</w:t>
      </w:r>
      <w:r>
        <w:rPr>
          <w:rFonts w:ascii="宋体" w:hAnsi="宋体" w:eastAsia="宋体" w:cs="宋体"/>
          <w:snapToGrid w:val="0"/>
          <w:color w:val="auto"/>
          <w:spacing w:val="-2"/>
          <w:kern w:val="0"/>
          <w:sz w:val="24"/>
          <w:szCs w:val="24"/>
          <w:highlight w:val="none"/>
          <w:lang w:val="en-US" w:eastAsia="en-US" w:bidi="ar-SA"/>
        </w:rPr>
        <w:t>、</w:t>
      </w:r>
      <w:r>
        <w:rPr>
          <w:rFonts w:hint="default" w:ascii="Times New Roman" w:hAnsi="Times New Roman" w:eastAsia="宋体" w:cs="Times New Roman"/>
          <w:color w:val="auto"/>
          <w:spacing w:val="-2"/>
          <w:sz w:val="24"/>
          <w:szCs w:val="24"/>
          <w:highlight w:val="none"/>
        </w:rPr>
        <w:t>废水处理</w:t>
      </w:r>
      <w:bookmarkStart w:id="1927" w:name="pindex13233"/>
      <w:bookmarkEnd w:id="1927"/>
    </w:p>
    <w:p w14:paraId="482F4940">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宋体" w:hAnsi="宋体" w:eastAsia="宋体" w:cs="宋体"/>
          <w:snapToGrid w:val="0"/>
          <w:color w:val="auto"/>
          <w:spacing w:val="-3"/>
          <w:kern w:val="0"/>
          <w:sz w:val="24"/>
          <w:szCs w:val="24"/>
          <w:highlight w:val="none"/>
          <w:lang w:val="en-US" w:eastAsia="zh-CN" w:bidi="ar-SA"/>
        </w:rPr>
      </w:pPr>
      <w:r>
        <w:rPr>
          <w:rFonts w:hint="eastAsia" w:ascii="宋体" w:hAnsi="宋体" w:eastAsia="宋体" w:cs="宋体"/>
          <w:snapToGrid w:val="0"/>
          <w:color w:val="auto"/>
          <w:spacing w:val="-3"/>
          <w:kern w:val="0"/>
          <w:sz w:val="24"/>
          <w:szCs w:val="24"/>
          <w:highlight w:val="none"/>
          <w:lang w:val="en-US" w:eastAsia="zh-CN" w:bidi="ar-SA"/>
        </w:rPr>
        <w:t>该产业一般不产生生产废水，仅产生员工生活废水。</w:t>
      </w:r>
      <w:bookmarkStart w:id="1928" w:name="sys132342383"/>
      <w:r>
        <w:rPr>
          <w:rFonts w:hint="eastAsia" w:ascii="宋体" w:hAnsi="宋体" w:eastAsia="宋体" w:cs="宋体"/>
          <w:snapToGrid w:val="0"/>
          <w:color w:val="auto"/>
          <w:spacing w:val="-3"/>
          <w:kern w:val="0"/>
          <w:sz w:val="24"/>
          <w:szCs w:val="24"/>
          <w:highlight w:val="none"/>
          <w:lang w:val="en-US" w:eastAsia="zh-CN" w:bidi="ar-SA"/>
        </w:rPr>
        <w:t>项目产生的生活污水由厂区化粪池处理后达到《污水综合排放标准》</w:t>
      </w:r>
      <w:r>
        <w:rPr>
          <w:rFonts w:hint="default" w:ascii="Times New Roman" w:hAnsi="Times New Roman" w:eastAsia="宋体" w:cs="Times New Roman"/>
          <w:snapToGrid w:val="0"/>
          <w:color w:val="auto"/>
          <w:spacing w:val="-3"/>
          <w:kern w:val="0"/>
          <w:sz w:val="24"/>
          <w:szCs w:val="24"/>
          <w:highlight w:val="none"/>
          <w:lang w:val="en-US" w:eastAsia="zh-CN" w:bidi="ar-SA"/>
        </w:rPr>
        <w:t>（GB8978-1996）表4</w:t>
      </w:r>
      <w:r>
        <w:rPr>
          <w:rFonts w:hint="eastAsia" w:ascii="宋体" w:hAnsi="宋体" w:eastAsia="宋体" w:cs="宋体"/>
          <w:snapToGrid w:val="0"/>
          <w:color w:val="auto"/>
          <w:spacing w:val="-3"/>
          <w:kern w:val="0"/>
          <w:sz w:val="24"/>
          <w:szCs w:val="24"/>
          <w:highlight w:val="none"/>
          <w:lang w:val="en-US" w:eastAsia="zh-CN" w:bidi="ar-SA"/>
        </w:rPr>
        <w:t>三级标准，由市政污水管网接入污水处理厂深度处理，尾水达标后排入相应纳污水体。</w:t>
      </w:r>
      <w:bookmarkEnd w:id="1928"/>
    </w:p>
    <w:p w14:paraId="3666C015">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outlineLvl w:val="9"/>
        <w:rPr>
          <w:rFonts w:hint="eastAsia" w:ascii="宋体" w:hAnsi="宋体" w:eastAsia="宋体" w:cs="宋体"/>
          <w:snapToGrid w:val="0"/>
          <w:color w:val="auto"/>
          <w:spacing w:val="-3"/>
          <w:kern w:val="0"/>
          <w:sz w:val="24"/>
          <w:szCs w:val="24"/>
          <w:highlight w:val="none"/>
          <w:lang w:val="en-US" w:eastAsia="zh-CN" w:bidi="ar-SA"/>
        </w:rPr>
      </w:pPr>
      <w:r>
        <w:rPr>
          <w:rFonts w:hint="default" w:ascii="Times New Roman" w:hAnsi="Times New Roman" w:eastAsia="宋体" w:cs="Times New Roman"/>
          <w:snapToGrid w:val="0"/>
          <w:color w:val="auto"/>
          <w:spacing w:val="-3"/>
          <w:kern w:val="0"/>
          <w:sz w:val="24"/>
          <w:szCs w:val="24"/>
          <w:highlight w:val="none"/>
          <w:lang w:val="en-US" w:eastAsia="zh-CN" w:bidi="ar-SA"/>
        </w:rPr>
        <w:t>3、固</w:t>
      </w:r>
      <w:r>
        <w:rPr>
          <w:rFonts w:hint="eastAsia" w:ascii="宋体" w:hAnsi="宋体" w:eastAsia="宋体" w:cs="宋体"/>
          <w:snapToGrid w:val="0"/>
          <w:color w:val="auto"/>
          <w:spacing w:val="-3"/>
          <w:kern w:val="0"/>
          <w:sz w:val="24"/>
          <w:szCs w:val="24"/>
          <w:highlight w:val="none"/>
          <w:lang w:val="en-US" w:eastAsia="zh-CN" w:bidi="ar-SA"/>
        </w:rPr>
        <w:t>废治理</w:t>
      </w:r>
      <w:bookmarkStart w:id="1929" w:name="pindex13235"/>
      <w:bookmarkEnd w:id="1929"/>
    </w:p>
    <w:p w14:paraId="7A748054">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宋体" w:hAnsi="宋体" w:eastAsia="宋体" w:cs="宋体"/>
          <w:snapToGrid w:val="0"/>
          <w:color w:val="auto"/>
          <w:spacing w:val="-3"/>
          <w:kern w:val="0"/>
          <w:sz w:val="24"/>
          <w:szCs w:val="24"/>
          <w:highlight w:val="none"/>
          <w:lang w:val="en-US" w:eastAsia="zh-CN" w:bidi="ar-SA"/>
        </w:rPr>
        <w:sectPr>
          <w:headerReference r:id="rId36" w:type="default"/>
          <w:footerReference r:id="rId37" w:type="default"/>
          <w:pgSz w:w="11907" w:h="16839"/>
          <w:pgMar w:top="1175" w:right="1769" w:bottom="1622" w:left="1771" w:header="862" w:footer="1445" w:gutter="0"/>
          <w:pgBorders>
            <w:top w:val="none" w:sz="0" w:space="0"/>
            <w:left w:val="none" w:sz="0" w:space="0"/>
            <w:bottom w:val="none" w:sz="0" w:space="0"/>
            <w:right w:val="none" w:sz="0" w:space="0"/>
          </w:pgBorders>
          <w:pgNumType w:fmt="decimal"/>
          <w:cols w:space="720" w:num="1"/>
        </w:sectPr>
      </w:pPr>
      <w:r>
        <w:rPr>
          <w:rFonts w:hint="eastAsia" w:ascii="宋体" w:hAnsi="宋体" w:eastAsia="宋体" w:cs="宋体"/>
          <w:snapToGrid w:val="0"/>
          <w:color w:val="auto"/>
          <w:spacing w:val="-3"/>
          <w:kern w:val="0"/>
          <w:sz w:val="24"/>
          <w:szCs w:val="24"/>
          <w:highlight w:val="none"/>
          <w:lang w:val="en-US" w:eastAsia="zh-CN" w:bidi="ar-SA"/>
        </w:rPr>
        <w:t>此类产业产生的固体废物主要有金属边角料、废切削液、废清洗液、废抹布、废砂纸、过滤打磨粉尘、废试机粉、废玻璃砂、废机油、废玻璃纤维棉和废活性炭、沾染危废的废包装物以及生活垃圾等。各类危险废物均委托有资质处置单位集中处理。</w:t>
      </w:r>
    </w:p>
    <w:p w14:paraId="3A58360B">
      <w:pPr>
        <w:keepNext w:val="0"/>
        <w:keepLines w:val="0"/>
        <w:pageBreakBefore w:val="0"/>
        <w:widowControl/>
        <w:kinsoku w:val="0"/>
        <w:wordWrap/>
        <w:overflowPunct/>
        <w:topLinePunct w:val="0"/>
        <w:autoSpaceDE w:val="0"/>
        <w:autoSpaceDN w:val="0"/>
        <w:bidi w:val="0"/>
        <w:adjustRightInd w:val="0"/>
        <w:snapToGrid w:val="0"/>
        <w:spacing w:before="305" w:line="360" w:lineRule="auto"/>
        <w:ind w:left="38"/>
        <w:textAlignment w:val="baseline"/>
        <w:outlineLvl w:val="0"/>
        <w:rPr>
          <w:rFonts w:hint="eastAsia" w:ascii="Times New Roman" w:hAnsi="Times New Roman" w:eastAsia="宋体" w:cs="Times New Roman"/>
          <w:b/>
          <w:bCs/>
          <w:color w:val="auto"/>
          <w:spacing w:val="-3"/>
          <w:sz w:val="28"/>
          <w:szCs w:val="28"/>
          <w:lang w:val="en-US" w:eastAsia="zh-CN"/>
        </w:rPr>
      </w:pPr>
      <w:bookmarkStart w:id="1930" w:name="_Toc10755"/>
      <w:r>
        <w:rPr>
          <w:rFonts w:hint="eastAsia" w:ascii="Times New Roman" w:hAnsi="Times New Roman" w:eastAsia="宋体" w:cs="Times New Roman"/>
          <w:b/>
          <w:bCs/>
          <w:color w:val="auto"/>
          <w:spacing w:val="-3"/>
          <w:sz w:val="28"/>
          <w:szCs w:val="28"/>
          <w:lang w:val="en-US" w:eastAsia="zh-CN"/>
        </w:rPr>
        <w:t>7环境要素预测所需基本资料</w:t>
      </w:r>
      <w:bookmarkEnd w:id="1930"/>
      <w:bookmarkStart w:id="1931" w:name="pindex13237"/>
      <w:bookmarkEnd w:id="1931"/>
    </w:p>
    <w:p w14:paraId="67B1B52D">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1"/>
        <w:rPr>
          <w:rFonts w:hint="eastAsia" w:ascii="Times New Roman" w:hAnsi="Times New Roman" w:eastAsia="宋体" w:cs="Times New Roman"/>
          <w:b/>
          <w:bCs/>
          <w:color w:val="auto"/>
          <w:sz w:val="24"/>
          <w:szCs w:val="24"/>
          <w:lang w:val="en-US" w:eastAsia="zh-CN"/>
        </w:rPr>
      </w:pPr>
      <w:bookmarkStart w:id="1932" w:name="_Toc4756"/>
      <w:bookmarkStart w:id="1933" w:name="OLE_LINK638"/>
      <w:r>
        <w:rPr>
          <w:rFonts w:hint="default" w:ascii="Times New Roman" w:hAnsi="Times New Roman" w:eastAsia="宋体" w:cs="Times New Roman"/>
          <w:b/>
          <w:bCs/>
          <w:color w:val="auto"/>
          <w:sz w:val="24"/>
          <w:szCs w:val="24"/>
          <w:lang w:val="en-US" w:eastAsia="zh-CN"/>
        </w:rPr>
        <w:t>7.1</w:t>
      </w:r>
      <w:r>
        <w:rPr>
          <w:rFonts w:hint="eastAsia" w:ascii="Times New Roman" w:hAnsi="Times New Roman" w:eastAsia="宋体" w:cs="Times New Roman"/>
          <w:b/>
          <w:bCs/>
          <w:color w:val="auto"/>
          <w:sz w:val="24"/>
          <w:szCs w:val="24"/>
          <w:lang w:val="en-US" w:eastAsia="zh-CN"/>
        </w:rPr>
        <w:t>大气环境要素预测所需基本资料</w:t>
      </w:r>
      <w:bookmarkEnd w:id="1932"/>
      <w:bookmarkStart w:id="1934" w:name="pindex13238"/>
      <w:bookmarkEnd w:id="1934"/>
    </w:p>
    <w:p w14:paraId="1BABF804">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eastAsia" w:ascii="Times New Roman" w:hAnsi="Times New Roman" w:eastAsia="宋体" w:cs="Times New Roman"/>
          <w:b/>
          <w:bCs/>
          <w:color w:val="auto"/>
          <w:sz w:val="24"/>
          <w:szCs w:val="24"/>
          <w:lang w:val="en-US" w:eastAsia="zh-CN"/>
        </w:rPr>
      </w:pPr>
      <w:bookmarkStart w:id="1935" w:name="_Toc8864"/>
      <w:bookmarkStart w:id="1936" w:name="OLE_LINK631"/>
      <w:r>
        <w:rPr>
          <w:rFonts w:hint="default" w:ascii="Times New Roman" w:hAnsi="Times New Roman" w:eastAsia="宋体" w:cs="Times New Roman"/>
          <w:b/>
          <w:bCs/>
          <w:color w:val="auto"/>
          <w:sz w:val="24"/>
          <w:szCs w:val="24"/>
          <w:lang w:val="en-US" w:eastAsia="zh-CN"/>
        </w:rPr>
        <w:t>7</w:t>
      </w:r>
      <w:bookmarkStart w:id="1937" w:name="OLE_LINK639"/>
      <w:r>
        <w:rPr>
          <w:rFonts w:hint="default" w:ascii="Times New Roman" w:hAnsi="Times New Roman" w:eastAsia="宋体" w:cs="Times New Roman"/>
          <w:b/>
          <w:bCs/>
          <w:color w:val="auto"/>
          <w:sz w:val="24"/>
          <w:szCs w:val="24"/>
          <w:lang w:val="en-US" w:eastAsia="zh-CN"/>
        </w:rPr>
        <w:t>.1.1</w:t>
      </w:r>
      <w:r>
        <w:rPr>
          <w:rFonts w:hint="eastAsia" w:ascii="Times New Roman" w:hAnsi="Times New Roman" w:eastAsia="宋体" w:cs="Times New Roman"/>
          <w:b/>
          <w:bCs/>
          <w:color w:val="auto"/>
          <w:sz w:val="24"/>
          <w:szCs w:val="24"/>
          <w:lang w:val="en-US" w:eastAsia="zh-CN"/>
        </w:rPr>
        <w:t>大气估算模型参数</w:t>
      </w:r>
      <w:bookmarkEnd w:id="1935"/>
      <w:bookmarkEnd w:id="1937"/>
      <w:bookmarkStart w:id="1938" w:name="pindex13239"/>
      <w:bookmarkEnd w:id="1938"/>
    </w:p>
    <w:bookmarkEnd w:id="1933"/>
    <w:bookmarkEnd w:id="1936"/>
    <w:p w14:paraId="34980F1B">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color w:val="auto"/>
        </w:rPr>
      </w:pPr>
      <w:r>
        <w:rPr>
          <w:rFonts w:hint="eastAsia" w:ascii="宋体" w:hAnsi="宋体" w:eastAsia="宋体" w:cs="宋体"/>
          <w:snapToGrid w:val="0"/>
          <w:color w:val="auto"/>
          <w:kern w:val="0"/>
          <w:sz w:val="24"/>
          <w:szCs w:val="24"/>
          <w:lang w:val="en-US" w:eastAsia="zh-CN" w:bidi="ar"/>
        </w:rPr>
        <w:t>大气环境影响预测采用大气导则推荐的</w:t>
      </w:r>
      <w:r>
        <w:rPr>
          <w:rFonts w:hint="default" w:ascii="Times New Roman" w:hAnsi="Times New Roman" w:eastAsia="宋体" w:cs="Times New Roman"/>
          <w:snapToGrid w:val="0"/>
          <w:color w:val="auto"/>
          <w:kern w:val="0"/>
          <w:sz w:val="24"/>
          <w:szCs w:val="24"/>
          <w:lang w:val="en-US" w:eastAsia="zh-CN" w:bidi="ar"/>
        </w:rPr>
        <w:t>AERSCREEN</w:t>
      </w:r>
      <w:r>
        <w:rPr>
          <w:rFonts w:hint="eastAsia" w:ascii="宋体" w:hAnsi="宋体" w:eastAsia="宋体" w:cs="宋体"/>
          <w:snapToGrid w:val="0"/>
          <w:color w:val="auto"/>
          <w:kern w:val="0"/>
          <w:sz w:val="24"/>
          <w:szCs w:val="24"/>
          <w:lang w:val="en-US" w:eastAsia="zh-CN" w:bidi="ar"/>
        </w:rPr>
        <w:t>对区域内排放污染物的最远影响距离（</w:t>
      </w:r>
      <w:r>
        <w:rPr>
          <w:rFonts w:hint="default" w:ascii="Times New Roman" w:hAnsi="Times New Roman" w:eastAsia="宋体" w:cs="Times New Roman"/>
          <w:snapToGrid w:val="0"/>
          <w:color w:val="auto"/>
          <w:kern w:val="0"/>
          <w:sz w:val="24"/>
          <w:szCs w:val="24"/>
          <w:lang w:val="en-US" w:eastAsia="zh-CN" w:bidi="ar"/>
        </w:rPr>
        <w:t>D</w:t>
      </w:r>
      <w:r>
        <w:rPr>
          <w:rFonts w:hint="default" w:ascii="Times New Roman" w:hAnsi="Times New Roman" w:eastAsia="宋体" w:cs="Times New Roman"/>
          <w:snapToGrid w:val="0"/>
          <w:color w:val="auto"/>
          <w:kern w:val="0"/>
          <w:sz w:val="16"/>
          <w:szCs w:val="16"/>
          <w:lang w:val="en-US" w:eastAsia="zh-CN" w:bidi="ar"/>
        </w:rPr>
        <w:t>10%</w:t>
      </w:r>
      <w:r>
        <w:rPr>
          <w:rFonts w:hint="eastAsia" w:ascii="宋体" w:hAnsi="宋体" w:eastAsia="宋体" w:cs="宋体"/>
          <w:snapToGrid w:val="0"/>
          <w:color w:val="auto"/>
          <w:kern w:val="0"/>
          <w:sz w:val="24"/>
          <w:szCs w:val="24"/>
          <w:lang w:val="en-US" w:eastAsia="zh-CN" w:bidi="ar"/>
        </w:rPr>
        <w:t>）进行估算，从而确定区域的大气环境影响评价范围。估算模式预测参数见表</w:t>
      </w:r>
      <w:r>
        <w:rPr>
          <w:rFonts w:hint="default" w:ascii="Times New Roman" w:hAnsi="Times New Roman" w:eastAsia="宋体" w:cs="Times New Roman"/>
          <w:snapToGrid w:val="0"/>
          <w:color w:val="auto"/>
          <w:kern w:val="0"/>
          <w:sz w:val="24"/>
          <w:szCs w:val="24"/>
          <w:lang w:val="en-US" w:eastAsia="zh-CN" w:bidi="ar"/>
        </w:rPr>
        <w:t>7.1-1</w:t>
      </w:r>
      <w:r>
        <w:rPr>
          <w:rFonts w:hint="eastAsia" w:ascii="宋体" w:hAnsi="宋体" w:eastAsia="宋体" w:cs="宋体"/>
          <w:snapToGrid w:val="0"/>
          <w:color w:val="auto"/>
          <w:kern w:val="0"/>
          <w:sz w:val="24"/>
          <w:szCs w:val="24"/>
          <w:lang w:val="en-US" w:eastAsia="zh-CN" w:bidi="ar"/>
        </w:rPr>
        <w:t>。</w:t>
      </w:r>
    </w:p>
    <w:p w14:paraId="5B1B7561">
      <w:pPr>
        <w:bidi w:val="0"/>
        <w:jc w:val="center"/>
        <w:rPr>
          <w:rFonts w:hint="default" w:ascii="Times New Roman" w:hAnsi="Times New Roman" w:cs="Times New Roman"/>
          <w:b/>
          <w:bCs/>
          <w:color w:val="auto"/>
          <w:sz w:val="24"/>
          <w:szCs w:val="24"/>
          <w:lang w:val="en-US" w:eastAsia="zh-CN"/>
        </w:rPr>
      </w:pPr>
      <w:bookmarkStart w:id="1939" w:name="OLE_LINK660"/>
      <w:r>
        <w:rPr>
          <w:rFonts w:hint="default" w:ascii="Times New Roman" w:hAnsi="Times New Roman" w:cs="Times New Roman"/>
          <w:b/>
          <w:bCs/>
          <w:color w:val="auto"/>
          <w:sz w:val="24"/>
          <w:szCs w:val="24"/>
          <w:lang w:val="en-US" w:eastAsia="zh-CN"/>
        </w:rPr>
        <w:t>表7.1-1  估算模型参数表</w:t>
      </w:r>
      <w:bookmarkStart w:id="1940" w:name="pindex13241"/>
      <w:bookmarkEnd w:id="1940"/>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99"/>
        <w:gridCol w:w="3663"/>
        <w:gridCol w:w="1921"/>
      </w:tblGrid>
      <w:tr w14:paraId="6A621E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3881" w:type="pct"/>
            <w:gridSpan w:val="2"/>
            <w:vAlign w:val="center"/>
          </w:tcPr>
          <w:p w14:paraId="146EBFD6">
            <w:pPr>
              <w:tabs>
                <w:tab w:val="left" w:pos="277"/>
                <w:tab w:val="left" w:pos="600"/>
                <w:tab w:val="left" w:pos="780"/>
                <w:tab w:val="left" w:pos="2517"/>
              </w:tabs>
              <w:adjustRightInd w:val="0"/>
              <w:snapToGrid w:val="0"/>
              <w:jc w:val="center"/>
              <w:textAlignment w:val="baseline"/>
              <w:rPr>
                <w:rFonts w:ascii="Times New Roman" w:hAnsi="Times New Roman" w:cs="Times New Roman"/>
                <w:b/>
                <w:color w:val="auto"/>
                <w:kern w:val="0"/>
                <w:highlight w:val="none"/>
              </w:rPr>
            </w:pPr>
            <w:r>
              <w:rPr>
                <w:rFonts w:ascii="Times New Roman" w:hAnsi="Times New Roman" w:cs="Times New Roman"/>
                <w:b/>
                <w:color w:val="auto"/>
                <w:kern w:val="0"/>
                <w:highlight w:val="none"/>
              </w:rPr>
              <w:t>参数</w:t>
            </w:r>
          </w:p>
        </w:tc>
        <w:tc>
          <w:tcPr>
            <w:tcW w:w="1119" w:type="pct"/>
            <w:vAlign w:val="center"/>
          </w:tcPr>
          <w:p w14:paraId="2FD9B205">
            <w:pPr>
              <w:tabs>
                <w:tab w:val="left" w:pos="277"/>
                <w:tab w:val="left" w:pos="600"/>
                <w:tab w:val="left" w:pos="780"/>
                <w:tab w:val="left" w:pos="2517"/>
              </w:tabs>
              <w:adjustRightInd w:val="0"/>
              <w:snapToGrid w:val="0"/>
              <w:jc w:val="center"/>
              <w:textAlignment w:val="baseline"/>
              <w:rPr>
                <w:rFonts w:ascii="Times New Roman" w:hAnsi="Times New Roman" w:cs="Times New Roman"/>
                <w:b/>
                <w:color w:val="auto"/>
                <w:kern w:val="0"/>
                <w:highlight w:val="none"/>
              </w:rPr>
            </w:pPr>
            <w:r>
              <w:rPr>
                <w:rFonts w:ascii="Times New Roman" w:hAnsi="Times New Roman" w:cs="Times New Roman"/>
                <w:b/>
                <w:color w:val="auto"/>
                <w:kern w:val="0"/>
                <w:highlight w:val="none"/>
              </w:rPr>
              <w:t>取值</w:t>
            </w:r>
          </w:p>
        </w:tc>
      </w:tr>
      <w:bookmarkEnd w:id="1939"/>
      <w:tr w14:paraId="7F22B7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747" w:type="pct"/>
            <w:vMerge w:val="restart"/>
            <w:vAlign w:val="center"/>
          </w:tcPr>
          <w:p w14:paraId="6BDE539A">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城市/农村选项</w:t>
            </w:r>
          </w:p>
        </w:tc>
        <w:tc>
          <w:tcPr>
            <w:tcW w:w="2134" w:type="pct"/>
            <w:vAlign w:val="center"/>
          </w:tcPr>
          <w:p w14:paraId="2C2D0E1B">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城市/农村</w:t>
            </w:r>
          </w:p>
        </w:tc>
        <w:tc>
          <w:tcPr>
            <w:tcW w:w="1119" w:type="pct"/>
            <w:vAlign w:val="center"/>
          </w:tcPr>
          <w:p w14:paraId="169299C2">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城市</w:t>
            </w:r>
          </w:p>
        </w:tc>
      </w:tr>
      <w:tr w14:paraId="14AC4E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747" w:type="pct"/>
            <w:vMerge w:val="continue"/>
            <w:vAlign w:val="center"/>
          </w:tcPr>
          <w:p w14:paraId="120A9B05">
            <w:pPr>
              <w:adjustRightInd w:val="0"/>
              <w:snapToGrid w:val="0"/>
              <w:jc w:val="center"/>
              <w:rPr>
                <w:rFonts w:ascii="Times New Roman" w:hAnsi="Times New Roman" w:cs="Times New Roman"/>
                <w:color w:val="auto"/>
                <w:highlight w:val="none"/>
              </w:rPr>
            </w:pPr>
          </w:p>
        </w:tc>
        <w:tc>
          <w:tcPr>
            <w:tcW w:w="2134" w:type="pct"/>
            <w:vAlign w:val="center"/>
          </w:tcPr>
          <w:p w14:paraId="6C39DB0F">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人口数（城市选项时）</w:t>
            </w:r>
          </w:p>
        </w:tc>
        <w:tc>
          <w:tcPr>
            <w:tcW w:w="1119" w:type="pct"/>
            <w:vAlign w:val="center"/>
          </w:tcPr>
          <w:p w14:paraId="1DDE670B">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lang w:bidi="ar"/>
              </w:rPr>
              <w:t>850万人</w:t>
            </w:r>
          </w:p>
        </w:tc>
      </w:tr>
      <w:tr w14:paraId="20C402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3881" w:type="pct"/>
            <w:gridSpan w:val="2"/>
            <w:vAlign w:val="center"/>
          </w:tcPr>
          <w:p w14:paraId="2A1DFCE2">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最高环境温度/K</w:t>
            </w:r>
          </w:p>
        </w:tc>
        <w:tc>
          <w:tcPr>
            <w:tcW w:w="1119" w:type="pct"/>
            <w:vAlign w:val="center"/>
          </w:tcPr>
          <w:p w14:paraId="2C3E8461">
            <w:pPr>
              <w:jc w:val="center"/>
              <w:rPr>
                <w:rFonts w:ascii="Times New Roman" w:hAnsi="Times New Roman" w:cs="Times New Roman"/>
                <w:color w:val="auto"/>
                <w:highlight w:val="none"/>
              </w:rPr>
            </w:pPr>
            <w:r>
              <w:rPr>
                <w:rFonts w:ascii="Times New Roman" w:hAnsi="Times New Roman" w:cs="Times New Roman"/>
                <w:color w:val="auto"/>
                <w:highlight w:val="none"/>
              </w:rPr>
              <w:t>311</w:t>
            </w:r>
          </w:p>
        </w:tc>
      </w:tr>
      <w:tr w14:paraId="4BD32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3881" w:type="pct"/>
            <w:gridSpan w:val="2"/>
            <w:vAlign w:val="center"/>
          </w:tcPr>
          <w:p w14:paraId="3E7B8F40">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最低环境温度/K</w:t>
            </w:r>
          </w:p>
        </w:tc>
        <w:tc>
          <w:tcPr>
            <w:tcW w:w="1119" w:type="pct"/>
            <w:vAlign w:val="center"/>
          </w:tcPr>
          <w:p w14:paraId="69ECE08A">
            <w:pPr>
              <w:jc w:val="center"/>
              <w:rPr>
                <w:rFonts w:ascii="Times New Roman" w:hAnsi="Times New Roman" w:cs="Times New Roman"/>
                <w:color w:val="auto"/>
                <w:highlight w:val="none"/>
              </w:rPr>
            </w:pPr>
            <w:r>
              <w:rPr>
                <w:rFonts w:ascii="Times New Roman" w:hAnsi="Times New Roman" w:cs="Times New Roman"/>
                <w:color w:val="auto"/>
                <w:highlight w:val="none"/>
              </w:rPr>
              <w:t>258.8</w:t>
            </w:r>
          </w:p>
        </w:tc>
      </w:tr>
      <w:tr w14:paraId="5318A9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3881" w:type="pct"/>
            <w:gridSpan w:val="2"/>
            <w:vAlign w:val="center"/>
          </w:tcPr>
          <w:p w14:paraId="657CCCE5">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土地利用类型</w:t>
            </w:r>
          </w:p>
        </w:tc>
        <w:tc>
          <w:tcPr>
            <w:tcW w:w="1119" w:type="pct"/>
            <w:vAlign w:val="center"/>
          </w:tcPr>
          <w:p w14:paraId="651D02A8">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城市</w:t>
            </w:r>
          </w:p>
        </w:tc>
      </w:tr>
      <w:tr w14:paraId="740F2F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3881" w:type="pct"/>
            <w:gridSpan w:val="2"/>
            <w:vAlign w:val="center"/>
          </w:tcPr>
          <w:p w14:paraId="19CAB142">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区域湿度条件</w:t>
            </w:r>
          </w:p>
        </w:tc>
        <w:tc>
          <w:tcPr>
            <w:tcW w:w="1119" w:type="pct"/>
            <w:vAlign w:val="center"/>
          </w:tcPr>
          <w:p w14:paraId="419D89AC">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湿润区</w:t>
            </w:r>
          </w:p>
        </w:tc>
      </w:tr>
      <w:tr w14:paraId="144A71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747" w:type="pct"/>
            <w:vMerge w:val="restart"/>
            <w:vAlign w:val="center"/>
          </w:tcPr>
          <w:p w14:paraId="6A275EB0">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是否考虑地形</w:t>
            </w:r>
          </w:p>
        </w:tc>
        <w:tc>
          <w:tcPr>
            <w:tcW w:w="2134" w:type="pct"/>
            <w:vAlign w:val="center"/>
          </w:tcPr>
          <w:p w14:paraId="7C93A543">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考虑地形</w:t>
            </w:r>
          </w:p>
        </w:tc>
        <w:tc>
          <w:tcPr>
            <w:tcW w:w="1119" w:type="pct"/>
            <w:vAlign w:val="center"/>
          </w:tcPr>
          <w:p w14:paraId="0980803D">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是</w:t>
            </w:r>
          </w:p>
        </w:tc>
      </w:tr>
      <w:tr w14:paraId="2D446B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747" w:type="pct"/>
            <w:vMerge w:val="continue"/>
            <w:vAlign w:val="center"/>
          </w:tcPr>
          <w:p w14:paraId="23A56769">
            <w:pPr>
              <w:adjustRightInd w:val="0"/>
              <w:snapToGrid w:val="0"/>
              <w:jc w:val="center"/>
              <w:rPr>
                <w:rFonts w:ascii="Times New Roman" w:hAnsi="Times New Roman" w:cs="Times New Roman"/>
                <w:color w:val="auto"/>
                <w:highlight w:val="none"/>
              </w:rPr>
            </w:pPr>
          </w:p>
        </w:tc>
        <w:tc>
          <w:tcPr>
            <w:tcW w:w="2134" w:type="pct"/>
            <w:vAlign w:val="center"/>
          </w:tcPr>
          <w:p w14:paraId="5F754B47">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地形数据分辨率/m</w:t>
            </w:r>
          </w:p>
        </w:tc>
        <w:tc>
          <w:tcPr>
            <w:tcW w:w="1119" w:type="pct"/>
            <w:vAlign w:val="center"/>
          </w:tcPr>
          <w:p w14:paraId="52E7A7EA">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w:t>
            </w:r>
          </w:p>
        </w:tc>
      </w:tr>
      <w:tr w14:paraId="6C504C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747" w:type="pct"/>
            <w:vMerge w:val="restart"/>
            <w:vAlign w:val="center"/>
          </w:tcPr>
          <w:p w14:paraId="6B6D1990">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是否考虑岸线熏烟</w:t>
            </w:r>
          </w:p>
        </w:tc>
        <w:tc>
          <w:tcPr>
            <w:tcW w:w="2134" w:type="pct"/>
            <w:vAlign w:val="center"/>
          </w:tcPr>
          <w:p w14:paraId="62BD9602">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考虑岸线熏烟</w:t>
            </w:r>
          </w:p>
        </w:tc>
        <w:tc>
          <w:tcPr>
            <w:tcW w:w="1119" w:type="pct"/>
            <w:vAlign w:val="center"/>
          </w:tcPr>
          <w:p w14:paraId="2950C7D5">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否</w:t>
            </w:r>
          </w:p>
        </w:tc>
      </w:tr>
      <w:tr w14:paraId="5BAB85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747" w:type="pct"/>
            <w:vMerge w:val="continue"/>
            <w:vAlign w:val="center"/>
          </w:tcPr>
          <w:p w14:paraId="06A22FB7">
            <w:pPr>
              <w:adjustRightInd w:val="0"/>
              <w:snapToGrid w:val="0"/>
              <w:jc w:val="center"/>
              <w:rPr>
                <w:rFonts w:ascii="Times New Roman" w:hAnsi="Times New Roman" w:cs="Times New Roman"/>
                <w:color w:val="auto"/>
                <w:highlight w:val="none"/>
              </w:rPr>
            </w:pPr>
          </w:p>
        </w:tc>
        <w:tc>
          <w:tcPr>
            <w:tcW w:w="2134" w:type="pct"/>
            <w:vAlign w:val="center"/>
          </w:tcPr>
          <w:p w14:paraId="13289DF1">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岸线距离/km</w:t>
            </w:r>
          </w:p>
        </w:tc>
        <w:tc>
          <w:tcPr>
            <w:tcW w:w="1119" w:type="pct"/>
            <w:vAlign w:val="center"/>
          </w:tcPr>
          <w:p w14:paraId="4C78A2A3">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w:t>
            </w:r>
          </w:p>
        </w:tc>
      </w:tr>
      <w:tr w14:paraId="2E73BB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747" w:type="pct"/>
            <w:vMerge w:val="continue"/>
            <w:vAlign w:val="center"/>
          </w:tcPr>
          <w:p w14:paraId="5DC2B60E">
            <w:pPr>
              <w:adjustRightInd w:val="0"/>
              <w:snapToGrid w:val="0"/>
              <w:jc w:val="center"/>
              <w:rPr>
                <w:rFonts w:ascii="Times New Roman" w:hAnsi="Times New Roman" w:cs="Times New Roman"/>
                <w:color w:val="auto"/>
                <w:highlight w:val="none"/>
              </w:rPr>
            </w:pPr>
          </w:p>
        </w:tc>
        <w:tc>
          <w:tcPr>
            <w:tcW w:w="2134" w:type="pct"/>
            <w:vAlign w:val="center"/>
          </w:tcPr>
          <w:p w14:paraId="7BF6409B">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岸线方向/º</w:t>
            </w:r>
          </w:p>
        </w:tc>
        <w:tc>
          <w:tcPr>
            <w:tcW w:w="1119" w:type="pct"/>
            <w:vAlign w:val="center"/>
          </w:tcPr>
          <w:p w14:paraId="7F74B83D">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w:t>
            </w:r>
          </w:p>
        </w:tc>
      </w:tr>
    </w:tbl>
    <w:p w14:paraId="00A13A18">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default" w:ascii="Times New Roman" w:hAnsi="Times New Roman" w:eastAsia="宋体" w:cs="Times New Roman"/>
          <w:b/>
          <w:bCs/>
          <w:color w:val="auto"/>
          <w:sz w:val="24"/>
          <w:szCs w:val="24"/>
          <w:lang w:val="en-US" w:eastAsia="zh-CN"/>
        </w:rPr>
      </w:pPr>
      <w:bookmarkStart w:id="1941" w:name="_Toc2736"/>
      <w:bookmarkStart w:id="1942" w:name="OLE_LINK637"/>
      <w:r>
        <w:rPr>
          <w:rFonts w:hint="default" w:ascii="Times New Roman" w:hAnsi="Times New Roman" w:eastAsia="宋体" w:cs="Times New Roman"/>
          <w:b/>
          <w:bCs/>
          <w:color w:val="auto"/>
          <w:sz w:val="24"/>
          <w:szCs w:val="24"/>
          <w:lang w:val="en-US" w:eastAsia="zh-CN"/>
        </w:rPr>
        <w:t>7.1.2</w:t>
      </w:r>
      <w:sdt>
        <w:sdtPr>
          <w:rPr>
            <w:color w:val="auto"/>
          </w:rPr>
          <w:alias w:val="易错词检查"/>
          <w:tag w:val="auto"/>
          <w:id w:val="1013606"/>
        </w:sdtPr>
        <w:sdtEndPr>
          <w:rPr>
            <w:color w:val="auto"/>
          </w:rPr>
        </w:sdtEndPr>
        <w:sdtContent>
          <w:bookmarkStart w:id="1943" w:name="bkReivew1013606"/>
          <w:r>
            <w:rPr>
              <w:rFonts w:hint="default" w:ascii="Times New Roman" w:hAnsi="Times New Roman" w:eastAsia="宋体" w:cs="Times New Roman"/>
              <w:b/>
              <w:bCs/>
              <w:color w:val="auto"/>
              <w:sz w:val="24"/>
              <w:szCs w:val="24"/>
              <w:lang w:val="en-US" w:eastAsia="zh-CN"/>
            </w:rPr>
            <w:t>大气</w:t>
          </w:r>
          <w:bookmarkEnd w:id="1943"/>
        </w:sdtContent>
      </w:sdt>
      <w:r>
        <w:rPr>
          <w:rFonts w:hint="default" w:ascii="Times New Roman" w:hAnsi="Times New Roman" w:eastAsia="宋体" w:cs="Times New Roman"/>
          <w:b/>
          <w:bCs/>
          <w:color w:val="auto"/>
          <w:sz w:val="24"/>
          <w:szCs w:val="24"/>
          <w:lang w:val="en-US" w:eastAsia="zh-CN"/>
        </w:rPr>
        <w:t>预测参数</w:t>
      </w:r>
      <w:bookmarkEnd w:id="1941"/>
      <w:bookmarkStart w:id="1944" w:name="pindex13273"/>
      <w:bookmarkEnd w:id="1944"/>
    </w:p>
    <w:bookmarkEnd w:id="1942"/>
    <w:p w14:paraId="79E89BAC">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color w:val="auto"/>
          <w:sz w:val="24"/>
          <w:szCs w:val="24"/>
          <w:lang w:val="en-US" w:eastAsia="zh-CN"/>
        </w:rPr>
      </w:pPr>
      <w:bookmarkStart w:id="1945" w:name="OLE_LINK633"/>
      <w:r>
        <w:rPr>
          <w:rFonts w:hint="default" w:ascii="Times New Roman" w:hAnsi="Times New Roman" w:eastAsia="宋体" w:cs="Times New Roman"/>
          <w:color w:val="auto"/>
          <w:sz w:val="24"/>
          <w:szCs w:val="24"/>
          <w:lang w:val="en-US" w:eastAsia="zh-CN"/>
        </w:rPr>
        <w:t>（1）</w:t>
      </w:r>
      <w:bookmarkStart w:id="1946" w:name="OLE_LINK827"/>
      <w:r>
        <w:rPr>
          <w:rFonts w:hint="default" w:ascii="Times New Roman" w:hAnsi="Times New Roman" w:eastAsia="宋体" w:cs="Times New Roman"/>
          <w:color w:val="auto"/>
          <w:sz w:val="24"/>
          <w:szCs w:val="24"/>
          <w:lang w:val="en-US" w:eastAsia="zh-CN"/>
        </w:rPr>
        <w:t>气象数据</w:t>
      </w:r>
      <w:bookmarkEnd w:id="1946"/>
      <w:bookmarkStart w:id="1947" w:name="pindex13274"/>
      <w:bookmarkEnd w:id="1947"/>
    </w:p>
    <w:bookmarkEnd w:id="1945"/>
    <w:p w14:paraId="66D3CFB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bookmarkStart w:id="1948" w:name="OLE_LINK632"/>
      <w:r>
        <w:rPr>
          <w:rFonts w:hint="eastAsia" w:ascii="Times New Roman" w:hAnsi="Times New Roman" w:eastAsia="宋体" w:cs="Times New Roman"/>
          <w:color w:val="auto"/>
          <w:sz w:val="24"/>
          <w:szCs w:val="24"/>
          <w:lang w:val="en-US" w:eastAsia="zh-CN"/>
        </w:rPr>
        <w:t>南京</w:t>
      </w:r>
      <w:r>
        <w:rPr>
          <w:rFonts w:hint="default" w:ascii="Times New Roman" w:hAnsi="Times New Roman" w:eastAsia="宋体" w:cs="Times New Roman"/>
          <w:color w:val="auto"/>
          <w:sz w:val="24"/>
          <w:szCs w:val="24"/>
          <w:lang w:val="en-US" w:eastAsia="zh-CN"/>
        </w:rPr>
        <w:t>气象</w:t>
      </w:r>
      <w:r>
        <w:rPr>
          <w:rFonts w:hint="default" w:ascii="Times New Roman" w:hAnsi="Times New Roman" w:eastAsia="宋体" w:cs="Times New Roman"/>
          <w:color w:val="auto"/>
          <w:sz w:val="24"/>
          <w:szCs w:val="24"/>
          <w:highlight w:val="none"/>
          <w:lang w:val="en-US" w:eastAsia="zh-CN"/>
        </w:rPr>
        <w:t>站</w:t>
      </w:r>
      <w:bookmarkStart w:id="1949" w:name="OLE_LINK635"/>
      <w:bookmarkStart w:id="1950" w:name="OLE_LINK636"/>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区站号58</w:t>
      </w:r>
      <w:r>
        <w:rPr>
          <w:rFonts w:hint="eastAsia" w:ascii="Times New Roman" w:hAnsi="Times New Roman" w:eastAsia="宋体" w:cs="Times New Roman"/>
          <w:color w:val="auto"/>
          <w:sz w:val="24"/>
          <w:szCs w:val="24"/>
          <w:highlight w:val="none"/>
          <w:lang w:val="en-US" w:eastAsia="zh-CN"/>
        </w:rPr>
        <w:t>238）</w:t>
      </w:r>
      <w:bookmarkEnd w:id="1949"/>
      <w:r>
        <w:rPr>
          <w:rFonts w:hint="default" w:ascii="Times New Roman" w:hAnsi="Times New Roman" w:eastAsia="宋体" w:cs="Times New Roman"/>
          <w:color w:val="auto"/>
          <w:sz w:val="24"/>
          <w:szCs w:val="24"/>
          <w:highlight w:val="none"/>
          <w:lang w:val="en-US" w:eastAsia="zh-CN"/>
        </w:rPr>
        <w:t>，气象站坐标为</w:t>
      </w:r>
      <w:r>
        <w:rPr>
          <w:rFonts w:hint="eastAsia" w:ascii="Times New Roman" w:hAnsi="Times New Roman" w:eastAsia="宋体" w:cs="Times New Roman"/>
          <w:color w:val="auto"/>
          <w:sz w:val="24"/>
          <w:szCs w:val="24"/>
          <w:highlight w:val="none"/>
          <w:lang w:val="en-US" w:eastAsia="zh-CN"/>
        </w:rPr>
        <w:t>31.9</w:t>
      </w:r>
      <w:r>
        <w:rPr>
          <w:rFonts w:hint="default" w:ascii="Times New Roman" w:hAnsi="Times New Roman" w:eastAsia="宋体" w:cs="Times New Roman"/>
          <w:color w:val="auto"/>
          <w:sz w:val="24"/>
          <w:szCs w:val="24"/>
          <w:highlight w:val="none"/>
          <w:lang w:val="en-US" w:eastAsia="zh-CN"/>
        </w:rPr>
        <w:t>°N，11</w:t>
      </w:r>
      <w:r>
        <w:rPr>
          <w:rFonts w:hint="eastAsia" w:ascii="Times New Roman" w:hAnsi="Times New Roman" w:eastAsia="宋体" w:cs="Times New Roman"/>
          <w:color w:val="auto"/>
          <w:sz w:val="24"/>
          <w:szCs w:val="24"/>
          <w:highlight w:val="none"/>
          <w:lang w:val="en-US" w:eastAsia="zh-CN"/>
        </w:rPr>
        <w:t>8.9</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海拔35.2</w:t>
      </w:r>
      <w:r>
        <w:rPr>
          <w:rFonts w:hint="default" w:ascii="Times New Roman" w:hAnsi="Times New Roman" w:eastAsia="宋体" w:cs="Times New Roman"/>
          <w:color w:val="auto"/>
          <w:sz w:val="24"/>
          <w:szCs w:val="24"/>
          <w:highlight w:val="none"/>
          <w:lang w:val="en-US" w:eastAsia="zh-CN"/>
        </w:rPr>
        <w:t>m。</w:t>
      </w:r>
      <w:bookmarkEnd w:id="1950"/>
      <w:r>
        <w:rPr>
          <w:rFonts w:hint="default" w:ascii="Times New Roman" w:hAnsi="Times New Roman" w:eastAsia="宋体" w:cs="Times New Roman"/>
          <w:color w:val="auto"/>
          <w:sz w:val="24"/>
          <w:szCs w:val="24"/>
          <w:lang w:val="en-US" w:eastAsia="zh-CN"/>
        </w:rPr>
        <w:t>具体</w:t>
      </w:r>
      <w:bookmarkStart w:id="1951" w:name="OLE_LINK634"/>
      <w:r>
        <w:rPr>
          <w:rFonts w:hint="default" w:ascii="Times New Roman" w:hAnsi="Times New Roman" w:eastAsia="宋体" w:cs="Times New Roman"/>
          <w:color w:val="auto"/>
          <w:sz w:val="24"/>
          <w:szCs w:val="24"/>
          <w:highlight w:val="none"/>
          <w:lang w:val="en-US" w:eastAsia="zh-CN"/>
        </w:rPr>
        <w:t>见表7.1-2</w:t>
      </w:r>
      <w:bookmarkEnd w:id="1951"/>
      <w:r>
        <w:rPr>
          <w:rFonts w:hint="default" w:ascii="Times New Roman" w:hAnsi="Times New Roman" w:eastAsia="宋体" w:cs="Times New Roman"/>
          <w:color w:val="auto"/>
          <w:sz w:val="24"/>
          <w:szCs w:val="24"/>
          <w:lang w:val="en-US" w:eastAsia="zh-CN"/>
        </w:rPr>
        <w:t>。</w:t>
      </w:r>
    </w:p>
    <w:p w14:paraId="14A78F78">
      <w:pPr>
        <w:bidi w:val="0"/>
        <w:jc w:val="center"/>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表7.1-2  地面观测气象数据信息</w:t>
      </w:r>
      <w:bookmarkStart w:id="1952" w:name="pindex13276"/>
      <w:bookmarkEnd w:id="1952"/>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4"/>
        <w:gridCol w:w="1226"/>
        <w:gridCol w:w="1011"/>
        <w:gridCol w:w="1083"/>
        <w:gridCol w:w="1068"/>
        <w:gridCol w:w="1047"/>
        <w:gridCol w:w="1921"/>
      </w:tblGrid>
      <w:tr w14:paraId="51B327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3" w:type="pct"/>
            <w:vMerge w:val="restart"/>
            <w:tcBorders>
              <w:tl2br w:val="nil"/>
              <w:tr2bl w:val="nil"/>
            </w:tcBorders>
            <w:vAlign w:val="center"/>
          </w:tcPr>
          <w:p w14:paraId="7EFCF742">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b/>
                <w:bCs/>
                <w:color w:val="auto"/>
                <w:sz w:val="21"/>
                <w:szCs w:val="21"/>
                <w:vertAlign w:val="baseline"/>
                <w:lang w:val="en-US" w:eastAsia="zh-CN"/>
              </w:rPr>
            </w:pPr>
            <w:bookmarkStart w:id="1953" w:name="OLE_LINK644" w:colFirst="5" w:colLast="6"/>
            <w:bookmarkStart w:id="1954" w:name="OLE_LINK640"/>
            <w:bookmarkStart w:id="1955" w:name="OLE_LINK641"/>
            <w:r>
              <w:rPr>
                <w:rFonts w:hint="eastAsia" w:ascii="Times New Roman" w:hAnsi="Times New Roman" w:eastAsia="宋体" w:cs="Times New Roman"/>
                <w:b/>
                <w:bCs/>
                <w:color w:val="auto"/>
                <w:sz w:val="21"/>
                <w:szCs w:val="21"/>
                <w:vertAlign w:val="baseline"/>
                <w:lang w:val="en-US" w:eastAsia="zh-CN"/>
              </w:rPr>
              <w:t>气象站</w:t>
            </w:r>
          </w:p>
          <w:p w14:paraId="2154D049">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名称</w:t>
            </w:r>
          </w:p>
        </w:tc>
        <w:tc>
          <w:tcPr>
            <w:tcW w:w="714" w:type="pct"/>
            <w:vMerge w:val="restart"/>
            <w:tcBorders>
              <w:tl2br w:val="nil"/>
              <w:tr2bl w:val="nil"/>
            </w:tcBorders>
            <w:vAlign w:val="center"/>
          </w:tcPr>
          <w:p w14:paraId="623F4DBF">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eastAsia"/>
                <w:b/>
                <w:bCs/>
                <w:color w:val="auto"/>
                <w:sz w:val="21"/>
                <w:szCs w:val="21"/>
                <w:vertAlign w:val="baseline"/>
                <w:lang w:val="en-US" w:eastAsia="zh-CN"/>
              </w:rPr>
            </w:pPr>
            <w:r>
              <w:rPr>
                <w:rFonts w:hint="eastAsia"/>
                <w:b/>
                <w:bCs/>
                <w:color w:val="auto"/>
                <w:sz w:val="21"/>
                <w:szCs w:val="21"/>
                <w:vertAlign w:val="baseline"/>
                <w:lang w:val="en-US" w:eastAsia="zh-CN"/>
              </w:rPr>
              <w:t>气象站</w:t>
            </w:r>
          </w:p>
          <w:p w14:paraId="09E9583C">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b/>
                <w:bCs/>
                <w:color w:val="auto"/>
                <w:sz w:val="21"/>
                <w:szCs w:val="21"/>
                <w:vertAlign w:val="baseline"/>
                <w:lang w:val="en-US" w:eastAsia="zh-CN"/>
              </w:rPr>
            </w:pPr>
            <w:r>
              <w:rPr>
                <w:rFonts w:hint="eastAsia"/>
                <w:b/>
                <w:bCs/>
                <w:color w:val="auto"/>
                <w:sz w:val="21"/>
                <w:szCs w:val="21"/>
                <w:vertAlign w:val="baseline"/>
                <w:lang w:val="en-US" w:eastAsia="zh-CN"/>
              </w:rPr>
              <w:t>编号</w:t>
            </w:r>
          </w:p>
        </w:tc>
        <w:tc>
          <w:tcPr>
            <w:tcW w:w="1220" w:type="pct"/>
            <w:gridSpan w:val="2"/>
            <w:tcBorders>
              <w:tl2br w:val="nil"/>
              <w:tr2bl w:val="nil"/>
            </w:tcBorders>
            <w:vAlign w:val="center"/>
          </w:tcPr>
          <w:p w14:paraId="2D6A3A04">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b/>
                <w:bCs/>
                <w:color w:val="auto"/>
                <w:sz w:val="21"/>
                <w:szCs w:val="21"/>
                <w:vertAlign w:val="baseline"/>
                <w:lang w:val="en-US" w:eastAsia="zh-CN"/>
              </w:rPr>
            </w:pPr>
            <w:bookmarkStart w:id="1956" w:name="OLE_LINK642"/>
            <w:r>
              <w:rPr>
                <w:rFonts w:hint="eastAsia"/>
                <w:b/>
                <w:bCs/>
                <w:color w:val="auto"/>
                <w:sz w:val="21"/>
                <w:szCs w:val="21"/>
                <w:vertAlign w:val="baseline"/>
                <w:lang w:val="en-US" w:eastAsia="zh-CN"/>
              </w:rPr>
              <w:t>经纬度（°）</w:t>
            </w:r>
            <w:bookmarkEnd w:id="1956"/>
          </w:p>
        </w:tc>
        <w:tc>
          <w:tcPr>
            <w:tcW w:w="622" w:type="pct"/>
            <w:vMerge w:val="restart"/>
            <w:tcBorders>
              <w:tl2br w:val="nil"/>
              <w:tr2bl w:val="nil"/>
            </w:tcBorders>
            <w:vAlign w:val="center"/>
          </w:tcPr>
          <w:p w14:paraId="0145CF48">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b/>
                <w:bCs/>
                <w:color w:val="auto"/>
                <w:sz w:val="21"/>
                <w:szCs w:val="21"/>
                <w:vertAlign w:val="baseline"/>
                <w:lang w:val="en-US" w:eastAsia="zh-CN"/>
              </w:rPr>
            </w:pPr>
            <w:r>
              <w:rPr>
                <w:rFonts w:hint="eastAsia"/>
                <w:b/>
                <w:bCs/>
                <w:color w:val="auto"/>
                <w:sz w:val="21"/>
                <w:szCs w:val="21"/>
                <w:vertAlign w:val="baseline"/>
                <w:lang w:val="en-US" w:eastAsia="zh-CN"/>
              </w:rPr>
              <w:t>海拔</w:t>
            </w:r>
            <w:bookmarkStart w:id="1957" w:name="OLE_LINK643"/>
            <w:r>
              <w:rPr>
                <w:rFonts w:hint="default" w:ascii="Times New Roman" w:hAnsi="Times New Roman" w:cs="Times New Roman"/>
                <w:b/>
                <w:bCs/>
                <w:color w:val="auto"/>
                <w:sz w:val="21"/>
                <w:szCs w:val="21"/>
                <w:vertAlign w:val="baseline"/>
                <w:lang w:val="en-US" w:eastAsia="zh-CN"/>
              </w:rPr>
              <w:t>/m</w:t>
            </w:r>
            <w:bookmarkEnd w:id="1957"/>
          </w:p>
        </w:tc>
        <w:tc>
          <w:tcPr>
            <w:tcW w:w="610" w:type="pct"/>
            <w:vMerge w:val="restart"/>
            <w:tcBorders>
              <w:tl2br w:val="nil"/>
              <w:tr2bl w:val="nil"/>
            </w:tcBorders>
            <w:vAlign w:val="center"/>
          </w:tcPr>
          <w:p w14:paraId="221F81A0">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eastAsia"/>
                <w:b/>
                <w:bCs/>
                <w:color w:val="auto"/>
                <w:sz w:val="21"/>
                <w:szCs w:val="21"/>
                <w:vertAlign w:val="baseline"/>
                <w:lang w:val="en-US" w:eastAsia="zh-CN"/>
              </w:rPr>
            </w:pPr>
            <w:r>
              <w:rPr>
                <w:rFonts w:hint="eastAsia"/>
                <w:b/>
                <w:bCs/>
                <w:color w:val="auto"/>
                <w:sz w:val="21"/>
                <w:szCs w:val="21"/>
                <w:vertAlign w:val="baseline"/>
                <w:lang w:val="en-US" w:eastAsia="zh-CN"/>
              </w:rPr>
              <w:t>数据</w:t>
            </w:r>
          </w:p>
          <w:p w14:paraId="2FCE7D08">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b/>
                <w:bCs/>
                <w:color w:val="auto"/>
                <w:sz w:val="21"/>
                <w:szCs w:val="21"/>
                <w:vertAlign w:val="baseline"/>
                <w:lang w:val="en-US" w:eastAsia="zh-CN"/>
              </w:rPr>
            </w:pPr>
            <w:r>
              <w:rPr>
                <w:rFonts w:hint="eastAsia"/>
                <w:b/>
                <w:bCs/>
                <w:color w:val="auto"/>
                <w:sz w:val="21"/>
                <w:szCs w:val="21"/>
                <w:vertAlign w:val="baseline"/>
                <w:lang w:val="en-US" w:eastAsia="zh-CN"/>
              </w:rPr>
              <w:t>年份</w:t>
            </w:r>
          </w:p>
        </w:tc>
        <w:tc>
          <w:tcPr>
            <w:tcW w:w="1119" w:type="pct"/>
            <w:vMerge w:val="restart"/>
            <w:tcBorders>
              <w:tl2br w:val="nil"/>
              <w:tr2bl w:val="nil"/>
            </w:tcBorders>
            <w:vAlign w:val="center"/>
          </w:tcPr>
          <w:p w14:paraId="56E23CD4">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b/>
                <w:bCs/>
                <w:color w:val="auto"/>
                <w:sz w:val="21"/>
                <w:szCs w:val="21"/>
                <w:vertAlign w:val="baseline"/>
                <w:lang w:val="en-US" w:eastAsia="zh-CN"/>
              </w:rPr>
            </w:pPr>
            <w:r>
              <w:rPr>
                <w:rFonts w:hint="eastAsia"/>
                <w:b/>
                <w:bCs/>
                <w:color w:val="auto"/>
                <w:sz w:val="21"/>
                <w:szCs w:val="21"/>
                <w:vertAlign w:val="baseline"/>
                <w:lang w:val="en-US" w:eastAsia="zh-CN"/>
              </w:rPr>
              <w:t>气象要素</w:t>
            </w:r>
          </w:p>
        </w:tc>
      </w:tr>
      <w:bookmarkEnd w:id="1953"/>
      <w:tr w14:paraId="4F2A52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3" w:type="pct"/>
            <w:vMerge w:val="continue"/>
            <w:tcBorders>
              <w:tl2br w:val="nil"/>
              <w:tr2bl w:val="nil"/>
            </w:tcBorders>
            <w:vAlign w:val="center"/>
          </w:tcPr>
          <w:p w14:paraId="40FCA1A5">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b/>
                <w:bCs/>
                <w:color w:val="auto"/>
                <w:sz w:val="21"/>
                <w:szCs w:val="21"/>
                <w:vertAlign w:val="baseline"/>
                <w:lang w:val="en-US" w:eastAsia="zh-CN"/>
              </w:rPr>
            </w:pPr>
          </w:p>
        </w:tc>
        <w:tc>
          <w:tcPr>
            <w:tcW w:w="714" w:type="pct"/>
            <w:vMerge w:val="continue"/>
            <w:tcBorders>
              <w:tl2br w:val="nil"/>
              <w:tr2bl w:val="nil"/>
            </w:tcBorders>
            <w:vAlign w:val="center"/>
          </w:tcPr>
          <w:p w14:paraId="12BC19C9">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b/>
                <w:bCs/>
                <w:color w:val="auto"/>
                <w:sz w:val="21"/>
                <w:szCs w:val="21"/>
                <w:vertAlign w:val="baseline"/>
                <w:lang w:val="en-US" w:eastAsia="zh-CN"/>
              </w:rPr>
            </w:pPr>
          </w:p>
        </w:tc>
        <w:tc>
          <w:tcPr>
            <w:tcW w:w="589" w:type="pct"/>
            <w:tcBorders>
              <w:tl2br w:val="nil"/>
              <w:tr2bl w:val="nil"/>
            </w:tcBorders>
            <w:vAlign w:val="center"/>
          </w:tcPr>
          <w:p w14:paraId="0AF98D8E">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b/>
                <w:bCs/>
                <w:color w:val="auto"/>
                <w:sz w:val="21"/>
                <w:szCs w:val="21"/>
                <w:vertAlign w:val="baseline"/>
                <w:lang w:val="en-US" w:eastAsia="zh-CN"/>
              </w:rPr>
            </w:pPr>
            <w:r>
              <w:rPr>
                <w:rFonts w:hint="eastAsia"/>
                <w:b/>
                <w:bCs/>
                <w:color w:val="auto"/>
                <w:sz w:val="21"/>
                <w:szCs w:val="21"/>
                <w:highlight w:val="none"/>
                <w:vertAlign w:val="baseline"/>
                <w:lang w:val="en-US" w:eastAsia="zh-CN"/>
              </w:rPr>
              <w:t>经度</w:t>
            </w:r>
          </w:p>
        </w:tc>
        <w:tc>
          <w:tcPr>
            <w:tcW w:w="631" w:type="pct"/>
            <w:tcBorders>
              <w:tl2br w:val="nil"/>
              <w:tr2bl w:val="nil"/>
            </w:tcBorders>
            <w:vAlign w:val="center"/>
          </w:tcPr>
          <w:p w14:paraId="56186F04">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b/>
                <w:bCs/>
                <w:color w:val="auto"/>
                <w:sz w:val="21"/>
                <w:szCs w:val="21"/>
                <w:vertAlign w:val="baseline"/>
                <w:lang w:val="en-US" w:eastAsia="zh-CN"/>
              </w:rPr>
            </w:pPr>
            <w:r>
              <w:rPr>
                <w:rFonts w:hint="eastAsia"/>
                <w:b/>
                <w:bCs/>
                <w:color w:val="auto"/>
                <w:sz w:val="21"/>
                <w:szCs w:val="21"/>
                <w:vertAlign w:val="baseline"/>
                <w:lang w:val="en-US" w:eastAsia="zh-CN"/>
              </w:rPr>
              <w:t>纬度</w:t>
            </w:r>
          </w:p>
        </w:tc>
        <w:tc>
          <w:tcPr>
            <w:tcW w:w="622" w:type="pct"/>
            <w:vMerge w:val="continue"/>
            <w:tcBorders>
              <w:tl2br w:val="nil"/>
              <w:tr2bl w:val="nil"/>
            </w:tcBorders>
            <w:vAlign w:val="center"/>
          </w:tcPr>
          <w:p w14:paraId="5F562942">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b/>
                <w:bCs/>
                <w:color w:val="auto"/>
                <w:sz w:val="21"/>
                <w:szCs w:val="21"/>
                <w:vertAlign w:val="baseline"/>
                <w:lang w:val="en-US" w:eastAsia="zh-CN"/>
              </w:rPr>
            </w:pPr>
          </w:p>
        </w:tc>
        <w:tc>
          <w:tcPr>
            <w:tcW w:w="610" w:type="pct"/>
            <w:vMerge w:val="continue"/>
            <w:tcBorders>
              <w:tl2br w:val="nil"/>
              <w:tr2bl w:val="nil"/>
            </w:tcBorders>
            <w:vAlign w:val="center"/>
          </w:tcPr>
          <w:p w14:paraId="1D6767DF">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b/>
                <w:bCs/>
                <w:color w:val="auto"/>
                <w:sz w:val="21"/>
                <w:szCs w:val="21"/>
                <w:vertAlign w:val="baseline"/>
                <w:lang w:val="en-US" w:eastAsia="zh-CN"/>
              </w:rPr>
            </w:pPr>
          </w:p>
        </w:tc>
        <w:tc>
          <w:tcPr>
            <w:tcW w:w="1119" w:type="pct"/>
            <w:vMerge w:val="continue"/>
            <w:tcBorders>
              <w:tl2br w:val="nil"/>
              <w:tr2bl w:val="nil"/>
            </w:tcBorders>
            <w:vAlign w:val="center"/>
          </w:tcPr>
          <w:p w14:paraId="06EA02F0">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b/>
                <w:bCs/>
                <w:color w:val="auto"/>
                <w:sz w:val="21"/>
                <w:szCs w:val="21"/>
                <w:vertAlign w:val="baseline"/>
                <w:lang w:val="en-US" w:eastAsia="zh-CN"/>
              </w:rPr>
            </w:pPr>
          </w:p>
        </w:tc>
      </w:tr>
      <w:bookmarkEnd w:id="1954"/>
      <w:tr w14:paraId="4BADE5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3" w:type="pct"/>
            <w:tcBorders>
              <w:tl2br w:val="nil"/>
              <w:tr2bl w:val="nil"/>
            </w:tcBorders>
            <w:vAlign w:val="center"/>
          </w:tcPr>
          <w:p w14:paraId="7D3B3737">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
              </w:rPr>
            </w:pPr>
            <w:r>
              <w:rPr>
                <w:rFonts w:hint="default" w:ascii="Times New Roman" w:hAnsi="Times New Roman" w:eastAsia="宋体" w:cs="Times New Roman"/>
                <w:snapToGrid w:val="0"/>
                <w:color w:val="auto"/>
                <w:kern w:val="0"/>
                <w:sz w:val="21"/>
                <w:szCs w:val="21"/>
                <w:lang w:val="en-US" w:eastAsia="zh-CN" w:bidi="ar"/>
              </w:rPr>
              <w:t>南京气象站</w:t>
            </w:r>
          </w:p>
        </w:tc>
        <w:tc>
          <w:tcPr>
            <w:tcW w:w="714" w:type="pct"/>
            <w:tcBorders>
              <w:tl2br w:val="nil"/>
              <w:tr2bl w:val="nil"/>
            </w:tcBorders>
            <w:vAlign w:val="center"/>
          </w:tcPr>
          <w:p w14:paraId="57CD5677">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
              </w:rPr>
            </w:pPr>
            <w:r>
              <w:rPr>
                <w:rFonts w:hint="default" w:ascii="Times New Roman" w:hAnsi="Times New Roman" w:eastAsia="宋体" w:cs="Times New Roman"/>
                <w:snapToGrid w:val="0"/>
                <w:color w:val="auto"/>
                <w:kern w:val="0"/>
                <w:sz w:val="21"/>
                <w:szCs w:val="21"/>
                <w:highlight w:val="none"/>
                <w:lang w:val="en-US" w:eastAsia="zh-CN" w:bidi="ar"/>
              </w:rPr>
              <w:t>58238</w:t>
            </w:r>
          </w:p>
        </w:tc>
        <w:tc>
          <w:tcPr>
            <w:tcW w:w="589" w:type="pct"/>
            <w:tcBorders>
              <w:tl2br w:val="nil"/>
              <w:tr2bl w:val="nil"/>
            </w:tcBorders>
            <w:vAlign w:val="center"/>
          </w:tcPr>
          <w:p w14:paraId="7DDA8FD1">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
              </w:rPr>
            </w:pPr>
            <w:r>
              <w:rPr>
                <w:rFonts w:hint="eastAsia" w:ascii="Times New Roman" w:hAnsi="Times New Roman" w:eastAsia="宋体" w:cs="Times New Roman"/>
                <w:snapToGrid w:val="0"/>
                <w:color w:val="auto"/>
                <w:kern w:val="0"/>
                <w:sz w:val="21"/>
                <w:szCs w:val="21"/>
                <w:lang w:val="en-US" w:eastAsia="zh-CN" w:bidi="ar"/>
              </w:rPr>
              <w:t>118.9</w:t>
            </w:r>
          </w:p>
        </w:tc>
        <w:tc>
          <w:tcPr>
            <w:tcW w:w="631" w:type="pct"/>
            <w:tcBorders>
              <w:tl2br w:val="nil"/>
              <w:tr2bl w:val="nil"/>
            </w:tcBorders>
            <w:vAlign w:val="center"/>
          </w:tcPr>
          <w:p w14:paraId="0797711C">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
              </w:rPr>
            </w:pPr>
            <w:r>
              <w:rPr>
                <w:rFonts w:hint="eastAsia" w:ascii="Times New Roman" w:hAnsi="Times New Roman" w:eastAsia="宋体" w:cs="Times New Roman"/>
                <w:snapToGrid w:val="0"/>
                <w:color w:val="auto"/>
                <w:kern w:val="0"/>
                <w:sz w:val="21"/>
                <w:szCs w:val="21"/>
                <w:highlight w:val="none"/>
                <w:lang w:val="en-US" w:eastAsia="zh-CN" w:bidi="ar"/>
              </w:rPr>
              <w:t>31.9</w:t>
            </w:r>
          </w:p>
        </w:tc>
        <w:tc>
          <w:tcPr>
            <w:tcW w:w="622" w:type="pct"/>
            <w:tcBorders>
              <w:tl2br w:val="nil"/>
              <w:tr2bl w:val="nil"/>
            </w:tcBorders>
            <w:vAlign w:val="center"/>
          </w:tcPr>
          <w:p w14:paraId="4489C5C2">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
              </w:rPr>
            </w:pPr>
            <w:r>
              <w:rPr>
                <w:rFonts w:hint="eastAsia" w:ascii="Times New Roman" w:hAnsi="Times New Roman" w:eastAsia="宋体" w:cs="Times New Roman"/>
                <w:snapToGrid w:val="0"/>
                <w:color w:val="auto"/>
                <w:kern w:val="0"/>
                <w:sz w:val="21"/>
                <w:szCs w:val="21"/>
                <w:highlight w:val="none"/>
                <w:lang w:val="en-US" w:eastAsia="zh-CN" w:bidi="ar"/>
              </w:rPr>
              <w:t>35.2</w:t>
            </w:r>
          </w:p>
        </w:tc>
        <w:tc>
          <w:tcPr>
            <w:tcW w:w="610" w:type="pct"/>
            <w:tcBorders>
              <w:tl2br w:val="nil"/>
              <w:tr2bl w:val="nil"/>
            </w:tcBorders>
            <w:vAlign w:val="center"/>
          </w:tcPr>
          <w:p w14:paraId="5412144F">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
              </w:rPr>
            </w:pPr>
            <w:r>
              <w:rPr>
                <w:rFonts w:hint="eastAsia" w:ascii="Times New Roman" w:hAnsi="Times New Roman" w:eastAsia="宋体" w:cs="Times New Roman"/>
                <w:snapToGrid w:val="0"/>
                <w:color w:val="auto"/>
                <w:kern w:val="0"/>
                <w:sz w:val="21"/>
                <w:szCs w:val="21"/>
                <w:lang w:val="en-US" w:eastAsia="zh-CN" w:bidi="ar"/>
              </w:rPr>
              <w:t>2021</w:t>
            </w:r>
          </w:p>
        </w:tc>
        <w:tc>
          <w:tcPr>
            <w:tcW w:w="1119" w:type="pct"/>
            <w:tcBorders>
              <w:tl2br w:val="nil"/>
              <w:tr2bl w:val="nil"/>
            </w:tcBorders>
            <w:vAlign w:val="center"/>
          </w:tcPr>
          <w:p w14:paraId="6605CF94">
            <w:pPr>
              <w:keepNext w:val="0"/>
              <w:keepLines w:val="0"/>
              <w:widowControl/>
              <w:suppressLineNumbers w:val="0"/>
              <w:jc w:val="left"/>
              <w:rPr>
                <w:rFonts w:hint="default" w:ascii="Times New Roman" w:hAnsi="Times New Roman" w:cs="Times New Roman"/>
                <w:b/>
                <w:bCs/>
                <w:color w:val="auto"/>
                <w:sz w:val="21"/>
                <w:szCs w:val="21"/>
                <w:vertAlign w:val="baseline"/>
                <w:lang w:val="en-US" w:eastAsia="zh-CN"/>
              </w:rPr>
            </w:pPr>
            <w:r>
              <w:rPr>
                <w:rFonts w:hint="default" w:ascii="Times New Roman" w:hAnsi="Times New Roman" w:eastAsia="宋体" w:cs="Times New Roman"/>
                <w:snapToGrid w:val="0"/>
                <w:color w:val="auto"/>
                <w:kern w:val="0"/>
                <w:sz w:val="21"/>
                <w:szCs w:val="21"/>
                <w:lang w:val="en-US" w:eastAsia="zh-CN" w:bidi="ar"/>
              </w:rPr>
              <w:t>风速、风向、</w:t>
            </w:r>
            <w:sdt>
              <w:sdtPr>
                <w:rPr>
                  <w:color w:val="auto"/>
                  <w:highlight w:val="yellow"/>
                </w:rPr>
                <w:alias w:val="易错词检查"/>
                <w:tag w:val="auto"/>
                <w:id w:val="3003026"/>
              </w:sdtPr>
              <w:sdtEndPr>
                <w:rPr>
                  <w:color w:val="auto"/>
                  <w:highlight w:val="none"/>
                </w:rPr>
              </w:sdtEndPr>
              <w:sdtContent>
                <w:bookmarkStart w:id="1958" w:name="bkReivew3003026"/>
                <w:r>
                  <w:rPr>
                    <w:rFonts w:hint="default" w:ascii="Times New Roman" w:hAnsi="Times New Roman" w:eastAsia="宋体" w:cs="Times New Roman"/>
                    <w:snapToGrid w:val="0"/>
                    <w:color w:val="auto"/>
                    <w:kern w:val="0"/>
                    <w:sz w:val="21"/>
                    <w:szCs w:val="21"/>
                    <w:highlight w:val="none"/>
                    <w:lang w:val="en-US" w:eastAsia="zh-CN" w:bidi="ar"/>
                  </w:rPr>
                  <w:t>干</w:t>
                </w:r>
                <w:bookmarkEnd w:id="1958"/>
              </w:sdtContent>
            </w:sdt>
            <w:r>
              <w:rPr>
                <w:rFonts w:hint="default" w:ascii="Times New Roman" w:hAnsi="Times New Roman" w:eastAsia="宋体" w:cs="Times New Roman"/>
                <w:snapToGrid w:val="0"/>
                <w:color w:val="auto"/>
                <w:kern w:val="0"/>
                <w:sz w:val="21"/>
                <w:szCs w:val="21"/>
                <w:highlight w:val="none"/>
                <w:lang w:val="en-US" w:eastAsia="zh-CN" w:bidi="ar"/>
              </w:rPr>
              <w:t>球</w:t>
            </w:r>
            <w:r>
              <w:rPr>
                <w:rFonts w:hint="default" w:ascii="Times New Roman" w:hAnsi="Times New Roman" w:eastAsia="宋体" w:cs="Times New Roman"/>
                <w:snapToGrid w:val="0"/>
                <w:color w:val="auto"/>
                <w:kern w:val="0"/>
                <w:sz w:val="21"/>
                <w:szCs w:val="21"/>
                <w:lang w:val="en-US" w:eastAsia="zh-CN" w:bidi="ar"/>
              </w:rPr>
              <w:t>温度、相对湿度、总云量、低云量</w:t>
            </w:r>
          </w:p>
        </w:tc>
      </w:tr>
    </w:tbl>
    <w:p w14:paraId="2DB14491">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color w:val="auto"/>
          <w:sz w:val="24"/>
          <w:szCs w:val="24"/>
          <w:lang w:val="en-US" w:eastAsia="zh-CN"/>
        </w:rPr>
      </w:pPr>
      <w:bookmarkStart w:id="1959" w:name="OLE_LINK648"/>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地形</w:t>
      </w:r>
      <w:r>
        <w:rPr>
          <w:rFonts w:hint="default" w:ascii="Times New Roman" w:hAnsi="Times New Roman" w:eastAsia="宋体" w:cs="Times New Roman"/>
          <w:color w:val="auto"/>
          <w:sz w:val="24"/>
          <w:szCs w:val="24"/>
          <w:lang w:val="en-US" w:eastAsia="zh-CN"/>
        </w:rPr>
        <w:t>数据</w:t>
      </w:r>
      <w:bookmarkStart w:id="1960" w:name="pindex13300"/>
      <w:bookmarkEnd w:id="1960"/>
    </w:p>
    <w:bookmarkEnd w:id="1959"/>
    <w:p w14:paraId="46A91E65">
      <w:pPr>
        <w:pStyle w:val="18"/>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lang w:val="en-US" w:eastAsia="zh-CN"/>
        </w:rPr>
      </w:pPr>
      <w:bookmarkStart w:id="1961" w:name="OLE_LINK647"/>
      <w:r>
        <w:rPr>
          <w:rFonts w:hint="default" w:ascii="Times New Roman" w:hAnsi="Times New Roman" w:eastAsia="宋体" w:cs="Times New Roman"/>
          <w:color w:val="auto"/>
          <w:sz w:val="24"/>
          <w:szCs w:val="24"/>
          <w:lang w:val="en-US" w:eastAsia="zh-CN"/>
        </w:rPr>
        <w:t>SRTM(Shuttle Radar TopograpHy Mission)90m分辨率地形数据，评估范围区域地形图如下：</w:t>
      </w:r>
    </w:p>
    <w:bookmarkEnd w:id="1961"/>
    <w:p w14:paraId="731DC646">
      <w:pPr>
        <w:pStyle w:val="18"/>
        <w:ind w:left="0" w:leftChars="0" w:firstLine="0" w:firstLineChars="0"/>
        <w:jc w:val="center"/>
        <w:rPr>
          <w:rFonts w:hint="default"/>
          <w:color w:val="auto"/>
          <w:lang w:val="en-US" w:eastAsia="zh-CN"/>
        </w:rPr>
      </w:pPr>
      <w:r>
        <w:rPr>
          <w:rFonts w:hint="default"/>
          <w:color w:val="auto"/>
          <w:lang w:val="en-US" w:eastAsia="zh-CN"/>
        </w:rPr>
        <w:drawing>
          <wp:inline distT="0" distB="0" distL="114300" distR="114300">
            <wp:extent cx="4497070" cy="4336415"/>
            <wp:effectExtent l="0" t="0" r="0" b="0"/>
            <wp:docPr id="15" name="图片 15" descr="924e88fe964468ae9211c47fe80a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924e88fe964468ae9211c47fe80a117"/>
                    <pic:cNvPicPr>
                      <a:picLocks noChangeAspect="1"/>
                    </pic:cNvPicPr>
                  </pic:nvPicPr>
                  <pic:blipFill>
                    <a:blip r:embed="rId69"/>
                    <a:srcRect l="1960" r="13388" b="12122"/>
                    <a:stretch>
                      <a:fillRect/>
                    </a:stretch>
                  </pic:blipFill>
                  <pic:spPr>
                    <a:xfrm>
                      <a:off x="0" y="0"/>
                      <a:ext cx="4497070" cy="4336415"/>
                    </a:xfrm>
                    <a:prstGeom prst="rect">
                      <a:avLst/>
                    </a:prstGeom>
                  </pic:spPr>
                </pic:pic>
              </a:graphicData>
            </a:graphic>
          </wp:inline>
        </w:drawing>
      </w:r>
    </w:p>
    <w:p w14:paraId="5031CC02">
      <w:pPr>
        <w:pStyle w:val="17"/>
        <w:ind w:left="0" w:leftChars="0" w:firstLine="0" w:firstLineChars="0"/>
        <w:jc w:val="center"/>
        <w:rPr>
          <w:rFonts w:hint="default" w:ascii="Times New Roman" w:hAnsi="Times New Roman" w:eastAsia="宋体" w:cs="Times New Roman"/>
          <w:b/>
          <w:bCs/>
          <w:color w:val="auto"/>
          <w:sz w:val="24"/>
          <w:szCs w:val="24"/>
          <w:lang w:val="en-US" w:eastAsia="zh-CN"/>
        </w:rPr>
      </w:pPr>
      <w:bookmarkStart w:id="1962" w:name="OLE_LINK646"/>
      <w:r>
        <w:rPr>
          <w:rFonts w:hint="default" w:ascii="Times New Roman" w:hAnsi="Times New Roman" w:eastAsia="宋体" w:cs="Times New Roman"/>
          <w:b/>
          <w:bCs/>
          <w:color w:val="auto"/>
          <w:sz w:val="24"/>
          <w:szCs w:val="24"/>
          <w:lang w:val="en-US" w:eastAsia="zh-CN"/>
        </w:rPr>
        <w:t>图7.1-1  预测区域地形图</w:t>
      </w:r>
      <w:bookmarkStart w:id="1963" w:name="pindex13303"/>
      <w:bookmarkEnd w:id="1963"/>
    </w:p>
    <w:bookmarkEnd w:id="1948"/>
    <w:bookmarkEnd w:id="1955"/>
    <w:bookmarkEnd w:id="1962"/>
    <w:p w14:paraId="1AE57416">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1"/>
        <w:rPr>
          <w:rFonts w:hint="eastAsia" w:ascii="Times New Roman" w:hAnsi="Times New Roman" w:eastAsia="宋体" w:cs="Times New Roman"/>
          <w:b/>
          <w:bCs/>
          <w:color w:val="auto"/>
          <w:sz w:val="24"/>
          <w:szCs w:val="24"/>
          <w:lang w:val="en-US" w:eastAsia="zh-CN"/>
        </w:rPr>
      </w:pPr>
      <w:bookmarkStart w:id="1964" w:name="_Toc27029"/>
      <w:bookmarkStart w:id="1965" w:name="OLE_LINK829"/>
      <w:r>
        <w:rPr>
          <w:rFonts w:hint="default" w:ascii="Times New Roman" w:hAnsi="Times New Roman" w:eastAsia="宋体" w:cs="Times New Roman"/>
          <w:b/>
          <w:bCs/>
          <w:color w:val="auto"/>
          <w:sz w:val="24"/>
          <w:szCs w:val="24"/>
          <w:lang w:val="en-US" w:eastAsia="zh-CN"/>
        </w:rPr>
        <w:t>7.</w:t>
      </w:r>
      <w:r>
        <w:rPr>
          <w:rFonts w:hint="eastAsia" w:ascii="Times New Roman" w:hAnsi="Times New Roman" w:eastAsia="宋体" w:cs="Times New Roman"/>
          <w:b/>
          <w:bCs/>
          <w:color w:val="auto"/>
          <w:sz w:val="24"/>
          <w:szCs w:val="24"/>
          <w:lang w:val="en-US" w:eastAsia="zh-CN"/>
        </w:rPr>
        <w:t>2地表水环境要素预测所需基本资料</w:t>
      </w:r>
      <w:bookmarkEnd w:id="1964"/>
      <w:r>
        <w:rPr>
          <w:rFonts w:hint="eastAsia" w:ascii="Times New Roman" w:hAnsi="Times New Roman" w:eastAsia="宋体" w:cs="Times New Roman"/>
          <w:b/>
          <w:bCs/>
          <w:color w:val="auto"/>
          <w:sz w:val="24"/>
          <w:szCs w:val="24"/>
          <w:lang w:val="en-US" w:eastAsia="zh-CN"/>
        </w:rPr>
        <w:t xml:space="preserve"> </w:t>
      </w:r>
      <w:bookmarkStart w:id="1966" w:name="pindex13304"/>
      <w:bookmarkEnd w:id="1966"/>
    </w:p>
    <w:p w14:paraId="2A3F3778">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eastAsia" w:ascii="Times New Roman" w:hAnsi="Times New Roman" w:eastAsia="宋体" w:cs="Times New Roman"/>
          <w:b/>
          <w:bCs/>
          <w:color w:val="auto"/>
          <w:sz w:val="24"/>
          <w:szCs w:val="24"/>
          <w:lang w:val="en-US" w:eastAsia="zh-CN"/>
        </w:rPr>
      </w:pPr>
      <w:bookmarkStart w:id="1967" w:name="_Toc10394"/>
      <w:r>
        <w:rPr>
          <w:rFonts w:hint="default" w:ascii="Times New Roman" w:hAnsi="Times New Roman" w:eastAsia="宋体" w:cs="Times New Roman"/>
          <w:b/>
          <w:bCs/>
          <w:color w:val="auto"/>
          <w:sz w:val="24"/>
          <w:szCs w:val="24"/>
          <w:lang w:val="en-US" w:eastAsia="zh-CN"/>
        </w:rPr>
        <w:t>7.</w:t>
      </w:r>
      <w:r>
        <w:rPr>
          <w:rFonts w:hint="eastAsia" w:ascii="Times New Roman" w:hAnsi="Times New Roman" w:eastAsia="宋体" w:cs="Times New Roman"/>
          <w:b/>
          <w:bCs/>
          <w:color w:val="auto"/>
          <w:sz w:val="24"/>
          <w:szCs w:val="24"/>
          <w:lang w:val="en-US" w:eastAsia="zh-CN"/>
        </w:rPr>
        <w:t>2.1区域环境水系现状</w:t>
      </w:r>
      <w:bookmarkEnd w:id="1967"/>
      <w:bookmarkStart w:id="1968" w:name="pindex13305"/>
      <w:bookmarkEnd w:id="1968"/>
    </w:p>
    <w:bookmarkEnd w:id="1965"/>
    <w:p w14:paraId="20347C8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highlight w:val="none"/>
          <w:lang w:val="en-US" w:eastAsia="zh-CN" w:bidi="ar"/>
        </w:rPr>
      </w:pPr>
      <w:bookmarkStart w:id="1969" w:name="OLE_LINK655"/>
      <w:r>
        <w:rPr>
          <w:rFonts w:hint="eastAsia" w:ascii="Times New Roman" w:hAnsi="Times New Roman" w:eastAsia="宋体" w:cs="Times New Roman"/>
          <w:snapToGrid w:val="0"/>
          <w:color w:val="auto"/>
          <w:kern w:val="0"/>
          <w:sz w:val="24"/>
          <w:szCs w:val="24"/>
          <w:highlight w:val="none"/>
          <w:lang w:val="en-US" w:eastAsia="zh-CN" w:bidi="ar"/>
        </w:rPr>
        <w:t>（1）</w:t>
      </w:r>
      <w:r>
        <w:rPr>
          <w:rFonts w:hint="default" w:ascii="Times New Roman" w:hAnsi="Times New Roman" w:eastAsia="宋体" w:cs="Times New Roman"/>
          <w:snapToGrid w:val="0"/>
          <w:color w:val="auto"/>
          <w:kern w:val="0"/>
          <w:sz w:val="24"/>
          <w:szCs w:val="24"/>
          <w:highlight w:val="none"/>
          <w:lang w:val="en-US" w:eastAsia="zh-CN" w:bidi="ar"/>
        </w:rPr>
        <w:t>秦淮河</w:t>
      </w:r>
      <w:bookmarkStart w:id="1970" w:name="pindex13306"/>
      <w:bookmarkEnd w:id="1970"/>
    </w:p>
    <w:p w14:paraId="5A639CE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highlight w:val="none"/>
          <w:lang w:val="en-US" w:eastAsia="zh-CN" w:bidi="ar"/>
        </w:rPr>
      </w:pPr>
      <w:bookmarkStart w:id="1971" w:name="sys133070171"/>
      <w:r>
        <w:rPr>
          <w:rFonts w:hint="default" w:ascii="Times New Roman" w:hAnsi="Times New Roman" w:eastAsia="宋体" w:cs="Times New Roman"/>
          <w:snapToGrid w:val="0"/>
          <w:color w:val="auto"/>
          <w:kern w:val="0"/>
          <w:sz w:val="24"/>
          <w:szCs w:val="24"/>
          <w:highlight w:val="none"/>
          <w:lang w:val="en-US" w:eastAsia="zh-CN" w:bidi="ar"/>
        </w:rPr>
        <w:t>秦淮河，古名龙藏浦，是一条历史悠久的天然河流，分内秦淮和外秦淮两部分，全长110km，流经溧水、句容、江宁和南京市，流域面积达2631km</w:t>
      </w:r>
      <w:r>
        <w:rPr>
          <w:rFonts w:hint="default" w:ascii="Times New Roman" w:hAnsi="Times New Roman" w:eastAsia="宋体" w:cs="Times New Roman"/>
          <w:snapToGrid w:val="0"/>
          <w:color w:val="auto"/>
          <w:kern w:val="0"/>
          <w:sz w:val="24"/>
          <w:szCs w:val="24"/>
          <w:highlight w:val="none"/>
          <w:vertAlign w:val="superscript"/>
          <w:lang w:val="en-US" w:eastAsia="zh-CN" w:bidi="ar"/>
        </w:rPr>
        <w:t>2</w:t>
      </w:r>
      <w:r>
        <w:rPr>
          <w:rFonts w:hint="default" w:ascii="Times New Roman" w:hAnsi="Times New Roman" w:eastAsia="宋体" w:cs="Times New Roman"/>
          <w:snapToGrid w:val="0"/>
          <w:color w:val="auto"/>
          <w:kern w:val="0"/>
          <w:sz w:val="24"/>
          <w:szCs w:val="24"/>
          <w:highlight w:val="none"/>
          <w:lang w:val="en-US" w:eastAsia="zh-CN" w:bidi="ar"/>
        </w:rPr>
        <w:t>。</w:t>
      </w:r>
      <w:r>
        <w:rPr>
          <w:rFonts w:hint="eastAsia" w:ascii="Times New Roman" w:hAnsi="Times New Roman" w:eastAsia="宋体" w:cs="Times New Roman"/>
          <w:snapToGrid w:val="0"/>
          <w:color w:val="auto"/>
          <w:kern w:val="0"/>
          <w:sz w:val="24"/>
          <w:szCs w:val="24"/>
          <w:highlight w:val="none"/>
          <w:lang w:val="en-US" w:eastAsia="zh-CN" w:bidi="ar"/>
        </w:rPr>
        <w:t>70年代</w:t>
      </w:r>
      <w:r>
        <w:rPr>
          <w:rFonts w:hint="default" w:ascii="Times New Roman" w:hAnsi="Times New Roman" w:eastAsia="宋体" w:cs="Times New Roman"/>
          <w:snapToGrid w:val="0"/>
          <w:color w:val="auto"/>
          <w:kern w:val="0"/>
          <w:sz w:val="24"/>
          <w:szCs w:val="24"/>
          <w:highlight w:val="none"/>
          <w:lang w:val="en-US" w:eastAsia="zh-CN" w:bidi="ar"/>
        </w:rPr>
        <w:t>为了排洪的需要，在其主流上人工挖掘一条支流秦淮新河。秦淮河有两流：一源于溧水东芦山麓的溧水河，一源于句容宝华山侧的句容河。两股水流汇合于江宁境内方山脚下的西北村，然后折向西北，一直流入南京市。</w:t>
      </w:r>
      <w:bookmarkEnd w:id="1971"/>
      <w:r>
        <w:rPr>
          <w:rFonts w:hint="default" w:ascii="Times New Roman" w:hAnsi="Times New Roman" w:eastAsia="宋体" w:cs="Times New Roman"/>
          <w:snapToGrid w:val="0"/>
          <w:color w:val="auto"/>
          <w:kern w:val="0"/>
          <w:sz w:val="24"/>
          <w:szCs w:val="24"/>
          <w:highlight w:val="none"/>
          <w:lang w:val="en-US" w:eastAsia="zh-CN" w:bidi="ar"/>
        </w:rPr>
        <w:t>秦淮河江宁段长约80.5公里。</w:t>
      </w:r>
      <w:bookmarkStart w:id="1972" w:name="sys1330718633"/>
      <w:r>
        <w:rPr>
          <w:rFonts w:hint="default" w:ascii="Times New Roman" w:hAnsi="Times New Roman" w:eastAsia="宋体" w:cs="Times New Roman"/>
          <w:snapToGrid w:val="0"/>
          <w:color w:val="auto"/>
          <w:kern w:val="0"/>
          <w:sz w:val="24"/>
          <w:szCs w:val="24"/>
          <w:highlight w:val="none"/>
          <w:lang w:val="en-US" w:eastAsia="zh-CN" w:bidi="ar"/>
        </w:rPr>
        <w:t>秦淮河的主要使用功能为饮用水、工业用水、航运、农田灌溉和景观用水。</w:t>
      </w:r>
      <w:bookmarkEnd w:id="1972"/>
    </w:p>
    <w:p w14:paraId="684C4FDB">
      <w:pPr>
        <w:keepNext w:val="0"/>
        <w:keepLines w:val="0"/>
        <w:pageBreakBefore w:val="0"/>
        <w:widowControl/>
        <w:numPr>
          <w:ilvl w:val="0"/>
          <w:numId w:val="0"/>
        </w:numPr>
        <w:suppressLineNumbers w:val="0"/>
        <w:kinsoku w:val="0"/>
        <w:wordWrap/>
        <w:overflowPunct/>
        <w:topLinePunct w:val="0"/>
        <w:autoSpaceDE w:val="0"/>
        <w:autoSpaceDN w:val="0"/>
        <w:bidi w:val="0"/>
        <w:adjustRightInd w:val="0"/>
        <w:snapToGrid w:val="0"/>
        <w:spacing w:line="360" w:lineRule="auto"/>
        <w:ind w:leftChars="200"/>
        <w:jc w:val="left"/>
        <w:textAlignment w:val="baseline"/>
        <w:rPr>
          <w:rFonts w:hint="default" w:ascii="Times New Roman" w:hAnsi="Times New Roman" w:eastAsia="宋体" w:cs="Times New Roman"/>
          <w:snapToGrid w:val="0"/>
          <w:color w:val="auto"/>
          <w:kern w:val="0"/>
          <w:sz w:val="24"/>
          <w:szCs w:val="24"/>
          <w:highlight w:val="none"/>
          <w:lang w:val="en-US" w:eastAsia="zh-CN" w:bidi="ar"/>
        </w:rPr>
      </w:pPr>
      <w:r>
        <w:rPr>
          <w:rFonts w:hint="eastAsia" w:ascii="Times New Roman" w:hAnsi="Times New Roman" w:eastAsia="宋体" w:cs="Times New Roman"/>
          <w:snapToGrid w:val="0"/>
          <w:color w:val="auto"/>
          <w:kern w:val="0"/>
          <w:sz w:val="24"/>
          <w:szCs w:val="24"/>
          <w:highlight w:val="none"/>
          <w:lang w:val="en-US" w:eastAsia="zh-CN" w:bidi="ar"/>
        </w:rPr>
        <w:t>（2）</w:t>
      </w:r>
      <w:r>
        <w:rPr>
          <w:rFonts w:hint="default" w:ascii="Times New Roman" w:hAnsi="Times New Roman" w:eastAsia="宋体" w:cs="Times New Roman"/>
          <w:snapToGrid w:val="0"/>
          <w:color w:val="auto"/>
          <w:kern w:val="0"/>
          <w:sz w:val="24"/>
          <w:szCs w:val="24"/>
          <w:highlight w:val="none"/>
          <w:lang w:val="en-US" w:eastAsia="zh-CN" w:bidi="ar"/>
        </w:rPr>
        <w:t>秦淮新河</w:t>
      </w:r>
      <w:bookmarkStart w:id="1973" w:name="pindex13308"/>
      <w:bookmarkEnd w:id="1973"/>
    </w:p>
    <w:p w14:paraId="01801659">
      <w:pPr>
        <w:keepNext w:val="0"/>
        <w:keepLines w:val="0"/>
        <w:pageBreakBefore w:val="0"/>
        <w:widowControl/>
        <w:numPr>
          <w:ilvl w:val="0"/>
          <w:numId w:val="0"/>
        </w:numPr>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highlight w:val="none"/>
          <w:lang w:val="en-US" w:eastAsia="zh-CN" w:bidi="ar"/>
        </w:rPr>
      </w:pPr>
      <w:bookmarkStart w:id="1974" w:name="sys133090117"/>
      <w:r>
        <w:rPr>
          <w:rFonts w:hint="default" w:ascii="Times New Roman" w:hAnsi="Times New Roman" w:eastAsia="宋体" w:cs="Times New Roman"/>
          <w:snapToGrid w:val="0"/>
          <w:color w:val="auto"/>
          <w:kern w:val="0"/>
          <w:sz w:val="24"/>
          <w:szCs w:val="24"/>
          <w:highlight w:val="none"/>
          <w:lang w:val="en-US" w:eastAsia="zh-CN" w:bidi="ar"/>
        </w:rPr>
        <w:t>秦淮新河是1975年开挖的一条河流，东起河定桥，西至双闸入长江，全</w:t>
      </w:r>
      <w:r>
        <w:rPr>
          <w:rFonts w:hint="eastAsia" w:ascii="Times New Roman" w:hAnsi="Times New Roman" w:eastAsia="宋体" w:cs="Times New Roman"/>
          <w:snapToGrid w:val="0"/>
          <w:color w:val="auto"/>
          <w:kern w:val="0"/>
          <w:sz w:val="24"/>
          <w:szCs w:val="24"/>
          <w:highlight w:val="none"/>
          <w:lang w:val="en-US" w:eastAsia="zh-CN" w:bidi="ar"/>
        </w:rPr>
        <w:t>长</w:t>
      </w:r>
      <w:r>
        <w:rPr>
          <w:rFonts w:hint="default" w:ascii="Times New Roman" w:hAnsi="Times New Roman" w:eastAsia="宋体" w:cs="Times New Roman"/>
          <w:snapToGrid w:val="0"/>
          <w:color w:val="auto"/>
          <w:kern w:val="0"/>
          <w:sz w:val="24"/>
          <w:szCs w:val="24"/>
          <w:highlight w:val="none"/>
          <w:lang w:val="en-US" w:eastAsia="zh-CN" w:bidi="ar"/>
        </w:rPr>
        <w:t>18公里，是一条人工挖掘的闸控河流，关闸100天以上</w:t>
      </w:r>
      <w:sdt>
        <w:sdtPr>
          <w:rPr>
            <w:color w:val="auto"/>
            <w:highlight w:val="none"/>
          </w:rPr>
          <w:alias w:val="易错词检查"/>
          <w:tag w:val="auto"/>
          <w:id w:val="3080511"/>
        </w:sdtPr>
        <w:sdtEndPr>
          <w:rPr>
            <w:color w:val="auto"/>
            <w:highlight w:val="none"/>
          </w:rPr>
        </w:sdtEndPr>
        <w:sdtContent>
          <w:bookmarkStart w:id="1975" w:name="bkReivew3080511"/>
          <w:r>
            <w:rPr>
              <w:rFonts w:hint="default" w:ascii="Times New Roman" w:hAnsi="Times New Roman" w:eastAsia="宋体" w:cs="Times New Roman"/>
              <w:snapToGrid w:val="0"/>
              <w:color w:val="auto"/>
              <w:kern w:val="0"/>
              <w:sz w:val="24"/>
              <w:szCs w:val="24"/>
              <w:highlight w:val="none"/>
              <w:lang w:val="en-US" w:eastAsia="zh-CN" w:bidi="ar"/>
            </w:rPr>
            <w:t>记录</w:t>
          </w:r>
          <w:bookmarkEnd w:id="1975"/>
        </w:sdtContent>
      </w:sdt>
      <w:r>
        <w:rPr>
          <w:rFonts w:hint="default" w:ascii="Times New Roman" w:hAnsi="Times New Roman" w:eastAsia="宋体" w:cs="Times New Roman"/>
          <w:snapToGrid w:val="0"/>
          <w:color w:val="auto"/>
          <w:kern w:val="0"/>
          <w:sz w:val="24"/>
          <w:szCs w:val="24"/>
          <w:highlight w:val="none"/>
          <w:lang w:val="en-US" w:eastAsia="zh-CN" w:bidi="ar"/>
        </w:rPr>
        <w:t>为两年一遇，最枯水位5.12m，平均水位7.65m，年最大流量500m</w:t>
      </w:r>
      <w:r>
        <w:rPr>
          <w:rFonts w:hint="default" w:ascii="Times New Roman" w:hAnsi="Times New Roman" w:eastAsia="宋体" w:cs="Times New Roman"/>
          <w:snapToGrid w:val="0"/>
          <w:color w:val="auto"/>
          <w:kern w:val="0"/>
          <w:sz w:val="24"/>
          <w:szCs w:val="24"/>
          <w:highlight w:val="none"/>
          <w:vertAlign w:val="superscript"/>
          <w:lang w:val="en-US" w:eastAsia="zh-CN" w:bidi="ar"/>
        </w:rPr>
        <w:t>3</w:t>
      </w:r>
      <w:r>
        <w:rPr>
          <w:rFonts w:hint="default" w:ascii="Times New Roman" w:hAnsi="Times New Roman" w:eastAsia="宋体" w:cs="Times New Roman"/>
          <w:snapToGrid w:val="0"/>
          <w:color w:val="auto"/>
          <w:kern w:val="0"/>
          <w:sz w:val="24"/>
          <w:szCs w:val="24"/>
          <w:highlight w:val="none"/>
          <w:lang w:val="en-US" w:eastAsia="zh-CN" w:bidi="ar"/>
        </w:rPr>
        <w:t>/s，平均流量为309930m</w:t>
      </w:r>
      <w:r>
        <w:rPr>
          <w:rFonts w:hint="default" w:ascii="Times New Roman" w:hAnsi="Times New Roman" w:eastAsia="宋体" w:cs="Times New Roman"/>
          <w:snapToGrid w:val="0"/>
          <w:color w:val="auto"/>
          <w:kern w:val="0"/>
          <w:sz w:val="24"/>
          <w:szCs w:val="24"/>
          <w:highlight w:val="none"/>
          <w:vertAlign w:val="superscript"/>
          <w:lang w:val="en-US" w:eastAsia="zh-CN" w:bidi="ar"/>
        </w:rPr>
        <w:t>3</w:t>
      </w:r>
      <w:r>
        <w:rPr>
          <w:rFonts w:hint="default" w:ascii="Times New Roman" w:hAnsi="Times New Roman" w:eastAsia="宋体" w:cs="Times New Roman"/>
          <w:snapToGrid w:val="0"/>
          <w:color w:val="auto"/>
          <w:kern w:val="0"/>
          <w:sz w:val="24"/>
          <w:szCs w:val="24"/>
          <w:highlight w:val="none"/>
          <w:lang w:val="en-US" w:eastAsia="zh-CN" w:bidi="ar"/>
        </w:rPr>
        <w:t>/d。</w:t>
      </w:r>
      <w:bookmarkEnd w:id="1974"/>
    </w:p>
    <w:p w14:paraId="0862CD1A">
      <w:pPr>
        <w:keepNext w:val="0"/>
        <w:keepLines w:val="0"/>
        <w:pageBreakBefore w:val="0"/>
        <w:widowControl/>
        <w:numPr>
          <w:ilvl w:val="0"/>
          <w:numId w:val="0"/>
        </w:numPr>
        <w:suppressLineNumbers w:val="0"/>
        <w:kinsoku w:val="0"/>
        <w:wordWrap/>
        <w:overflowPunct/>
        <w:topLinePunct w:val="0"/>
        <w:autoSpaceDE w:val="0"/>
        <w:autoSpaceDN w:val="0"/>
        <w:bidi w:val="0"/>
        <w:adjustRightInd w:val="0"/>
        <w:snapToGrid w:val="0"/>
        <w:spacing w:line="360" w:lineRule="auto"/>
        <w:ind w:leftChars="200"/>
        <w:jc w:val="left"/>
        <w:textAlignment w:val="baseline"/>
        <w:rPr>
          <w:rFonts w:hint="default" w:ascii="Times New Roman" w:hAnsi="Times New Roman" w:eastAsia="宋体" w:cs="Times New Roman"/>
          <w:snapToGrid w:val="0"/>
          <w:color w:val="auto"/>
          <w:kern w:val="0"/>
          <w:sz w:val="24"/>
          <w:szCs w:val="24"/>
          <w:highlight w:val="none"/>
          <w:lang w:val="en-US" w:eastAsia="zh-CN" w:bidi="ar"/>
        </w:rPr>
      </w:pPr>
      <w:r>
        <w:rPr>
          <w:rFonts w:hint="eastAsia" w:ascii="Times New Roman" w:hAnsi="Times New Roman" w:eastAsia="宋体" w:cs="Times New Roman"/>
          <w:snapToGrid w:val="0"/>
          <w:color w:val="auto"/>
          <w:kern w:val="0"/>
          <w:sz w:val="24"/>
          <w:szCs w:val="24"/>
          <w:highlight w:val="none"/>
          <w:lang w:val="en-US" w:eastAsia="zh-CN" w:bidi="ar"/>
        </w:rPr>
        <w:t>（3）牛首山</w:t>
      </w:r>
      <w:r>
        <w:rPr>
          <w:rFonts w:hint="default" w:ascii="Times New Roman" w:hAnsi="Times New Roman" w:eastAsia="宋体" w:cs="Times New Roman"/>
          <w:snapToGrid w:val="0"/>
          <w:color w:val="auto"/>
          <w:kern w:val="0"/>
          <w:sz w:val="24"/>
          <w:szCs w:val="24"/>
          <w:highlight w:val="none"/>
          <w:lang w:val="en-US" w:eastAsia="zh-CN" w:bidi="ar"/>
        </w:rPr>
        <w:t>河</w:t>
      </w:r>
      <w:bookmarkStart w:id="1976" w:name="pindex13310"/>
      <w:bookmarkEnd w:id="1976"/>
    </w:p>
    <w:p w14:paraId="50E387D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highlight w:val="none"/>
          <w:lang w:val="en-US" w:eastAsia="zh-CN" w:bidi="ar"/>
        </w:rPr>
      </w:pPr>
      <w:bookmarkStart w:id="1977" w:name="sys13311064"/>
      <w:r>
        <w:rPr>
          <w:rFonts w:hint="default" w:ascii="Times New Roman" w:hAnsi="Times New Roman" w:eastAsia="宋体" w:cs="Times New Roman"/>
          <w:snapToGrid w:val="0"/>
          <w:color w:val="auto"/>
          <w:kern w:val="0"/>
          <w:sz w:val="24"/>
          <w:szCs w:val="24"/>
          <w:highlight w:val="none"/>
          <w:lang w:val="en-US" w:eastAsia="zh-CN" w:bidi="ar"/>
        </w:rPr>
        <w:t>牛首山河位于东山桥上游两公里，是外秦淮河的支流，牛首山河全长7.16公里，宽20～70m，高程4～5.5m，汇水面积46km</w:t>
      </w:r>
      <w:r>
        <w:rPr>
          <w:rFonts w:hint="default" w:ascii="Times New Roman" w:hAnsi="Times New Roman" w:eastAsia="宋体" w:cs="Times New Roman"/>
          <w:snapToGrid w:val="0"/>
          <w:color w:val="auto"/>
          <w:kern w:val="0"/>
          <w:sz w:val="24"/>
          <w:szCs w:val="24"/>
          <w:highlight w:val="none"/>
          <w:vertAlign w:val="superscript"/>
          <w:lang w:val="en-US" w:eastAsia="zh-CN" w:bidi="ar"/>
        </w:rPr>
        <w:t>2</w:t>
      </w:r>
      <w:r>
        <w:rPr>
          <w:rFonts w:hint="default" w:ascii="Times New Roman" w:hAnsi="Times New Roman" w:eastAsia="宋体" w:cs="Times New Roman"/>
          <w:snapToGrid w:val="0"/>
          <w:color w:val="auto"/>
          <w:kern w:val="0"/>
          <w:sz w:val="24"/>
          <w:szCs w:val="24"/>
          <w:highlight w:val="none"/>
          <w:lang w:val="en-US" w:eastAsia="zh-CN" w:bidi="ar"/>
        </w:rPr>
        <w:t>。</w:t>
      </w:r>
      <w:bookmarkEnd w:id="1977"/>
    </w:p>
    <w:p w14:paraId="04802F94">
      <w:pPr>
        <w:keepNext w:val="0"/>
        <w:keepLines w:val="0"/>
        <w:pageBreakBefore w:val="0"/>
        <w:widowControl/>
        <w:numPr>
          <w:ilvl w:val="0"/>
          <w:numId w:val="0"/>
        </w:numPr>
        <w:suppressLineNumbers w:val="0"/>
        <w:kinsoku w:val="0"/>
        <w:wordWrap/>
        <w:overflowPunct/>
        <w:topLinePunct w:val="0"/>
        <w:autoSpaceDE w:val="0"/>
        <w:autoSpaceDN w:val="0"/>
        <w:bidi w:val="0"/>
        <w:adjustRightInd w:val="0"/>
        <w:snapToGrid w:val="0"/>
        <w:spacing w:line="360" w:lineRule="auto"/>
        <w:ind w:leftChars="200"/>
        <w:jc w:val="left"/>
        <w:textAlignment w:val="baseline"/>
        <w:rPr>
          <w:rFonts w:hint="default" w:ascii="Times New Roman" w:hAnsi="Times New Roman" w:eastAsia="宋体" w:cs="Times New Roman"/>
          <w:snapToGrid w:val="0"/>
          <w:color w:val="auto"/>
          <w:kern w:val="0"/>
          <w:sz w:val="24"/>
          <w:szCs w:val="24"/>
          <w:highlight w:val="none"/>
          <w:lang w:val="en-US" w:eastAsia="zh-CN" w:bidi="ar"/>
        </w:rPr>
      </w:pPr>
      <w:r>
        <w:rPr>
          <w:rFonts w:hint="eastAsia" w:ascii="Times New Roman" w:hAnsi="Times New Roman" w:eastAsia="宋体" w:cs="Times New Roman"/>
          <w:snapToGrid w:val="0"/>
          <w:color w:val="auto"/>
          <w:kern w:val="0"/>
          <w:sz w:val="24"/>
          <w:szCs w:val="24"/>
          <w:highlight w:val="none"/>
          <w:lang w:val="en-US" w:eastAsia="zh-CN" w:bidi="ar"/>
        </w:rPr>
        <w:t>（4）云台山</w:t>
      </w:r>
      <w:r>
        <w:rPr>
          <w:rFonts w:hint="default" w:ascii="Times New Roman" w:hAnsi="Times New Roman" w:eastAsia="宋体" w:cs="Times New Roman"/>
          <w:snapToGrid w:val="0"/>
          <w:color w:val="auto"/>
          <w:kern w:val="0"/>
          <w:sz w:val="24"/>
          <w:szCs w:val="24"/>
          <w:highlight w:val="none"/>
          <w:lang w:val="en-US" w:eastAsia="zh-CN" w:bidi="ar"/>
        </w:rPr>
        <w:t>河</w:t>
      </w:r>
      <w:bookmarkStart w:id="1978" w:name="pindex13312"/>
      <w:bookmarkEnd w:id="1978"/>
    </w:p>
    <w:p w14:paraId="662910B0">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highlight w:val="none"/>
          <w:lang w:val="en-US" w:eastAsia="zh-CN" w:bidi="ar"/>
        </w:rPr>
      </w:pPr>
      <w:r>
        <w:rPr>
          <w:rFonts w:hint="default" w:ascii="Times New Roman" w:hAnsi="Times New Roman" w:eastAsia="宋体" w:cs="Times New Roman"/>
          <w:snapToGrid w:val="0"/>
          <w:color w:val="auto"/>
          <w:kern w:val="0"/>
          <w:sz w:val="24"/>
          <w:szCs w:val="24"/>
          <w:highlight w:val="none"/>
          <w:lang w:val="en-US" w:eastAsia="zh-CN" w:bidi="ar"/>
        </w:rPr>
        <w:t>云台山河位于江宁区境内。</w:t>
      </w:r>
      <w:bookmarkStart w:id="1979" w:name="sys133131256"/>
      <w:r>
        <w:rPr>
          <w:rFonts w:hint="default" w:ascii="Times New Roman" w:hAnsi="Times New Roman" w:eastAsia="宋体" w:cs="Times New Roman"/>
          <w:snapToGrid w:val="0"/>
          <w:color w:val="auto"/>
          <w:kern w:val="0"/>
          <w:sz w:val="24"/>
          <w:szCs w:val="24"/>
          <w:highlight w:val="none"/>
          <w:lang w:val="en-US" w:eastAsia="zh-CN" w:bidi="ar"/>
        </w:rPr>
        <w:t>自石坝至河口，长14.9km，流域面积134.846km</w:t>
      </w:r>
      <w:r>
        <w:rPr>
          <w:rFonts w:hint="default" w:ascii="Times New Roman" w:hAnsi="Times New Roman" w:eastAsia="宋体" w:cs="Times New Roman"/>
          <w:snapToGrid w:val="0"/>
          <w:color w:val="auto"/>
          <w:kern w:val="0"/>
          <w:sz w:val="24"/>
          <w:szCs w:val="24"/>
          <w:highlight w:val="none"/>
          <w:vertAlign w:val="superscript"/>
          <w:lang w:val="en-US" w:eastAsia="zh-CN" w:bidi="ar"/>
        </w:rPr>
        <w:t>2</w:t>
      </w:r>
      <w:r>
        <w:rPr>
          <w:rFonts w:hint="eastAsia" w:ascii="Times New Roman" w:hAnsi="Times New Roman" w:eastAsia="宋体" w:cs="Times New Roman"/>
          <w:snapToGrid w:val="0"/>
          <w:color w:val="auto"/>
          <w:kern w:val="0"/>
          <w:sz w:val="24"/>
          <w:szCs w:val="24"/>
          <w:highlight w:val="none"/>
          <w:lang w:val="en-US" w:eastAsia="zh-CN" w:bidi="ar"/>
        </w:rPr>
        <w:t>，</w:t>
      </w:r>
      <w:r>
        <w:rPr>
          <w:rFonts w:hint="default" w:ascii="Times New Roman" w:hAnsi="Times New Roman" w:eastAsia="宋体" w:cs="Times New Roman"/>
          <w:snapToGrid w:val="0"/>
          <w:color w:val="auto"/>
          <w:kern w:val="0"/>
          <w:sz w:val="24"/>
          <w:szCs w:val="24"/>
          <w:highlight w:val="none"/>
          <w:lang w:val="en-US" w:eastAsia="zh-CN" w:bidi="ar"/>
        </w:rPr>
        <w:t>为长江下游干流，功能主要是农业用水，水质目标为Ⅳ类。</w:t>
      </w:r>
      <w:bookmarkEnd w:id="1979"/>
    </w:p>
    <w:p w14:paraId="3C7F8C8A">
      <w:pPr>
        <w:keepNext w:val="0"/>
        <w:keepLines w:val="0"/>
        <w:pageBreakBefore w:val="0"/>
        <w:widowControl/>
        <w:numPr>
          <w:ilvl w:val="0"/>
          <w:numId w:val="0"/>
        </w:numPr>
        <w:suppressLineNumbers w:val="0"/>
        <w:kinsoku w:val="0"/>
        <w:wordWrap/>
        <w:overflowPunct/>
        <w:topLinePunct w:val="0"/>
        <w:autoSpaceDE w:val="0"/>
        <w:autoSpaceDN w:val="0"/>
        <w:bidi w:val="0"/>
        <w:adjustRightInd w:val="0"/>
        <w:snapToGrid w:val="0"/>
        <w:spacing w:line="360" w:lineRule="auto"/>
        <w:ind w:leftChars="200"/>
        <w:jc w:val="left"/>
        <w:textAlignment w:val="baseline"/>
        <w:rPr>
          <w:rFonts w:hint="default" w:ascii="Times New Roman" w:hAnsi="Times New Roman" w:eastAsia="宋体" w:cs="Times New Roman"/>
          <w:snapToGrid w:val="0"/>
          <w:color w:val="auto"/>
          <w:kern w:val="0"/>
          <w:sz w:val="24"/>
          <w:szCs w:val="24"/>
          <w:highlight w:val="none"/>
          <w:lang w:val="en-US" w:eastAsia="zh-CN" w:bidi="ar"/>
        </w:rPr>
      </w:pPr>
      <w:r>
        <w:rPr>
          <w:rFonts w:hint="eastAsia" w:ascii="Times New Roman" w:hAnsi="Times New Roman" w:eastAsia="宋体" w:cs="Times New Roman"/>
          <w:snapToGrid w:val="0"/>
          <w:color w:val="auto"/>
          <w:kern w:val="0"/>
          <w:sz w:val="24"/>
          <w:szCs w:val="24"/>
          <w:highlight w:val="none"/>
          <w:lang w:val="en-US" w:eastAsia="zh-CN" w:bidi="ar"/>
        </w:rPr>
        <w:t>（5）句容</w:t>
      </w:r>
      <w:r>
        <w:rPr>
          <w:rFonts w:hint="default" w:ascii="Times New Roman" w:hAnsi="Times New Roman" w:eastAsia="宋体" w:cs="Times New Roman"/>
          <w:snapToGrid w:val="0"/>
          <w:color w:val="auto"/>
          <w:kern w:val="0"/>
          <w:sz w:val="24"/>
          <w:szCs w:val="24"/>
          <w:highlight w:val="none"/>
          <w:lang w:val="en-US" w:eastAsia="zh-CN" w:bidi="ar"/>
        </w:rPr>
        <w:t>河</w:t>
      </w:r>
      <w:bookmarkStart w:id="1980" w:name="pindex13314"/>
      <w:bookmarkEnd w:id="1980"/>
    </w:p>
    <w:p w14:paraId="2BBA427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highlight w:val="none"/>
          <w:lang w:val="en-US" w:eastAsia="zh-CN" w:bidi="ar"/>
        </w:rPr>
      </w:pPr>
      <w:bookmarkStart w:id="1981" w:name="sys13315038"/>
      <w:r>
        <w:rPr>
          <w:rFonts w:hint="default" w:ascii="Times New Roman" w:hAnsi="Times New Roman" w:eastAsia="宋体" w:cs="Times New Roman"/>
          <w:snapToGrid w:val="0"/>
          <w:color w:val="auto"/>
          <w:kern w:val="0"/>
          <w:sz w:val="24"/>
          <w:szCs w:val="24"/>
          <w:highlight w:val="none"/>
          <w:lang w:val="en-US" w:eastAsia="zh-CN" w:bidi="ar"/>
        </w:rPr>
        <w:t>句容河：汇水面积1303km</w:t>
      </w:r>
      <w:r>
        <w:rPr>
          <w:rFonts w:hint="default" w:ascii="Times New Roman" w:hAnsi="Times New Roman" w:eastAsia="宋体" w:cs="Times New Roman"/>
          <w:snapToGrid w:val="0"/>
          <w:color w:val="auto"/>
          <w:kern w:val="0"/>
          <w:sz w:val="24"/>
          <w:szCs w:val="24"/>
          <w:highlight w:val="none"/>
          <w:vertAlign w:val="superscript"/>
          <w:lang w:val="en-US" w:eastAsia="zh-CN" w:bidi="ar"/>
        </w:rPr>
        <w:t>2</w:t>
      </w:r>
      <w:r>
        <w:rPr>
          <w:rFonts w:hint="default" w:ascii="Times New Roman" w:hAnsi="Times New Roman" w:eastAsia="宋体" w:cs="Times New Roman"/>
          <w:snapToGrid w:val="0"/>
          <w:color w:val="auto"/>
          <w:kern w:val="0"/>
          <w:sz w:val="24"/>
          <w:szCs w:val="24"/>
          <w:highlight w:val="none"/>
          <w:lang w:val="en-US" w:eastAsia="zh-CN" w:bidi="ar"/>
        </w:rPr>
        <w:t>，起点为西北村，终点为周岱，总长32.2km。</w:t>
      </w:r>
      <w:bookmarkEnd w:id="1981"/>
    </w:p>
    <w:p w14:paraId="38C2FFE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highlight w:val="none"/>
          <w:lang w:val="en-US" w:eastAsia="zh-CN" w:bidi="ar"/>
        </w:rPr>
      </w:pPr>
      <w:r>
        <w:rPr>
          <w:rFonts w:hint="default" w:ascii="Times New Roman" w:hAnsi="Times New Roman" w:eastAsia="宋体" w:cs="Times New Roman"/>
          <w:snapToGrid w:val="0"/>
          <w:color w:val="auto"/>
          <w:kern w:val="0"/>
          <w:sz w:val="24"/>
          <w:szCs w:val="24"/>
          <w:highlight w:val="none"/>
          <w:lang w:val="en-US" w:eastAsia="zh-CN" w:bidi="ar"/>
        </w:rPr>
        <w:t>主要湖泊与水库情况：</w:t>
      </w:r>
    </w:p>
    <w:p w14:paraId="44FDCF8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highlight w:val="none"/>
          <w:lang w:val="en-US" w:eastAsia="zh-CN" w:bidi="ar"/>
        </w:rPr>
      </w:pPr>
      <w:bookmarkStart w:id="1982" w:name="sys13317038"/>
      <w:r>
        <w:rPr>
          <w:rFonts w:hint="eastAsia" w:ascii="Times New Roman" w:hAnsi="Times New Roman" w:eastAsia="宋体" w:cs="Times New Roman"/>
          <w:snapToGrid w:val="0"/>
          <w:color w:val="auto"/>
          <w:kern w:val="0"/>
          <w:sz w:val="24"/>
          <w:szCs w:val="24"/>
          <w:highlight w:val="none"/>
          <w:lang w:val="en-US" w:eastAsia="zh-CN" w:bidi="ar"/>
        </w:rPr>
        <w:t>（1）</w:t>
      </w:r>
      <w:r>
        <w:rPr>
          <w:rFonts w:hint="default" w:ascii="Times New Roman" w:hAnsi="Times New Roman" w:eastAsia="宋体" w:cs="Times New Roman"/>
          <w:snapToGrid w:val="0"/>
          <w:color w:val="auto"/>
          <w:kern w:val="0"/>
          <w:sz w:val="24"/>
          <w:szCs w:val="24"/>
          <w:highlight w:val="none"/>
          <w:lang w:val="en-US" w:eastAsia="zh-CN" w:bidi="ar"/>
        </w:rPr>
        <w:t>百家湖：是南京市江宁区第一大湖，也是南京市区内仅次于玄武湖的第二大湖。</w:t>
      </w:r>
      <w:bookmarkEnd w:id="1982"/>
      <w:bookmarkStart w:id="1983" w:name="sys133173874"/>
      <w:r>
        <w:rPr>
          <w:rFonts w:hint="default" w:ascii="Times New Roman" w:hAnsi="Times New Roman" w:eastAsia="宋体" w:cs="Times New Roman"/>
          <w:snapToGrid w:val="0"/>
          <w:color w:val="auto"/>
          <w:kern w:val="0"/>
          <w:sz w:val="24"/>
          <w:szCs w:val="24"/>
          <w:highlight w:val="none"/>
          <w:lang w:val="en-US" w:eastAsia="zh-CN" w:bidi="ar"/>
        </w:rPr>
        <w:t>百家湖位于南京市江宁开发区核心区域：双龙大道以西、天元中路以北、利源路以东，水面面积约为2500亩，相传为明洪武年间所挖，至今已有600多年的历史。</w:t>
      </w:r>
      <w:bookmarkEnd w:id="1983"/>
      <w:r>
        <w:rPr>
          <w:rFonts w:hint="default" w:ascii="Times New Roman" w:hAnsi="Times New Roman" w:eastAsia="宋体" w:cs="Times New Roman"/>
          <w:snapToGrid w:val="0"/>
          <w:color w:val="auto"/>
          <w:kern w:val="0"/>
          <w:sz w:val="24"/>
          <w:szCs w:val="24"/>
          <w:highlight w:val="none"/>
          <w:lang w:val="en-US" w:eastAsia="zh-CN" w:bidi="ar"/>
        </w:rPr>
        <w:t>因当时有百多人家，故名：百家湖。百家湖上有四座桥，其中白龙桥横跨湖心，长度约1000米。</w:t>
      </w:r>
      <w:bookmarkStart w:id="1984" w:name="pindex13317"/>
      <w:bookmarkEnd w:id="1984"/>
    </w:p>
    <w:p w14:paraId="7A288F0B">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highlight w:val="none"/>
          <w:lang w:val="en-US" w:eastAsia="zh-CN" w:bidi="ar"/>
        </w:rPr>
      </w:pPr>
      <w:bookmarkStart w:id="1985" w:name="sys13318058"/>
      <w:r>
        <w:rPr>
          <w:rFonts w:hint="eastAsia" w:ascii="Times New Roman" w:hAnsi="Times New Roman" w:eastAsia="宋体" w:cs="Times New Roman"/>
          <w:snapToGrid w:val="0"/>
          <w:color w:val="auto"/>
          <w:kern w:val="0"/>
          <w:sz w:val="24"/>
          <w:szCs w:val="24"/>
          <w:highlight w:val="none"/>
          <w:lang w:val="en-US" w:eastAsia="zh-CN" w:bidi="ar"/>
        </w:rPr>
        <w:t>（2）</w:t>
      </w:r>
      <w:r>
        <w:rPr>
          <w:rFonts w:hint="default" w:ascii="Times New Roman" w:hAnsi="Times New Roman" w:eastAsia="宋体" w:cs="Times New Roman"/>
          <w:snapToGrid w:val="0"/>
          <w:color w:val="auto"/>
          <w:kern w:val="0"/>
          <w:sz w:val="24"/>
          <w:szCs w:val="24"/>
          <w:highlight w:val="none"/>
          <w:lang w:val="en-US" w:eastAsia="zh-CN" w:bidi="ar"/>
        </w:rPr>
        <w:t>九龙湖：它位于南京江宁开发区南部，机场高速路以东，宁溧路以西，南京市二环路以北，地势开阔、交通便利、环境优美。</w:t>
      </w:r>
      <w:bookmarkEnd w:id="1985"/>
      <w:bookmarkStart w:id="1986" w:name="pindex13318"/>
      <w:bookmarkEnd w:id="1986"/>
    </w:p>
    <w:bookmarkEnd w:id="1969"/>
    <w:p w14:paraId="17971E89">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default" w:ascii="Times New Roman" w:hAnsi="Times New Roman" w:eastAsia="宋体" w:cs="Times New Roman"/>
          <w:b/>
          <w:bCs/>
          <w:color w:val="auto"/>
          <w:sz w:val="24"/>
          <w:szCs w:val="24"/>
          <w:highlight w:val="none"/>
          <w:lang w:val="en-US" w:eastAsia="zh-CN"/>
        </w:rPr>
      </w:pPr>
      <w:bookmarkStart w:id="1987" w:name="_Toc13722"/>
      <w:bookmarkStart w:id="1988" w:name="OLE_LINK666"/>
      <w:r>
        <w:rPr>
          <w:rFonts w:hint="default" w:ascii="Times New Roman" w:hAnsi="Times New Roman" w:eastAsia="宋体" w:cs="Times New Roman"/>
          <w:b/>
          <w:bCs/>
          <w:color w:val="auto"/>
          <w:sz w:val="24"/>
          <w:szCs w:val="24"/>
          <w:highlight w:val="none"/>
          <w:lang w:val="en-US" w:eastAsia="zh-CN"/>
        </w:rPr>
        <w:t>7.</w:t>
      </w:r>
      <w:r>
        <w:rPr>
          <w:rFonts w:hint="eastAsia" w:ascii="Times New Roman" w:hAnsi="Times New Roman" w:eastAsia="宋体" w:cs="Times New Roman"/>
          <w:b/>
          <w:bCs/>
          <w:color w:val="auto"/>
          <w:sz w:val="24"/>
          <w:szCs w:val="24"/>
          <w:highlight w:val="none"/>
          <w:lang w:val="en-US" w:eastAsia="zh-CN"/>
        </w:rPr>
        <w:t>2.2区域地表水功能区</w:t>
      </w:r>
      <w:bookmarkEnd w:id="1987"/>
      <w:bookmarkStart w:id="1989" w:name="pindex13319"/>
      <w:bookmarkEnd w:id="1989"/>
    </w:p>
    <w:bookmarkEnd w:id="1988"/>
    <w:p w14:paraId="5604738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bookmarkStart w:id="1990" w:name="OLE_LINK664"/>
      <w:r>
        <w:rPr>
          <w:rFonts w:hint="default" w:ascii="Times New Roman" w:hAnsi="Times New Roman" w:eastAsia="宋体" w:cs="Times New Roman"/>
          <w:color w:val="auto"/>
          <w:sz w:val="24"/>
          <w:szCs w:val="24"/>
          <w:highlight w:val="none"/>
          <w:lang w:val="en-US" w:eastAsia="zh-CN"/>
        </w:rPr>
        <w:t>南区污水处理厂和开发区污水处理厂尾水排放至云台山河及秦淮新河。</w:t>
      </w:r>
      <w:r>
        <w:rPr>
          <w:rFonts w:hint="eastAsia" w:ascii="Times New Roman" w:hAnsi="Times New Roman" w:eastAsia="宋体" w:cs="Times New Roman"/>
          <w:color w:val="auto"/>
          <w:sz w:val="24"/>
          <w:szCs w:val="24"/>
          <w:highlight w:val="none"/>
          <w:lang w:val="en-US" w:eastAsia="zh-CN"/>
        </w:rPr>
        <w:t>区域主要地表水功能区见表7.2-3。</w:t>
      </w:r>
    </w:p>
    <w:p w14:paraId="51327C26">
      <w:pPr>
        <w:bidi w:val="0"/>
        <w:jc w:val="center"/>
        <w:rPr>
          <w:rFonts w:hint="default" w:ascii="Times New Roman" w:hAnsi="Times New Roman" w:eastAsia="宋体" w:cs="Times New Roman"/>
          <w:b/>
          <w:bCs/>
          <w:color w:val="auto"/>
          <w:sz w:val="24"/>
          <w:szCs w:val="24"/>
          <w:highlight w:val="none"/>
          <w:lang w:val="en-US" w:eastAsia="zh-CN"/>
        </w:rPr>
      </w:pPr>
      <w:bookmarkStart w:id="1991" w:name="OLE_LINK858"/>
      <w:r>
        <w:rPr>
          <w:rFonts w:hint="default" w:ascii="Times New Roman" w:hAnsi="Times New Roman" w:eastAsia="宋体" w:cs="Times New Roman"/>
          <w:b/>
          <w:bCs/>
          <w:color w:val="auto"/>
          <w:sz w:val="24"/>
          <w:szCs w:val="24"/>
          <w:highlight w:val="none"/>
          <w:lang w:val="en-US" w:eastAsia="zh-CN"/>
        </w:rPr>
        <w:t>表7.2-3  区域涉及主要地表水功能区（河道）情况表</w:t>
      </w:r>
      <w:bookmarkStart w:id="1992" w:name="pindex13321"/>
      <w:bookmarkEnd w:id="1992"/>
    </w:p>
    <w:bookmarkEnd w:id="1991"/>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87"/>
        <w:gridCol w:w="1687"/>
        <w:gridCol w:w="1687"/>
        <w:gridCol w:w="1688"/>
        <w:gridCol w:w="1688"/>
      </w:tblGrid>
      <w:tr w14:paraId="41F362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 w:hRule="atLeast"/>
        </w:trPr>
        <w:tc>
          <w:tcPr>
            <w:tcW w:w="1687" w:type="dxa"/>
            <w:tcBorders>
              <w:tl2br w:val="nil"/>
              <w:tr2bl w:val="nil"/>
            </w:tcBorders>
            <w:vAlign w:val="center"/>
          </w:tcPr>
          <w:p w14:paraId="572ADF3E">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bookmarkStart w:id="1993" w:name="OLE_LINK665" w:colFirst="0" w:colLast="5"/>
            <w:r>
              <w:rPr>
                <w:rFonts w:hint="eastAsia" w:ascii="Times New Roman" w:hAnsi="Times New Roman" w:eastAsia="宋体" w:cs="Times New Roman"/>
                <w:b/>
                <w:bCs/>
                <w:color w:val="auto"/>
                <w:sz w:val="21"/>
                <w:szCs w:val="21"/>
                <w:highlight w:val="none"/>
                <w:vertAlign w:val="baseline"/>
                <w:lang w:val="en-US" w:eastAsia="zh-CN"/>
              </w:rPr>
              <w:t>水功能区名称</w:t>
            </w:r>
          </w:p>
        </w:tc>
        <w:tc>
          <w:tcPr>
            <w:tcW w:w="1687" w:type="dxa"/>
            <w:tcBorders>
              <w:tl2br w:val="nil"/>
              <w:tr2bl w:val="nil"/>
            </w:tcBorders>
            <w:vAlign w:val="center"/>
          </w:tcPr>
          <w:p w14:paraId="7783208A">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河流名称</w:t>
            </w:r>
          </w:p>
        </w:tc>
        <w:tc>
          <w:tcPr>
            <w:tcW w:w="1687" w:type="dxa"/>
            <w:tcBorders>
              <w:tl2br w:val="nil"/>
              <w:tr2bl w:val="nil"/>
            </w:tcBorders>
            <w:vAlign w:val="center"/>
          </w:tcPr>
          <w:p w14:paraId="6BFA6ED9">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起始-终止位置</w:t>
            </w:r>
          </w:p>
        </w:tc>
        <w:tc>
          <w:tcPr>
            <w:tcW w:w="1688" w:type="dxa"/>
            <w:tcBorders>
              <w:tl2br w:val="nil"/>
              <w:tr2bl w:val="nil"/>
            </w:tcBorders>
            <w:vAlign w:val="center"/>
          </w:tcPr>
          <w:p w14:paraId="212183F6">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控制断面</w:t>
            </w:r>
          </w:p>
        </w:tc>
        <w:tc>
          <w:tcPr>
            <w:tcW w:w="1688" w:type="dxa"/>
            <w:tcBorders>
              <w:tl2br w:val="nil"/>
              <w:tr2bl w:val="nil"/>
            </w:tcBorders>
            <w:vAlign w:val="center"/>
          </w:tcPr>
          <w:p w14:paraId="6BBF0CB0">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水质目标</w:t>
            </w:r>
          </w:p>
        </w:tc>
      </w:tr>
      <w:bookmarkEnd w:id="1993"/>
      <w:tr w14:paraId="7F50C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1687" w:type="dxa"/>
            <w:tcBorders>
              <w:tl2br w:val="nil"/>
              <w:tr2bl w:val="nil"/>
            </w:tcBorders>
            <w:vAlign w:val="center"/>
          </w:tcPr>
          <w:p w14:paraId="0E77422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bookmarkStart w:id="1994" w:name="OLE_LINK855" w:colFirst="3" w:colLast="3"/>
            <w:bookmarkStart w:id="1995" w:name="OLE_LINK851" w:colFirst="0" w:colLast="0"/>
            <w:bookmarkStart w:id="1996" w:name="OLE_LINK857" w:colFirst="4" w:colLast="4"/>
            <w:r>
              <w:rPr>
                <w:rFonts w:hint="default" w:ascii="Times New Roman" w:hAnsi="Times New Roman" w:eastAsia="宋体" w:cs="Times New Roman"/>
                <w:color w:val="auto"/>
                <w:sz w:val="21"/>
                <w:szCs w:val="21"/>
                <w:highlight w:val="none"/>
                <w:lang w:val="en-US" w:eastAsia="zh-CN"/>
              </w:rPr>
              <w:t>秦淮河江宁东头村过渡区；</w:t>
            </w:r>
          </w:p>
        </w:tc>
        <w:tc>
          <w:tcPr>
            <w:tcW w:w="1687" w:type="dxa"/>
            <w:vMerge w:val="restart"/>
            <w:tcBorders>
              <w:tl2br w:val="nil"/>
              <w:tr2bl w:val="nil"/>
            </w:tcBorders>
            <w:vAlign w:val="center"/>
          </w:tcPr>
          <w:p w14:paraId="49CF307E">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秦淮河（云台山河河口</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牛首山河河口）</w:t>
            </w:r>
          </w:p>
        </w:tc>
        <w:tc>
          <w:tcPr>
            <w:tcW w:w="1687" w:type="dxa"/>
            <w:tcBorders>
              <w:tl2br w:val="nil"/>
              <w:tr2bl w:val="nil"/>
            </w:tcBorders>
            <w:vAlign w:val="center"/>
          </w:tcPr>
          <w:p w14:paraId="325D0F6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秦淮河（牛首山河河口</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江宁上坊门桥段）</w:t>
            </w:r>
          </w:p>
        </w:tc>
        <w:tc>
          <w:tcPr>
            <w:tcW w:w="1688" w:type="dxa"/>
            <w:tcBorders>
              <w:tl2br w:val="nil"/>
              <w:tr2bl w:val="nil"/>
            </w:tcBorders>
            <w:vAlign w:val="center"/>
          </w:tcPr>
          <w:p w14:paraId="79C578D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秦淮河（牛首山河河口</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江宁上坊门桥段）</w:t>
            </w:r>
          </w:p>
        </w:tc>
        <w:tc>
          <w:tcPr>
            <w:tcW w:w="1688" w:type="dxa"/>
            <w:tcBorders>
              <w:tl2br w:val="nil"/>
              <w:tr2bl w:val="nil"/>
            </w:tcBorders>
            <w:vAlign w:val="center"/>
          </w:tcPr>
          <w:p w14:paraId="46B2E72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eastAsia="zh-CN"/>
              </w:rPr>
              <w:t>Ⅲ</w:t>
            </w:r>
          </w:p>
        </w:tc>
      </w:tr>
      <w:tr w14:paraId="06475B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687" w:type="dxa"/>
            <w:tcBorders>
              <w:tl2br w:val="nil"/>
              <w:tr2bl w:val="nil"/>
            </w:tcBorders>
            <w:vAlign w:val="center"/>
          </w:tcPr>
          <w:p w14:paraId="57DD7D1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秦淮河江宁殷巷饮用水水源、渔业用水</w:t>
            </w:r>
          </w:p>
        </w:tc>
        <w:tc>
          <w:tcPr>
            <w:tcW w:w="1687" w:type="dxa"/>
            <w:vMerge w:val="continue"/>
            <w:tcBorders>
              <w:tl2br w:val="nil"/>
              <w:tr2bl w:val="nil"/>
            </w:tcBorders>
            <w:vAlign w:val="center"/>
          </w:tcPr>
          <w:p w14:paraId="50182605">
            <w:pPr>
              <w:pStyle w:val="17"/>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687" w:type="dxa"/>
            <w:tcBorders>
              <w:tl2br w:val="nil"/>
              <w:tr2bl w:val="nil"/>
            </w:tcBorders>
            <w:vAlign w:val="center"/>
          </w:tcPr>
          <w:p w14:paraId="449DC1B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牛首山河</w:t>
            </w:r>
          </w:p>
        </w:tc>
        <w:tc>
          <w:tcPr>
            <w:tcW w:w="1688" w:type="dxa"/>
            <w:tcBorders>
              <w:tl2br w:val="nil"/>
              <w:tr2bl w:val="nil"/>
            </w:tcBorders>
            <w:vAlign w:val="center"/>
          </w:tcPr>
          <w:p w14:paraId="2EA5A6F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牛首山河</w:t>
            </w:r>
          </w:p>
        </w:tc>
        <w:tc>
          <w:tcPr>
            <w:tcW w:w="1688" w:type="dxa"/>
            <w:tcBorders>
              <w:tl2br w:val="nil"/>
              <w:tr2bl w:val="nil"/>
            </w:tcBorders>
            <w:vAlign w:val="center"/>
          </w:tcPr>
          <w:p w14:paraId="1E98EA2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eastAsia="zh-CN"/>
              </w:rPr>
              <w:t>Ⅲ</w:t>
            </w:r>
          </w:p>
        </w:tc>
      </w:tr>
      <w:tr w14:paraId="2A5233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1687" w:type="dxa"/>
            <w:tcBorders>
              <w:tl2br w:val="nil"/>
              <w:tr2bl w:val="nil"/>
            </w:tcBorders>
            <w:vAlign w:val="center"/>
          </w:tcPr>
          <w:p w14:paraId="0CF4C81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秦淮河江宁工业、景观娱乐用水区</w:t>
            </w:r>
          </w:p>
        </w:tc>
        <w:tc>
          <w:tcPr>
            <w:tcW w:w="1687" w:type="dxa"/>
            <w:tcBorders>
              <w:tl2br w:val="nil"/>
              <w:tr2bl w:val="nil"/>
            </w:tcBorders>
            <w:vAlign w:val="center"/>
          </w:tcPr>
          <w:p w14:paraId="5523274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秦淮河（牛首山河河口</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江宁上坊门桥段）</w:t>
            </w:r>
          </w:p>
        </w:tc>
        <w:tc>
          <w:tcPr>
            <w:tcW w:w="1687" w:type="dxa"/>
            <w:tcBorders>
              <w:tl2br w:val="nil"/>
              <w:tr2bl w:val="nil"/>
            </w:tcBorders>
            <w:vAlign w:val="center"/>
          </w:tcPr>
          <w:p w14:paraId="3371A07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秦淮新河</w:t>
            </w:r>
          </w:p>
        </w:tc>
        <w:tc>
          <w:tcPr>
            <w:tcW w:w="1688" w:type="dxa"/>
            <w:tcBorders>
              <w:tl2br w:val="nil"/>
              <w:tr2bl w:val="nil"/>
            </w:tcBorders>
            <w:vAlign w:val="center"/>
          </w:tcPr>
          <w:p w14:paraId="203D483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秦淮新河</w:t>
            </w:r>
          </w:p>
        </w:tc>
        <w:tc>
          <w:tcPr>
            <w:tcW w:w="1688" w:type="dxa"/>
            <w:tcBorders>
              <w:tl2br w:val="nil"/>
              <w:tr2bl w:val="nil"/>
            </w:tcBorders>
            <w:vAlign w:val="center"/>
          </w:tcPr>
          <w:p w14:paraId="0990FD8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Ⅳ</w:t>
            </w:r>
          </w:p>
        </w:tc>
      </w:tr>
      <w:tr w14:paraId="2FD458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687" w:type="dxa"/>
            <w:tcBorders>
              <w:tl2br w:val="nil"/>
              <w:tr2bl w:val="nil"/>
            </w:tcBorders>
            <w:vAlign w:val="center"/>
          </w:tcPr>
          <w:p w14:paraId="14C05A2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牛首山河农业用水区</w:t>
            </w:r>
          </w:p>
        </w:tc>
        <w:tc>
          <w:tcPr>
            <w:tcW w:w="1687" w:type="dxa"/>
            <w:tcBorders>
              <w:tl2br w:val="nil"/>
              <w:tr2bl w:val="nil"/>
            </w:tcBorders>
            <w:vAlign w:val="center"/>
          </w:tcPr>
          <w:p w14:paraId="2BBFB17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牛首山河</w:t>
            </w:r>
          </w:p>
        </w:tc>
        <w:tc>
          <w:tcPr>
            <w:tcW w:w="1687" w:type="dxa"/>
            <w:tcBorders>
              <w:tl2br w:val="nil"/>
              <w:tr2bl w:val="nil"/>
            </w:tcBorders>
            <w:vAlign w:val="center"/>
          </w:tcPr>
          <w:p w14:paraId="026135B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云台山河</w:t>
            </w:r>
          </w:p>
        </w:tc>
        <w:tc>
          <w:tcPr>
            <w:tcW w:w="1688" w:type="dxa"/>
            <w:tcBorders>
              <w:tl2br w:val="nil"/>
              <w:tr2bl w:val="nil"/>
            </w:tcBorders>
            <w:vAlign w:val="center"/>
          </w:tcPr>
          <w:p w14:paraId="11B61B1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云台山河</w:t>
            </w:r>
          </w:p>
        </w:tc>
        <w:tc>
          <w:tcPr>
            <w:tcW w:w="1688" w:type="dxa"/>
            <w:tcBorders>
              <w:tl2br w:val="nil"/>
              <w:tr2bl w:val="nil"/>
            </w:tcBorders>
            <w:vAlign w:val="center"/>
          </w:tcPr>
          <w:p w14:paraId="10B17EB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eastAsia="zh-CN"/>
              </w:rPr>
              <w:t>Ⅲ</w:t>
            </w:r>
          </w:p>
        </w:tc>
      </w:tr>
      <w:tr w14:paraId="44AE7E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1687" w:type="dxa"/>
            <w:tcBorders>
              <w:tl2br w:val="nil"/>
              <w:tr2bl w:val="nil"/>
            </w:tcBorders>
            <w:vAlign w:val="center"/>
          </w:tcPr>
          <w:p w14:paraId="2C0C134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秦淮</w:t>
            </w:r>
            <w:sdt>
              <w:sdtPr>
                <w:rPr>
                  <w:color w:val="auto"/>
                </w:rPr>
                <w:alias w:val="地名检查"/>
                <w:tag w:val="auto"/>
                <w:id w:val="1012555"/>
              </w:sdtPr>
              <w:sdtEndPr>
                <w:rPr>
                  <w:color w:val="auto"/>
                </w:rPr>
              </w:sdtEndPr>
              <w:sdtContent>
                <w:bookmarkStart w:id="1997" w:name="bkKnowledge1012555"/>
                <w:r>
                  <w:rPr>
                    <w:rFonts w:hint="default" w:ascii="Times New Roman" w:hAnsi="Times New Roman" w:eastAsia="宋体" w:cs="Times New Roman"/>
                    <w:color w:val="auto"/>
                    <w:sz w:val="21"/>
                    <w:szCs w:val="21"/>
                    <w:highlight w:val="none"/>
                    <w:lang w:val="en-US" w:eastAsia="zh-CN"/>
                  </w:rPr>
                  <w:t>新河南京</w:t>
                </w:r>
                <w:bookmarkEnd w:id="1997"/>
              </w:sdtContent>
            </w:sdt>
            <w:r>
              <w:rPr>
                <w:rFonts w:hint="default" w:ascii="Times New Roman" w:hAnsi="Times New Roman" w:eastAsia="宋体" w:cs="Times New Roman"/>
                <w:color w:val="auto"/>
                <w:sz w:val="21"/>
                <w:szCs w:val="21"/>
                <w:highlight w:val="none"/>
                <w:lang w:val="en-US" w:eastAsia="zh-CN"/>
              </w:rPr>
              <w:t>工业、农业用水区</w:t>
            </w:r>
          </w:p>
        </w:tc>
        <w:tc>
          <w:tcPr>
            <w:tcW w:w="1687" w:type="dxa"/>
            <w:tcBorders>
              <w:tl2br w:val="nil"/>
              <w:tr2bl w:val="nil"/>
            </w:tcBorders>
            <w:vAlign w:val="center"/>
          </w:tcPr>
          <w:p w14:paraId="568D9EE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秦淮新河</w:t>
            </w:r>
          </w:p>
        </w:tc>
        <w:tc>
          <w:tcPr>
            <w:tcW w:w="1687" w:type="dxa"/>
            <w:tcBorders>
              <w:tl2br w:val="nil"/>
              <w:tr2bl w:val="nil"/>
            </w:tcBorders>
            <w:vAlign w:val="center"/>
          </w:tcPr>
          <w:p w14:paraId="77620E6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胜利河</w:t>
            </w:r>
          </w:p>
        </w:tc>
        <w:tc>
          <w:tcPr>
            <w:tcW w:w="1688" w:type="dxa"/>
            <w:tcBorders>
              <w:tl2br w:val="nil"/>
              <w:tr2bl w:val="nil"/>
            </w:tcBorders>
            <w:vAlign w:val="center"/>
          </w:tcPr>
          <w:p w14:paraId="5F6D2FC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胜利河</w:t>
            </w:r>
          </w:p>
        </w:tc>
        <w:tc>
          <w:tcPr>
            <w:tcW w:w="1688" w:type="dxa"/>
            <w:tcBorders>
              <w:tl2br w:val="nil"/>
              <w:tr2bl w:val="nil"/>
            </w:tcBorders>
            <w:vAlign w:val="center"/>
          </w:tcPr>
          <w:p w14:paraId="0912ECD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eastAsia="zh-CN"/>
              </w:rPr>
              <w:t>Ⅲ</w:t>
            </w:r>
          </w:p>
        </w:tc>
      </w:tr>
      <w:tr w14:paraId="2E92F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1687" w:type="dxa"/>
            <w:tcBorders>
              <w:tl2br w:val="nil"/>
              <w:tr2bl w:val="nil"/>
            </w:tcBorders>
            <w:vAlign w:val="center"/>
          </w:tcPr>
          <w:p w14:paraId="573E8C6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云台山河农业用水区</w:t>
            </w:r>
          </w:p>
        </w:tc>
        <w:tc>
          <w:tcPr>
            <w:tcW w:w="1687" w:type="dxa"/>
            <w:tcBorders>
              <w:tl2br w:val="nil"/>
              <w:tr2bl w:val="nil"/>
            </w:tcBorders>
            <w:vAlign w:val="center"/>
          </w:tcPr>
          <w:p w14:paraId="27A9F17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云台山河</w:t>
            </w:r>
          </w:p>
        </w:tc>
        <w:tc>
          <w:tcPr>
            <w:tcW w:w="1687" w:type="dxa"/>
            <w:tcBorders>
              <w:tl2br w:val="nil"/>
              <w:tr2bl w:val="nil"/>
            </w:tcBorders>
            <w:vAlign w:val="center"/>
          </w:tcPr>
          <w:p w14:paraId="1013CEF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百家湖</w:t>
            </w:r>
          </w:p>
        </w:tc>
        <w:tc>
          <w:tcPr>
            <w:tcW w:w="1688" w:type="dxa"/>
            <w:tcBorders>
              <w:tl2br w:val="nil"/>
              <w:tr2bl w:val="nil"/>
            </w:tcBorders>
            <w:vAlign w:val="center"/>
          </w:tcPr>
          <w:p w14:paraId="3ADC183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百家湖</w:t>
            </w:r>
          </w:p>
        </w:tc>
        <w:tc>
          <w:tcPr>
            <w:tcW w:w="1688" w:type="dxa"/>
            <w:tcBorders>
              <w:tl2br w:val="nil"/>
              <w:tr2bl w:val="nil"/>
            </w:tcBorders>
            <w:vAlign w:val="center"/>
          </w:tcPr>
          <w:p w14:paraId="0401C05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eastAsia="zh-CN"/>
              </w:rPr>
              <w:t>Ⅲ</w:t>
            </w:r>
          </w:p>
        </w:tc>
      </w:tr>
      <w:tr w14:paraId="3E4A0C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687" w:type="dxa"/>
            <w:tcBorders>
              <w:tl2br w:val="nil"/>
              <w:tr2bl w:val="nil"/>
            </w:tcBorders>
            <w:vAlign w:val="center"/>
          </w:tcPr>
          <w:p w14:paraId="7F49E6E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w:t>
            </w:r>
          </w:p>
        </w:tc>
        <w:tc>
          <w:tcPr>
            <w:tcW w:w="1687" w:type="dxa"/>
            <w:tcBorders>
              <w:tl2br w:val="nil"/>
              <w:tr2bl w:val="nil"/>
            </w:tcBorders>
            <w:vAlign w:val="center"/>
          </w:tcPr>
          <w:p w14:paraId="3797F6E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胜利河</w:t>
            </w:r>
          </w:p>
        </w:tc>
        <w:tc>
          <w:tcPr>
            <w:tcW w:w="1687" w:type="dxa"/>
            <w:tcBorders>
              <w:tl2br w:val="nil"/>
              <w:tr2bl w:val="nil"/>
            </w:tcBorders>
            <w:vAlign w:val="center"/>
          </w:tcPr>
          <w:p w14:paraId="752ACD8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九龙湖</w:t>
            </w:r>
          </w:p>
        </w:tc>
        <w:tc>
          <w:tcPr>
            <w:tcW w:w="1688" w:type="dxa"/>
            <w:tcBorders>
              <w:tl2br w:val="nil"/>
              <w:tr2bl w:val="nil"/>
            </w:tcBorders>
            <w:vAlign w:val="center"/>
          </w:tcPr>
          <w:p w14:paraId="5AF4FA8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九龙湖</w:t>
            </w:r>
          </w:p>
        </w:tc>
        <w:tc>
          <w:tcPr>
            <w:tcW w:w="1688" w:type="dxa"/>
            <w:tcBorders>
              <w:tl2br w:val="nil"/>
              <w:tr2bl w:val="nil"/>
            </w:tcBorders>
            <w:vAlign w:val="center"/>
          </w:tcPr>
          <w:p w14:paraId="1076362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Ⅳ</w:t>
            </w:r>
          </w:p>
        </w:tc>
      </w:tr>
      <w:tr w14:paraId="5C112A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1687" w:type="dxa"/>
            <w:tcBorders>
              <w:tl2br w:val="nil"/>
              <w:tr2bl w:val="nil"/>
            </w:tcBorders>
            <w:vAlign w:val="center"/>
          </w:tcPr>
          <w:p w14:paraId="59D9256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w:t>
            </w:r>
          </w:p>
        </w:tc>
        <w:tc>
          <w:tcPr>
            <w:tcW w:w="1687" w:type="dxa"/>
            <w:tcBorders>
              <w:tl2br w:val="nil"/>
              <w:tr2bl w:val="nil"/>
            </w:tcBorders>
            <w:vAlign w:val="center"/>
          </w:tcPr>
          <w:p w14:paraId="7354198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百家湖</w:t>
            </w:r>
          </w:p>
        </w:tc>
        <w:tc>
          <w:tcPr>
            <w:tcW w:w="1687" w:type="dxa"/>
            <w:tcBorders>
              <w:tl2br w:val="nil"/>
              <w:tr2bl w:val="nil"/>
            </w:tcBorders>
            <w:vAlign w:val="center"/>
          </w:tcPr>
          <w:p w14:paraId="37F17A6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秦淮河（牛首山河河口</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江宁上坊门桥段）</w:t>
            </w:r>
          </w:p>
        </w:tc>
        <w:tc>
          <w:tcPr>
            <w:tcW w:w="1688" w:type="dxa"/>
            <w:tcBorders>
              <w:tl2br w:val="nil"/>
              <w:tr2bl w:val="nil"/>
            </w:tcBorders>
            <w:vAlign w:val="center"/>
          </w:tcPr>
          <w:p w14:paraId="0DF3832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秦淮河（牛首山河河口</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江宁上坊门桥段）</w:t>
            </w:r>
          </w:p>
        </w:tc>
        <w:tc>
          <w:tcPr>
            <w:tcW w:w="1688" w:type="dxa"/>
            <w:tcBorders>
              <w:tl2br w:val="nil"/>
              <w:tr2bl w:val="nil"/>
            </w:tcBorders>
            <w:vAlign w:val="center"/>
          </w:tcPr>
          <w:p w14:paraId="1173108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Ⅳ</w:t>
            </w:r>
          </w:p>
        </w:tc>
      </w:tr>
      <w:tr w14:paraId="42476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687" w:type="dxa"/>
            <w:tcBorders>
              <w:tl2br w:val="nil"/>
              <w:tr2bl w:val="nil"/>
            </w:tcBorders>
            <w:vAlign w:val="center"/>
          </w:tcPr>
          <w:p w14:paraId="684A57E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w:t>
            </w:r>
          </w:p>
        </w:tc>
        <w:tc>
          <w:tcPr>
            <w:tcW w:w="1687" w:type="dxa"/>
            <w:tcBorders>
              <w:tl2br w:val="nil"/>
              <w:tr2bl w:val="nil"/>
            </w:tcBorders>
            <w:vAlign w:val="center"/>
          </w:tcPr>
          <w:p w14:paraId="5C89CB8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九龙湖</w:t>
            </w:r>
          </w:p>
        </w:tc>
        <w:tc>
          <w:tcPr>
            <w:tcW w:w="1687" w:type="dxa"/>
            <w:tcBorders>
              <w:tl2br w:val="nil"/>
              <w:tr2bl w:val="nil"/>
            </w:tcBorders>
            <w:vAlign w:val="center"/>
          </w:tcPr>
          <w:p w14:paraId="18CB5BC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牛首山河</w:t>
            </w:r>
          </w:p>
        </w:tc>
        <w:tc>
          <w:tcPr>
            <w:tcW w:w="1688" w:type="dxa"/>
            <w:tcBorders>
              <w:tl2br w:val="nil"/>
              <w:tr2bl w:val="nil"/>
            </w:tcBorders>
            <w:vAlign w:val="center"/>
          </w:tcPr>
          <w:p w14:paraId="0491CA8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牛首山河</w:t>
            </w:r>
          </w:p>
        </w:tc>
        <w:tc>
          <w:tcPr>
            <w:tcW w:w="1688" w:type="dxa"/>
            <w:tcBorders>
              <w:tl2br w:val="nil"/>
              <w:tr2bl w:val="nil"/>
            </w:tcBorders>
            <w:vAlign w:val="center"/>
          </w:tcPr>
          <w:p w14:paraId="61EFD49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Ⅳ</w:t>
            </w:r>
          </w:p>
        </w:tc>
      </w:tr>
      <w:bookmarkEnd w:id="1990"/>
      <w:bookmarkEnd w:id="1994"/>
      <w:bookmarkEnd w:id="1995"/>
      <w:bookmarkEnd w:id="1996"/>
    </w:tbl>
    <w:p w14:paraId="5AA4DEC0">
      <w:pPr>
        <w:keepNext w:val="0"/>
        <w:keepLines w:val="0"/>
        <w:pageBreakBefore w:val="0"/>
        <w:widowControl/>
        <w:kinsoku w:val="0"/>
        <w:wordWrap/>
        <w:overflowPunct/>
        <w:topLinePunct w:val="0"/>
        <w:autoSpaceDE w:val="0"/>
        <w:autoSpaceDN w:val="0"/>
        <w:bidi w:val="0"/>
        <w:adjustRightInd w:val="0"/>
        <w:snapToGrid w:val="0"/>
        <w:spacing w:before="305" w:line="360" w:lineRule="auto"/>
        <w:ind w:left="38"/>
        <w:textAlignment w:val="baseline"/>
        <w:outlineLvl w:val="1"/>
        <w:rPr>
          <w:rFonts w:hint="eastAsia" w:ascii="Times New Roman" w:hAnsi="Times New Roman" w:eastAsia="宋体" w:cs="Times New Roman"/>
          <w:b/>
          <w:bCs/>
          <w:color w:val="auto"/>
          <w:spacing w:val="-3"/>
          <w:sz w:val="24"/>
          <w:szCs w:val="24"/>
          <w:highlight w:val="none"/>
          <w:lang w:val="en-US" w:eastAsia="zh-CN"/>
        </w:rPr>
      </w:pPr>
      <w:bookmarkStart w:id="1998" w:name="_Toc22748"/>
      <w:bookmarkStart w:id="1999" w:name="OLE_LINK580"/>
      <w:r>
        <w:rPr>
          <w:rFonts w:hint="default" w:ascii="Times New Roman" w:hAnsi="Times New Roman" w:eastAsia="宋体" w:cs="Times New Roman"/>
          <w:b/>
          <w:bCs/>
          <w:color w:val="auto"/>
          <w:spacing w:val="-3"/>
          <w:sz w:val="24"/>
          <w:szCs w:val="24"/>
          <w:highlight w:val="none"/>
          <w:lang w:val="en-US" w:eastAsia="zh-CN"/>
        </w:rPr>
        <w:t>7.</w:t>
      </w:r>
      <w:r>
        <w:rPr>
          <w:rFonts w:hint="eastAsia" w:ascii="Times New Roman" w:hAnsi="Times New Roman" w:eastAsia="宋体" w:cs="Times New Roman"/>
          <w:b/>
          <w:bCs/>
          <w:color w:val="auto"/>
          <w:spacing w:val="-3"/>
          <w:sz w:val="24"/>
          <w:szCs w:val="24"/>
          <w:highlight w:val="none"/>
          <w:lang w:val="en-US" w:eastAsia="zh-CN"/>
        </w:rPr>
        <w:t>3地下水环境要素预测所需基本资料</w:t>
      </w:r>
      <w:bookmarkEnd w:id="1998"/>
      <w:r>
        <w:rPr>
          <w:rFonts w:hint="eastAsia" w:ascii="Times New Roman" w:hAnsi="Times New Roman" w:eastAsia="宋体" w:cs="Times New Roman"/>
          <w:b/>
          <w:bCs/>
          <w:color w:val="auto"/>
          <w:spacing w:val="-3"/>
          <w:sz w:val="24"/>
          <w:szCs w:val="24"/>
          <w:highlight w:val="none"/>
          <w:lang w:val="en-US" w:eastAsia="zh-CN"/>
        </w:rPr>
        <w:t xml:space="preserve"> </w:t>
      </w:r>
      <w:bookmarkStart w:id="2000" w:name="pindex13372"/>
      <w:bookmarkEnd w:id="2000"/>
    </w:p>
    <w:p w14:paraId="247F4C89">
      <w:pPr>
        <w:keepNext w:val="0"/>
        <w:keepLines w:val="0"/>
        <w:pageBreakBefore w:val="0"/>
        <w:widowControl/>
        <w:kinsoku w:val="0"/>
        <w:wordWrap/>
        <w:overflowPunct/>
        <w:topLinePunct w:val="0"/>
        <w:autoSpaceDE w:val="0"/>
        <w:autoSpaceDN w:val="0"/>
        <w:bidi w:val="0"/>
        <w:adjustRightInd w:val="0"/>
        <w:snapToGrid w:val="0"/>
        <w:spacing w:before="0" w:line="360" w:lineRule="auto"/>
        <w:ind w:left="0"/>
        <w:textAlignment w:val="baseline"/>
        <w:outlineLvl w:val="2"/>
        <w:rPr>
          <w:rFonts w:hint="default" w:ascii="Times New Roman" w:hAnsi="Times New Roman" w:eastAsia="宋体" w:cs="Times New Roman"/>
          <w:b/>
          <w:bCs/>
          <w:color w:val="auto"/>
          <w:spacing w:val="-3"/>
          <w:sz w:val="24"/>
          <w:szCs w:val="24"/>
          <w:highlight w:val="none"/>
          <w:lang w:val="en-US" w:eastAsia="zh-CN"/>
        </w:rPr>
      </w:pPr>
      <w:bookmarkStart w:id="2001" w:name="_Toc22272"/>
      <w:r>
        <w:rPr>
          <w:rFonts w:hint="default" w:ascii="Times New Roman" w:hAnsi="Times New Roman" w:eastAsia="宋体" w:cs="Times New Roman"/>
          <w:b/>
          <w:bCs/>
          <w:color w:val="auto"/>
          <w:spacing w:val="-3"/>
          <w:sz w:val="24"/>
          <w:szCs w:val="24"/>
          <w:highlight w:val="none"/>
          <w:lang w:val="en-US" w:eastAsia="zh-CN"/>
        </w:rPr>
        <w:t>7.</w:t>
      </w:r>
      <w:r>
        <w:rPr>
          <w:rFonts w:hint="eastAsia" w:ascii="Times New Roman" w:hAnsi="Times New Roman" w:eastAsia="宋体" w:cs="Times New Roman"/>
          <w:b/>
          <w:bCs/>
          <w:color w:val="auto"/>
          <w:spacing w:val="-3"/>
          <w:sz w:val="24"/>
          <w:szCs w:val="24"/>
          <w:highlight w:val="none"/>
          <w:lang w:val="en-US" w:eastAsia="zh-CN"/>
        </w:rPr>
        <w:t>3.1区域地层岩性</w:t>
      </w:r>
      <w:bookmarkEnd w:id="2001"/>
      <w:bookmarkStart w:id="2002" w:name="pindex13373"/>
      <w:bookmarkEnd w:id="2002"/>
    </w:p>
    <w:bookmarkEnd w:id="1999"/>
    <w:p w14:paraId="1CA89C00">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highlight w:val="none"/>
          <w:lang w:val="en-US" w:eastAsia="zh-CN" w:bidi="ar"/>
        </w:rPr>
        <w:t>南京地区以低山丘陵地貌为主，仅在沿江河地区分布有</w:t>
      </w:r>
      <w:r>
        <w:rPr>
          <w:rFonts w:hint="eastAsia" w:ascii="Times New Roman" w:hAnsi="Times New Roman" w:eastAsia="宋体" w:cs="Times New Roman"/>
          <w:snapToGrid w:val="0"/>
          <w:color w:val="auto"/>
          <w:kern w:val="0"/>
          <w:sz w:val="24"/>
          <w:szCs w:val="24"/>
          <w:highlight w:val="none"/>
          <w:lang w:val="en-US" w:eastAsia="zh-CN" w:bidi="ar"/>
        </w:rPr>
        <w:t>狭</w:t>
      </w:r>
      <w:r>
        <w:rPr>
          <w:rFonts w:hint="default" w:ascii="Times New Roman" w:hAnsi="Times New Roman" w:eastAsia="宋体" w:cs="Times New Roman"/>
          <w:snapToGrid w:val="0"/>
          <w:color w:val="auto"/>
          <w:kern w:val="0"/>
          <w:sz w:val="24"/>
          <w:szCs w:val="24"/>
          <w:highlight w:val="none"/>
          <w:lang w:val="en-US" w:eastAsia="zh-CN" w:bidi="ar"/>
        </w:rPr>
        <w:t>长的冲积平原。第四系松散地层除长江各地有一定厚度外，其余地区厚度较小，一般在30m以内，山丘区基岩出露。本区地层发育比较齐全，自震旦系上统至第三系上新统均有出露。</w:t>
      </w:r>
      <w:r>
        <w:rPr>
          <w:rFonts w:hint="eastAsia" w:ascii="Times New Roman" w:hAnsi="Times New Roman" w:eastAsia="宋体" w:cs="Times New Roman"/>
          <w:snapToGrid w:val="0"/>
          <w:color w:val="auto"/>
          <w:kern w:val="0"/>
          <w:sz w:val="24"/>
          <w:szCs w:val="24"/>
          <w:highlight w:val="none"/>
          <w:lang w:val="en-US" w:eastAsia="zh-CN" w:bidi="ar"/>
        </w:rPr>
        <w:t>本区地层发育比较齐全，自震旦系上统至第三系上新统均</w:t>
      </w:r>
      <w:r>
        <w:rPr>
          <w:rFonts w:hint="eastAsia" w:ascii="Times New Roman" w:hAnsi="Times New Roman" w:eastAsia="宋体" w:cs="Times New Roman"/>
          <w:snapToGrid w:val="0"/>
          <w:color w:val="auto"/>
          <w:kern w:val="0"/>
          <w:sz w:val="24"/>
          <w:szCs w:val="24"/>
          <w:lang w:val="en-US" w:eastAsia="zh-CN" w:bidi="ar"/>
        </w:rPr>
        <w:t>有出露，具体见表</w:t>
      </w:r>
      <w:r>
        <w:rPr>
          <w:rFonts w:hint="default" w:ascii="Times New Roman" w:hAnsi="Times New Roman" w:eastAsia="宋体" w:cs="Times New Roman"/>
          <w:snapToGrid w:val="0"/>
          <w:color w:val="auto"/>
          <w:kern w:val="0"/>
          <w:sz w:val="24"/>
          <w:szCs w:val="24"/>
          <w:lang w:val="en-US" w:eastAsia="zh-CN" w:bidi="ar"/>
        </w:rPr>
        <w:t>7.3-1</w:t>
      </w:r>
      <w:r>
        <w:rPr>
          <w:rFonts w:hint="eastAsia" w:ascii="Times New Roman" w:hAnsi="Times New Roman" w:eastAsia="宋体" w:cs="Times New Roman"/>
          <w:snapToGrid w:val="0"/>
          <w:color w:val="auto"/>
          <w:kern w:val="0"/>
          <w:sz w:val="24"/>
          <w:szCs w:val="24"/>
          <w:lang w:val="en-US" w:eastAsia="zh-CN" w:bidi="ar"/>
        </w:rPr>
        <w:t>。</w:t>
      </w:r>
    </w:p>
    <w:p w14:paraId="5A22717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4"/>
          <w:szCs w:val="24"/>
          <w:lang w:val="en-US" w:eastAsia="zh-CN"/>
        </w:rPr>
      </w:pPr>
      <w:bookmarkStart w:id="2003" w:name="OLE_LINK673"/>
      <w:r>
        <w:rPr>
          <w:rFonts w:hint="default" w:ascii="Times New Roman" w:hAnsi="Times New Roman" w:eastAsia="宋体" w:cs="Times New Roman"/>
          <w:b/>
          <w:bCs/>
          <w:color w:val="auto"/>
          <w:sz w:val="24"/>
          <w:szCs w:val="24"/>
          <w:lang w:val="en-US" w:eastAsia="zh-CN"/>
        </w:rPr>
        <w:t>表7.3-1  南京地区前新生代地层表</w:t>
      </w:r>
      <w:bookmarkStart w:id="2004" w:name="pindex13375"/>
      <w:bookmarkEnd w:id="2004"/>
    </w:p>
    <w:bookmarkEnd w:id="2003"/>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2"/>
        <w:gridCol w:w="397"/>
        <w:gridCol w:w="589"/>
        <w:gridCol w:w="667"/>
        <w:gridCol w:w="700"/>
        <w:gridCol w:w="971"/>
        <w:gridCol w:w="1558"/>
        <w:gridCol w:w="3339"/>
      </w:tblGrid>
      <w:tr w14:paraId="2764A9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362" w:type="dxa"/>
            <w:tcBorders>
              <w:tl2br w:val="nil"/>
              <w:tr2bl w:val="nil"/>
            </w:tcBorders>
            <w:vAlign w:val="center"/>
          </w:tcPr>
          <w:p w14:paraId="7973892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bookmarkStart w:id="2005" w:name="OLE_LINK674" w:colFirst="0" w:colLast="7"/>
            <w:r>
              <w:rPr>
                <w:rFonts w:hint="default" w:ascii="Times New Roman" w:hAnsi="Times New Roman" w:eastAsia="宋体" w:cs="Times New Roman"/>
                <w:b/>
                <w:bCs/>
                <w:color w:val="auto"/>
                <w:sz w:val="21"/>
                <w:szCs w:val="21"/>
                <w:lang w:val="en-US" w:eastAsia="zh-CN"/>
              </w:rPr>
              <w:t>界</w:t>
            </w:r>
          </w:p>
        </w:tc>
        <w:tc>
          <w:tcPr>
            <w:tcW w:w="397" w:type="dxa"/>
            <w:tcBorders>
              <w:tl2br w:val="nil"/>
              <w:tr2bl w:val="nil"/>
            </w:tcBorders>
            <w:vAlign w:val="center"/>
          </w:tcPr>
          <w:p w14:paraId="7E7B03F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系</w:t>
            </w:r>
          </w:p>
        </w:tc>
        <w:tc>
          <w:tcPr>
            <w:tcW w:w="589" w:type="dxa"/>
            <w:tcBorders>
              <w:tl2br w:val="nil"/>
              <w:tr2bl w:val="nil"/>
            </w:tcBorders>
            <w:vAlign w:val="center"/>
          </w:tcPr>
          <w:p w14:paraId="4D6AF07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统</w:t>
            </w:r>
          </w:p>
        </w:tc>
        <w:tc>
          <w:tcPr>
            <w:tcW w:w="667" w:type="dxa"/>
            <w:tcBorders>
              <w:tl2br w:val="nil"/>
              <w:tr2bl w:val="nil"/>
            </w:tcBorders>
            <w:vAlign w:val="center"/>
          </w:tcPr>
          <w:p w14:paraId="479DE68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组</w:t>
            </w:r>
          </w:p>
        </w:tc>
        <w:tc>
          <w:tcPr>
            <w:tcW w:w="700" w:type="dxa"/>
            <w:tcBorders>
              <w:tl2br w:val="nil"/>
              <w:tr2bl w:val="nil"/>
            </w:tcBorders>
            <w:vAlign w:val="center"/>
          </w:tcPr>
          <w:p w14:paraId="556916D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代号</w:t>
            </w:r>
          </w:p>
        </w:tc>
        <w:tc>
          <w:tcPr>
            <w:tcW w:w="971" w:type="dxa"/>
            <w:tcBorders>
              <w:tl2br w:val="nil"/>
              <w:tr2bl w:val="nil"/>
            </w:tcBorders>
            <w:vAlign w:val="center"/>
          </w:tcPr>
          <w:p w14:paraId="2C9584D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沉积相</w:t>
            </w:r>
          </w:p>
        </w:tc>
        <w:tc>
          <w:tcPr>
            <w:tcW w:w="1558" w:type="dxa"/>
            <w:tcBorders>
              <w:tl2br w:val="nil"/>
              <w:tr2bl w:val="nil"/>
            </w:tcBorders>
            <w:vAlign w:val="center"/>
          </w:tcPr>
          <w:p w14:paraId="338C8A7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分布地区</w:t>
            </w:r>
          </w:p>
        </w:tc>
        <w:tc>
          <w:tcPr>
            <w:tcW w:w="3339" w:type="dxa"/>
            <w:tcBorders>
              <w:tl2br w:val="nil"/>
              <w:tr2bl w:val="nil"/>
            </w:tcBorders>
            <w:vAlign w:val="center"/>
          </w:tcPr>
          <w:p w14:paraId="2F47FE5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岩性</w:t>
            </w:r>
          </w:p>
        </w:tc>
      </w:tr>
      <w:bookmarkEnd w:id="2005"/>
      <w:tr w14:paraId="2D4A54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2" w:type="dxa"/>
            <w:vMerge w:val="restart"/>
            <w:tcBorders>
              <w:tl2br w:val="nil"/>
              <w:tr2bl w:val="nil"/>
            </w:tcBorders>
            <w:vAlign w:val="center"/>
          </w:tcPr>
          <w:p w14:paraId="5B01182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bookmarkStart w:id="2006" w:name="OLE_LINK863" w:colFirst="0" w:colLast="0"/>
            <w:r>
              <w:rPr>
                <w:rFonts w:hint="default" w:ascii="Times New Roman" w:hAnsi="Times New Roman" w:eastAsia="宋体" w:cs="Times New Roman"/>
                <w:color w:val="auto"/>
                <w:sz w:val="21"/>
                <w:szCs w:val="21"/>
                <w:lang w:val="en-US" w:eastAsia="zh-CN"/>
              </w:rPr>
              <w:t>中生界</w:t>
            </w:r>
          </w:p>
        </w:tc>
        <w:tc>
          <w:tcPr>
            <w:tcW w:w="397" w:type="dxa"/>
            <w:vMerge w:val="restart"/>
            <w:tcBorders>
              <w:tl2br w:val="nil"/>
              <w:tr2bl w:val="nil"/>
            </w:tcBorders>
            <w:vAlign w:val="center"/>
          </w:tcPr>
          <w:p w14:paraId="4857E8B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白垩系</w:t>
            </w:r>
          </w:p>
        </w:tc>
        <w:tc>
          <w:tcPr>
            <w:tcW w:w="589" w:type="dxa"/>
            <w:vMerge w:val="restart"/>
            <w:tcBorders>
              <w:tl2br w:val="nil"/>
              <w:tr2bl w:val="nil"/>
            </w:tcBorders>
            <w:vAlign w:val="center"/>
          </w:tcPr>
          <w:p w14:paraId="1EC1295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bookmarkStart w:id="2007" w:name="OLE_LINK859"/>
            <w:r>
              <w:rPr>
                <w:rFonts w:hint="default" w:ascii="Times New Roman" w:hAnsi="Times New Roman" w:eastAsia="宋体" w:cs="Times New Roman"/>
                <w:color w:val="auto"/>
                <w:sz w:val="21"/>
                <w:szCs w:val="21"/>
                <w:lang w:val="en-US" w:eastAsia="zh-CN"/>
              </w:rPr>
              <w:t>上统</w:t>
            </w:r>
            <w:bookmarkEnd w:id="2007"/>
          </w:p>
        </w:tc>
        <w:tc>
          <w:tcPr>
            <w:tcW w:w="667" w:type="dxa"/>
            <w:tcBorders>
              <w:tl2br w:val="nil"/>
              <w:tr2bl w:val="nil"/>
            </w:tcBorders>
            <w:vAlign w:val="center"/>
          </w:tcPr>
          <w:p w14:paraId="2A19357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赤山组</w:t>
            </w:r>
          </w:p>
        </w:tc>
        <w:tc>
          <w:tcPr>
            <w:tcW w:w="700" w:type="dxa"/>
            <w:tcBorders>
              <w:tl2br w:val="nil"/>
              <w:tr2bl w:val="nil"/>
            </w:tcBorders>
            <w:vAlign w:val="center"/>
          </w:tcPr>
          <w:p w14:paraId="10311B7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k2c</w:t>
            </w:r>
          </w:p>
        </w:tc>
        <w:tc>
          <w:tcPr>
            <w:tcW w:w="971" w:type="dxa"/>
            <w:tcBorders>
              <w:tl2br w:val="nil"/>
              <w:tr2bl w:val="nil"/>
            </w:tcBorders>
            <w:vAlign w:val="center"/>
          </w:tcPr>
          <w:p w14:paraId="4A73477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河湖</w:t>
            </w:r>
          </w:p>
        </w:tc>
        <w:tc>
          <w:tcPr>
            <w:tcW w:w="1558" w:type="dxa"/>
            <w:tcBorders>
              <w:tl2br w:val="nil"/>
              <w:tr2bl w:val="nil"/>
            </w:tcBorders>
            <w:vAlign w:val="center"/>
          </w:tcPr>
          <w:p w14:paraId="0B0CFDE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浦口、六合、江宁</w:t>
            </w:r>
          </w:p>
        </w:tc>
        <w:tc>
          <w:tcPr>
            <w:tcW w:w="3339" w:type="dxa"/>
            <w:tcBorders>
              <w:tl2br w:val="nil"/>
              <w:tr2bl w:val="nil"/>
            </w:tcBorders>
            <w:vAlign w:val="center"/>
          </w:tcPr>
          <w:p w14:paraId="2C32C27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砖红色粉砂岩、粉砂质泥岩</w:t>
            </w:r>
          </w:p>
        </w:tc>
      </w:tr>
      <w:tr w14:paraId="024BBC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362" w:type="dxa"/>
            <w:vMerge w:val="continue"/>
            <w:tcBorders>
              <w:tl2br w:val="nil"/>
              <w:tr2bl w:val="nil"/>
            </w:tcBorders>
            <w:vAlign w:val="center"/>
          </w:tcPr>
          <w:p w14:paraId="184E9FB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bookmarkStart w:id="2008" w:name="OLE_LINK860" w:colFirst="3" w:colLast="7"/>
          </w:p>
        </w:tc>
        <w:tc>
          <w:tcPr>
            <w:tcW w:w="397" w:type="dxa"/>
            <w:vMerge w:val="continue"/>
            <w:tcBorders>
              <w:tl2br w:val="nil"/>
              <w:tr2bl w:val="nil"/>
            </w:tcBorders>
            <w:vAlign w:val="center"/>
          </w:tcPr>
          <w:p w14:paraId="17CC801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vMerge w:val="continue"/>
            <w:tcBorders>
              <w:tl2br w:val="nil"/>
              <w:tr2bl w:val="nil"/>
            </w:tcBorders>
            <w:vAlign w:val="center"/>
          </w:tcPr>
          <w:p w14:paraId="7DB8598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667" w:type="dxa"/>
            <w:tcBorders>
              <w:tl2br w:val="nil"/>
              <w:tr2bl w:val="nil"/>
            </w:tcBorders>
            <w:vAlign w:val="center"/>
          </w:tcPr>
          <w:p w14:paraId="091292B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浦口组</w:t>
            </w:r>
          </w:p>
        </w:tc>
        <w:tc>
          <w:tcPr>
            <w:tcW w:w="700" w:type="dxa"/>
            <w:tcBorders>
              <w:tl2br w:val="nil"/>
              <w:tr2bl w:val="nil"/>
            </w:tcBorders>
            <w:vAlign w:val="center"/>
          </w:tcPr>
          <w:p w14:paraId="4830CB3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k2p</w:t>
            </w:r>
          </w:p>
        </w:tc>
        <w:tc>
          <w:tcPr>
            <w:tcW w:w="971" w:type="dxa"/>
            <w:tcBorders>
              <w:tl2br w:val="nil"/>
              <w:tr2bl w:val="nil"/>
            </w:tcBorders>
            <w:vAlign w:val="center"/>
          </w:tcPr>
          <w:p w14:paraId="464A7C8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河湖</w:t>
            </w:r>
          </w:p>
        </w:tc>
        <w:tc>
          <w:tcPr>
            <w:tcW w:w="1558" w:type="dxa"/>
            <w:tcBorders>
              <w:tl2br w:val="nil"/>
              <w:tr2bl w:val="nil"/>
            </w:tcBorders>
            <w:vAlign w:val="center"/>
          </w:tcPr>
          <w:p w14:paraId="6406F21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sdt>
              <w:sdtPr>
                <w:rPr>
                  <w:color w:val="auto"/>
                </w:rPr>
                <w:alias w:val="易错词检查"/>
                <w:tag w:val="auto"/>
                <w:id w:val="3011101"/>
              </w:sdtPr>
              <w:sdtEndPr>
                <w:rPr>
                  <w:color w:val="auto"/>
                </w:rPr>
              </w:sdtEndPr>
              <w:sdtContent>
                <w:bookmarkStart w:id="2009" w:name="bkReivew3011101"/>
                <w:r>
                  <w:rPr>
                    <w:rFonts w:hint="default" w:ascii="Times New Roman" w:hAnsi="Times New Roman" w:eastAsia="宋体" w:cs="Times New Roman"/>
                    <w:color w:val="auto"/>
                    <w:sz w:val="21"/>
                    <w:szCs w:val="21"/>
                  </w:rPr>
                  <w:t>浦口、</w:t>
                </w:r>
                <w:bookmarkEnd w:id="2009"/>
              </w:sdtContent>
            </w:sdt>
            <w:r>
              <w:rPr>
                <w:rFonts w:hint="default" w:ascii="Times New Roman" w:hAnsi="Times New Roman" w:eastAsia="宋体" w:cs="Times New Roman"/>
                <w:color w:val="auto"/>
                <w:sz w:val="21"/>
                <w:szCs w:val="21"/>
              </w:rPr>
              <w:t>江宁、高淳</w:t>
            </w:r>
          </w:p>
        </w:tc>
        <w:tc>
          <w:tcPr>
            <w:tcW w:w="3339" w:type="dxa"/>
            <w:tcBorders>
              <w:tl2br w:val="nil"/>
              <w:tr2bl w:val="nil"/>
            </w:tcBorders>
            <w:vAlign w:val="center"/>
          </w:tcPr>
          <w:p w14:paraId="7D34ECA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上部紫红色砂岩、砂</w:t>
            </w:r>
            <w:sdt>
              <w:sdtPr>
                <w:rPr>
                  <w:color w:val="auto"/>
                </w:rPr>
                <w:alias w:val="易错词检查"/>
                <w:tag w:val="auto"/>
                <w:id w:val="1100531"/>
              </w:sdtPr>
              <w:sdtEndPr>
                <w:rPr>
                  <w:color w:val="auto"/>
                </w:rPr>
              </w:sdtEndPr>
              <w:sdtContent>
                <w:bookmarkStart w:id="2010" w:name="bkReivew1100531"/>
                <w:r>
                  <w:rPr>
                    <w:rFonts w:hint="default" w:ascii="Times New Roman" w:hAnsi="Times New Roman" w:eastAsia="宋体" w:cs="Times New Roman"/>
                    <w:color w:val="auto"/>
                    <w:sz w:val="21"/>
                    <w:szCs w:val="21"/>
                  </w:rPr>
                  <w:t>纸</w:t>
                </w:r>
                <w:bookmarkEnd w:id="2010"/>
              </w:sdtContent>
            </w:sdt>
            <w:r>
              <w:rPr>
                <w:rFonts w:hint="default" w:ascii="Times New Roman" w:hAnsi="Times New Roman" w:eastAsia="宋体" w:cs="Times New Roman"/>
                <w:color w:val="auto"/>
                <w:sz w:val="21"/>
                <w:szCs w:val="21"/>
              </w:rPr>
              <w:t>泥岩夹石膏；下部角砾岩、砂岩</w:t>
            </w:r>
          </w:p>
        </w:tc>
      </w:tr>
      <w:bookmarkEnd w:id="2008"/>
      <w:tr w14:paraId="12AE28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29114BA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50378B0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vMerge w:val="restart"/>
            <w:tcBorders>
              <w:tl2br w:val="nil"/>
              <w:tr2bl w:val="nil"/>
            </w:tcBorders>
            <w:vAlign w:val="center"/>
          </w:tcPr>
          <w:p w14:paraId="1314C09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下统</w:t>
            </w:r>
          </w:p>
        </w:tc>
        <w:tc>
          <w:tcPr>
            <w:tcW w:w="667" w:type="dxa"/>
            <w:tcBorders>
              <w:tl2br w:val="nil"/>
              <w:tr2bl w:val="nil"/>
            </w:tcBorders>
            <w:vAlign w:val="center"/>
          </w:tcPr>
          <w:p w14:paraId="1C2F52B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葛村组</w:t>
            </w:r>
          </w:p>
        </w:tc>
        <w:tc>
          <w:tcPr>
            <w:tcW w:w="700" w:type="dxa"/>
            <w:tcBorders>
              <w:tl2br w:val="nil"/>
              <w:tr2bl w:val="nil"/>
            </w:tcBorders>
            <w:vAlign w:val="center"/>
          </w:tcPr>
          <w:p w14:paraId="34C2528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k1g</w:t>
            </w:r>
          </w:p>
        </w:tc>
        <w:tc>
          <w:tcPr>
            <w:tcW w:w="971" w:type="dxa"/>
            <w:tcBorders>
              <w:tl2br w:val="nil"/>
              <w:tr2bl w:val="nil"/>
            </w:tcBorders>
            <w:vAlign w:val="center"/>
          </w:tcPr>
          <w:p w14:paraId="2F2E2C0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河湖</w:t>
            </w:r>
          </w:p>
        </w:tc>
        <w:tc>
          <w:tcPr>
            <w:tcW w:w="1558" w:type="dxa"/>
            <w:tcBorders>
              <w:tl2br w:val="nil"/>
              <w:tr2bl w:val="nil"/>
            </w:tcBorders>
            <w:vAlign w:val="center"/>
          </w:tcPr>
          <w:p w14:paraId="174AFBA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南京溧水</w:t>
            </w:r>
          </w:p>
        </w:tc>
        <w:tc>
          <w:tcPr>
            <w:tcW w:w="3339" w:type="dxa"/>
            <w:tcBorders>
              <w:tl2br w:val="nil"/>
              <w:tr2bl w:val="nil"/>
            </w:tcBorders>
            <w:vAlign w:val="center"/>
          </w:tcPr>
          <w:p w14:paraId="276C4EA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灰黄色砂岩夹泥岩、灰紫色砂岩、凝灰质砾岩、夹石膏</w:t>
            </w:r>
          </w:p>
        </w:tc>
      </w:tr>
      <w:tr w14:paraId="5EACBD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663FB24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0EEABBE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vMerge w:val="continue"/>
            <w:tcBorders>
              <w:tl2br w:val="nil"/>
              <w:tr2bl w:val="nil"/>
            </w:tcBorders>
            <w:vAlign w:val="center"/>
          </w:tcPr>
          <w:p w14:paraId="26982D4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667" w:type="dxa"/>
            <w:tcBorders>
              <w:tl2br w:val="nil"/>
              <w:tr2bl w:val="nil"/>
            </w:tcBorders>
            <w:vAlign w:val="center"/>
          </w:tcPr>
          <w:p w14:paraId="5B5AA59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c>
          <w:tcPr>
            <w:tcW w:w="700" w:type="dxa"/>
            <w:tcBorders>
              <w:tl2br w:val="nil"/>
              <w:tr2bl w:val="nil"/>
            </w:tcBorders>
            <w:vAlign w:val="center"/>
          </w:tcPr>
          <w:p w14:paraId="040404F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k1n</w:t>
            </w:r>
          </w:p>
        </w:tc>
        <w:tc>
          <w:tcPr>
            <w:tcW w:w="971" w:type="dxa"/>
            <w:tcBorders>
              <w:tl2br w:val="nil"/>
              <w:tr2bl w:val="nil"/>
            </w:tcBorders>
            <w:vAlign w:val="center"/>
          </w:tcPr>
          <w:p w14:paraId="298614E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火山</w:t>
            </w:r>
          </w:p>
        </w:tc>
        <w:tc>
          <w:tcPr>
            <w:tcW w:w="1558" w:type="dxa"/>
            <w:tcBorders>
              <w:tl2br w:val="nil"/>
              <w:tr2bl w:val="nil"/>
            </w:tcBorders>
            <w:vAlign w:val="center"/>
          </w:tcPr>
          <w:p w14:paraId="372F72B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江宁娘娘山</w:t>
            </w:r>
          </w:p>
        </w:tc>
        <w:tc>
          <w:tcPr>
            <w:tcW w:w="3339" w:type="dxa"/>
            <w:tcBorders>
              <w:tl2br w:val="nil"/>
              <w:tr2bl w:val="nil"/>
            </w:tcBorders>
            <w:vAlign w:val="center"/>
          </w:tcPr>
          <w:p w14:paraId="3309D58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凝灰岩、响岩、粗面岩。安山岩、流纹岩、底部砾岩、泥岩</w:t>
            </w:r>
          </w:p>
        </w:tc>
      </w:tr>
      <w:tr w14:paraId="136D12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4AFCC9B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restart"/>
            <w:tcBorders>
              <w:tl2br w:val="nil"/>
              <w:tr2bl w:val="nil"/>
            </w:tcBorders>
            <w:vAlign w:val="center"/>
          </w:tcPr>
          <w:p w14:paraId="69DFDF5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侏罗系</w:t>
            </w:r>
          </w:p>
        </w:tc>
        <w:tc>
          <w:tcPr>
            <w:tcW w:w="589" w:type="dxa"/>
            <w:vMerge w:val="restart"/>
            <w:tcBorders>
              <w:tl2br w:val="nil"/>
              <w:tr2bl w:val="nil"/>
            </w:tcBorders>
            <w:vAlign w:val="center"/>
          </w:tcPr>
          <w:p w14:paraId="14C9702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上统</w:t>
            </w:r>
          </w:p>
        </w:tc>
        <w:tc>
          <w:tcPr>
            <w:tcW w:w="667" w:type="dxa"/>
            <w:tcBorders>
              <w:tl2br w:val="nil"/>
              <w:tr2bl w:val="nil"/>
            </w:tcBorders>
            <w:shd w:val="clear" w:color="auto" w:fill="auto"/>
            <w:vAlign w:val="center"/>
          </w:tcPr>
          <w:p w14:paraId="4AE71AE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c>
          <w:tcPr>
            <w:tcW w:w="700" w:type="dxa"/>
            <w:tcBorders>
              <w:tl2br w:val="nil"/>
              <w:tr2bl w:val="nil"/>
            </w:tcBorders>
            <w:shd w:val="clear" w:color="auto" w:fill="auto"/>
            <w:vAlign w:val="center"/>
          </w:tcPr>
          <w:p w14:paraId="206EB31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J32</w:t>
            </w:r>
          </w:p>
        </w:tc>
        <w:tc>
          <w:tcPr>
            <w:tcW w:w="971" w:type="dxa"/>
            <w:tcBorders>
              <w:tl2br w:val="nil"/>
              <w:tr2bl w:val="nil"/>
            </w:tcBorders>
            <w:shd w:val="clear" w:color="auto" w:fill="auto"/>
            <w:vAlign w:val="center"/>
          </w:tcPr>
          <w:p w14:paraId="3702720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火山堆积</w:t>
            </w:r>
          </w:p>
        </w:tc>
        <w:tc>
          <w:tcPr>
            <w:tcW w:w="1558" w:type="dxa"/>
            <w:tcBorders>
              <w:tl2br w:val="nil"/>
              <w:tr2bl w:val="nil"/>
            </w:tcBorders>
            <w:shd w:val="clear" w:color="auto" w:fill="auto"/>
            <w:vAlign w:val="center"/>
          </w:tcPr>
          <w:p w14:paraId="5765689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溧水、江宁、六合</w:t>
            </w:r>
          </w:p>
        </w:tc>
        <w:tc>
          <w:tcPr>
            <w:tcW w:w="3339" w:type="dxa"/>
            <w:tcBorders>
              <w:tl2br w:val="nil"/>
              <w:tr2bl w:val="nil"/>
            </w:tcBorders>
            <w:shd w:val="clear" w:color="auto" w:fill="auto"/>
            <w:vAlign w:val="center"/>
          </w:tcPr>
          <w:p w14:paraId="1F8301C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粗安岩、凝灰岩、安山岩、集块岩、凝灰质细粒砂岩、角砾岩、页岩</w:t>
            </w:r>
          </w:p>
        </w:tc>
      </w:tr>
      <w:tr w14:paraId="0C7CD2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5BBD44F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18B749E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vMerge w:val="continue"/>
            <w:tcBorders>
              <w:tl2br w:val="nil"/>
              <w:tr2bl w:val="nil"/>
            </w:tcBorders>
            <w:vAlign w:val="center"/>
          </w:tcPr>
          <w:p w14:paraId="21447B9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667" w:type="dxa"/>
            <w:tcBorders>
              <w:tl2br w:val="nil"/>
              <w:tr2bl w:val="nil"/>
            </w:tcBorders>
            <w:shd w:val="clear" w:color="auto" w:fill="auto"/>
            <w:vAlign w:val="center"/>
          </w:tcPr>
          <w:p w14:paraId="3049826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西横山组</w:t>
            </w:r>
          </w:p>
        </w:tc>
        <w:tc>
          <w:tcPr>
            <w:tcW w:w="700" w:type="dxa"/>
            <w:tcBorders>
              <w:tl2br w:val="nil"/>
              <w:tr2bl w:val="nil"/>
            </w:tcBorders>
            <w:shd w:val="clear" w:color="auto" w:fill="auto"/>
            <w:vAlign w:val="center"/>
          </w:tcPr>
          <w:p w14:paraId="0C9B744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J31</w:t>
            </w:r>
          </w:p>
        </w:tc>
        <w:tc>
          <w:tcPr>
            <w:tcW w:w="971" w:type="dxa"/>
            <w:tcBorders>
              <w:tl2br w:val="nil"/>
              <w:tr2bl w:val="nil"/>
            </w:tcBorders>
            <w:shd w:val="clear" w:color="auto" w:fill="auto"/>
            <w:vAlign w:val="center"/>
          </w:tcPr>
          <w:p w14:paraId="70025C6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河湖</w:t>
            </w:r>
          </w:p>
        </w:tc>
        <w:tc>
          <w:tcPr>
            <w:tcW w:w="1558" w:type="dxa"/>
            <w:tcBorders>
              <w:tl2br w:val="nil"/>
              <w:tr2bl w:val="nil"/>
            </w:tcBorders>
            <w:shd w:val="clear" w:color="auto" w:fill="auto"/>
            <w:vAlign w:val="center"/>
          </w:tcPr>
          <w:p w14:paraId="30E7C80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江宁</w:t>
            </w:r>
          </w:p>
        </w:tc>
        <w:tc>
          <w:tcPr>
            <w:tcW w:w="3339" w:type="dxa"/>
            <w:tcBorders>
              <w:tl2br w:val="nil"/>
              <w:tr2bl w:val="nil"/>
            </w:tcBorders>
            <w:shd w:val="clear" w:color="auto" w:fill="auto"/>
            <w:vAlign w:val="center"/>
          </w:tcPr>
          <w:p w14:paraId="2A6406A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灰白色砂岩、粉砂岩夹灰绿色泥灰岩、底部砾岩</w:t>
            </w:r>
          </w:p>
        </w:tc>
      </w:tr>
      <w:tr w14:paraId="7C823B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4C864FE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7B7B612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tcBorders>
              <w:tl2br w:val="nil"/>
              <w:tr2bl w:val="nil"/>
            </w:tcBorders>
            <w:shd w:val="clear" w:color="auto" w:fill="auto"/>
            <w:vAlign w:val="center"/>
          </w:tcPr>
          <w:p w14:paraId="51AB9FB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中下统</w:t>
            </w:r>
          </w:p>
        </w:tc>
        <w:tc>
          <w:tcPr>
            <w:tcW w:w="667" w:type="dxa"/>
            <w:tcBorders>
              <w:tl2br w:val="nil"/>
              <w:tr2bl w:val="nil"/>
            </w:tcBorders>
            <w:shd w:val="clear" w:color="auto" w:fill="auto"/>
            <w:vAlign w:val="center"/>
          </w:tcPr>
          <w:p w14:paraId="1285F7A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象山群</w:t>
            </w:r>
          </w:p>
        </w:tc>
        <w:tc>
          <w:tcPr>
            <w:tcW w:w="700" w:type="dxa"/>
            <w:tcBorders>
              <w:tl2br w:val="nil"/>
              <w:tr2bl w:val="nil"/>
            </w:tcBorders>
            <w:shd w:val="clear" w:color="auto" w:fill="auto"/>
            <w:vAlign w:val="center"/>
          </w:tcPr>
          <w:p w14:paraId="6F6DE29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J1-2</w:t>
            </w:r>
          </w:p>
        </w:tc>
        <w:tc>
          <w:tcPr>
            <w:tcW w:w="971" w:type="dxa"/>
            <w:tcBorders>
              <w:tl2br w:val="nil"/>
              <w:tr2bl w:val="nil"/>
            </w:tcBorders>
            <w:shd w:val="clear" w:color="auto" w:fill="auto"/>
            <w:vAlign w:val="center"/>
          </w:tcPr>
          <w:p w14:paraId="6D16589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河流</w:t>
            </w:r>
          </w:p>
        </w:tc>
        <w:tc>
          <w:tcPr>
            <w:tcW w:w="1558" w:type="dxa"/>
            <w:tcBorders>
              <w:tl2br w:val="nil"/>
              <w:tr2bl w:val="nil"/>
            </w:tcBorders>
            <w:shd w:val="clear" w:color="auto" w:fill="auto"/>
            <w:vAlign w:val="center"/>
          </w:tcPr>
          <w:p w14:paraId="434513C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南京象山、灵谷寺</w:t>
            </w:r>
          </w:p>
        </w:tc>
        <w:tc>
          <w:tcPr>
            <w:tcW w:w="3339" w:type="dxa"/>
            <w:tcBorders>
              <w:tl2br w:val="nil"/>
              <w:tr2bl w:val="nil"/>
            </w:tcBorders>
            <w:shd w:val="clear" w:color="auto" w:fill="auto"/>
            <w:vAlign w:val="center"/>
          </w:tcPr>
          <w:p w14:paraId="65A76B5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下段灰色含砾石石英砂岩、底部砾岩；上段灰黄、微红石英砂岩</w:t>
            </w:r>
          </w:p>
        </w:tc>
      </w:tr>
      <w:tr w14:paraId="781487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2" w:hRule="atLeast"/>
        </w:trPr>
        <w:tc>
          <w:tcPr>
            <w:tcW w:w="362" w:type="dxa"/>
            <w:vMerge w:val="continue"/>
            <w:tcBorders>
              <w:tl2br w:val="nil"/>
              <w:tr2bl w:val="nil"/>
            </w:tcBorders>
            <w:vAlign w:val="center"/>
          </w:tcPr>
          <w:p w14:paraId="69DFE18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restart"/>
            <w:tcBorders>
              <w:tl2br w:val="nil"/>
              <w:tr2bl w:val="nil"/>
            </w:tcBorders>
            <w:vAlign w:val="center"/>
          </w:tcPr>
          <w:p w14:paraId="753E901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三叠系</w:t>
            </w:r>
          </w:p>
        </w:tc>
        <w:tc>
          <w:tcPr>
            <w:tcW w:w="589" w:type="dxa"/>
            <w:tcBorders>
              <w:tl2br w:val="nil"/>
              <w:tr2bl w:val="nil"/>
            </w:tcBorders>
            <w:shd w:val="clear" w:color="auto" w:fill="auto"/>
            <w:vAlign w:val="center"/>
          </w:tcPr>
          <w:p w14:paraId="48FB176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上统</w:t>
            </w:r>
          </w:p>
        </w:tc>
        <w:tc>
          <w:tcPr>
            <w:tcW w:w="667" w:type="dxa"/>
            <w:tcBorders>
              <w:tl2br w:val="nil"/>
              <w:tr2bl w:val="nil"/>
            </w:tcBorders>
            <w:shd w:val="clear" w:color="auto" w:fill="auto"/>
            <w:vAlign w:val="center"/>
          </w:tcPr>
          <w:p w14:paraId="32E0402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范家塘组</w:t>
            </w:r>
          </w:p>
        </w:tc>
        <w:tc>
          <w:tcPr>
            <w:tcW w:w="700" w:type="dxa"/>
            <w:tcBorders>
              <w:tl2br w:val="nil"/>
              <w:tr2bl w:val="nil"/>
            </w:tcBorders>
            <w:shd w:val="clear" w:color="auto" w:fill="auto"/>
            <w:vAlign w:val="center"/>
          </w:tcPr>
          <w:p w14:paraId="76F3186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T3</w:t>
            </w:r>
          </w:p>
        </w:tc>
        <w:tc>
          <w:tcPr>
            <w:tcW w:w="971" w:type="dxa"/>
            <w:tcBorders>
              <w:tl2br w:val="nil"/>
              <w:tr2bl w:val="nil"/>
            </w:tcBorders>
            <w:shd w:val="clear" w:color="auto" w:fill="auto"/>
            <w:vAlign w:val="center"/>
          </w:tcPr>
          <w:p w14:paraId="58490F4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湖沼</w:t>
            </w:r>
          </w:p>
        </w:tc>
        <w:tc>
          <w:tcPr>
            <w:tcW w:w="1558" w:type="dxa"/>
            <w:tcBorders>
              <w:tl2br w:val="nil"/>
              <w:tr2bl w:val="nil"/>
            </w:tcBorders>
            <w:shd w:val="clear" w:color="auto" w:fill="auto"/>
            <w:vAlign w:val="center"/>
          </w:tcPr>
          <w:p w14:paraId="46B3078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天文台</w:t>
            </w:r>
          </w:p>
        </w:tc>
        <w:tc>
          <w:tcPr>
            <w:tcW w:w="3339" w:type="dxa"/>
            <w:tcBorders>
              <w:tl2br w:val="nil"/>
              <w:tr2bl w:val="nil"/>
            </w:tcBorders>
            <w:shd w:val="clear" w:color="auto" w:fill="auto"/>
            <w:vAlign w:val="center"/>
          </w:tcPr>
          <w:p w14:paraId="6944932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灰色泥岩夹砂岩、粉砂岩</w:t>
            </w:r>
          </w:p>
        </w:tc>
      </w:tr>
      <w:tr w14:paraId="234E56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4516C92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bookmarkStart w:id="2011" w:name="OLE_LINK861" w:colFirst="3" w:colLast="7"/>
          </w:p>
        </w:tc>
        <w:tc>
          <w:tcPr>
            <w:tcW w:w="397" w:type="dxa"/>
            <w:vMerge w:val="continue"/>
            <w:tcBorders>
              <w:tl2br w:val="nil"/>
              <w:tr2bl w:val="nil"/>
            </w:tcBorders>
            <w:vAlign w:val="center"/>
          </w:tcPr>
          <w:p w14:paraId="03DB960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vMerge w:val="restart"/>
            <w:tcBorders>
              <w:tl2br w:val="nil"/>
              <w:tr2bl w:val="nil"/>
            </w:tcBorders>
            <w:shd w:val="clear" w:color="auto" w:fill="auto"/>
            <w:vAlign w:val="center"/>
          </w:tcPr>
          <w:p w14:paraId="3601AA6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中统</w:t>
            </w:r>
          </w:p>
        </w:tc>
        <w:tc>
          <w:tcPr>
            <w:tcW w:w="667" w:type="dxa"/>
            <w:tcBorders>
              <w:tl2br w:val="nil"/>
              <w:tr2bl w:val="nil"/>
            </w:tcBorders>
            <w:shd w:val="clear" w:color="auto" w:fill="auto"/>
            <w:vAlign w:val="center"/>
          </w:tcPr>
          <w:p w14:paraId="404AA1C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黄马青组</w:t>
            </w:r>
          </w:p>
        </w:tc>
        <w:tc>
          <w:tcPr>
            <w:tcW w:w="700" w:type="dxa"/>
            <w:tcBorders>
              <w:tl2br w:val="nil"/>
              <w:tr2bl w:val="nil"/>
            </w:tcBorders>
            <w:shd w:val="clear" w:color="auto" w:fill="auto"/>
            <w:vAlign w:val="center"/>
          </w:tcPr>
          <w:p w14:paraId="4B02791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T2h</w:t>
            </w:r>
          </w:p>
        </w:tc>
        <w:tc>
          <w:tcPr>
            <w:tcW w:w="971" w:type="dxa"/>
            <w:tcBorders>
              <w:tl2br w:val="nil"/>
              <w:tr2bl w:val="nil"/>
            </w:tcBorders>
            <w:shd w:val="clear" w:color="auto" w:fill="auto"/>
            <w:vAlign w:val="center"/>
          </w:tcPr>
          <w:p w14:paraId="22C0FF4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海陆交互</w:t>
            </w:r>
          </w:p>
        </w:tc>
        <w:tc>
          <w:tcPr>
            <w:tcW w:w="1558" w:type="dxa"/>
            <w:tcBorders>
              <w:tl2br w:val="nil"/>
              <w:tr2bl w:val="nil"/>
            </w:tcBorders>
            <w:shd w:val="clear" w:color="auto" w:fill="auto"/>
            <w:vAlign w:val="center"/>
          </w:tcPr>
          <w:p w14:paraId="6480A3D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紫金山北面、</w:t>
            </w:r>
            <w:sdt>
              <w:sdtPr>
                <w:rPr>
                  <w:color w:val="auto"/>
                </w:rPr>
                <w:alias w:val="易错词检查"/>
                <w:tag w:val="auto"/>
                <w:id w:val="31402"/>
              </w:sdtPr>
              <w:sdtEndPr>
                <w:rPr>
                  <w:color w:val="auto"/>
                </w:rPr>
              </w:sdtEndPr>
              <w:sdtContent>
                <w:bookmarkStart w:id="2012" w:name="bkReivew31402"/>
                <w:r>
                  <w:rPr>
                    <w:rFonts w:hint="default" w:ascii="Times New Roman" w:hAnsi="Times New Roman" w:eastAsia="宋体" w:cs="Times New Roman"/>
                    <w:color w:val="auto"/>
                    <w:sz w:val="21"/>
                    <w:szCs w:val="21"/>
                  </w:rPr>
                  <w:t>其林</w:t>
                </w:r>
                <w:bookmarkEnd w:id="2012"/>
              </w:sdtContent>
            </w:sdt>
            <w:r>
              <w:rPr>
                <w:rFonts w:hint="default" w:ascii="Times New Roman" w:hAnsi="Times New Roman" w:eastAsia="宋体" w:cs="Times New Roman"/>
                <w:color w:val="auto"/>
                <w:sz w:val="21"/>
                <w:szCs w:val="21"/>
              </w:rPr>
              <w:t>门</w:t>
            </w:r>
          </w:p>
        </w:tc>
        <w:tc>
          <w:tcPr>
            <w:tcW w:w="3339" w:type="dxa"/>
            <w:tcBorders>
              <w:tl2br w:val="nil"/>
              <w:tr2bl w:val="nil"/>
            </w:tcBorders>
            <w:shd w:val="clear" w:color="auto" w:fill="auto"/>
            <w:vAlign w:val="center"/>
          </w:tcPr>
          <w:p w14:paraId="28C664F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紫红色钙质、泥质粉砂岩夹细砂岩</w:t>
            </w:r>
          </w:p>
        </w:tc>
      </w:tr>
      <w:tr w14:paraId="6B5FF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2D9BAB5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2F88083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vMerge w:val="continue"/>
            <w:tcBorders>
              <w:tl2br w:val="nil"/>
              <w:tr2bl w:val="nil"/>
            </w:tcBorders>
            <w:shd w:val="clear" w:color="auto" w:fill="auto"/>
            <w:textDirection w:val="tbRlV"/>
            <w:vAlign w:val="center"/>
          </w:tcPr>
          <w:p w14:paraId="682D29D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p>
        </w:tc>
        <w:tc>
          <w:tcPr>
            <w:tcW w:w="667" w:type="dxa"/>
            <w:tcBorders>
              <w:tl2br w:val="nil"/>
              <w:tr2bl w:val="nil"/>
            </w:tcBorders>
            <w:shd w:val="clear" w:color="auto" w:fill="auto"/>
            <w:vAlign w:val="center"/>
          </w:tcPr>
          <w:p w14:paraId="6D392CC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周冲组</w:t>
            </w:r>
          </w:p>
        </w:tc>
        <w:tc>
          <w:tcPr>
            <w:tcW w:w="700" w:type="dxa"/>
            <w:tcBorders>
              <w:tl2br w:val="nil"/>
              <w:tr2bl w:val="nil"/>
            </w:tcBorders>
            <w:shd w:val="clear" w:color="auto" w:fill="auto"/>
            <w:vAlign w:val="center"/>
          </w:tcPr>
          <w:p w14:paraId="5C9985C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T2z</w:t>
            </w:r>
          </w:p>
        </w:tc>
        <w:tc>
          <w:tcPr>
            <w:tcW w:w="971" w:type="dxa"/>
            <w:tcBorders>
              <w:tl2br w:val="nil"/>
              <w:tr2bl w:val="nil"/>
            </w:tcBorders>
            <w:shd w:val="clear" w:color="auto" w:fill="auto"/>
            <w:vAlign w:val="center"/>
          </w:tcPr>
          <w:p w14:paraId="154FB6C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潮坪-</w:t>
            </w:r>
            <w:r>
              <w:rPr>
                <w:rFonts w:hint="eastAsia" w:ascii="Times New Roman" w:hAnsi="Times New Roman" w:eastAsia="宋体" w:cs="Times New Roman"/>
                <w:color w:val="auto"/>
                <w:sz w:val="21"/>
                <w:szCs w:val="21"/>
                <w:lang w:eastAsia="zh-CN"/>
              </w:rPr>
              <w:t>潟湖</w:t>
            </w:r>
          </w:p>
        </w:tc>
        <w:tc>
          <w:tcPr>
            <w:tcW w:w="1558" w:type="dxa"/>
            <w:tcBorders>
              <w:tl2br w:val="nil"/>
              <w:tr2bl w:val="nil"/>
            </w:tcBorders>
            <w:shd w:val="clear" w:color="auto" w:fill="auto"/>
            <w:vAlign w:val="center"/>
          </w:tcPr>
          <w:p w14:paraId="04DF62D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南京仙鹤门、江宁青龙山、周冲村</w:t>
            </w:r>
          </w:p>
        </w:tc>
        <w:tc>
          <w:tcPr>
            <w:tcW w:w="3339" w:type="dxa"/>
            <w:tcBorders>
              <w:tl2br w:val="nil"/>
              <w:tr2bl w:val="nil"/>
            </w:tcBorders>
            <w:shd w:val="clear" w:color="auto" w:fill="auto"/>
            <w:vAlign w:val="center"/>
          </w:tcPr>
          <w:p w14:paraId="081885C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灰色含泥质灰岩、白云质灰岩、白云岩夹石膏层</w:t>
            </w:r>
          </w:p>
        </w:tc>
      </w:tr>
      <w:bookmarkEnd w:id="2011"/>
      <w:tr w14:paraId="459229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07CF31E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2A2FC81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tcBorders>
              <w:tl2br w:val="nil"/>
              <w:tr2bl w:val="nil"/>
            </w:tcBorders>
            <w:shd w:val="clear" w:color="auto" w:fill="auto"/>
            <w:vAlign w:val="center"/>
          </w:tcPr>
          <w:p w14:paraId="1EEF7A9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下统</w:t>
            </w:r>
          </w:p>
        </w:tc>
        <w:tc>
          <w:tcPr>
            <w:tcW w:w="667" w:type="dxa"/>
            <w:tcBorders>
              <w:tl2br w:val="nil"/>
              <w:tr2bl w:val="nil"/>
            </w:tcBorders>
            <w:shd w:val="clear" w:color="auto" w:fill="auto"/>
            <w:vAlign w:val="center"/>
          </w:tcPr>
          <w:p w14:paraId="46BB87D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青龙群</w:t>
            </w:r>
          </w:p>
        </w:tc>
        <w:tc>
          <w:tcPr>
            <w:tcW w:w="700" w:type="dxa"/>
            <w:tcBorders>
              <w:tl2br w:val="nil"/>
              <w:tr2bl w:val="nil"/>
            </w:tcBorders>
            <w:shd w:val="clear" w:color="auto" w:fill="auto"/>
            <w:vAlign w:val="center"/>
          </w:tcPr>
          <w:p w14:paraId="6227FED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T1</w:t>
            </w:r>
          </w:p>
        </w:tc>
        <w:tc>
          <w:tcPr>
            <w:tcW w:w="971" w:type="dxa"/>
            <w:tcBorders>
              <w:tl2br w:val="nil"/>
              <w:tr2bl w:val="nil"/>
            </w:tcBorders>
            <w:shd w:val="clear" w:color="auto" w:fill="auto"/>
            <w:vAlign w:val="center"/>
          </w:tcPr>
          <w:p w14:paraId="166BD2C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浅海</w:t>
            </w:r>
          </w:p>
        </w:tc>
        <w:tc>
          <w:tcPr>
            <w:tcW w:w="1558" w:type="dxa"/>
            <w:tcBorders>
              <w:tl2br w:val="nil"/>
              <w:tr2bl w:val="nil"/>
            </w:tcBorders>
            <w:shd w:val="clear" w:color="auto" w:fill="auto"/>
            <w:vAlign w:val="center"/>
          </w:tcPr>
          <w:p w14:paraId="5AF89CD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sdt>
              <w:sdtPr>
                <w:rPr>
                  <w:color w:val="auto"/>
                </w:rPr>
                <w:alias w:val="地名检查"/>
                <w:id w:val="3083352"/>
              </w:sdtPr>
              <w:sdtEndPr>
                <w:rPr>
                  <w:color w:val="auto"/>
                </w:rPr>
              </w:sdtEndPr>
              <w:sdtContent>
                <w:bookmarkStart w:id="2013" w:name="bkKnowledge3083352"/>
                <w:r>
                  <w:rPr>
                    <w:rFonts w:hint="default" w:ascii="Times New Roman" w:hAnsi="Times New Roman" w:eastAsia="宋体" w:cs="Times New Roman"/>
                    <w:color w:val="auto"/>
                    <w:sz w:val="21"/>
                    <w:szCs w:val="21"/>
                  </w:rPr>
                  <w:t>南京龙潭</w:t>
                </w:r>
                <w:bookmarkEnd w:id="2013"/>
              </w:sdtContent>
            </w:sdt>
            <w:r>
              <w:rPr>
                <w:rFonts w:hint="default" w:ascii="Times New Roman" w:hAnsi="Times New Roman" w:eastAsia="宋体" w:cs="Times New Roman"/>
                <w:color w:val="auto"/>
                <w:sz w:val="21"/>
                <w:szCs w:val="21"/>
              </w:rPr>
              <w:t>、湖山、青龙山、珠山</w:t>
            </w:r>
          </w:p>
        </w:tc>
        <w:tc>
          <w:tcPr>
            <w:tcW w:w="3339" w:type="dxa"/>
            <w:tcBorders>
              <w:tl2br w:val="nil"/>
              <w:tr2bl w:val="nil"/>
            </w:tcBorders>
            <w:shd w:val="clear" w:color="auto" w:fill="auto"/>
            <w:vAlign w:val="center"/>
          </w:tcPr>
          <w:p w14:paraId="6E6B8D0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灰、灰红色灰岩、白云质灰岩、瘤状灰岩、泥岩；底部泥岩灰岩互层</w:t>
            </w:r>
          </w:p>
        </w:tc>
      </w:tr>
      <w:bookmarkEnd w:id="2006"/>
      <w:tr w14:paraId="1B7337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restart"/>
            <w:tcBorders>
              <w:tl2br w:val="nil"/>
              <w:tr2bl w:val="nil"/>
            </w:tcBorders>
            <w:vAlign w:val="center"/>
          </w:tcPr>
          <w:p w14:paraId="701EEA9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bookmarkStart w:id="2014" w:name="OLE_LINK864" w:colFirst="0" w:colLast="0"/>
            <w:r>
              <w:rPr>
                <w:rFonts w:hint="default" w:ascii="Times New Roman" w:hAnsi="Times New Roman" w:eastAsia="宋体" w:cs="Times New Roman"/>
                <w:color w:val="auto"/>
                <w:sz w:val="21"/>
                <w:szCs w:val="21"/>
              </w:rPr>
              <w:t>上古生界</w:t>
            </w:r>
          </w:p>
        </w:tc>
        <w:tc>
          <w:tcPr>
            <w:tcW w:w="397" w:type="dxa"/>
            <w:vMerge w:val="restart"/>
            <w:tcBorders>
              <w:tl2br w:val="nil"/>
              <w:tr2bl w:val="nil"/>
            </w:tcBorders>
            <w:vAlign w:val="center"/>
          </w:tcPr>
          <w:p w14:paraId="178122F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二叠系</w:t>
            </w:r>
          </w:p>
        </w:tc>
        <w:tc>
          <w:tcPr>
            <w:tcW w:w="589" w:type="dxa"/>
            <w:tcBorders>
              <w:tl2br w:val="nil"/>
              <w:tr2bl w:val="nil"/>
            </w:tcBorders>
            <w:shd w:val="clear" w:color="auto" w:fill="auto"/>
            <w:vAlign w:val="center"/>
          </w:tcPr>
          <w:p w14:paraId="3E0EEE8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上统</w:t>
            </w:r>
          </w:p>
        </w:tc>
        <w:tc>
          <w:tcPr>
            <w:tcW w:w="667" w:type="dxa"/>
            <w:tcBorders>
              <w:tl2br w:val="nil"/>
              <w:tr2bl w:val="nil"/>
            </w:tcBorders>
            <w:shd w:val="clear" w:color="auto" w:fill="auto"/>
            <w:vAlign w:val="center"/>
          </w:tcPr>
          <w:p w14:paraId="64A2C28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w:t>
            </w:r>
            <w:sdt>
              <w:sdtPr>
                <w:rPr>
                  <w:color w:val="auto"/>
                </w:rPr>
                <w:alias w:val="易错词检查"/>
                <w:tag w:val="auto"/>
                <w:id w:val="170535"/>
              </w:sdtPr>
              <w:sdtEndPr>
                <w:rPr>
                  <w:color w:val="auto"/>
                </w:rPr>
              </w:sdtEndPr>
              <w:sdtContent>
                <w:bookmarkStart w:id="2015" w:name="bkReivew170535"/>
                <w:r>
                  <w:rPr>
                    <w:rFonts w:hint="default" w:ascii="Times New Roman" w:hAnsi="Times New Roman" w:eastAsia="宋体" w:cs="Times New Roman"/>
                    <w:color w:val="auto"/>
                    <w:sz w:val="21"/>
                    <w:szCs w:val="21"/>
                  </w:rPr>
                  <w:t>隆</w:t>
                </w:r>
                <w:bookmarkEnd w:id="2015"/>
              </w:sdtContent>
            </w:sdt>
            <w:r>
              <w:rPr>
                <w:rFonts w:hint="default" w:ascii="Times New Roman" w:hAnsi="Times New Roman" w:eastAsia="宋体" w:cs="Times New Roman"/>
                <w:color w:val="auto"/>
                <w:sz w:val="21"/>
                <w:szCs w:val="21"/>
              </w:rPr>
              <w:t>组龙潭组</w:t>
            </w:r>
          </w:p>
        </w:tc>
        <w:tc>
          <w:tcPr>
            <w:tcW w:w="700" w:type="dxa"/>
            <w:tcBorders>
              <w:tl2br w:val="nil"/>
              <w:tr2bl w:val="nil"/>
            </w:tcBorders>
            <w:shd w:val="clear" w:color="auto" w:fill="auto"/>
            <w:vAlign w:val="center"/>
          </w:tcPr>
          <w:p w14:paraId="3B9952E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P2</w:t>
            </w:r>
          </w:p>
        </w:tc>
        <w:tc>
          <w:tcPr>
            <w:tcW w:w="971" w:type="dxa"/>
            <w:tcBorders>
              <w:tl2br w:val="nil"/>
              <w:tr2bl w:val="nil"/>
            </w:tcBorders>
            <w:shd w:val="clear" w:color="auto" w:fill="auto"/>
            <w:vAlign w:val="center"/>
          </w:tcPr>
          <w:p w14:paraId="2369067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海陆交互</w:t>
            </w:r>
          </w:p>
        </w:tc>
        <w:tc>
          <w:tcPr>
            <w:tcW w:w="1558" w:type="dxa"/>
            <w:tcBorders>
              <w:tl2br w:val="nil"/>
              <w:tr2bl w:val="nil"/>
            </w:tcBorders>
            <w:shd w:val="clear" w:color="auto" w:fill="auto"/>
            <w:vAlign w:val="center"/>
          </w:tcPr>
          <w:p w14:paraId="40842BE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江宁湖山、天宝山、龙潭</w:t>
            </w:r>
          </w:p>
        </w:tc>
        <w:tc>
          <w:tcPr>
            <w:tcW w:w="3339" w:type="dxa"/>
            <w:tcBorders>
              <w:tl2br w:val="nil"/>
              <w:tr2bl w:val="nil"/>
            </w:tcBorders>
            <w:shd w:val="clear" w:color="auto" w:fill="auto"/>
            <w:vAlign w:val="center"/>
          </w:tcPr>
          <w:p w14:paraId="1D5DA8A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上部：褐、灰黑色页岩、泥岩夹硅质灰岩；下部：黄灰色石英粉砂岩夹砂质灰岩、煤层</w:t>
            </w:r>
          </w:p>
        </w:tc>
      </w:tr>
      <w:tr w14:paraId="79553D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7EFE365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56FCEF9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vMerge w:val="restart"/>
            <w:tcBorders>
              <w:tl2br w:val="nil"/>
              <w:tr2bl w:val="nil"/>
            </w:tcBorders>
            <w:shd w:val="clear" w:color="auto" w:fill="auto"/>
            <w:vAlign w:val="center"/>
          </w:tcPr>
          <w:p w14:paraId="5E69308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下统</w:t>
            </w:r>
          </w:p>
        </w:tc>
        <w:tc>
          <w:tcPr>
            <w:tcW w:w="667" w:type="dxa"/>
            <w:tcBorders>
              <w:tl2br w:val="nil"/>
              <w:tr2bl w:val="nil"/>
            </w:tcBorders>
            <w:shd w:val="clear" w:color="auto" w:fill="auto"/>
            <w:vAlign w:val="center"/>
          </w:tcPr>
          <w:p w14:paraId="1553D15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孤峰组</w:t>
            </w:r>
          </w:p>
        </w:tc>
        <w:tc>
          <w:tcPr>
            <w:tcW w:w="700" w:type="dxa"/>
            <w:tcBorders>
              <w:tl2br w:val="nil"/>
              <w:tr2bl w:val="nil"/>
            </w:tcBorders>
            <w:shd w:val="clear" w:color="auto" w:fill="auto"/>
            <w:vAlign w:val="center"/>
          </w:tcPr>
          <w:p w14:paraId="7A20C7D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P1g</w:t>
            </w:r>
          </w:p>
        </w:tc>
        <w:tc>
          <w:tcPr>
            <w:tcW w:w="971" w:type="dxa"/>
            <w:tcBorders>
              <w:tl2br w:val="nil"/>
              <w:tr2bl w:val="nil"/>
            </w:tcBorders>
            <w:shd w:val="clear" w:color="auto" w:fill="auto"/>
            <w:vAlign w:val="center"/>
          </w:tcPr>
          <w:p w14:paraId="5CB1985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浅海</w:t>
            </w:r>
          </w:p>
        </w:tc>
        <w:tc>
          <w:tcPr>
            <w:tcW w:w="1558" w:type="dxa"/>
            <w:tcBorders>
              <w:tl2br w:val="nil"/>
              <w:tr2bl w:val="nil"/>
            </w:tcBorders>
            <w:shd w:val="clear" w:color="auto" w:fill="auto"/>
            <w:vAlign w:val="center"/>
          </w:tcPr>
          <w:p w14:paraId="7FF3DCD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江宁天宝山</w:t>
            </w:r>
          </w:p>
        </w:tc>
        <w:tc>
          <w:tcPr>
            <w:tcW w:w="3339" w:type="dxa"/>
            <w:tcBorders>
              <w:tl2br w:val="nil"/>
              <w:tr2bl w:val="nil"/>
            </w:tcBorders>
            <w:shd w:val="clear" w:color="auto" w:fill="auto"/>
            <w:vAlign w:val="center"/>
          </w:tcPr>
          <w:p w14:paraId="3D4A0CB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长石石英砂岩、页岩、灰岩、灰、灰黑、紫灰色硅质页岩、泥岩，燧石岩</w:t>
            </w:r>
          </w:p>
        </w:tc>
      </w:tr>
      <w:tr w14:paraId="479FC3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2B07177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6F1168A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vMerge w:val="continue"/>
            <w:tcBorders>
              <w:tl2br w:val="nil"/>
              <w:tr2bl w:val="nil"/>
            </w:tcBorders>
            <w:shd w:val="clear" w:color="auto" w:fill="auto"/>
            <w:textDirection w:val="tbRlV"/>
            <w:vAlign w:val="center"/>
          </w:tcPr>
          <w:p w14:paraId="007F23A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p>
        </w:tc>
        <w:tc>
          <w:tcPr>
            <w:tcW w:w="667" w:type="dxa"/>
            <w:tcBorders>
              <w:tl2br w:val="nil"/>
              <w:tr2bl w:val="nil"/>
            </w:tcBorders>
            <w:shd w:val="clear" w:color="auto" w:fill="auto"/>
            <w:vAlign w:val="center"/>
          </w:tcPr>
          <w:p w14:paraId="4C098F4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栖霞组</w:t>
            </w:r>
          </w:p>
        </w:tc>
        <w:tc>
          <w:tcPr>
            <w:tcW w:w="700" w:type="dxa"/>
            <w:tcBorders>
              <w:tl2br w:val="nil"/>
              <w:tr2bl w:val="nil"/>
            </w:tcBorders>
            <w:shd w:val="clear" w:color="auto" w:fill="auto"/>
            <w:vAlign w:val="center"/>
          </w:tcPr>
          <w:p w14:paraId="0ECE7CD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P1q</w:t>
            </w:r>
          </w:p>
        </w:tc>
        <w:tc>
          <w:tcPr>
            <w:tcW w:w="971" w:type="dxa"/>
            <w:tcBorders>
              <w:tl2br w:val="nil"/>
              <w:tr2bl w:val="nil"/>
            </w:tcBorders>
            <w:shd w:val="clear" w:color="auto" w:fill="auto"/>
            <w:vAlign w:val="center"/>
          </w:tcPr>
          <w:p w14:paraId="23C4A03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海相</w:t>
            </w:r>
          </w:p>
        </w:tc>
        <w:tc>
          <w:tcPr>
            <w:tcW w:w="1558" w:type="dxa"/>
            <w:tcBorders>
              <w:tl2br w:val="nil"/>
              <w:tr2bl w:val="nil"/>
            </w:tcBorders>
            <w:shd w:val="clear" w:color="auto" w:fill="auto"/>
            <w:vAlign w:val="center"/>
          </w:tcPr>
          <w:p w14:paraId="1FD44E2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天宝山、栖霞山</w:t>
            </w:r>
          </w:p>
        </w:tc>
        <w:tc>
          <w:tcPr>
            <w:tcW w:w="3339" w:type="dxa"/>
            <w:tcBorders>
              <w:tl2br w:val="nil"/>
              <w:tr2bl w:val="nil"/>
            </w:tcBorders>
            <w:shd w:val="clear" w:color="auto" w:fill="auto"/>
            <w:vAlign w:val="center"/>
          </w:tcPr>
          <w:p w14:paraId="133D3A8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灰色白云质、泥质、硅质灰岩；底部&lt;3m碎屑岩</w:t>
            </w:r>
          </w:p>
        </w:tc>
      </w:tr>
      <w:tr w14:paraId="57FBAE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1EE54B8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restart"/>
            <w:tcBorders>
              <w:tl2br w:val="nil"/>
              <w:tr2bl w:val="nil"/>
            </w:tcBorders>
            <w:vAlign w:val="center"/>
          </w:tcPr>
          <w:p w14:paraId="06DEC91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石炭系</w:t>
            </w:r>
          </w:p>
        </w:tc>
        <w:tc>
          <w:tcPr>
            <w:tcW w:w="589" w:type="dxa"/>
            <w:tcBorders>
              <w:tl2br w:val="nil"/>
              <w:tr2bl w:val="nil"/>
            </w:tcBorders>
            <w:shd w:val="clear" w:color="auto" w:fill="auto"/>
            <w:vAlign w:val="center"/>
          </w:tcPr>
          <w:p w14:paraId="37FD864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上统</w:t>
            </w:r>
          </w:p>
        </w:tc>
        <w:tc>
          <w:tcPr>
            <w:tcW w:w="667" w:type="dxa"/>
            <w:tcBorders>
              <w:tl2br w:val="nil"/>
              <w:tr2bl w:val="nil"/>
            </w:tcBorders>
            <w:shd w:val="clear" w:color="auto" w:fill="auto"/>
            <w:vAlign w:val="center"/>
          </w:tcPr>
          <w:p w14:paraId="59B59E6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船山组</w:t>
            </w:r>
          </w:p>
        </w:tc>
        <w:tc>
          <w:tcPr>
            <w:tcW w:w="700" w:type="dxa"/>
            <w:tcBorders>
              <w:tl2br w:val="nil"/>
              <w:tr2bl w:val="nil"/>
            </w:tcBorders>
            <w:shd w:val="clear" w:color="auto" w:fill="auto"/>
            <w:vAlign w:val="center"/>
          </w:tcPr>
          <w:p w14:paraId="15F1547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C3</w:t>
            </w:r>
          </w:p>
        </w:tc>
        <w:tc>
          <w:tcPr>
            <w:tcW w:w="971" w:type="dxa"/>
            <w:tcBorders>
              <w:tl2br w:val="nil"/>
              <w:tr2bl w:val="nil"/>
            </w:tcBorders>
            <w:shd w:val="clear" w:color="auto" w:fill="auto"/>
            <w:vAlign w:val="center"/>
          </w:tcPr>
          <w:p w14:paraId="3A66525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海相</w:t>
            </w:r>
          </w:p>
        </w:tc>
        <w:tc>
          <w:tcPr>
            <w:tcW w:w="1558" w:type="dxa"/>
            <w:tcBorders>
              <w:tl2br w:val="nil"/>
              <w:tr2bl w:val="nil"/>
            </w:tcBorders>
            <w:shd w:val="clear" w:color="auto" w:fill="auto"/>
            <w:vAlign w:val="center"/>
          </w:tcPr>
          <w:p w14:paraId="7D65DEB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徐家山、龙潭</w:t>
            </w:r>
          </w:p>
        </w:tc>
        <w:tc>
          <w:tcPr>
            <w:tcW w:w="3339" w:type="dxa"/>
            <w:tcBorders>
              <w:tl2br w:val="nil"/>
              <w:tr2bl w:val="nil"/>
            </w:tcBorders>
            <w:shd w:val="clear" w:color="auto" w:fill="auto"/>
            <w:vAlign w:val="center"/>
          </w:tcPr>
          <w:p w14:paraId="629BA9E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灰色中厚层灰岩、球状灰岩、夹鲕状生物灰岩</w:t>
            </w:r>
          </w:p>
        </w:tc>
      </w:tr>
      <w:tr w14:paraId="19B2D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2ED873A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350A1BB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tcBorders>
              <w:tl2br w:val="nil"/>
              <w:tr2bl w:val="nil"/>
            </w:tcBorders>
            <w:shd w:val="clear" w:color="auto" w:fill="auto"/>
            <w:vAlign w:val="center"/>
          </w:tcPr>
          <w:p w14:paraId="023D3CE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中统</w:t>
            </w:r>
          </w:p>
        </w:tc>
        <w:tc>
          <w:tcPr>
            <w:tcW w:w="667" w:type="dxa"/>
            <w:tcBorders>
              <w:tl2br w:val="nil"/>
              <w:tr2bl w:val="nil"/>
            </w:tcBorders>
            <w:shd w:val="clear" w:color="auto" w:fill="auto"/>
            <w:vAlign w:val="center"/>
          </w:tcPr>
          <w:p w14:paraId="398236F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黄龙组</w:t>
            </w:r>
          </w:p>
        </w:tc>
        <w:tc>
          <w:tcPr>
            <w:tcW w:w="700" w:type="dxa"/>
            <w:tcBorders>
              <w:tl2br w:val="nil"/>
              <w:tr2bl w:val="nil"/>
            </w:tcBorders>
            <w:shd w:val="clear" w:color="auto" w:fill="auto"/>
            <w:vAlign w:val="center"/>
          </w:tcPr>
          <w:p w14:paraId="3CC6BF4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C2</w:t>
            </w:r>
          </w:p>
        </w:tc>
        <w:tc>
          <w:tcPr>
            <w:tcW w:w="971" w:type="dxa"/>
            <w:tcBorders>
              <w:tl2br w:val="nil"/>
              <w:tr2bl w:val="nil"/>
            </w:tcBorders>
            <w:shd w:val="clear" w:color="auto" w:fill="auto"/>
            <w:vAlign w:val="center"/>
          </w:tcPr>
          <w:p w14:paraId="554863C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浅海</w:t>
            </w:r>
          </w:p>
        </w:tc>
        <w:tc>
          <w:tcPr>
            <w:tcW w:w="1558" w:type="dxa"/>
            <w:tcBorders>
              <w:tl2br w:val="nil"/>
              <w:tr2bl w:val="nil"/>
            </w:tcBorders>
            <w:shd w:val="clear" w:color="auto" w:fill="auto"/>
            <w:vAlign w:val="center"/>
          </w:tcPr>
          <w:p w14:paraId="60858A2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江宁徐家山、金丝岗</w:t>
            </w:r>
          </w:p>
        </w:tc>
        <w:tc>
          <w:tcPr>
            <w:tcW w:w="3339" w:type="dxa"/>
            <w:tcBorders>
              <w:tl2br w:val="nil"/>
              <w:tr2bl w:val="nil"/>
            </w:tcBorders>
            <w:shd w:val="clear" w:color="auto" w:fill="auto"/>
            <w:vAlign w:val="center"/>
          </w:tcPr>
          <w:p w14:paraId="5B86DDE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灰白、肉色块状灰岩，碎屑灰岩夹鲕状灰岩</w:t>
            </w:r>
          </w:p>
        </w:tc>
      </w:tr>
      <w:tr w14:paraId="7F98AC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3F78F5B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0272239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tcBorders>
              <w:tl2br w:val="nil"/>
              <w:tr2bl w:val="nil"/>
            </w:tcBorders>
            <w:shd w:val="clear" w:color="auto" w:fill="auto"/>
            <w:vAlign w:val="center"/>
          </w:tcPr>
          <w:p w14:paraId="2ECE567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下统</w:t>
            </w:r>
          </w:p>
        </w:tc>
        <w:tc>
          <w:tcPr>
            <w:tcW w:w="667" w:type="dxa"/>
            <w:tcBorders>
              <w:tl2br w:val="nil"/>
              <w:tr2bl w:val="nil"/>
            </w:tcBorders>
            <w:shd w:val="clear" w:color="auto" w:fill="auto"/>
            <w:vAlign w:val="center"/>
          </w:tcPr>
          <w:p w14:paraId="0735ECF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00" w:type="dxa"/>
            <w:tcBorders>
              <w:tl2br w:val="nil"/>
              <w:tr2bl w:val="nil"/>
            </w:tcBorders>
            <w:shd w:val="clear" w:color="auto" w:fill="auto"/>
            <w:vAlign w:val="center"/>
          </w:tcPr>
          <w:p w14:paraId="582323C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C1</w:t>
            </w:r>
          </w:p>
        </w:tc>
        <w:tc>
          <w:tcPr>
            <w:tcW w:w="971" w:type="dxa"/>
            <w:tcBorders>
              <w:tl2br w:val="nil"/>
              <w:tr2bl w:val="nil"/>
            </w:tcBorders>
            <w:shd w:val="clear" w:color="auto" w:fill="auto"/>
            <w:vAlign w:val="center"/>
          </w:tcPr>
          <w:p w14:paraId="5D1C017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浅海-海陆交互</w:t>
            </w:r>
          </w:p>
        </w:tc>
        <w:tc>
          <w:tcPr>
            <w:tcW w:w="1558" w:type="dxa"/>
            <w:tcBorders>
              <w:tl2br w:val="nil"/>
              <w:tr2bl w:val="nil"/>
            </w:tcBorders>
            <w:shd w:val="clear" w:color="auto" w:fill="auto"/>
            <w:vAlign w:val="center"/>
          </w:tcPr>
          <w:p w14:paraId="73B1281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黄龙山、孔山、龙潭</w:t>
            </w:r>
          </w:p>
        </w:tc>
        <w:tc>
          <w:tcPr>
            <w:tcW w:w="3339" w:type="dxa"/>
            <w:tcBorders>
              <w:tl2br w:val="nil"/>
              <w:tr2bl w:val="nil"/>
            </w:tcBorders>
            <w:shd w:val="clear" w:color="auto" w:fill="auto"/>
            <w:vAlign w:val="center"/>
          </w:tcPr>
          <w:p w14:paraId="79503F3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灰色杂色灰岩、泥灰岩、页岩、粉砂岩；底部灰黑色厚层灰岩，石英砂岩、页岩</w:t>
            </w:r>
          </w:p>
        </w:tc>
      </w:tr>
      <w:tr w14:paraId="6ACE5F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3C483C1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restart"/>
            <w:tcBorders>
              <w:tl2br w:val="nil"/>
              <w:tr2bl w:val="nil"/>
            </w:tcBorders>
            <w:vAlign w:val="center"/>
          </w:tcPr>
          <w:p w14:paraId="13126E0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泥盆系</w:t>
            </w:r>
          </w:p>
        </w:tc>
        <w:tc>
          <w:tcPr>
            <w:tcW w:w="589" w:type="dxa"/>
            <w:tcBorders>
              <w:tl2br w:val="nil"/>
              <w:tr2bl w:val="nil"/>
            </w:tcBorders>
            <w:shd w:val="clear" w:color="auto" w:fill="auto"/>
            <w:vAlign w:val="center"/>
          </w:tcPr>
          <w:p w14:paraId="3D60F73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上统</w:t>
            </w:r>
          </w:p>
        </w:tc>
        <w:tc>
          <w:tcPr>
            <w:tcW w:w="667" w:type="dxa"/>
            <w:tcBorders>
              <w:tl2br w:val="nil"/>
              <w:tr2bl w:val="nil"/>
            </w:tcBorders>
            <w:shd w:val="clear" w:color="auto" w:fill="auto"/>
            <w:vAlign w:val="center"/>
          </w:tcPr>
          <w:p w14:paraId="2B26E57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五通组</w:t>
            </w:r>
          </w:p>
        </w:tc>
        <w:tc>
          <w:tcPr>
            <w:tcW w:w="700" w:type="dxa"/>
            <w:tcBorders>
              <w:tl2br w:val="nil"/>
              <w:tr2bl w:val="nil"/>
            </w:tcBorders>
            <w:shd w:val="clear" w:color="auto" w:fill="auto"/>
            <w:vAlign w:val="center"/>
          </w:tcPr>
          <w:p w14:paraId="190AC85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D3</w:t>
            </w:r>
          </w:p>
        </w:tc>
        <w:tc>
          <w:tcPr>
            <w:tcW w:w="971" w:type="dxa"/>
            <w:tcBorders>
              <w:tl2br w:val="nil"/>
              <w:tr2bl w:val="nil"/>
            </w:tcBorders>
            <w:shd w:val="clear" w:color="auto" w:fill="auto"/>
            <w:vAlign w:val="center"/>
          </w:tcPr>
          <w:p w14:paraId="37F8E73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陆相</w:t>
            </w:r>
          </w:p>
        </w:tc>
        <w:tc>
          <w:tcPr>
            <w:tcW w:w="1558" w:type="dxa"/>
            <w:tcBorders>
              <w:tl2br w:val="nil"/>
              <w:tr2bl w:val="nil"/>
            </w:tcBorders>
            <w:shd w:val="clear" w:color="auto" w:fill="auto"/>
            <w:vAlign w:val="center"/>
          </w:tcPr>
          <w:p w14:paraId="704284B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坟头、龙潭、孔山</w:t>
            </w:r>
          </w:p>
        </w:tc>
        <w:tc>
          <w:tcPr>
            <w:tcW w:w="3339" w:type="dxa"/>
            <w:tcBorders>
              <w:tl2br w:val="nil"/>
              <w:tr2bl w:val="nil"/>
            </w:tcBorders>
            <w:shd w:val="clear" w:color="auto" w:fill="auto"/>
            <w:vAlign w:val="center"/>
          </w:tcPr>
          <w:p w14:paraId="11E92EC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上部粉砂质页岩；下部灰白色中粗粒石英砂岩；底部含砾</w:t>
            </w:r>
          </w:p>
        </w:tc>
      </w:tr>
      <w:bookmarkEnd w:id="2014"/>
      <w:tr w14:paraId="5F5B63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6CD7283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3A8AF5F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tcBorders>
              <w:tl2br w:val="nil"/>
              <w:tr2bl w:val="nil"/>
            </w:tcBorders>
            <w:shd w:val="clear" w:color="auto" w:fill="auto"/>
            <w:vAlign w:val="center"/>
          </w:tcPr>
          <w:p w14:paraId="5A18D76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中下统</w:t>
            </w:r>
          </w:p>
        </w:tc>
        <w:tc>
          <w:tcPr>
            <w:tcW w:w="667" w:type="dxa"/>
            <w:tcBorders>
              <w:tl2br w:val="nil"/>
              <w:tr2bl w:val="nil"/>
            </w:tcBorders>
            <w:shd w:val="clear" w:color="auto" w:fill="auto"/>
            <w:vAlign w:val="center"/>
          </w:tcPr>
          <w:p w14:paraId="2508BC0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茅山群</w:t>
            </w:r>
          </w:p>
        </w:tc>
        <w:tc>
          <w:tcPr>
            <w:tcW w:w="700" w:type="dxa"/>
            <w:tcBorders>
              <w:tl2br w:val="nil"/>
              <w:tr2bl w:val="nil"/>
            </w:tcBorders>
            <w:shd w:val="clear" w:color="auto" w:fill="auto"/>
            <w:vAlign w:val="center"/>
          </w:tcPr>
          <w:p w14:paraId="36F2E7F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D1-2</w:t>
            </w:r>
          </w:p>
        </w:tc>
        <w:tc>
          <w:tcPr>
            <w:tcW w:w="971" w:type="dxa"/>
            <w:tcBorders>
              <w:tl2br w:val="nil"/>
              <w:tr2bl w:val="nil"/>
            </w:tcBorders>
            <w:shd w:val="clear" w:color="auto" w:fill="auto"/>
            <w:vAlign w:val="center"/>
          </w:tcPr>
          <w:p w14:paraId="0BEFDC6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滨海-陆相</w:t>
            </w:r>
          </w:p>
        </w:tc>
        <w:tc>
          <w:tcPr>
            <w:tcW w:w="1558" w:type="dxa"/>
            <w:tcBorders>
              <w:tl2br w:val="nil"/>
              <w:tr2bl w:val="nil"/>
            </w:tcBorders>
            <w:shd w:val="clear" w:color="auto" w:fill="auto"/>
            <w:vAlign w:val="center"/>
          </w:tcPr>
          <w:p w14:paraId="098CFE5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坟头、孔山</w:t>
            </w:r>
          </w:p>
        </w:tc>
        <w:tc>
          <w:tcPr>
            <w:tcW w:w="3339" w:type="dxa"/>
            <w:tcBorders>
              <w:tl2br w:val="nil"/>
              <w:tr2bl w:val="nil"/>
            </w:tcBorders>
            <w:shd w:val="clear" w:color="auto" w:fill="auto"/>
            <w:vAlign w:val="center"/>
          </w:tcPr>
          <w:p w14:paraId="239C7EF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灰、紫红色、中厚层石英砂岩，夹薄层粉砂质泥岩、粉砂岩</w:t>
            </w:r>
          </w:p>
        </w:tc>
      </w:tr>
      <w:tr w14:paraId="6F7EC7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restart"/>
            <w:tcBorders>
              <w:tl2br w:val="nil"/>
              <w:tr2bl w:val="nil"/>
            </w:tcBorders>
            <w:vAlign w:val="center"/>
          </w:tcPr>
          <w:p w14:paraId="5BB53E8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下古生界</w:t>
            </w:r>
          </w:p>
        </w:tc>
        <w:tc>
          <w:tcPr>
            <w:tcW w:w="397" w:type="dxa"/>
            <w:vMerge w:val="restart"/>
            <w:tcBorders>
              <w:tl2br w:val="nil"/>
              <w:tr2bl w:val="nil"/>
            </w:tcBorders>
            <w:vAlign w:val="center"/>
          </w:tcPr>
          <w:p w14:paraId="189C4CA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志留系</w:t>
            </w:r>
          </w:p>
        </w:tc>
        <w:tc>
          <w:tcPr>
            <w:tcW w:w="589" w:type="dxa"/>
            <w:tcBorders>
              <w:tl2br w:val="nil"/>
              <w:tr2bl w:val="nil"/>
            </w:tcBorders>
            <w:shd w:val="clear" w:color="auto" w:fill="auto"/>
            <w:vAlign w:val="center"/>
          </w:tcPr>
          <w:p w14:paraId="7A6C3D2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上统</w:t>
            </w:r>
          </w:p>
        </w:tc>
        <w:tc>
          <w:tcPr>
            <w:tcW w:w="667" w:type="dxa"/>
            <w:tcBorders>
              <w:tl2br w:val="nil"/>
              <w:tr2bl w:val="nil"/>
            </w:tcBorders>
            <w:shd w:val="clear" w:color="auto" w:fill="auto"/>
            <w:vAlign w:val="center"/>
          </w:tcPr>
          <w:p w14:paraId="793394A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坟头组</w:t>
            </w:r>
          </w:p>
        </w:tc>
        <w:tc>
          <w:tcPr>
            <w:tcW w:w="700" w:type="dxa"/>
            <w:tcBorders>
              <w:tl2br w:val="nil"/>
              <w:tr2bl w:val="nil"/>
            </w:tcBorders>
            <w:shd w:val="clear" w:color="auto" w:fill="auto"/>
            <w:vAlign w:val="center"/>
          </w:tcPr>
          <w:p w14:paraId="55917C8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S2</w:t>
            </w:r>
          </w:p>
        </w:tc>
        <w:tc>
          <w:tcPr>
            <w:tcW w:w="971" w:type="dxa"/>
            <w:tcBorders>
              <w:tl2br w:val="nil"/>
              <w:tr2bl w:val="nil"/>
            </w:tcBorders>
            <w:shd w:val="clear" w:color="auto" w:fill="auto"/>
            <w:vAlign w:val="center"/>
          </w:tcPr>
          <w:p w14:paraId="12BD131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滨海-浅海</w:t>
            </w:r>
          </w:p>
        </w:tc>
        <w:tc>
          <w:tcPr>
            <w:tcW w:w="1558" w:type="dxa"/>
            <w:tcBorders>
              <w:tl2br w:val="nil"/>
              <w:tr2bl w:val="nil"/>
            </w:tcBorders>
            <w:shd w:val="clear" w:color="auto" w:fill="auto"/>
            <w:vAlign w:val="center"/>
          </w:tcPr>
          <w:p w14:paraId="0173777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坟头、青龙山、淳化钓鱼台</w:t>
            </w:r>
          </w:p>
        </w:tc>
        <w:tc>
          <w:tcPr>
            <w:tcW w:w="3339" w:type="dxa"/>
            <w:tcBorders>
              <w:tl2br w:val="nil"/>
              <w:tr2bl w:val="nil"/>
            </w:tcBorders>
            <w:shd w:val="clear" w:color="auto" w:fill="auto"/>
            <w:vAlign w:val="center"/>
          </w:tcPr>
          <w:p w14:paraId="3CCA402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黄绿色泥质粉砂岩，下部夹细粒石 英砂岩</w:t>
            </w:r>
          </w:p>
        </w:tc>
      </w:tr>
      <w:tr w14:paraId="16C83D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362" w:type="dxa"/>
            <w:vMerge w:val="continue"/>
            <w:tcBorders>
              <w:tl2br w:val="nil"/>
              <w:tr2bl w:val="nil"/>
            </w:tcBorders>
            <w:vAlign w:val="center"/>
          </w:tcPr>
          <w:p w14:paraId="00C2BBE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bookmarkStart w:id="2016" w:name="OLE_LINK862"/>
          </w:p>
        </w:tc>
        <w:tc>
          <w:tcPr>
            <w:tcW w:w="397" w:type="dxa"/>
            <w:vMerge w:val="continue"/>
            <w:tcBorders>
              <w:tl2br w:val="nil"/>
              <w:tr2bl w:val="nil"/>
            </w:tcBorders>
            <w:vAlign w:val="center"/>
          </w:tcPr>
          <w:p w14:paraId="0A339DC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tcBorders>
              <w:tl2br w:val="nil"/>
              <w:tr2bl w:val="nil"/>
            </w:tcBorders>
            <w:shd w:val="clear" w:color="auto" w:fill="auto"/>
            <w:vAlign w:val="center"/>
          </w:tcPr>
          <w:p w14:paraId="62DA3DA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下统</w:t>
            </w:r>
          </w:p>
        </w:tc>
        <w:tc>
          <w:tcPr>
            <w:tcW w:w="667" w:type="dxa"/>
            <w:tcBorders>
              <w:tl2br w:val="nil"/>
              <w:tr2bl w:val="nil"/>
            </w:tcBorders>
            <w:shd w:val="clear" w:color="auto" w:fill="auto"/>
            <w:vAlign w:val="center"/>
          </w:tcPr>
          <w:p w14:paraId="65ED50D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高家边组</w:t>
            </w:r>
          </w:p>
        </w:tc>
        <w:tc>
          <w:tcPr>
            <w:tcW w:w="700" w:type="dxa"/>
            <w:tcBorders>
              <w:tl2br w:val="nil"/>
              <w:tr2bl w:val="nil"/>
            </w:tcBorders>
            <w:shd w:val="clear" w:color="auto" w:fill="auto"/>
            <w:vAlign w:val="center"/>
          </w:tcPr>
          <w:p w14:paraId="0A9ABD7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S1</w:t>
            </w:r>
          </w:p>
        </w:tc>
        <w:tc>
          <w:tcPr>
            <w:tcW w:w="971" w:type="dxa"/>
            <w:tcBorders>
              <w:tl2br w:val="nil"/>
              <w:tr2bl w:val="nil"/>
            </w:tcBorders>
            <w:shd w:val="clear" w:color="auto" w:fill="auto"/>
            <w:vAlign w:val="center"/>
          </w:tcPr>
          <w:p w14:paraId="428A0BC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浅海-半深海</w:t>
            </w:r>
          </w:p>
        </w:tc>
        <w:tc>
          <w:tcPr>
            <w:tcW w:w="1558" w:type="dxa"/>
            <w:tcBorders>
              <w:tl2br w:val="nil"/>
              <w:tr2bl w:val="nil"/>
            </w:tcBorders>
            <w:shd w:val="clear" w:color="auto" w:fill="auto"/>
            <w:vAlign w:val="center"/>
          </w:tcPr>
          <w:p w14:paraId="7444587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江宁青龙山、汤山、南京幕府山</w:t>
            </w:r>
          </w:p>
        </w:tc>
        <w:tc>
          <w:tcPr>
            <w:tcW w:w="3339" w:type="dxa"/>
            <w:tcBorders>
              <w:tl2br w:val="nil"/>
              <w:tr2bl w:val="nil"/>
            </w:tcBorders>
            <w:shd w:val="clear" w:color="auto" w:fill="auto"/>
            <w:vAlign w:val="center"/>
          </w:tcPr>
          <w:p w14:paraId="7F6AAF7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黄绿灰黑色页岩、泥岩、粉砂质泥岩</w:t>
            </w:r>
          </w:p>
        </w:tc>
      </w:tr>
      <w:bookmarkEnd w:id="2016"/>
      <w:tr w14:paraId="2C5CE9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1C83896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restart"/>
            <w:tcBorders>
              <w:tl2br w:val="nil"/>
              <w:tr2bl w:val="nil"/>
            </w:tcBorders>
            <w:vAlign w:val="center"/>
          </w:tcPr>
          <w:p w14:paraId="50B247C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奥陶系</w:t>
            </w:r>
          </w:p>
        </w:tc>
        <w:tc>
          <w:tcPr>
            <w:tcW w:w="589" w:type="dxa"/>
            <w:vMerge w:val="restart"/>
            <w:tcBorders>
              <w:tl2br w:val="nil"/>
              <w:tr2bl w:val="nil"/>
            </w:tcBorders>
            <w:shd w:val="clear" w:color="auto" w:fill="auto"/>
            <w:vAlign w:val="center"/>
          </w:tcPr>
          <w:p w14:paraId="43B95BE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上统</w:t>
            </w:r>
          </w:p>
        </w:tc>
        <w:tc>
          <w:tcPr>
            <w:tcW w:w="667" w:type="dxa"/>
            <w:tcBorders>
              <w:tl2br w:val="nil"/>
              <w:tr2bl w:val="nil"/>
            </w:tcBorders>
            <w:shd w:val="clear" w:color="auto" w:fill="auto"/>
            <w:vAlign w:val="center"/>
          </w:tcPr>
          <w:p w14:paraId="7A08A05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五峰组</w:t>
            </w:r>
          </w:p>
        </w:tc>
        <w:tc>
          <w:tcPr>
            <w:tcW w:w="700" w:type="dxa"/>
            <w:tcBorders>
              <w:tl2br w:val="nil"/>
              <w:tr2bl w:val="nil"/>
            </w:tcBorders>
            <w:shd w:val="clear" w:color="auto" w:fill="auto"/>
            <w:vAlign w:val="center"/>
          </w:tcPr>
          <w:p w14:paraId="02EAE82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O3w</w:t>
            </w:r>
          </w:p>
        </w:tc>
        <w:tc>
          <w:tcPr>
            <w:tcW w:w="971" w:type="dxa"/>
            <w:tcBorders>
              <w:tl2br w:val="nil"/>
              <w:tr2bl w:val="nil"/>
            </w:tcBorders>
            <w:shd w:val="clear" w:color="auto" w:fill="auto"/>
            <w:vAlign w:val="center"/>
          </w:tcPr>
          <w:p w14:paraId="663E2A7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海盆</w:t>
            </w:r>
          </w:p>
        </w:tc>
        <w:tc>
          <w:tcPr>
            <w:tcW w:w="1558" w:type="dxa"/>
            <w:tcBorders>
              <w:tl2br w:val="nil"/>
              <w:tr2bl w:val="nil"/>
            </w:tcBorders>
            <w:shd w:val="clear" w:color="auto" w:fill="auto"/>
            <w:vAlign w:val="center"/>
          </w:tcPr>
          <w:p w14:paraId="67B9F47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汤山</w:t>
            </w:r>
          </w:p>
        </w:tc>
        <w:tc>
          <w:tcPr>
            <w:tcW w:w="3339" w:type="dxa"/>
            <w:tcBorders>
              <w:tl2br w:val="nil"/>
              <w:tr2bl w:val="nil"/>
            </w:tcBorders>
            <w:shd w:val="clear" w:color="auto" w:fill="auto"/>
            <w:vAlign w:val="center"/>
          </w:tcPr>
          <w:p w14:paraId="5C44463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青灰色硅质页岩</w:t>
            </w:r>
          </w:p>
        </w:tc>
      </w:tr>
      <w:tr w14:paraId="2830FC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6ECCCD1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1A632A5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vMerge w:val="continue"/>
            <w:tcBorders>
              <w:tl2br w:val="nil"/>
              <w:tr2bl w:val="nil"/>
            </w:tcBorders>
            <w:shd w:val="clear" w:color="auto" w:fill="auto"/>
            <w:vAlign w:val="center"/>
          </w:tcPr>
          <w:p w14:paraId="47D5FE5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p>
        </w:tc>
        <w:tc>
          <w:tcPr>
            <w:tcW w:w="667" w:type="dxa"/>
            <w:tcBorders>
              <w:tl2br w:val="nil"/>
              <w:tr2bl w:val="nil"/>
            </w:tcBorders>
            <w:shd w:val="clear" w:color="auto" w:fill="auto"/>
            <w:vAlign w:val="center"/>
          </w:tcPr>
          <w:p w14:paraId="408F5B6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汤头组</w:t>
            </w:r>
          </w:p>
        </w:tc>
        <w:tc>
          <w:tcPr>
            <w:tcW w:w="700" w:type="dxa"/>
            <w:tcBorders>
              <w:tl2br w:val="nil"/>
              <w:tr2bl w:val="nil"/>
            </w:tcBorders>
            <w:shd w:val="clear" w:color="auto" w:fill="auto"/>
            <w:vAlign w:val="center"/>
          </w:tcPr>
          <w:p w14:paraId="4189ABA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O3t</w:t>
            </w:r>
          </w:p>
        </w:tc>
        <w:tc>
          <w:tcPr>
            <w:tcW w:w="971" w:type="dxa"/>
            <w:tcBorders>
              <w:tl2br w:val="nil"/>
              <w:tr2bl w:val="nil"/>
            </w:tcBorders>
            <w:shd w:val="clear" w:color="auto" w:fill="auto"/>
            <w:vAlign w:val="center"/>
          </w:tcPr>
          <w:p w14:paraId="4199029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潮间</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潮下</w:t>
            </w:r>
          </w:p>
        </w:tc>
        <w:tc>
          <w:tcPr>
            <w:tcW w:w="1558" w:type="dxa"/>
            <w:tcBorders>
              <w:tl2br w:val="nil"/>
              <w:tr2bl w:val="nil"/>
            </w:tcBorders>
            <w:shd w:val="clear" w:color="auto" w:fill="auto"/>
            <w:vAlign w:val="center"/>
          </w:tcPr>
          <w:p w14:paraId="4EDE8A5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汤山</w:t>
            </w:r>
          </w:p>
        </w:tc>
        <w:tc>
          <w:tcPr>
            <w:tcW w:w="3339" w:type="dxa"/>
            <w:tcBorders>
              <w:tl2br w:val="nil"/>
              <w:tr2bl w:val="nil"/>
            </w:tcBorders>
            <w:shd w:val="clear" w:color="auto" w:fill="auto"/>
            <w:vAlign w:val="center"/>
          </w:tcPr>
          <w:p w14:paraId="3D0A290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灰色中薄层瘤状灰岩、泥质灰岩、页岩</w:t>
            </w:r>
          </w:p>
        </w:tc>
      </w:tr>
      <w:tr w14:paraId="332882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715B134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06B3567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tcBorders>
              <w:tl2br w:val="nil"/>
              <w:tr2bl w:val="nil"/>
            </w:tcBorders>
            <w:shd w:val="clear" w:color="auto" w:fill="auto"/>
            <w:vAlign w:val="center"/>
          </w:tcPr>
          <w:p w14:paraId="5D60A5A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中统</w:t>
            </w:r>
          </w:p>
        </w:tc>
        <w:tc>
          <w:tcPr>
            <w:tcW w:w="667" w:type="dxa"/>
            <w:tcBorders>
              <w:tl2br w:val="nil"/>
              <w:tr2bl w:val="nil"/>
            </w:tcBorders>
            <w:shd w:val="clear" w:color="auto" w:fill="auto"/>
            <w:vAlign w:val="center"/>
          </w:tcPr>
          <w:p w14:paraId="0ACC056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w:t>
            </w:r>
          </w:p>
        </w:tc>
        <w:tc>
          <w:tcPr>
            <w:tcW w:w="700" w:type="dxa"/>
            <w:tcBorders>
              <w:tl2br w:val="nil"/>
              <w:tr2bl w:val="nil"/>
            </w:tcBorders>
            <w:shd w:val="clear" w:color="auto" w:fill="auto"/>
            <w:vAlign w:val="center"/>
          </w:tcPr>
          <w:p w14:paraId="3B8509C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O2</w:t>
            </w:r>
          </w:p>
        </w:tc>
        <w:tc>
          <w:tcPr>
            <w:tcW w:w="971" w:type="dxa"/>
            <w:tcBorders>
              <w:tl2br w:val="nil"/>
              <w:tr2bl w:val="nil"/>
            </w:tcBorders>
            <w:shd w:val="clear" w:color="auto" w:fill="auto"/>
            <w:vAlign w:val="center"/>
          </w:tcPr>
          <w:p w14:paraId="6F1464A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潮间-潮下</w:t>
            </w:r>
          </w:p>
        </w:tc>
        <w:tc>
          <w:tcPr>
            <w:tcW w:w="1558" w:type="dxa"/>
            <w:tcBorders>
              <w:tl2br w:val="nil"/>
              <w:tr2bl w:val="nil"/>
            </w:tcBorders>
            <w:shd w:val="clear" w:color="auto" w:fill="auto"/>
            <w:vAlign w:val="center"/>
          </w:tcPr>
          <w:p w14:paraId="14E1290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幕府山、汤山</w:t>
            </w:r>
          </w:p>
        </w:tc>
        <w:tc>
          <w:tcPr>
            <w:tcW w:w="3339" w:type="dxa"/>
            <w:tcBorders>
              <w:tl2br w:val="nil"/>
              <w:tr2bl w:val="nil"/>
            </w:tcBorders>
            <w:shd w:val="clear" w:color="auto" w:fill="auto"/>
            <w:vAlign w:val="center"/>
          </w:tcPr>
          <w:p w14:paraId="16C3249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肉红、灰色生物灰岩</w:t>
            </w:r>
          </w:p>
        </w:tc>
      </w:tr>
      <w:tr w14:paraId="709802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69D5753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3EB2293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tcBorders>
              <w:tl2br w:val="nil"/>
              <w:tr2bl w:val="nil"/>
            </w:tcBorders>
            <w:shd w:val="clear" w:color="auto" w:fill="auto"/>
            <w:vAlign w:val="center"/>
          </w:tcPr>
          <w:p w14:paraId="2940EDB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下统</w:t>
            </w:r>
          </w:p>
        </w:tc>
        <w:tc>
          <w:tcPr>
            <w:tcW w:w="667" w:type="dxa"/>
            <w:tcBorders>
              <w:tl2br w:val="nil"/>
              <w:tr2bl w:val="nil"/>
            </w:tcBorders>
            <w:shd w:val="clear" w:color="auto" w:fill="auto"/>
            <w:vAlign w:val="center"/>
          </w:tcPr>
          <w:p w14:paraId="5B472A4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w:t>
            </w:r>
          </w:p>
        </w:tc>
        <w:tc>
          <w:tcPr>
            <w:tcW w:w="700" w:type="dxa"/>
            <w:tcBorders>
              <w:tl2br w:val="nil"/>
              <w:tr2bl w:val="nil"/>
            </w:tcBorders>
            <w:shd w:val="clear" w:color="auto" w:fill="auto"/>
            <w:vAlign w:val="center"/>
          </w:tcPr>
          <w:p w14:paraId="3620AE0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O1</w:t>
            </w:r>
          </w:p>
        </w:tc>
        <w:tc>
          <w:tcPr>
            <w:tcW w:w="971" w:type="dxa"/>
            <w:tcBorders>
              <w:tl2br w:val="nil"/>
              <w:tr2bl w:val="nil"/>
            </w:tcBorders>
            <w:shd w:val="clear" w:color="auto" w:fill="auto"/>
            <w:vAlign w:val="center"/>
          </w:tcPr>
          <w:p w14:paraId="3A320B1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浅海</w:t>
            </w:r>
          </w:p>
        </w:tc>
        <w:tc>
          <w:tcPr>
            <w:tcW w:w="1558" w:type="dxa"/>
            <w:tcBorders>
              <w:tl2br w:val="nil"/>
              <w:tr2bl w:val="nil"/>
            </w:tcBorders>
            <w:shd w:val="clear" w:color="auto" w:fill="auto"/>
            <w:vAlign w:val="center"/>
          </w:tcPr>
          <w:p w14:paraId="1039894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幕府山、汤山</w:t>
            </w:r>
          </w:p>
        </w:tc>
        <w:tc>
          <w:tcPr>
            <w:tcW w:w="3339" w:type="dxa"/>
            <w:tcBorders>
              <w:tl2br w:val="nil"/>
              <w:tr2bl w:val="nil"/>
            </w:tcBorders>
            <w:shd w:val="clear" w:color="auto" w:fill="auto"/>
            <w:vAlign w:val="center"/>
          </w:tcPr>
          <w:p w14:paraId="1508DFF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en-US"/>
              </w:rPr>
            </w:pPr>
            <w:r>
              <w:rPr>
                <w:rFonts w:hint="default" w:ascii="Times New Roman" w:hAnsi="Times New Roman" w:eastAsia="宋体" w:cs="Times New Roman"/>
                <w:color w:val="auto"/>
                <w:sz w:val="21"/>
                <w:szCs w:val="21"/>
              </w:rPr>
              <w:t>灰岩、白云质灰岩、生物灰岩、白云岩</w:t>
            </w:r>
          </w:p>
        </w:tc>
      </w:tr>
      <w:tr w14:paraId="2485A8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04F17F3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restart"/>
            <w:tcBorders>
              <w:tl2br w:val="nil"/>
              <w:tr2bl w:val="nil"/>
            </w:tcBorders>
            <w:vAlign w:val="center"/>
          </w:tcPr>
          <w:p w14:paraId="0427695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寒武系</w:t>
            </w:r>
          </w:p>
        </w:tc>
        <w:tc>
          <w:tcPr>
            <w:tcW w:w="589" w:type="dxa"/>
            <w:tcBorders>
              <w:tl2br w:val="nil"/>
              <w:tr2bl w:val="nil"/>
            </w:tcBorders>
            <w:shd w:val="clear" w:color="auto" w:fill="auto"/>
            <w:vAlign w:val="center"/>
          </w:tcPr>
          <w:p w14:paraId="160A2EF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上统</w:t>
            </w:r>
          </w:p>
        </w:tc>
        <w:tc>
          <w:tcPr>
            <w:tcW w:w="667" w:type="dxa"/>
            <w:tcBorders>
              <w:tl2br w:val="nil"/>
              <w:tr2bl w:val="nil"/>
            </w:tcBorders>
            <w:shd w:val="clear" w:color="auto" w:fill="auto"/>
            <w:vAlign w:val="center"/>
          </w:tcPr>
          <w:p w14:paraId="47CCFF6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观音台组</w:t>
            </w:r>
          </w:p>
        </w:tc>
        <w:tc>
          <w:tcPr>
            <w:tcW w:w="700" w:type="dxa"/>
            <w:tcBorders>
              <w:tl2br w:val="nil"/>
              <w:tr2bl w:val="nil"/>
            </w:tcBorders>
            <w:shd w:val="clear" w:color="auto" w:fill="auto"/>
            <w:vAlign w:val="center"/>
          </w:tcPr>
          <w:p w14:paraId="6872CF4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971" w:type="dxa"/>
            <w:tcBorders>
              <w:tl2br w:val="nil"/>
              <w:tr2bl w:val="nil"/>
            </w:tcBorders>
            <w:shd w:val="clear" w:color="auto" w:fill="auto"/>
            <w:vAlign w:val="center"/>
          </w:tcPr>
          <w:p w14:paraId="4B2B54B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浅海-</w:t>
            </w:r>
            <w:r>
              <w:rPr>
                <w:rFonts w:hint="eastAsia" w:ascii="Times New Roman" w:hAnsi="Times New Roman" w:eastAsia="宋体" w:cs="Times New Roman"/>
                <w:color w:val="auto"/>
                <w:sz w:val="21"/>
                <w:szCs w:val="21"/>
                <w:lang w:eastAsia="zh-CN"/>
              </w:rPr>
              <w:t>潟湖</w:t>
            </w:r>
          </w:p>
        </w:tc>
        <w:tc>
          <w:tcPr>
            <w:tcW w:w="1558" w:type="dxa"/>
            <w:tcBorders>
              <w:tl2br w:val="nil"/>
              <w:tr2bl w:val="nil"/>
            </w:tcBorders>
            <w:shd w:val="clear" w:color="auto" w:fill="auto"/>
            <w:vAlign w:val="center"/>
          </w:tcPr>
          <w:p w14:paraId="2AF0158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汤泉、汤山</w:t>
            </w:r>
          </w:p>
        </w:tc>
        <w:tc>
          <w:tcPr>
            <w:tcW w:w="3339" w:type="dxa"/>
            <w:tcBorders>
              <w:tl2br w:val="nil"/>
              <w:tr2bl w:val="nil"/>
            </w:tcBorders>
            <w:shd w:val="clear" w:color="auto" w:fill="auto"/>
            <w:vAlign w:val="center"/>
          </w:tcPr>
          <w:p w14:paraId="2684C9E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灰色白云岩</w:t>
            </w:r>
          </w:p>
        </w:tc>
      </w:tr>
      <w:tr w14:paraId="6DB740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299AFDC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04889D1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tcBorders>
              <w:tl2br w:val="nil"/>
              <w:tr2bl w:val="nil"/>
            </w:tcBorders>
            <w:shd w:val="clear" w:color="auto" w:fill="auto"/>
            <w:vAlign w:val="center"/>
          </w:tcPr>
          <w:p w14:paraId="2D38784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中统</w:t>
            </w:r>
          </w:p>
        </w:tc>
        <w:tc>
          <w:tcPr>
            <w:tcW w:w="667" w:type="dxa"/>
            <w:tcBorders>
              <w:tl2br w:val="nil"/>
              <w:tr2bl w:val="nil"/>
            </w:tcBorders>
            <w:shd w:val="clear" w:color="auto" w:fill="auto"/>
            <w:vAlign w:val="center"/>
          </w:tcPr>
          <w:p w14:paraId="78D87B5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炮台山组</w:t>
            </w:r>
          </w:p>
        </w:tc>
        <w:tc>
          <w:tcPr>
            <w:tcW w:w="700" w:type="dxa"/>
            <w:tcBorders>
              <w:tl2br w:val="nil"/>
              <w:tr2bl w:val="nil"/>
            </w:tcBorders>
            <w:shd w:val="clear" w:color="auto" w:fill="auto"/>
            <w:vAlign w:val="center"/>
          </w:tcPr>
          <w:p w14:paraId="5007863A">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971" w:type="dxa"/>
            <w:tcBorders>
              <w:tl2br w:val="nil"/>
              <w:tr2bl w:val="nil"/>
            </w:tcBorders>
            <w:shd w:val="clear" w:color="auto" w:fill="auto"/>
            <w:vAlign w:val="center"/>
          </w:tcPr>
          <w:p w14:paraId="2EF8A04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浅海</w:t>
            </w:r>
          </w:p>
        </w:tc>
        <w:tc>
          <w:tcPr>
            <w:tcW w:w="1558" w:type="dxa"/>
            <w:tcBorders>
              <w:tl2br w:val="nil"/>
              <w:tr2bl w:val="nil"/>
            </w:tcBorders>
            <w:shd w:val="clear" w:color="auto" w:fill="auto"/>
            <w:vAlign w:val="center"/>
          </w:tcPr>
          <w:p w14:paraId="48069DD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汤泉</w:t>
            </w:r>
          </w:p>
        </w:tc>
        <w:tc>
          <w:tcPr>
            <w:tcW w:w="3339" w:type="dxa"/>
            <w:tcBorders>
              <w:tl2br w:val="nil"/>
              <w:tr2bl w:val="nil"/>
            </w:tcBorders>
            <w:shd w:val="clear" w:color="auto" w:fill="auto"/>
            <w:vAlign w:val="center"/>
          </w:tcPr>
          <w:p w14:paraId="47659FB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上部白云质灰岩；下部白云岩、灰岩</w:t>
            </w:r>
          </w:p>
        </w:tc>
      </w:tr>
      <w:tr w14:paraId="4242A7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5EA7338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50395EA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tcBorders>
              <w:tl2br w:val="nil"/>
              <w:tr2bl w:val="nil"/>
            </w:tcBorders>
            <w:shd w:val="clear" w:color="auto" w:fill="auto"/>
            <w:vAlign w:val="center"/>
          </w:tcPr>
          <w:p w14:paraId="79A269E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下统</w:t>
            </w:r>
          </w:p>
        </w:tc>
        <w:tc>
          <w:tcPr>
            <w:tcW w:w="667" w:type="dxa"/>
            <w:tcBorders>
              <w:tl2br w:val="nil"/>
              <w:tr2bl w:val="nil"/>
            </w:tcBorders>
            <w:shd w:val="clear" w:color="auto" w:fill="auto"/>
            <w:vAlign w:val="center"/>
          </w:tcPr>
          <w:p w14:paraId="2B8B63B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幕府山组</w:t>
            </w:r>
          </w:p>
        </w:tc>
        <w:tc>
          <w:tcPr>
            <w:tcW w:w="700" w:type="dxa"/>
            <w:tcBorders>
              <w:tl2br w:val="nil"/>
              <w:tr2bl w:val="nil"/>
            </w:tcBorders>
            <w:shd w:val="clear" w:color="auto" w:fill="auto"/>
            <w:vAlign w:val="center"/>
          </w:tcPr>
          <w:p w14:paraId="7848DCC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1</w:t>
            </w:r>
          </w:p>
        </w:tc>
        <w:tc>
          <w:tcPr>
            <w:tcW w:w="971" w:type="dxa"/>
            <w:tcBorders>
              <w:tl2br w:val="nil"/>
              <w:tr2bl w:val="nil"/>
            </w:tcBorders>
            <w:shd w:val="clear" w:color="auto" w:fill="auto"/>
            <w:vAlign w:val="center"/>
          </w:tcPr>
          <w:p w14:paraId="2DDBB0A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浅海-</w:t>
            </w:r>
            <w:r>
              <w:rPr>
                <w:rFonts w:hint="eastAsia" w:ascii="Times New Roman" w:hAnsi="Times New Roman" w:eastAsia="宋体" w:cs="Times New Roman"/>
                <w:color w:val="auto"/>
                <w:sz w:val="21"/>
                <w:szCs w:val="21"/>
                <w:lang w:eastAsia="zh-CN"/>
              </w:rPr>
              <w:t>潟湖</w:t>
            </w:r>
          </w:p>
        </w:tc>
        <w:tc>
          <w:tcPr>
            <w:tcW w:w="1558" w:type="dxa"/>
            <w:tcBorders>
              <w:tl2br w:val="nil"/>
              <w:tr2bl w:val="nil"/>
            </w:tcBorders>
            <w:shd w:val="clear" w:color="auto" w:fill="auto"/>
            <w:vAlign w:val="center"/>
          </w:tcPr>
          <w:p w14:paraId="58774D6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幕府山、六合冶山</w:t>
            </w:r>
          </w:p>
        </w:tc>
        <w:tc>
          <w:tcPr>
            <w:tcW w:w="3339" w:type="dxa"/>
            <w:tcBorders>
              <w:tl2br w:val="nil"/>
              <w:tr2bl w:val="nil"/>
            </w:tcBorders>
            <w:shd w:val="clear" w:color="auto" w:fill="auto"/>
            <w:vAlign w:val="center"/>
          </w:tcPr>
          <w:p w14:paraId="12B041F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上部灰岩、白云岩；中部白云质灰岩；下部硅质、炭质页岩</w:t>
            </w:r>
          </w:p>
        </w:tc>
      </w:tr>
      <w:tr w14:paraId="6D6688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restart"/>
            <w:tcBorders>
              <w:tl2br w:val="nil"/>
              <w:tr2bl w:val="nil"/>
            </w:tcBorders>
            <w:vAlign w:val="center"/>
          </w:tcPr>
          <w:p w14:paraId="255BC76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上元古界</w:t>
            </w:r>
          </w:p>
        </w:tc>
        <w:tc>
          <w:tcPr>
            <w:tcW w:w="397" w:type="dxa"/>
            <w:vMerge w:val="restart"/>
            <w:tcBorders>
              <w:tl2br w:val="nil"/>
              <w:tr2bl w:val="nil"/>
            </w:tcBorders>
            <w:vAlign w:val="center"/>
          </w:tcPr>
          <w:p w14:paraId="16F8100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震旦系</w:t>
            </w:r>
          </w:p>
        </w:tc>
        <w:tc>
          <w:tcPr>
            <w:tcW w:w="589" w:type="dxa"/>
            <w:tcBorders>
              <w:tl2br w:val="nil"/>
              <w:tr2bl w:val="nil"/>
            </w:tcBorders>
            <w:shd w:val="clear" w:color="auto" w:fill="auto"/>
            <w:vAlign w:val="center"/>
          </w:tcPr>
          <w:p w14:paraId="1872D1E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上统</w:t>
            </w:r>
          </w:p>
        </w:tc>
        <w:tc>
          <w:tcPr>
            <w:tcW w:w="667" w:type="dxa"/>
            <w:tcBorders>
              <w:tl2br w:val="nil"/>
              <w:tr2bl w:val="nil"/>
            </w:tcBorders>
            <w:shd w:val="clear" w:color="auto" w:fill="auto"/>
            <w:vAlign w:val="center"/>
          </w:tcPr>
          <w:p w14:paraId="1689F8D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00" w:type="dxa"/>
            <w:tcBorders>
              <w:tl2br w:val="nil"/>
              <w:tr2bl w:val="nil"/>
            </w:tcBorders>
            <w:shd w:val="clear" w:color="auto" w:fill="auto"/>
            <w:vAlign w:val="center"/>
          </w:tcPr>
          <w:p w14:paraId="6B4B711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Z2</w:t>
            </w:r>
          </w:p>
        </w:tc>
        <w:tc>
          <w:tcPr>
            <w:tcW w:w="971" w:type="dxa"/>
            <w:tcBorders>
              <w:tl2br w:val="nil"/>
              <w:tr2bl w:val="nil"/>
            </w:tcBorders>
            <w:shd w:val="clear" w:color="auto" w:fill="auto"/>
            <w:vAlign w:val="center"/>
          </w:tcPr>
          <w:p w14:paraId="499B03B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海相</w:t>
            </w:r>
          </w:p>
        </w:tc>
        <w:tc>
          <w:tcPr>
            <w:tcW w:w="1558" w:type="dxa"/>
            <w:tcBorders>
              <w:tl2br w:val="nil"/>
              <w:tr2bl w:val="nil"/>
            </w:tcBorders>
            <w:shd w:val="clear" w:color="auto" w:fill="auto"/>
            <w:vAlign w:val="center"/>
          </w:tcPr>
          <w:p w14:paraId="49BD989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浦口、六合冶山、南京幕府山</w:t>
            </w:r>
          </w:p>
        </w:tc>
        <w:tc>
          <w:tcPr>
            <w:tcW w:w="3339" w:type="dxa"/>
            <w:tcBorders>
              <w:tl2br w:val="nil"/>
              <w:tr2bl w:val="nil"/>
            </w:tcBorders>
            <w:shd w:val="clear" w:color="auto" w:fill="auto"/>
            <w:vAlign w:val="center"/>
          </w:tcPr>
          <w:p w14:paraId="17CD496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灰岩、白云岩</w:t>
            </w:r>
          </w:p>
        </w:tc>
      </w:tr>
      <w:tr w14:paraId="3829CB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dxa"/>
            <w:vMerge w:val="continue"/>
            <w:tcBorders>
              <w:tl2br w:val="nil"/>
              <w:tr2bl w:val="nil"/>
            </w:tcBorders>
            <w:vAlign w:val="center"/>
          </w:tcPr>
          <w:p w14:paraId="030F6BC9">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397" w:type="dxa"/>
            <w:vMerge w:val="continue"/>
            <w:tcBorders>
              <w:tl2br w:val="nil"/>
              <w:tr2bl w:val="nil"/>
            </w:tcBorders>
            <w:vAlign w:val="center"/>
          </w:tcPr>
          <w:p w14:paraId="7C25C3F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p>
        </w:tc>
        <w:tc>
          <w:tcPr>
            <w:tcW w:w="589" w:type="dxa"/>
            <w:tcBorders>
              <w:tl2br w:val="nil"/>
              <w:tr2bl w:val="nil"/>
            </w:tcBorders>
            <w:shd w:val="clear" w:color="auto" w:fill="auto"/>
            <w:vAlign w:val="center"/>
          </w:tcPr>
          <w:p w14:paraId="3DB28F0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下统</w:t>
            </w:r>
          </w:p>
        </w:tc>
        <w:tc>
          <w:tcPr>
            <w:tcW w:w="667" w:type="dxa"/>
            <w:tcBorders>
              <w:tl2br w:val="nil"/>
              <w:tr2bl w:val="nil"/>
            </w:tcBorders>
            <w:shd w:val="clear" w:color="auto" w:fill="auto"/>
            <w:vAlign w:val="center"/>
          </w:tcPr>
          <w:p w14:paraId="61D6EA9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00" w:type="dxa"/>
            <w:tcBorders>
              <w:tl2br w:val="nil"/>
              <w:tr2bl w:val="nil"/>
            </w:tcBorders>
            <w:shd w:val="clear" w:color="auto" w:fill="auto"/>
            <w:vAlign w:val="center"/>
          </w:tcPr>
          <w:p w14:paraId="477628FE">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Z1</w:t>
            </w:r>
          </w:p>
        </w:tc>
        <w:tc>
          <w:tcPr>
            <w:tcW w:w="971" w:type="dxa"/>
            <w:tcBorders>
              <w:tl2br w:val="nil"/>
              <w:tr2bl w:val="nil"/>
            </w:tcBorders>
            <w:shd w:val="clear" w:color="auto" w:fill="auto"/>
            <w:vAlign w:val="center"/>
          </w:tcPr>
          <w:p w14:paraId="5498A2CD">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陆相</w:t>
            </w:r>
          </w:p>
        </w:tc>
        <w:tc>
          <w:tcPr>
            <w:tcW w:w="1558" w:type="dxa"/>
            <w:tcBorders>
              <w:tl2br w:val="nil"/>
              <w:tr2bl w:val="nil"/>
            </w:tcBorders>
            <w:shd w:val="clear" w:color="auto" w:fill="auto"/>
            <w:vAlign w:val="center"/>
          </w:tcPr>
          <w:p w14:paraId="4725FF8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浦口星甸陆家凹</w:t>
            </w:r>
          </w:p>
        </w:tc>
        <w:tc>
          <w:tcPr>
            <w:tcW w:w="3339" w:type="dxa"/>
            <w:tcBorders>
              <w:tl2br w:val="nil"/>
              <w:tr2bl w:val="nil"/>
            </w:tcBorders>
            <w:shd w:val="clear" w:color="auto" w:fill="auto"/>
            <w:vAlign w:val="center"/>
          </w:tcPr>
          <w:p w14:paraId="41FEB18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含冰碛砾千枚岩</w:t>
            </w:r>
          </w:p>
        </w:tc>
      </w:tr>
    </w:tbl>
    <w:p w14:paraId="3662D4C4">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default" w:ascii="Times New Roman" w:hAnsi="Times New Roman" w:eastAsia="宋体" w:cs="Times New Roman"/>
          <w:b/>
          <w:bCs/>
          <w:color w:val="auto"/>
          <w:spacing w:val="-3"/>
          <w:sz w:val="24"/>
          <w:szCs w:val="24"/>
          <w:lang w:val="en-US" w:eastAsia="zh-CN"/>
        </w:rPr>
      </w:pPr>
      <w:bookmarkStart w:id="2017" w:name="_Toc4294"/>
      <w:bookmarkStart w:id="2018" w:name="OLE_LINK675"/>
      <w:r>
        <w:rPr>
          <w:rFonts w:hint="default" w:ascii="Times New Roman" w:hAnsi="Times New Roman" w:eastAsia="宋体" w:cs="Times New Roman"/>
          <w:b/>
          <w:bCs/>
          <w:color w:val="auto"/>
          <w:spacing w:val="-3"/>
          <w:sz w:val="24"/>
          <w:szCs w:val="24"/>
          <w:lang w:val="en-US" w:eastAsia="zh-CN"/>
        </w:rPr>
        <w:t>7.</w:t>
      </w:r>
      <w:r>
        <w:rPr>
          <w:rFonts w:hint="eastAsia" w:ascii="Times New Roman" w:hAnsi="Times New Roman" w:eastAsia="宋体" w:cs="Times New Roman"/>
          <w:b/>
          <w:bCs/>
          <w:color w:val="auto"/>
          <w:spacing w:val="-3"/>
          <w:sz w:val="24"/>
          <w:szCs w:val="24"/>
          <w:lang w:val="en-US" w:eastAsia="zh-CN"/>
        </w:rPr>
        <w:t>3.2区域地质构造</w:t>
      </w:r>
      <w:bookmarkEnd w:id="2017"/>
      <w:bookmarkStart w:id="2019" w:name="pindex13624"/>
      <w:bookmarkEnd w:id="2019"/>
    </w:p>
    <w:bookmarkEnd w:id="2018"/>
    <w:p w14:paraId="42D8308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南京</w:t>
      </w:r>
      <w:bookmarkStart w:id="2020" w:name="OLE_LINK672"/>
      <w:r>
        <w:rPr>
          <w:rFonts w:hint="default" w:ascii="Times New Roman" w:hAnsi="Times New Roman" w:eastAsia="宋体" w:cs="Times New Roman"/>
          <w:snapToGrid w:val="0"/>
          <w:color w:val="auto"/>
          <w:kern w:val="0"/>
          <w:sz w:val="24"/>
          <w:szCs w:val="24"/>
          <w:lang w:val="en-US" w:eastAsia="zh-CN" w:bidi="ar"/>
        </w:rPr>
        <w:t>地区大地构造属扬子准地台的下扬子凹陷褶皱带，这个凹陷从震旦纪以来长期交替沉积了各时代的海相、陆相和海陆相地层，下</w:t>
      </w:r>
      <w:r>
        <w:rPr>
          <w:rFonts w:hint="eastAsia" w:ascii="Times New Roman" w:hAnsi="Times New Roman" w:eastAsia="宋体" w:cs="Times New Roman"/>
          <w:snapToGrid w:val="0"/>
          <w:color w:val="auto"/>
          <w:kern w:val="0"/>
          <w:sz w:val="24"/>
          <w:szCs w:val="24"/>
          <w:lang w:val="en-US" w:eastAsia="zh-CN" w:bidi="ar"/>
        </w:rPr>
        <w:t>三叠系</w:t>
      </w:r>
      <w:r>
        <w:rPr>
          <w:rFonts w:hint="default" w:ascii="Times New Roman" w:hAnsi="Times New Roman" w:eastAsia="宋体" w:cs="Times New Roman"/>
          <w:snapToGrid w:val="0"/>
          <w:color w:val="auto"/>
          <w:kern w:val="0"/>
          <w:sz w:val="24"/>
          <w:szCs w:val="24"/>
          <w:lang w:val="en-US" w:eastAsia="zh-CN" w:bidi="ar"/>
        </w:rPr>
        <w:t>青龙群沉积以后，经印支运动、燕山运动发生断裂及岩浆活动，并在相邻凹陷区及山前山间盆地堆积了白垩纪及第三纪红色岩系及侏罗～白垩纪的火山岩系。沿线地质构造主要处于宁镇弧形褶皱西段</w:t>
      </w:r>
      <w:bookmarkEnd w:id="2020"/>
      <w:r>
        <w:rPr>
          <w:rFonts w:hint="default" w:ascii="Times New Roman" w:hAnsi="Times New Roman" w:eastAsia="宋体" w:cs="Times New Roman"/>
          <w:snapToGrid w:val="0"/>
          <w:color w:val="auto"/>
          <w:kern w:val="0"/>
          <w:sz w:val="24"/>
          <w:szCs w:val="24"/>
          <w:lang w:val="en-US" w:eastAsia="zh-CN" w:bidi="ar"/>
        </w:rPr>
        <w:t>，各类不同</w:t>
      </w:r>
      <w:sdt>
        <w:sdtPr>
          <w:rPr>
            <w:color w:val="auto"/>
          </w:rPr>
          <w:alias w:val="易错词检查"/>
          <w:tag w:val="auto"/>
          <w:id w:val="3011554"/>
        </w:sdtPr>
        <w:sdtEndPr>
          <w:rPr>
            <w:color w:val="auto"/>
          </w:rPr>
        </w:sdtEndPr>
        <w:sdtContent>
          <w:bookmarkStart w:id="2021" w:name="bkReivew3011554"/>
          <w:r>
            <w:rPr>
              <w:rFonts w:hint="default" w:ascii="Times New Roman" w:hAnsi="Times New Roman" w:eastAsia="宋体" w:cs="Times New Roman"/>
              <w:snapToGrid w:val="0"/>
              <w:color w:val="auto"/>
              <w:kern w:val="0"/>
              <w:sz w:val="24"/>
              <w:szCs w:val="24"/>
              <w:lang w:val="en-US" w:eastAsia="zh-CN" w:bidi="ar"/>
            </w:rPr>
            <w:t>期次</w:t>
          </w:r>
          <w:bookmarkEnd w:id="2021"/>
        </w:sdtContent>
      </w:sdt>
      <w:r>
        <w:rPr>
          <w:rFonts w:hint="default" w:ascii="Times New Roman" w:hAnsi="Times New Roman" w:eastAsia="宋体" w:cs="Times New Roman"/>
          <w:snapToGrid w:val="0"/>
          <w:color w:val="auto"/>
          <w:kern w:val="0"/>
          <w:sz w:val="24"/>
          <w:szCs w:val="24"/>
          <w:lang w:val="en-US" w:eastAsia="zh-CN" w:bidi="ar"/>
        </w:rPr>
        <w:t>、不同性质，不同方向的褶皱，断裂十分发育，沿线重要地质构造有：</w:t>
      </w:r>
    </w:p>
    <w:p w14:paraId="44A803A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（1）龙～仓复背斜</w:t>
      </w:r>
      <w:bookmarkStart w:id="2022" w:name="pindex13626"/>
      <w:bookmarkEnd w:id="2022"/>
    </w:p>
    <w:p w14:paraId="486C7FA8">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沿长江南岸断续展布，由幕府山，栖霞山，龙潭等复背斜组成，轴向北东～近东西向。由于燕山期侵入岩</w:t>
      </w:r>
      <w:r>
        <w:rPr>
          <w:rFonts w:hint="eastAsia" w:ascii="Times New Roman" w:hAnsi="Times New Roman" w:eastAsia="宋体" w:cs="Times New Roman"/>
          <w:snapToGrid w:val="0"/>
          <w:color w:val="auto"/>
          <w:kern w:val="0"/>
          <w:sz w:val="24"/>
          <w:szCs w:val="24"/>
          <w:lang w:val="en-US" w:eastAsia="zh-CN" w:bidi="ar"/>
        </w:rPr>
        <w:t>地占据</w:t>
      </w:r>
      <w:r>
        <w:rPr>
          <w:rFonts w:hint="default" w:ascii="Times New Roman" w:hAnsi="Times New Roman" w:eastAsia="宋体" w:cs="Times New Roman"/>
          <w:snapToGrid w:val="0"/>
          <w:color w:val="auto"/>
          <w:kern w:val="0"/>
          <w:sz w:val="24"/>
          <w:szCs w:val="24"/>
          <w:lang w:val="en-US" w:eastAsia="zh-CN" w:bidi="ar"/>
        </w:rPr>
        <w:t>和侏罗系～白垩系地层的覆盖，走向上不连续，北翼被沿江断裂断失，只出露南翼。</w:t>
      </w:r>
    </w:p>
    <w:p w14:paraId="170560B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（2）南京～湖熟断裂</w:t>
      </w:r>
      <w:bookmarkStart w:id="2023" w:name="pindex13628"/>
      <w:bookmarkEnd w:id="2023"/>
    </w:p>
    <w:p w14:paraId="48B3154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位于南京市上坊至湖熟一线，向南东延伸经郭庄、天王寺到溧阳一线。属于隐伏性区域性断裂，该断裂也是宁镇弧形隆起与宁芜断陷盆地的分界带，北东侧为宁镇弧形隆起带，南西侧为宁芜火山岩盆地。走向300°-320°，断层倾向南西，倾角较陡，是上盘下降的正断层，总长120km以上，该断裂控制了西南地区红层沉积的分布和厚度，在中更新世晚期有活动；</w:t>
      </w:r>
    </w:p>
    <w:p w14:paraId="78C284D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（3）沿江断裂带</w:t>
      </w:r>
      <w:bookmarkStart w:id="2024" w:name="pindex13630"/>
      <w:bookmarkEnd w:id="2024"/>
    </w:p>
    <w:p w14:paraId="13DCDF99">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highlight w:val="none"/>
          <w:lang w:val="en-US" w:eastAsia="zh-CN" w:bidi="ar"/>
        </w:rPr>
        <w:t>该断裂带位于宁镇隆起的北缘，自幕府山一镇江焦山，区内仅为西段一部分。北</w:t>
      </w:r>
      <w:sdt>
        <w:sdtPr>
          <w:rPr>
            <w:color w:val="auto"/>
            <w:highlight w:val="none"/>
          </w:rPr>
          <w:alias w:val="易错词检查"/>
          <w:tag w:val="auto"/>
          <w:id w:val="3023613"/>
        </w:sdtPr>
        <w:sdtEndPr>
          <w:rPr>
            <w:color w:val="auto"/>
            <w:highlight w:val="none"/>
          </w:rPr>
        </w:sdtEndPr>
        <w:sdtContent>
          <w:bookmarkStart w:id="2025" w:name="bkReivew3023613"/>
          <w:r>
            <w:rPr>
              <w:rFonts w:hint="default" w:ascii="Times New Roman" w:hAnsi="Times New Roman" w:eastAsia="宋体" w:cs="Times New Roman"/>
              <w:snapToGrid w:val="0"/>
              <w:color w:val="auto"/>
              <w:kern w:val="0"/>
              <w:sz w:val="24"/>
              <w:szCs w:val="24"/>
              <w:highlight w:val="none"/>
              <w:lang w:val="en-US" w:eastAsia="zh-CN" w:bidi="ar"/>
            </w:rPr>
            <w:t>东东</w:t>
          </w:r>
          <w:bookmarkEnd w:id="2025"/>
        </w:sdtContent>
      </w:sdt>
      <w:r>
        <w:rPr>
          <w:rFonts w:hint="default" w:ascii="Times New Roman" w:hAnsi="Times New Roman" w:eastAsia="宋体" w:cs="Times New Roman"/>
          <w:snapToGrid w:val="0"/>
          <w:color w:val="auto"/>
          <w:kern w:val="0"/>
          <w:sz w:val="24"/>
          <w:szCs w:val="24"/>
          <w:highlight w:val="none"/>
          <w:lang w:val="en-US" w:eastAsia="zh-CN" w:bidi="ar"/>
        </w:rPr>
        <w:t>向延伸，</w:t>
      </w:r>
      <w:r>
        <w:rPr>
          <w:rFonts w:hint="default" w:ascii="Times New Roman" w:hAnsi="Times New Roman" w:eastAsia="宋体" w:cs="Times New Roman"/>
          <w:snapToGrid w:val="0"/>
          <w:color w:val="auto"/>
          <w:kern w:val="0"/>
          <w:sz w:val="24"/>
          <w:szCs w:val="24"/>
          <w:lang w:val="en-US" w:eastAsia="zh-CN" w:bidi="ar"/>
        </w:rPr>
        <w:t>长达36公里，断层面倾向北，倾角陡，南北盘落差可达数公里。</w:t>
      </w:r>
    </w:p>
    <w:p w14:paraId="7C6E51B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（4）滁河断裂</w:t>
      </w:r>
      <w:bookmarkStart w:id="2026" w:name="pindex13632"/>
      <w:bookmarkEnd w:id="2026"/>
    </w:p>
    <w:p w14:paraId="56388863">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位于老子山北缘，长约250km，走向北东，倾向北西，具正断层性质，晚更新世以来已基本停止活动，为了查明断层通过位置，采取物、化探与地质钻探相结合方法进行综合</w:t>
      </w:r>
      <w:r>
        <w:rPr>
          <w:rFonts w:hint="eastAsia" w:ascii="Times New Roman" w:hAnsi="Times New Roman" w:eastAsia="宋体" w:cs="Times New Roman"/>
          <w:snapToGrid w:val="0"/>
          <w:color w:val="auto"/>
          <w:kern w:val="0"/>
          <w:sz w:val="24"/>
          <w:szCs w:val="24"/>
          <w:lang w:val="en-US" w:eastAsia="zh-CN" w:bidi="ar"/>
        </w:rPr>
        <w:t>勘探</w:t>
      </w:r>
      <w:r>
        <w:rPr>
          <w:rFonts w:hint="default" w:ascii="Times New Roman" w:hAnsi="Times New Roman" w:eastAsia="宋体" w:cs="Times New Roman"/>
          <w:snapToGrid w:val="0"/>
          <w:color w:val="auto"/>
          <w:kern w:val="0"/>
          <w:sz w:val="24"/>
          <w:szCs w:val="24"/>
          <w:lang w:val="en-US" w:eastAsia="zh-CN" w:bidi="ar"/>
        </w:rPr>
        <w:t>，发现在城区东南，市党校附近，有一规模较大的隐性断裂通过。</w:t>
      </w:r>
    </w:p>
    <w:p w14:paraId="2368C2D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另据新沂沭河铁路桥工程地质资料及城区北部大窦庄物探资料，均发现有北东向隐伏断裂通过。</w:t>
      </w:r>
    </w:p>
    <w:p w14:paraId="52EEC2C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综合上述资料，初步确定断裂通过具体位置为陆塘村-市党校-市第一招待所东-桥口路-大窦庄。断裂走向NE12°倾向南东，为一倾角较陡的逆冲断层。断裂破碎带宽度约为l00m。拟建场区位于华北地区，位于郯鲁大断裂（该断裂为全新活动断裂）西约10km，下伏基岩为白垩系王氏组砂岩，上覆土层厚度大于50m。</w:t>
      </w:r>
    </w:p>
    <w:p w14:paraId="7393DA1A">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default" w:ascii="Times New Roman" w:hAnsi="Times New Roman" w:eastAsia="宋体" w:cs="Times New Roman"/>
          <w:b/>
          <w:bCs/>
          <w:color w:val="auto"/>
          <w:spacing w:val="-3"/>
          <w:sz w:val="24"/>
          <w:szCs w:val="24"/>
          <w:lang w:val="en-US" w:eastAsia="zh-CN"/>
        </w:rPr>
      </w:pPr>
      <w:bookmarkStart w:id="2027" w:name="_Toc17169"/>
      <w:bookmarkStart w:id="2028" w:name="OLE_LINK676"/>
      <w:r>
        <w:rPr>
          <w:rFonts w:hint="default" w:ascii="Times New Roman" w:hAnsi="Times New Roman" w:eastAsia="宋体" w:cs="Times New Roman"/>
          <w:b/>
          <w:bCs/>
          <w:color w:val="auto"/>
          <w:spacing w:val="-3"/>
          <w:sz w:val="24"/>
          <w:szCs w:val="24"/>
          <w:lang w:val="en-US" w:eastAsia="zh-CN"/>
        </w:rPr>
        <w:t>7.</w:t>
      </w:r>
      <w:r>
        <w:rPr>
          <w:rFonts w:hint="eastAsia" w:ascii="Times New Roman" w:hAnsi="Times New Roman" w:eastAsia="宋体" w:cs="Times New Roman"/>
          <w:b/>
          <w:bCs/>
          <w:color w:val="auto"/>
          <w:spacing w:val="-3"/>
          <w:sz w:val="24"/>
          <w:szCs w:val="24"/>
          <w:lang w:val="en-US" w:eastAsia="zh-CN"/>
        </w:rPr>
        <w:t>3.3区域水文地质概况</w:t>
      </w:r>
      <w:bookmarkEnd w:id="2027"/>
      <w:bookmarkStart w:id="2029" w:name="pindex13636"/>
      <w:bookmarkEnd w:id="2029"/>
    </w:p>
    <w:bookmarkEnd w:id="2028"/>
    <w:p w14:paraId="7D5F315A">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9"/>
        <w:rPr>
          <w:rFonts w:hint="default" w:ascii="Times New Roman" w:hAnsi="Times New Roman" w:eastAsia="宋体" w:cs="Times New Roman"/>
          <w:b/>
          <w:bCs/>
          <w:color w:val="auto"/>
          <w:spacing w:val="-3"/>
          <w:sz w:val="24"/>
          <w:szCs w:val="24"/>
          <w:lang w:val="en-US" w:eastAsia="zh-CN"/>
        </w:rPr>
      </w:pPr>
      <w:bookmarkStart w:id="2030" w:name="OLE_LINK687"/>
      <w:bookmarkStart w:id="2031" w:name="OLE_LINK677"/>
      <w:r>
        <w:rPr>
          <w:rFonts w:hint="default" w:ascii="Times New Roman" w:hAnsi="Times New Roman" w:eastAsia="宋体" w:cs="Times New Roman"/>
          <w:b/>
          <w:bCs/>
          <w:color w:val="auto"/>
          <w:spacing w:val="-3"/>
          <w:sz w:val="24"/>
          <w:szCs w:val="24"/>
          <w:lang w:val="en-US" w:eastAsia="zh-CN"/>
        </w:rPr>
        <w:t>7.</w:t>
      </w:r>
      <w:r>
        <w:rPr>
          <w:rFonts w:hint="eastAsia" w:ascii="Times New Roman" w:hAnsi="Times New Roman" w:eastAsia="宋体" w:cs="Times New Roman"/>
          <w:b/>
          <w:bCs/>
          <w:color w:val="auto"/>
          <w:spacing w:val="-3"/>
          <w:sz w:val="24"/>
          <w:szCs w:val="24"/>
          <w:lang w:val="en-US" w:eastAsia="zh-CN"/>
        </w:rPr>
        <w:t>3.3.1地下水类型</w:t>
      </w:r>
      <w:bookmarkStart w:id="2032" w:name="pindex13637"/>
      <w:bookmarkEnd w:id="2032"/>
    </w:p>
    <w:bookmarkEnd w:id="2030"/>
    <w:p w14:paraId="2EBAB955">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南京市地下水分为孔隙水、岩溶水、裂隙水三种主要类型，对应的存储介质为松散岩类孔隙含水层组、碳酸盐岩类溶隙含水岩组、碎屑岩（含火山碎屑岩）类含水岩组及</w:t>
      </w:r>
      <w:r>
        <w:rPr>
          <w:rFonts w:hint="eastAsia" w:ascii="Times New Roman" w:hAnsi="Times New Roman" w:eastAsia="宋体" w:cs="Times New Roman"/>
          <w:snapToGrid w:val="0"/>
          <w:color w:val="auto"/>
          <w:kern w:val="0"/>
          <w:sz w:val="24"/>
          <w:szCs w:val="24"/>
          <w:lang w:val="en-US" w:eastAsia="zh-CN" w:bidi="ar"/>
        </w:rPr>
        <w:t>火山侵入</w:t>
      </w:r>
      <w:r>
        <w:rPr>
          <w:rFonts w:hint="default" w:ascii="Times New Roman" w:hAnsi="Times New Roman" w:eastAsia="宋体" w:cs="Times New Roman"/>
          <w:snapToGrid w:val="0"/>
          <w:color w:val="auto"/>
          <w:kern w:val="0"/>
          <w:sz w:val="24"/>
          <w:szCs w:val="24"/>
          <w:lang w:val="en-US" w:eastAsia="zh-CN" w:bidi="ar"/>
        </w:rPr>
        <w:t>岩裂隙含水岩组。地下水类型按含水介质（岩性）、水动力特征，进一步可细分为六个亚类。</w:t>
      </w:r>
    </w:p>
    <w:p w14:paraId="28D6B849">
      <w:pPr>
        <w:bidi w:val="0"/>
        <w:jc w:val="center"/>
        <w:rPr>
          <w:rFonts w:hint="default" w:ascii="Times New Roman" w:hAnsi="Times New Roman" w:eastAsia="宋体" w:cs="Times New Roman"/>
          <w:b/>
          <w:bCs/>
          <w:color w:val="auto"/>
          <w:sz w:val="24"/>
          <w:szCs w:val="24"/>
          <w:lang w:val="en-US"/>
        </w:rPr>
      </w:pPr>
      <w:bookmarkStart w:id="2033" w:name="OLE_LINK678"/>
      <w:r>
        <w:rPr>
          <w:rFonts w:hint="default" w:ascii="Times New Roman" w:hAnsi="Times New Roman" w:eastAsia="宋体" w:cs="Times New Roman"/>
          <w:b/>
          <w:bCs/>
          <w:color w:val="auto"/>
          <w:sz w:val="24"/>
          <w:szCs w:val="24"/>
          <w:lang w:val="en-US" w:eastAsia="zh-CN"/>
        </w:rPr>
        <w:t>表7.3-2  地下水类型划分一览表</w:t>
      </w:r>
      <w:bookmarkStart w:id="2034" w:name="pindex13639"/>
      <w:bookmarkEnd w:id="2034"/>
    </w:p>
    <w:bookmarkEnd w:id="2031"/>
    <w:bookmarkEnd w:id="2033"/>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4"/>
        <w:gridCol w:w="1220"/>
        <w:gridCol w:w="2824"/>
        <w:gridCol w:w="2018"/>
        <w:gridCol w:w="1717"/>
      </w:tblGrid>
      <w:tr w14:paraId="3333D3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24" w:type="dxa"/>
            <w:gridSpan w:val="2"/>
            <w:tcBorders>
              <w:tl2br w:val="nil"/>
              <w:tr2bl w:val="nil"/>
            </w:tcBorders>
            <w:vAlign w:val="center"/>
          </w:tcPr>
          <w:p w14:paraId="5FAD12E7">
            <w:pPr>
              <w:widowControl w:val="0"/>
              <w:bidi w:val="0"/>
              <w:jc w:val="center"/>
              <w:rPr>
                <w:rFonts w:hint="default" w:ascii="Times New Roman" w:hAnsi="Times New Roman" w:eastAsia="宋体" w:cs="Times New Roman"/>
                <w:b/>
                <w:bCs/>
                <w:color w:val="auto"/>
                <w:sz w:val="21"/>
                <w:szCs w:val="21"/>
              </w:rPr>
            </w:pPr>
            <w:bookmarkStart w:id="2035" w:name="OLE_LINK679" w:colFirst="0" w:colLast="4"/>
            <w:r>
              <w:rPr>
                <w:rFonts w:hint="eastAsia" w:ascii="Times New Roman" w:hAnsi="Times New Roman" w:eastAsia="宋体" w:cs="Times New Roman"/>
                <w:b/>
                <w:bCs/>
                <w:color w:val="auto"/>
                <w:sz w:val="21"/>
                <w:szCs w:val="21"/>
                <w:lang w:val="en-US" w:eastAsia="zh-CN"/>
              </w:rPr>
              <w:t>地下水类型</w:t>
            </w:r>
          </w:p>
        </w:tc>
        <w:tc>
          <w:tcPr>
            <w:tcW w:w="6559" w:type="dxa"/>
            <w:gridSpan w:val="3"/>
            <w:tcBorders>
              <w:tl2br w:val="nil"/>
              <w:tr2bl w:val="nil"/>
            </w:tcBorders>
            <w:vAlign w:val="center"/>
          </w:tcPr>
          <w:p w14:paraId="0D3BA472">
            <w:pPr>
              <w:widowControl w:val="0"/>
              <w:bidi w:val="0"/>
              <w:jc w:val="center"/>
              <w:rPr>
                <w:rFonts w:hint="default"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lang w:val="en-US" w:eastAsia="zh-CN"/>
              </w:rPr>
              <w:t>含水层组</w:t>
            </w:r>
          </w:p>
        </w:tc>
      </w:tr>
      <w:tr w14:paraId="2E884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4" w:type="dxa"/>
            <w:tcBorders>
              <w:tl2br w:val="nil"/>
              <w:tr2bl w:val="nil"/>
            </w:tcBorders>
            <w:vAlign w:val="center"/>
          </w:tcPr>
          <w:p w14:paraId="39AA89A7">
            <w:pPr>
              <w:widowControl w:val="0"/>
              <w:bidi w:val="0"/>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大类</w:t>
            </w:r>
          </w:p>
        </w:tc>
        <w:tc>
          <w:tcPr>
            <w:tcW w:w="1220" w:type="dxa"/>
            <w:tcBorders>
              <w:tl2br w:val="nil"/>
              <w:tr2bl w:val="nil"/>
            </w:tcBorders>
            <w:vAlign w:val="center"/>
          </w:tcPr>
          <w:p w14:paraId="7C668321">
            <w:pPr>
              <w:widowControl w:val="0"/>
              <w:bidi w:val="0"/>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亚类</w:t>
            </w:r>
          </w:p>
        </w:tc>
        <w:tc>
          <w:tcPr>
            <w:tcW w:w="2824" w:type="dxa"/>
            <w:tcBorders>
              <w:tl2br w:val="nil"/>
              <w:tr2bl w:val="nil"/>
            </w:tcBorders>
            <w:vAlign w:val="center"/>
          </w:tcPr>
          <w:p w14:paraId="519F7801">
            <w:pPr>
              <w:widowControl w:val="0"/>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地层代号</w:t>
            </w:r>
          </w:p>
        </w:tc>
        <w:tc>
          <w:tcPr>
            <w:tcW w:w="2018" w:type="dxa"/>
            <w:tcBorders>
              <w:tl2br w:val="nil"/>
              <w:tr2bl w:val="nil"/>
            </w:tcBorders>
            <w:vAlign w:val="center"/>
          </w:tcPr>
          <w:p w14:paraId="5FF45237">
            <w:pPr>
              <w:widowControl w:val="0"/>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主要含水层岩性</w:t>
            </w:r>
          </w:p>
        </w:tc>
        <w:tc>
          <w:tcPr>
            <w:tcW w:w="1717" w:type="dxa"/>
            <w:tcBorders>
              <w:tl2br w:val="nil"/>
              <w:tr2bl w:val="nil"/>
            </w:tcBorders>
            <w:vAlign w:val="center"/>
          </w:tcPr>
          <w:p w14:paraId="20585013">
            <w:pPr>
              <w:widowControl w:val="0"/>
              <w:bidi w:val="0"/>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分布区域</w:t>
            </w:r>
          </w:p>
        </w:tc>
      </w:tr>
      <w:bookmarkEnd w:id="2035"/>
      <w:tr w14:paraId="04ED46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4" w:type="dxa"/>
            <w:vMerge w:val="restart"/>
            <w:tcBorders>
              <w:tl2br w:val="nil"/>
              <w:tr2bl w:val="nil"/>
            </w:tcBorders>
            <w:vAlign w:val="center"/>
          </w:tcPr>
          <w:p w14:paraId="57B92D6F">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孔隙水</w:t>
            </w:r>
          </w:p>
        </w:tc>
        <w:tc>
          <w:tcPr>
            <w:tcW w:w="1220" w:type="dxa"/>
            <w:tcBorders>
              <w:tl2br w:val="nil"/>
              <w:tr2bl w:val="nil"/>
            </w:tcBorders>
            <w:vAlign w:val="center"/>
          </w:tcPr>
          <w:p w14:paraId="69457016">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松散岩类孔隙潜水</w:t>
            </w:r>
          </w:p>
        </w:tc>
        <w:tc>
          <w:tcPr>
            <w:tcW w:w="2824" w:type="dxa"/>
            <w:tcBorders>
              <w:tl2br w:val="nil"/>
              <w:tr2bl w:val="nil"/>
            </w:tcBorders>
            <w:vAlign w:val="center"/>
          </w:tcPr>
          <w:p w14:paraId="6BED10D0">
            <w:pPr>
              <w:keepNext w:val="0"/>
              <w:keepLines w:val="0"/>
              <w:widowControl/>
              <w:suppressLineNumbers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Q4</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Q3</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Q2</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Ny</w:t>
            </w:r>
          </w:p>
        </w:tc>
        <w:tc>
          <w:tcPr>
            <w:tcW w:w="2018" w:type="dxa"/>
            <w:tcBorders>
              <w:tl2br w:val="nil"/>
              <w:tr2bl w:val="nil"/>
            </w:tcBorders>
            <w:vAlign w:val="center"/>
          </w:tcPr>
          <w:p w14:paraId="4F3CB418">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粉砂、亚砂土、亚</w:t>
            </w:r>
            <w:r>
              <w:rPr>
                <w:rFonts w:hint="eastAsia" w:eastAsia="宋体"/>
                <w:color w:val="auto"/>
                <w:lang w:eastAsia="zh-CN"/>
              </w:rPr>
              <w:t>黏</w:t>
            </w:r>
            <w:r>
              <w:rPr>
                <w:rFonts w:hint="eastAsia" w:ascii="宋体" w:hAnsi="宋体" w:eastAsia="宋体" w:cs="宋体"/>
                <w:snapToGrid w:val="0"/>
                <w:color w:val="auto"/>
                <w:kern w:val="0"/>
                <w:sz w:val="21"/>
                <w:szCs w:val="21"/>
                <w:lang w:val="en-US" w:eastAsia="zh-CN" w:bidi="ar"/>
              </w:rPr>
              <w:t>土、砂、砂砾</w:t>
            </w:r>
          </w:p>
        </w:tc>
        <w:tc>
          <w:tcPr>
            <w:tcW w:w="1717" w:type="dxa"/>
            <w:tcBorders>
              <w:tl2br w:val="nil"/>
              <w:tr2bl w:val="nil"/>
            </w:tcBorders>
            <w:vAlign w:val="center"/>
          </w:tcPr>
          <w:p w14:paraId="6AD73033">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丘岗、沟谷、平原表层</w:t>
            </w:r>
          </w:p>
        </w:tc>
      </w:tr>
      <w:tr w14:paraId="5FDD18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4" w:type="dxa"/>
            <w:vMerge w:val="continue"/>
            <w:tcBorders>
              <w:tl2br w:val="nil"/>
              <w:tr2bl w:val="nil"/>
            </w:tcBorders>
            <w:vAlign w:val="center"/>
          </w:tcPr>
          <w:p w14:paraId="4B161AF8">
            <w:pPr>
              <w:widowControl w:val="0"/>
              <w:bidi w:val="0"/>
              <w:jc w:val="center"/>
              <w:rPr>
                <w:rFonts w:hint="default" w:ascii="Times New Roman" w:hAnsi="Times New Roman" w:eastAsia="宋体" w:cs="Times New Roman"/>
                <w:color w:val="auto"/>
                <w:sz w:val="21"/>
                <w:szCs w:val="21"/>
              </w:rPr>
            </w:pPr>
          </w:p>
        </w:tc>
        <w:tc>
          <w:tcPr>
            <w:tcW w:w="1220" w:type="dxa"/>
            <w:tcBorders>
              <w:tl2br w:val="nil"/>
              <w:tr2bl w:val="nil"/>
            </w:tcBorders>
            <w:vAlign w:val="center"/>
          </w:tcPr>
          <w:p w14:paraId="7F083BB2">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松散岩类孔隙承压水</w:t>
            </w:r>
          </w:p>
        </w:tc>
        <w:tc>
          <w:tcPr>
            <w:tcW w:w="2824" w:type="dxa"/>
            <w:tcBorders>
              <w:tl2br w:val="nil"/>
              <w:tr2bl w:val="nil"/>
            </w:tcBorders>
            <w:vAlign w:val="center"/>
          </w:tcPr>
          <w:p w14:paraId="315D1947">
            <w:pPr>
              <w:keepNext w:val="0"/>
              <w:keepLines w:val="0"/>
              <w:widowControl/>
              <w:suppressLineNumbers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Q4</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Q3</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Q1-2</w:t>
            </w:r>
          </w:p>
        </w:tc>
        <w:tc>
          <w:tcPr>
            <w:tcW w:w="2018" w:type="dxa"/>
            <w:tcBorders>
              <w:tl2br w:val="nil"/>
              <w:tr2bl w:val="nil"/>
            </w:tcBorders>
            <w:vAlign w:val="center"/>
          </w:tcPr>
          <w:p w14:paraId="3C39A809">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粉砂、粉细砂、中粗砂、粗砂含砾</w:t>
            </w:r>
          </w:p>
        </w:tc>
        <w:tc>
          <w:tcPr>
            <w:tcW w:w="1717" w:type="dxa"/>
            <w:tcBorders>
              <w:tl2br w:val="nil"/>
              <w:tr2bl w:val="nil"/>
            </w:tcBorders>
            <w:vAlign w:val="center"/>
          </w:tcPr>
          <w:p w14:paraId="5E4CE429">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长江、滁河、秦淮河、运粮河、胥河漫滩平原</w:t>
            </w:r>
          </w:p>
        </w:tc>
      </w:tr>
      <w:tr w14:paraId="33D966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4" w:type="dxa"/>
            <w:vMerge w:val="continue"/>
            <w:tcBorders>
              <w:tl2br w:val="nil"/>
              <w:tr2bl w:val="nil"/>
            </w:tcBorders>
            <w:vAlign w:val="center"/>
          </w:tcPr>
          <w:p w14:paraId="080FD8EA">
            <w:pPr>
              <w:widowControl w:val="0"/>
              <w:bidi w:val="0"/>
              <w:jc w:val="center"/>
              <w:rPr>
                <w:rFonts w:hint="default" w:ascii="Times New Roman" w:hAnsi="Times New Roman" w:eastAsia="宋体" w:cs="Times New Roman"/>
                <w:color w:val="auto"/>
                <w:sz w:val="21"/>
                <w:szCs w:val="21"/>
              </w:rPr>
            </w:pPr>
          </w:p>
        </w:tc>
        <w:tc>
          <w:tcPr>
            <w:tcW w:w="1220" w:type="dxa"/>
            <w:tcBorders>
              <w:tl2br w:val="nil"/>
              <w:tr2bl w:val="nil"/>
            </w:tcBorders>
            <w:vAlign w:val="center"/>
          </w:tcPr>
          <w:p w14:paraId="27208F9F">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松散岩类孔隙水与玄武岩孔隙水</w:t>
            </w:r>
          </w:p>
        </w:tc>
        <w:tc>
          <w:tcPr>
            <w:tcW w:w="2824" w:type="dxa"/>
            <w:tcBorders>
              <w:tl2br w:val="nil"/>
              <w:tr2bl w:val="nil"/>
            </w:tcBorders>
            <w:vAlign w:val="center"/>
          </w:tcPr>
          <w:p w14:paraId="24FB1E8B">
            <w:pPr>
              <w:keepNext w:val="0"/>
              <w:keepLines w:val="0"/>
              <w:widowControl/>
              <w:suppressLineNumbers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Ny</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Nyβ</w:t>
            </w:r>
          </w:p>
        </w:tc>
        <w:tc>
          <w:tcPr>
            <w:tcW w:w="2018" w:type="dxa"/>
            <w:tcBorders>
              <w:tl2br w:val="nil"/>
              <w:tr2bl w:val="nil"/>
            </w:tcBorders>
            <w:vAlign w:val="center"/>
          </w:tcPr>
          <w:p w14:paraId="5B707148">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砂、</w:t>
            </w:r>
            <w:sdt>
              <w:sdtPr>
                <w:rPr>
                  <w:color w:val="auto"/>
                </w:rPr>
                <w:alias w:val="易错词检查"/>
                <w:tag w:val="auto"/>
                <w:id w:val="2160751"/>
              </w:sdtPr>
              <w:sdtEndPr>
                <w:rPr>
                  <w:color w:val="auto"/>
                </w:rPr>
              </w:sdtEndPr>
              <w:sdtContent>
                <w:bookmarkStart w:id="2036" w:name="bkReivew2160751"/>
                <w:r>
                  <w:rPr>
                    <w:rFonts w:hint="eastAsia" w:ascii="宋体" w:hAnsi="宋体" w:eastAsia="宋体" w:cs="宋体"/>
                    <w:snapToGrid w:val="0"/>
                    <w:color w:val="auto"/>
                    <w:kern w:val="0"/>
                    <w:sz w:val="21"/>
                    <w:szCs w:val="21"/>
                    <w:lang w:val="en-US" w:eastAsia="zh-CN" w:bidi="ar"/>
                  </w:rPr>
                  <w:t>砂砾及</w:t>
                </w:r>
                <w:bookmarkEnd w:id="2036"/>
              </w:sdtContent>
            </w:sdt>
            <w:r>
              <w:rPr>
                <w:rFonts w:hint="eastAsia" w:ascii="宋体" w:hAnsi="宋体" w:eastAsia="宋体" w:cs="宋体"/>
                <w:snapToGrid w:val="0"/>
                <w:color w:val="auto"/>
                <w:kern w:val="0"/>
                <w:sz w:val="21"/>
                <w:szCs w:val="21"/>
                <w:lang w:val="en-US" w:eastAsia="zh-CN" w:bidi="ar"/>
              </w:rPr>
              <w:t>玄武岩孔洞</w:t>
            </w:r>
          </w:p>
        </w:tc>
        <w:tc>
          <w:tcPr>
            <w:tcW w:w="1717" w:type="dxa"/>
            <w:tcBorders>
              <w:tl2br w:val="nil"/>
              <w:tr2bl w:val="nil"/>
            </w:tcBorders>
            <w:vAlign w:val="center"/>
          </w:tcPr>
          <w:p w14:paraId="010CBB2A">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六合北部</w:t>
            </w:r>
          </w:p>
        </w:tc>
      </w:tr>
      <w:tr w14:paraId="75EDC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9" w:hRule="atLeast"/>
        </w:trPr>
        <w:tc>
          <w:tcPr>
            <w:tcW w:w="804" w:type="dxa"/>
            <w:tcBorders>
              <w:tl2br w:val="nil"/>
              <w:tr2bl w:val="nil"/>
            </w:tcBorders>
            <w:vAlign w:val="center"/>
          </w:tcPr>
          <w:p w14:paraId="6743C3E8">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岩溶水</w:t>
            </w:r>
          </w:p>
        </w:tc>
        <w:tc>
          <w:tcPr>
            <w:tcW w:w="1220" w:type="dxa"/>
            <w:tcBorders>
              <w:tl2br w:val="nil"/>
              <w:tr2bl w:val="nil"/>
            </w:tcBorders>
            <w:vAlign w:val="center"/>
          </w:tcPr>
          <w:p w14:paraId="5AF50335">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碳酸盐岩类岩溶水</w:t>
            </w:r>
          </w:p>
        </w:tc>
        <w:tc>
          <w:tcPr>
            <w:tcW w:w="2824" w:type="dxa"/>
            <w:tcBorders>
              <w:tl2br w:val="nil"/>
              <w:tr2bl w:val="nil"/>
            </w:tcBorders>
            <w:vAlign w:val="center"/>
          </w:tcPr>
          <w:p w14:paraId="254E59A3">
            <w:pPr>
              <w:keepNext w:val="0"/>
              <w:keepLines w:val="0"/>
              <w:widowControl/>
              <w:suppressLineNumbers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Z2</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O1-2</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O3t</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C</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P1q</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T1</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T2z</w:t>
            </w:r>
          </w:p>
        </w:tc>
        <w:tc>
          <w:tcPr>
            <w:tcW w:w="2018" w:type="dxa"/>
            <w:tcBorders>
              <w:tl2br w:val="nil"/>
              <w:tr2bl w:val="nil"/>
            </w:tcBorders>
            <w:vAlign w:val="center"/>
          </w:tcPr>
          <w:p w14:paraId="33921840">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角砾状</w:t>
            </w:r>
            <w:sdt>
              <w:sdtPr>
                <w:rPr>
                  <w:color w:val="auto"/>
                </w:rPr>
                <w:alias w:val="易错词检查"/>
                <w:tag w:val="auto"/>
                <w:id w:val="12140"/>
              </w:sdtPr>
              <w:sdtEndPr>
                <w:rPr>
                  <w:color w:val="auto"/>
                </w:rPr>
              </w:sdtEndPr>
              <w:sdtContent>
                <w:bookmarkStart w:id="2037" w:name="bkReivew12140"/>
                <w:r>
                  <w:rPr>
                    <w:rFonts w:hint="eastAsia" w:ascii="宋体" w:hAnsi="宋体" w:eastAsia="宋体" w:cs="宋体"/>
                    <w:snapToGrid w:val="0"/>
                    <w:color w:val="auto"/>
                    <w:kern w:val="0"/>
                    <w:sz w:val="21"/>
                    <w:szCs w:val="21"/>
                    <w:lang w:val="en-US" w:eastAsia="zh-CN" w:bidi="ar"/>
                  </w:rPr>
                  <w:t>灰岩、灰岩、</w:t>
                </w:r>
                <w:bookmarkEnd w:id="2037"/>
              </w:sdtContent>
            </w:sdt>
            <w:r>
              <w:rPr>
                <w:rFonts w:hint="eastAsia" w:ascii="宋体" w:hAnsi="宋体" w:eastAsia="宋体" w:cs="宋体"/>
                <w:snapToGrid w:val="0"/>
                <w:color w:val="auto"/>
                <w:kern w:val="0"/>
                <w:sz w:val="21"/>
                <w:szCs w:val="21"/>
                <w:lang w:val="en-US" w:eastAsia="zh-CN" w:bidi="ar"/>
              </w:rPr>
              <w:t>白云岩、白云质灰岩、硅质灰岩、泥灰岩</w:t>
            </w:r>
          </w:p>
        </w:tc>
        <w:tc>
          <w:tcPr>
            <w:tcW w:w="1717" w:type="dxa"/>
            <w:tcBorders>
              <w:tl2br w:val="nil"/>
              <w:tr2bl w:val="nil"/>
            </w:tcBorders>
            <w:vAlign w:val="center"/>
          </w:tcPr>
          <w:p w14:paraId="1DFD3A35">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老山、幕府山、栖霞山、龙潭、仙鹤门</w:t>
            </w:r>
            <w:r>
              <w:rPr>
                <w:rFonts w:hint="default" w:ascii="Times New Roman" w:hAnsi="Times New Roman" w:eastAsia="宋体" w:cs="Times New Roman"/>
                <w:snapToGrid w:val="0"/>
                <w:color w:val="auto"/>
                <w:kern w:val="0"/>
                <w:sz w:val="21"/>
                <w:szCs w:val="21"/>
                <w:lang w:val="en-US" w:eastAsia="zh-CN" w:bidi="ar"/>
              </w:rPr>
              <w:t>-</w:t>
            </w:r>
            <w:r>
              <w:rPr>
                <w:rFonts w:hint="eastAsia" w:ascii="宋体" w:hAnsi="宋体" w:eastAsia="宋体" w:cs="宋体"/>
                <w:snapToGrid w:val="0"/>
                <w:color w:val="auto"/>
                <w:kern w:val="0"/>
                <w:sz w:val="21"/>
                <w:szCs w:val="21"/>
                <w:lang w:val="en-US" w:eastAsia="zh-CN" w:bidi="ar"/>
              </w:rPr>
              <w:t>摄山、青龙山、孔山、汤山</w:t>
            </w:r>
          </w:p>
        </w:tc>
      </w:tr>
      <w:tr w14:paraId="65B270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4" w:type="dxa"/>
            <w:vMerge w:val="restart"/>
            <w:tcBorders>
              <w:tl2br w:val="nil"/>
              <w:tr2bl w:val="nil"/>
            </w:tcBorders>
            <w:vAlign w:val="center"/>
          </w:tcPr>
          <w:p w14:paraId="508133AD">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裂隙水</w:t>
            </w:r>
          </w:p>
        </w:tc>
        <w:tc>
          <w:tcPr>
            <w:tcW w:w="1220" w:type="dxa"/>
            <w:tcBorders>
              <w:tl2br w:val="nil"/>
              <w:tr2bl w:val="nil"/>
            </w:tcBorders>
            <w:vAlign w:val="center"/>
          </w:tcPr>
          <w:p w14:paraId="1CD2C250">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碎屑岩类、火山碎屑岩类裂隙水</w:t>
            </w:r>
          </w:p>
        </w:tc>
        <w:tc>
          <w:tcPr>
            <w:tcW w:w="2824" w:type="dxa"/>
            <w:tcBorders>
              <w:tl2br w:val="nil"/>
              <w:tr2bl w:val="nil"/>
            </w:tcBorders>
            <w:vAlign w:val="center"/>
          </w:tcPr>
          <w:p w14:paraId="3EF68DC5">
            <w:pPr>
              <w:keepNext w:val="0"/>
              <w:keepLines w:val="0"/>
              <w:widowControl/>
              <w:suppressLineNumbers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Z1</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O3w</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S</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D</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P1g</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P2</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T2h</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T3</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J</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K1</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K2</w:t>
            </w:r>
          </w:p>
        </w:tc>
        <w:tc>
          <w:tcPr>
            <w:tcW w:w="2018" w:type="dxa"/>
            <w:tcBorders>
              <w:tl2br w:val="nil"/>
              <w:tr2bl w:val="nil"/>
            </w:tcBorders>
            <w:vAlign w:val="center"/>
          </w:tcPr>
          <w:p w14:paraId="4897ED64">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千枚岩、泥岩、泥页岩、砂岩、砾岩、凝灰岩、安山岩、粗安岩</w:t>
            </w:r>
          </w:p>
        </w:tc>
        <w:tc>
          <w:tcPr>
            <w:tcW w:w="1717" w:type="dxa"/>
            <w:tcBorders>
              <w:tl2br w:val="nil"/>
              <w:tr2bl w:val="nil"/>
            </w:tcBorders>
            <w:vAlign w:val="center"/>
          </w:tcPr>
          <w:p w14:paraId="37DED0D6">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全区均有分布</w:t>
            </w:r>
          </w:p>
        </w:tc>
      </w:tr>
      <w:tr w14:paraId="39F2A3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4" w:type="dxa"/>
            <w:vMerge w:val="continue"/>
            <w:tcBorders>
              <w:tl2br w:val="nil"/>
              <w:tr2bl w:val="nil"/>
            </w:tcBorders>
            <w:vAlign w:val="center"/>
          </w:tcPr>
          <w:p w14:paraId="78161A3B">
            <w:pPr>
              <w:widowControl w:val="0"/>
              <w:bidi w:val="0"/>
              <w:jc w:val="center"/>
              <w:rPr>
                <w:rFonts w:hint="default" w:ascii="Times New Roman" w:hAnsi="Times New Roman" w:eastAsia="宋体" w:cs="Times New Roman"/>
                <w:color w:val="auto"/>
                <w:sz w:val="21"/>
                <w:szCs w:val="21"/>
              </w:rPr>
            </w:pPr>
          </w:p>
        </w:tc>
        <w:tc>
          <w:tcPr>
            <w:tcW w:w="1220" w:type="dxa"/>
            <w:tcBorders>
              <w:tl2br w:val="nil"/>
              <w:tr2bl w:val="nil"/>
            </w:tcBorders>
            <w:vAlign w:val="center"/>
          </w:tcPr>
          <w:p w14:paraId="60795268">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火舌侵入岩裂隙水</w:t>
            </w:r>
          </w:p>
        </w:tc>
        <w:tc>
          <w:tcPr>
            <w:tcW w:w="2824" w:type="dxa"/>
            <w:tcBorders>
              <w:tl2br w:val="nil"/>
              <w:tr2bl w:val="nil"/>
            </w:tcBorders>
            <w:vAlign w:val="center"/>
          </w:tcPr>
          <w:p w14:paraId="40C09609">
            <w:pPr>
              <w:keepNext w:val="0"/>
              <w:keepLines w:val="0"/>
              <w:widowControl/>
              <w:suppressLineNumbers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rπ</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ηr</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γ</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δπ</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δ</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δμ</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βμ</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δ0</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π</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δ0</w:t>
            </w:r>
          </w:p>
        </w:tc>
        <w:tc>
          <w:tcPr>
            <w:tcW w:w="2018" w:type="dxa"/>
            <w:tcBorders>
              <w:tl2br w:val="nil"/>
              <w:tr2bl w:val="nil"/>
            </w:tcBorders>
            <w:vAlign w:val="center"/>
          </w:tcPr>
          <w:p w14:paraId="073629FC">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花岗岩类、闪长岩类、辉绿岩类</w:t>
            </w:r>
          </w:p>
        </w:tc>
        <w:tc>
          <w:tcPr>
            <w:tcW w:w="1717" w:type="dxa"/>
            <w:tcBorders>
              <w:tl2br w:val="nil"/>
              <w:tr2bl w:val="nil"/>
            </w:tcBorders>
            <w:vAlign w:val="center"/>
          </w:tcPr>
          <w:p w14:paraId="29F4D05F">
            <w:pPr>
              <w:keepNext w:val="0"/>
              <w:keepLines w:val="0"/>
              <w:widowControl/>
              <w:suppressLineNumbers w:val="0"/>
              <w:jc w:val="center"/>
              <w:rPr>
                <w:rFonts w:hint="default" w:ascii="Times New Roman" w:hAnsi="Times New Roman" w:eastAsia="宋体" w:cs="Times New Roman"/>
                <w:color w:val="auto"/>
                <w:sz w:val="21"/>
                <w:szCs w:val="21"/>
              </w:rPr>
            </w:pPr>
            <w:r>
              <w:rPr>
                <w:rFonts w:hint="eastAsia" w:ascii="宋体" w:hAnsi="宋体" w:eastAsia="宋体" w:cs="宋体"/>
                <w:snapToGrid w:val="0"/>
                <w:color w:val="auto"/>
                <w:kern w:val="0"/>
                <w:sz w:val="21"/>
                <w:szCs w:val="21"/>
                <w:lang w:val="en-US" w:eastAsia="zh-CN" w:bidi="ar"/>
              </w:rPr>
              <w:t>全区零星分布</w:t>
            </w:r>
          </w:p>
        </w:tc>
      </w:tr>
    </w:tbl>
    <w:p w14:paraId="1384B7E8">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bookmarkStart w:id="2038" w:name="OLE_LINK680"/>
      <w:r>
        <w:rPr>
          <w:rFonts w:hint="default" w:ascii="Times New Roman" w:hAnsi="Times New Roman" w:eastAsia="宋体" w:cs="Times New Roman"/>
          <w:snapToGrid w:val="0"/>
          <w:color w:val="auto"/>
          <w:kern w:val="0"/>
          <w:sz w:val="24"/>
          <w:szCs w:val="24"/>
          <w:lang w:val="en-US" w:eastAsia="zh-CN" w:bidi="ar"/>
        </w:rPr>
        <w:t>（1）孔隙水</w:t>
      </w:r>
      <w:bookmarkStart w:id="2039" w:name="pindex13677"/>
      <w:bookmarkEnd w:id="2039"/>
    </w:p>
    <w:p w14:paraId="2D786B6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 xml:space="preserve">主要分布在长江漫滩、滁河漫滩、秦淮河漫滩及高淳的运粮河、胥河漫滩。第三系中的孔隙水与玄武岩孔洞水主要分布在六合北部。 </w:t>
      </w:r>
    </w:p>
    <w:p w14:paraId="4A2DCC2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（a）强富水与富水的长江漫滩孔隙水。长江漫滩位于浦口、六合与南京之间，呈北东-南西向沿长江两侧展布。其沉积物多呈二元结构，下粗上细。上层为亚</w:t>
      </w:r>
      <w:sdt>
        <w:sdtPr>
          <w:rPr>
            <w:color w:val="auto"/>
          </w:rPr>
          <w:alias w:val="易错词检查"/>
          <w:tag w:val="auto"/>
          <w:id w:val="41821"/>
        </w:sdtPr>
        <w:sdtEndPr>
          <w:rPr>
            <w:color w:val="auto"/>
          </w:rPr>
        </w:sdtEndPr>
        <w:sdtContent>
          <w:bookmarkStart w:id="2040" w:name="bkReivew41821"/>
          <w:r>
            <w:rPr>
              <w:rFonts w:hint="default" w:ascii="Times New Roman" w:hAnsi="Times New Roman" w:eastAsia="宋体" w:cs="Times New Roman"/>
              <w:snapToGrid w:val="0"/>
              <w:color w:val="auto"/>
              <w:kern w:val="0"/>
              <w:sz w:val="24"/>
              <w:szCs w:val="24"/>
              <w:lang w:val="en-US" w:eastAsia="zh-CN" w:bidi="ar"/>
            </w:rPr>
            <w:t>粘土</w:t>
          </w:r>
          <w:bookmarkEnd w:id="2040"/>
        </w:sdtContent>
      </w:sdt>
      <w:r>
        <w:rPr>
          <w:rFonts w:hint="default" w:ascii="Times New Roman" w:hAnsi="Times New Roman" w:eastAsia="宋体" w:cs="Times New Roman"/>
          <w:snapToGrid w:val="0"/>
          <w:color w:val="auto"/>
          <w:kern w:val="0"/>
          <w:sz w:val="24"/>
          <w:szCs w:val="24"/>
          <w:lang w:val="en-US" w:eastAsia="zh-CN" w:bidi="ar"/>
        </w:rPr>
        <w:t>、亚砂土与粉砂互层；下层粗砂，砂层上段以粉砂为主，下段为细砂、中粗砂及砂砾石。砂层厚度一般为20</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40m。砂层松散饱水，渗透性强。地下水位埋深一般为1</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3m。单井最大涌水量可达3000</w:t>
      </w:r>
      <w:bookmarkStart w:id="2041" w:name="OLE_LINK682"/>
      <w:r>
        <w:rPr>
          <w:rFonts w:hint="default" w:ascii="Times New Roman" w:hAnsi="Times New Roman" w:eastAsia="宋体" w:cs="Times New Roman"/>
          <w:snapToGrid w:val="0"/>
          <w:color w:val="auto"/>
          <w:kern w:val="0"/>
          <w:sz w:val="24"/>
          <w:szCs w:val="24"/>
          <w:lang w:val="en-US" w:eastAsia="zh-CN" w:bidi="ar"/>
        </w:rPr>
        <w:t>m</w:t>
      </w:r>
      <w:bookmarkStart w:id="2042" w:name="OLE_LINK681"/>
      <w:r>
        <w:rPr>
          <w:rFonts w:hint="default" w:ascii="Times New Roman" w:hAnsi="Times New Roman" w:eastAsia="宋体" w:cs="Times New Roman"/>
          <w:snapToGrid w:val="0"/>
          <w:color w:val="auto"/>
          <w:kern w:val="0"/>
          <w:sz w:val="24"/>
          <w:szCs w:val="24"/>
          <w:vertAlign w:val="superscript"/>
          <w:lang w:val="en-US" w:eastAsia="zh-CN" w:bidi="ar"/>
        </w:rPr>
        <w:t>3</w:t>
      </w:r>
      <w:bookmarkEnd w:id="2042"/>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d</w:t>
      </w:r>
      <w:bookmarkEnd w:id="2041"/>
      <w:r>
        <w:rPr>
          <w:rFonts w:hint="default" w:ascii="Times New Roman" w:hAnsi="Times New Roman" w:eastAsia="宋体" w:cs="Times New Roman"/>
          <w:snapToGrid w:val="0"/>
          <w:color w:val="auto"/>
          <w:kern w:val="0"/>
          <w:sz w:val="24"/>
          <w:szCs w:val="24"/>
          <w:lang w:val="en-US" w:eastAsia="zh-CN" w:bidi="ar"/>
        </w:rPr>
        <w:t>右。</w:t>
      </w:r>
      <w:bookmarkStart w:id="2043" w:name="pindex13679"/>
      <w:bookmarkEnd w:id="2043"/>
    </w:p>
    <w:p w14:paraId="542A008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（b）中等富水与弱富水的滁河漫滩孔隙水。滁河漫滩位于浦口北部、六合南部。沉积物厚度一般为30</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40m。含水层上段为粉砂及粉砂与亚砂土互层，下段为中粗砂含砾。单井涌水量一般为</w:t>
      </w:r>
      <w:r>
        <w:rPr>
          <w:rFonts w:hint="eastAsia" w:ascii="Times New Roman" w:hAnsi="Times New Roman" w:eastAsia="宋体" w:cs="Times New Roman"/>
          <w:snapToGrid w:val="0"/>
          <w:color w:val="auto"/>
          <w:kern w:val="0"/>
          <w:sz w:val="24"/>
          <w:szCs w:val="24"/>
          <w:lang w:val="en-US" w:eastAsia="zh-CN" w:bidi="ar"/>
        </w:rPr>
        <w:t>5</w:t>
      </w:r>
      <w:r>
        <w:rPr>
          <w:rFonts w:hint="default" w:ascii="Times New Roman" w:hAnsi="Times New Roman" w:eastAsia="宋体" w:cs="Times New Roman"/>
          <w:snapToGrid w:val="0"/>
          <w:color w:val="auto"/>
          <w:kern w:val="0"/>
          <w:sz w:val="24"/>
          <w:szCs w:val="24"/>
          <w:lang w:val="en-US" w:eastAsia="zh-CN" w:bidi="ar"/>
        </w:rPr>
        <w:t>00~1000m</w:t>
      </w:r>
      <w:r>
        <w:rPr>
          <w:rFonts w:hint="default" w:ascii="Times New Roman" w:hAnsi="Times New Roman" w:eastAsia="宋体" w:cs="Times New Roman"/>
          <w:snapToGrid w:val="0"/>
          <w:color w:val="auto"/>
          <w:kern w:val="0"/>
          <w:sz w:val="24"/>
          <w:szCs w:val="24"/>
          <w:vertAlign w:val="superscript"/>
          <w:lang w:val="en-US" w:eastAsia="zh-CN" w:bidi="ar"/>
        </w:rPr>
        <w:t>3</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d。静水埋深一般为2</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4m，在浦口盘城与六合城区附近，受开采影响15</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20m。</w:t>
      </w:r>
      <w:bookmarkStart w:id="2044" w:name="pindex13680"/>
      <w:bookmarkEnd w:id="2044"/>
    </w:p>
    <w:p w14:paraId="25F2D82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（c）中等富水的滁河古漫滩位于六合区东南部，北以八百</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长山</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六合城区一线为界，西与近代滁河相连，南以瓜埠－东沟一线与长江漫滩相接。从沉积物时代与物质来看与滁河漫滩均不相同，因而定为滁河古漫滩。含水层厚度多在20m左右。含水层岩性，上段以细砂为主，下段为中粗砂含砾。单井最大涌水量为500-1000m</w:t>
      </w:r>
      <w:r>
        <w:rPr>
          <w:rFonts w:hint="default" w:ascii="Times New Roman" w:hAnsi="Times New Roman" w:eastAsia="宋体" w:cs="Times New Roman"/>
          <w:snapToGrid w:val="0"/>
          <w:color w:val="auto"/>
          <w:kern w:val="0"/>
          <w:sz w:val="24"/>
          <w:szCs w:val="24"/>
          <w:vertAlign w:val="superscript"/>
          <w:lang w:val="en-US" w:eastAsia="zh-CN" w:bidi="ar"/>
        </w:rPr>
        <w:t>3</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d。</w:t>
      </w:r>
      <w:bookmarkStart w:id="2045" w:name="pindex13681"/>
      <w:bookmarkEnd w:id="2045"/>
    </w:p>
    <w:p w14:paraId="116ACC89">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（d）中等富水、弱富水的秦淮河漫滩孔隙水。</w:t>
      </w:r>
      <w:sdt>
        <w:sdtPr>
          <w:rPr>
            <w:color w:val="auto"/>
          </w:rPr>
          <w:alias w:val="地名检查"/>
          <w:tag w:val="auto"/>
          <w:id w:val="80855"/>
        </w:sdtPr>
        <w:sdtEndPr>
          <w:rPr>
            <w:color w:val="auto"/>
          </w:rPr>
        </w:sdtEndPr>
        <w:sdtContent>
          <w:bookmarkStart w:id="2046" w:name="bkKnowledge80855"/>
          <w:r>
            <w:rPr>
              <w:rFonts w:hint="default" w:ascii="Times New Roman" w:hAnsi="Times New Roman" w:eastAsia="宋体" w:cs="Times New Roman"/>
              <w:snapToGrid w:val="0"/>
              <w:color w:val="auto"/>
              <w:kern w:val="0"/>
              <w:sz w:val="24"/>
              <w:szCs w:val="24"/>
              <w:lang w:val="en-US" w:eastAsia="zh-CN" w:bidi="ar"/>
            </w:rPr>
            <w:t>秦淮河源</w:t>
          </w:r>
          <w:bookmarkEnd w:id="2046"/>
        </w:sdtContent>
      </w:sdt>
      <w:r>
        <w:rPr>
          <w:rFonts w:hint="default" w:ascii="Times New Roman" w:hAnsi="Times New Roman" w:eastAsia="宋体" w:cs="Times New Roman"/>
          <w:snapToGrid w:val="0"/>
          <w:color w:val="auto"/>
          <w:kern w:val="0"/>
          <w:sz w:val="24"/>
          <w:szCs w:val="24"/>
          <w:lang w:val="en-US" w:eastAsia="zh-CN" w:bidi="ar"/>
        </w:rPr>
        <w:t>于茅山山脉，在溧水区的柘塘与江宁的周岗以北形成秦淮河宽广的漫滩，呈近南北向展布。沉积物厚度一般为20-40m。含水层岩性，上部主要为粉细砂，下部薄层中粗砂含砾。富水性相差很大，在市区古河床部位单井涌水量500~1000m</w:t>
      </w:r>
      <w:r>
        <w:rPr>
          <w:rFonts w:hint="default" w:ascii="Times New Roman" w:hAnsi="Times New Roman" w:eastAsia="宋体" w:cs="Times New Roman"/>
          <w:snapToGrid w:val="0"/>
          <w:color w:val="auto"/>
          <w:kern w:val="0"/>
          <w:sz w:val="24"/>
          <w:szCs w:val="24"/>
          <w:vertAlign w:val="superscript"/>
          <w:lang w:val="en-US" w:eastAsia="zh-CN" w:bidi="ar"/>
        </w:rPr>
        <w:t>3</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d，漫滩边缘及江宁区境内大多为100~500m</w:t>
      </w:r>
      <w:r>
        <w:rPr>
          <w:rFonts w:hint="default" w:ascii="Times New Roman" w:hAnsi="Times New Roman" w:eastAsia="宋体" w:cs="Times New Roman"/>
          <w:snapToGrid w:val="0"/>
          <w:color w:val="auto"/>
          <w:kern w:val="0"/>
          <w:sz w:val="24"/>
          <w:szCs w:val="24"/>
          <w:vertAlign w:val="superscript"/>
          <w:lang w:val="en-US" w:eastAsia="zh-CN" w:bidi="ar"/>
        </w:rPr>
        <w:t>3</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d，水位埋深1</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3m。</w:t>
      </w:r>
      <w:bookmarkStart w:id="2047" w:name="pindex13682"/>
      <w:bookmarkEnd w:id="2047"/>
    </w:p>
    <w:p w14:paraId="3A794A80">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（e）弱富水的高淳</w:t>
      </w:r>
      <w:r>
        <w:rPr>
          <w:rFonts w:hint="eastAsia" w:ascii="Times New Roman" w:hAnsi="Times New Roman" w:eastAsia="宋体" w:cs="Times New Roman"/>
          <w:snapToGrid w:val="0"/>
          <w:color w:val="auto"/>
          <w:kern w:val="0"/>
          <w:sz w:val="24"/>
          <w:szCs w:val="24"/>
          <w:lang w:val="en-US" w:eastAsia="zh-CN" w:bidi="ar"/>
        </w:rPr>
        <w:t>区</w:t>
      </w:r>
      <w:r>
        <w:rPr>
          <w:rFonts w:hint="default" w:ascii="Times New Roman" w:hAnsi="Times New Roman" w:eastAsia="宋体" w:cs="Times New Roman"/>
          <w:snapToGrid w:val="0"/>
          <w:color w:val="auto"/>
          <w:kern w:val="0"/>
          <w:sz w:val="24"/>
          <w:szCs w:val="24"/>
          <w:lang w:val="en-US" w:eastAsia="zh-CN" w:bidi="ar"/>
        </w:rPr>
        <w:t>孔隙水。分布在固城湖西运粮河漫滩及下坝</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桠溪</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带的胥河漫滩。第四系松散层厚度为20m左右，砂层大多小于10m，单井涌水量为100~500</w:t>
      </w:r>
      <w:bookmarkStart w:id="2048" w:name="OLE_LINK686"/>
      <w:r>
        <w:rPr>
          <w:rFonts w:hint="default" w:ascii="Times New Roman" w:hAnsi="Times New Roman" w:eastAsia="宋体" w:cs="Times New Roman"/>
          <w:snapToGrid w:val="0"/>
          <w:color w:val="auto"/>
          <w:kern w:val="0"/>
          <w:sz w:val="24"/>
          <w:szCs w:val="24"/>
          <w:lang w:val="en-US" w:eastAsia="zh-CN" w:bidi="ar"/>
        </w:rPr>
        <w:t>m</w:t>
      </w:r>
      <w:r>
        <w:rPr>
          <w:rFonts w:hint="default" w:ascii="Times New Roman" w:hAnsi="Times New Roman" w:eastAsia="宋体" w:cs="Times New Roman"/>
          <w:snapToGrid w:val="0"/>
          <w:color w:val="auto"/>
          <w:kern w:val="0"/>
          <w:sz w:val="24"/>
          <w:szCs w:val="24"/>
          <w:vertAlign w:val="superscript"/>
          <w:lang w:val="en-US" w:eastAsia="zh-CN" w:bidi="ar"/>
        </w:rPr>
        <w:t>3</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d</w:t>
      </w:r>
      <w:bookmarkEnd w:id="2048"/>
      <w:r>
        <w:rPr>
          <w:rFonts w:hint="default" w:ascii="Times New Roman" w:hAnsi="Times New Roman" w:eastAsia="宋体" w:cs="Times New Roman"/>
          <w:snapToGrid w:val="0"/>
          <w:color w:val="auto"/>
          <w:kern w:val="0"/>
          <w:sz w:val="24"/>
          <w:szCs w:val="24"/>
          <w:lang w:val="en-US" w:eastAsia="zh-CN" w:bidi="ar"/>
        </w:rPr>
        <w:t>，水位埋深小于5m，为淡水。</w:t>
      </w:r>
      <w:bookmarkStart w:id="2049" w:name="pindex13683"/>
      <w:bookmarkEnd w:id="2049"/>
      <w:bookmarkStart w:id="2050" w:name="OLE_LINK683"/>
    </w:p>
    <w:p w14:paraId="2F14AAC0">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（f）孔隙承压水与玄武岩孔洞水。主要分布在六合区北部，含水层由第三系的砂砾层与气孔状玄武岩、橄榄玄武岩组成，由玄武岩中的孔洞与砂砾层的孔隙组成统一的含水体。含水砂砾层与玄武岩累计厚度一般30</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50m，单井最大涌水量北部马集</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乌石林场一带可大于1000</w:t>
      </w:r>
      <w:bookmarkStart w:id="2051" w:name="OLE_LINK684"/>
      <w:r>
        <w:rPr>
          <w:rFonts w:hint="default" w:ascii="Times New Roman" w:hAnsi="Times New Roman" w:eastAsia="宋体" w:cs="Times New Roman"/>
          <w:snapToGrid w:val="0"/>
          <w:color w:val="auto"/>
          <w:kern w:val="0"/>
          <w:sz w:val="24"/>
          <w:szCs w:val="24"/>
          <w:vertAlign w:val="superscript"/>
          <w:lang w:val="en-US" w:eastAsia="zh-CN" w:bidi="ar"/>
        </w:rPr>
        <w:t>3</w:t>
      </w:r>
      <w:bookmarkEnd w:id="2051"/>
      <w:r>
        <w:rPr>
          <w:rFonts w:hint="default" w:ascii="Times New Roman" w:hAnsi="Times New Roman" w:eastAsia="宋体" w:cs="Times New Roman"/>
          <w:snapToGrid w:val="0"/>
          <w:color w:val="auto"/>
          <w:kern w:val="0"/>
          <w:sz w:val="24"/>
          <w:szCs w:val="24"/>
          <w:lang w:val="en-US" w:eastAsia="zh-CN" w:bidi="ar"/>
        </w:rPr>
        <w:t>m/d，</w:t>
      </w:r>
      <w:r>
        <w:rPr>
          <w:rFonts w:hint="eastAsia" w:ascii="Times New Roman" w:hAnsi="Times New Roman" w:eastAsia="宋体" w:cs="Times New Roman"/>
          <w:snapToGrid w:val="0"/>
          <w:color w:val="auto"/>
          <w:kern w:val="0"/>
          <w:sz w:val="24"/>
          <w:szCs w:val="24"/>
          <w:lang w:val="en-US" w:eastAsia="zh-CN" w:bidi="ar"/>
        </w:rPr>
        <w:t>其他</w:t>
      </w:r>
      <w:r>
        <w:rPr>
          <w:rFonts w:hint="default" w:ascii="Times New Roman" w:hAnsi="Times New Roman" w:eastAsia="宋体" w:cs="Times New Roman"/>
          <w:snapToGrid w:val="0"/>
          <w:color w:val="auto"/>
          <w:kern w:val="0"/>
          <w:sz w:val="24"/>
          <w:szCs w:val="24"/>
          <w:lang w:val="en-US" w:eastAsia="zh-CN" w:bidi="ar"/>
        </w:rPr>
        <w:t>地段多在500~1000m</w:t>
      </w:r>
      <w:r>
        <w:rPr>
          <w:rFonts w:hint="default" w:ascii="Times New Roman" w:hAnsi="Times New Roman" w:eastAsia="宋体" w:cs="Times New Roman"/>
          <w:snapToGrid w:val="0"/>
          <w:color w:val="auto"/>
          <w:kern w:val="0"/>
          <w:sz w:val="24"/>
          <w:szCs w:val="24"/>
          <w:vertAlign w:val="superscript"/>
          <w:lang w:val="en-US" w:eastAsia="zh-CN" w:bidi="ar"/>
        </w:rPr>
        <w:t>3</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d。</w:t>
      </w:r>
      <w:bookmarkStart w:id="2052" w:name="pindex13684"/>
      <w:bookmarkEnd w:id="2052"/>
    </w:p>
    <w:p w14:paraId="074B386D">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（2）岩溶水</w:t>
      </w:r>
      <w:bookmarkStart w:id="2053" w:name="pindex13685"/>
      <w:bookmarkEnd w:id="2053"/>
    </w:p>
    <w:p w14:paraId="3BD166DD">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南京地区岩溶水主要分布在仙鹤门</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摄山、老山、幕府山、栖霞山、龙潭、青龙山、黄龙山、孔山、大连山、汤山等，在六合的冶山，高淳的花山也有少量分布。由于岩性、成因、时代、分布面积及所处的构造部位不同，富水性差异很大。一般质纯的灰岩比白云岩、泥灰岩、硅质灰岩易被溶解，富水性前者优于后者。由于灰岩中往往夹有非可溶性的砂页岩、硅质岩，故溶蚀作用往往顺着二者的接触面发育，因此在顺着倾向的方向相对较为富水。例如老山岩层向北倾斜，因此老山北坡较南坡富水。</w:t>
      </w:r>
    </w:p>
    <w:p w14:paraId="262DDAAD">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断裂构造是地下水赋存运移通道，岩溶发育初期，地下水沿着裂隙对岩石进行溶滤和溶解，而后转向机械冲刷，一般来讲张性与张扭性断裂带是岩溶发育的有利地段，区内大多数水量大的钻孔均处于北西－北北西向的张性、张扭性断裂带中。岩溶发育程度与所处的构造部位有关，一般在向斜</w:t>
      </w:r>
      <w:sdt>
        <w:sdtPr>
          <w:rPr>
            <w:color w:val="auto"/>
          </w:rPr>
          <w:alias w:val="易错词检查"/>
          <w:tag w:val="auto"/>
          <w:id w:val="3022840"/>
        </w:sdtPr>
        <w:sdtEndPr>
          <w:rPr>
            <w:color w:val="auto"/>
          </w:rPr>
        </w:sdtEndPr>
        <w:sdtContent>
          <w:bookmarkStart w:id="2054" w:name="bkReivew3022840"/>
          <w:r>
            <w:rPr>
              <w:rFonts w:hint="default" w:ascii="Times New Roman" w:hAnsi="Times New Roman" w:eastAsia="宋体" w:cs="Times New Roman"/>
              <w:snapToGrid w:val="0"/>
              <w:color w:val="auto"/>
              <w:kern w:val="0"/>
              <w:sz w:val="24"/>
              <w:szCs w:val="24"/>
              <w:lang w:val="en-US" w:eastAsia="zh-CN" w:bidi="ar"/>
            </w:rPr>
            <w:t>核</w:t>
          </w:r>
          <w:bookmarkEnd w:id="2054"/>
        </w:sdtContent>
      </w:sdt>
      <w:r>
        <w:rPr>
          <w:rFonts w:hint="default" w:ascii="Times New Roman" w:hAnsi="Times New Roman" w:eastAsia="宋体" w:cs="Times New Roman"/>
          <w:snapToGrid w:val="0"/>
          <w:color w:val="auto"/>
          <w:kern w:val="0"/>
          <w:sz w:val="24"/>
          <w:szCs w:val="24"/>
          <w:lang w:val="en-US" w:eastAsia="zh-CN" w:bidi="ar"/>
        </w:rPr>
        <w:t>部、背斜</w:t>
      </w:r>
      <w:r>
        <w:rPr>
          <w:rFonts w:hint="eastAsia" w:ascii="Times New Roman" w:hAnsi="Times New Roman" w:eastAsia="宋体" w:cs="Times New Roman"/>
          <w:snapToGrid w:val="0"/>
          <w:color w:val="auto"/>
          <w:kern w:val="0"/>
          <w:sz w:val="24"/>
          <w:szCs w:val="24"/>
          <w:lang w:val="en-US" w:eastAsia="zh-CN" w:bidi="ar"/>
        </w:rPr>
        <w:t>的末端是</w:t>
      </w:r>
      <w:r>
        <w:rPr>
          <w:rFonts w:hint="default" w:ascii="Times New Roman" w:hAnsi="Times New Roman" w:eastAsia="宋体" w:cs="Times New Roman"/>
          <w:snapToGrid w:val="0"/>
          <w:color w:val="auto"/>
          <w:kern w:val="0"/>
          <w:sz w:val="24"/>
          <w:szCs w:val="24"/>
          <w:lang w:val="en-US" w:eastAsia="zh-CN" w:bidi="ar"/>
        </w:rPr>
        <w:t>岩溶发育与地下水富集的有利地段。</w:t>
      </w:r>
    </w:p>
    <w:p w14:paraId="35BDDB9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由于受到断裂的影响，老山复式倒转背斜东西倾没端均有大量泉出露。老山东端有名的泉有珍珠泉、琥珀泉、响水泉、顶山泉，总流量大于2万m</w:t>
      </w:r>
      <w:r>
        <w:rPr>
          <w:rFonts w:hint="default" w:ascii="Times New Roman" w:hAnsi="Times New Roman" w:eastAsia="宋体" w:cs="Times New Roman"/>
          <w:snapToGrid w:val="0"/>
          <w:color w:val="auto"/>
          <w:kern w:val="0"/>
          <w:sz w:val="24"/>
          <w:szCs w:val="24"/>
          <w:vertAlign w:val="superscript"/>
          <w:lang w:val="en-US" w:eastAsia="zh-CN" w:bidi="ar"/>
        </w:rPr>
        <w:t>3</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d。</w:t>
      </w:r>
    </w:p>
    <w:p w14:paraId="3ED9577D">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（3）裂隙水</w:t>
      </w:r>
      <w:bookmarkStart w:id="2055" w:name="pindex13689"/>
      <w:bookmarkEnd w:id="2055"/>
    </w:p>
    <w:p w14:paraId="37398DC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裂隙水主要赋存于非可溶性坚硬岩石裂隙中的地下水，具有一系列与孔隙水、岩溶水不同的特征，具体体现在储水空间、含水岩体的空间分布、水动力条件、地下水动态、水质及补径排条件等方面。裂隙水</w:t>
      </w:r>
      <w:r>
        <w:rPr>
          <w:rFonts w:hint="eastAsia" w:eastAsia="宋体"/>
          <w:color w:val="auto"/>
          <w:lang w:eastAsia="zh-CN"/>
        </w:rPr>
        <w:t>的</w:t>
      </w:r>
      <w:r>
        <w:rPr>
          <w:rFonts w:hint="default" w:ascii="Times New Roman" w:hAnsi="Times New Roman" w:eastAsia="宋体" w:cs="Times New Roman"/>
          <w:snapToGrid w:val="0"/>
          <w:color w:val="auto"/>
          <w:kern w:val="0"/>
          <w:sz w:val="24"/>
          <w:szCs w:val="24"/>
          <w:lang w:val="en-US" w:eastAsia="zh-CN" w:bidi="ar"/>
        </w:rPr>
        <w:t>富水性受多种因素的影响，其中岩性的软硬、构造的发育程度起着主导作用，同时还与补给条件、火成岩入侵造成蚀变作用，岩层的产状等有着直接关系。</w:t>
      </w:r>
    </w:p>
    <w:p w14:paraId="574D15D3">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一般来讲岩性硬脆，如坚硬的砂砾岩、石英岩，在构造作用下易于形成透水的裂隙，较为富水，反之岩性细软，如泥岩、页岩、煤系地层，则裂隙不发育，较为贫水。按照岩性特征，以泥盆系上统五通组中粗粒石英砂，含砾砂岩及侏罗系中下统象山群砂岩，尤以象山群下段的石英砂岩较为富水，另外侏罗</w:t>
      </w:r>
      <w:bookmarkStart w:id="2056" w:name="OLE_LINK685"/>
      <w:r>
        <w:rPr>
          <w:rFonts w:hint="default" w:ascii="Times New Roman" w:hAnsi="Times New Roman" w:eastAsia="宋体" w:cs="Times New Roman"/>
          <w:snapToGrid w:val="0"/>
          <w:color w:val="auto"/>
          <w:kern w:val="0"/>
          <w:sz w:val="24"/>
          <w:szCs w:val="24"/>
          <w:lang w:val="en-US" w:eastAsia="zh-CN" w:bidi="ar"/>
        </w:rPr>
        <w:t>系上统安山岩及角砾凝灰岩，局部地段水量也较大。</w:t>
      </w:r>
    </w:p>
    <w:p w14:paraId="60F6A34E">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color w:val="auto"/>
        </w:rPr>
      </w:pPr>
      <w:r>
        <w:rPr>
          <w:rFonts w:hint="default" w:ascii="Times New Roman" w:hAnsi="Times New Roman" w:eastAsia="宋体" w:cs="Times New Roman"/>
          <w:snapToGrid w:val="0"/>
          <w:color w:val="auto"/>
          <w:kern w:val="0"/>
          <w:sz w:val="24"/>
          <w:szCs w:val="24"/>
          <w:lang w:val="en-US" w:eastAsia="zh-CN" w:bidi="ar"/>
        </w:rPr>
        <w:t>在中山陵地区由于产状向南倾，象山群（J1-2）砂岩裂隙水可以获得紫金</w:t>
      </w:r>
      <w:bookmarkEnd w:id="2050"/>
      <w:r>
        <w:rPr>
          <w:rFonts w:hint="default" w:ascii="Times New Roman" w:hAnsi="Times New Roman" w:eastAsia="宋体" w:cs="Times New Roman"/>
          <w:snapToGrid w:val="0"/>
          <w:color w:val="auto"/>
          <w:kern w:val="0"/>
          <w:sz w:val="24"/>
          <w:szCs w:val="24"/>
          <w:lang w:val="en-US" w:eastAsia="zh-CN" w:bidi="ar"/>
        </w:rPr>
        <w:t>山的大量降雨补给，因此大多水量均较大，并能自流。而在迈皋桥、光华门一带，由于受蒋王庙岩体的影响，使围岩蚀变，裂隙大多被火成岩脉充填，同样是象山群砂岩，水量则很小。</w:t>
      </w:r>
      <w:bookmarkEnd w:id="2056"/>
      <w:r>
        <w:rPr>
          <w:color w:val="auto"/>
        </w:rPr>
        <w:drawing>
          <wp:inline distT="0" distB="0" distL="114300" distR="114300">
            <wp:extent cx="5076190" cy="4137660"/>
            <wp:effectExtent l="0" t="0" r="10160" b="1524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70"/>
                    <a:stretch>
                      <a:fillRect/>
                    </a:stretch>
                  </pic:blipFill>
                  <pic:spPr>
                    <a:xfrm>
                      <a:off x="0" y="0"/>
                      <a:ext cx="5076190" cy="4137660"/>
                    </a:xfrm>
                    <a:prstGeom prst="rect">
                      <a:avLst/>
                    </a:prstGeom>
                    <a:noFill/>
                    <a:ln>
                      <a:noFill/>
                    </a:ln>
                  </pic:spPr>
                </pic:pic>
              </a:graphicData>
            </a:graphic>
          </wp:inline>
        </w:drawing>
      </w:r>
    </w:p>
    <w:p w14:paraId="65CC8C0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图7.3-1  区域水文地质图</w:t>
      </w:r>
      <w:bookmarkStart w:id="2057" w:name="pindex13693"/>
      <w:bookmarkEnd w:id="2057"/>
    </w:p>
    <w:bookmarkEnd w:id="2038"/>
    <w:p w14:paraId="0E166E14">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9"/>
        <w:rPr>
          <w:rFonts w:hint="default" w:ascii="Times New Roman" w:hAnsi="Times New Roman" w:eastAsia="宋体" w:cs="Times New Roman"/>
          <w:b/>
          <w:bCs/>
          <w:color w:val="auto"/>
          <w:spacing w:val="-3"/>
          <w:sz w:val="24"/>
          <w:szCs w:val="24"/>
          <w:lang w:val="en-US" w:eastAsia="zh-CN"/>
        </w:rPr>
      </w:pPr>
      <w:bookmarkStart w:id="2058" w:name="OLE_LINK700"/>
      <w:r>
        <w:rPr>
          <w:rFonts w:hint="default" w:ascii="Times New Roman" w:hAnsi="Times New Roman" w:eastAsia="宋体" w:cs="Times New Roman"/>
          <w:b/>
          <w:bCs/>
          <w:color w:val="auto"/>
          <w:spacing w:val="-3"/>
          <w:sz w:val="24"/>
          <w:szCs w:val="24"/>
          <w:lang w:val="en-US" w:eastAsia="zh-CN"/>
        </w:rPr>
        <w:t>7.</w:t>
      </w:r>
      <w:r>
        <w:rPr>
          <w:rFonts w:hint="eastAsia" w:ascii="Times New Roman" w:hAnsi="Times New Roman" w:eastAsia="宋体" w:cs="Times New Roman"/>
          <w:b/>
          <w:bCs/>
          <w:color w:val="auto"/>
          <w:spacing w:val="-3"/>
          <w:sz w:val="24"/>
          <w:szCs w:val="24"/>
          <w:lang w:val="en-US" w:eastAsia="zh-CN"/>
        </w:rPr>
        <w:t>3.3.2水文地质分</w:t>
      </w:r>
      <w:bookmarkStart w:id="2059" w:name="OLE_LINK701"/>
      <w:r>
        <w:rPr>
          <w:rFonts w:hint="eastAsia" w:ascii="Times New Roman" w:hAnsi="Times New Roman" w:eastAsia="宋体" w:cs="Times New Roman"/>
          <w:b/>
          <w:bCs/>
          <w:color w:val="auto"/>
          <w:spacing w:val="-3"/>
          <w:sz w:val="24"/>
          <w:szCs w:val="24"/>
          <w:lang w:val="en-US" w:eastAsia="zh-CN"/>
        </w:rPr>
        <w:t>区</w:t>
      </w:r>
      <w:bookmarkEnd w:id="2059"/>
      <w:bookmarkStart w:id="2060" w:name="pindex13694"/>
      <w:bookmarkEnd w:id="2060"/>
    </w:p>
    <w:bookmarkEnd w:id="2058"/>
    <w:p w14:paraId="5B6341E8">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（a）秦淮河漫滩区（I</w:t>
      </w:r>
      <w:bookmarkStart w:id="2061" w:name="OLE_LINK689"/>
      <w:r>
        <w:rPr>
          <w:rFonts w:hint="default" w:ascii="Times New Roman" w:hAnsi="Times New Roman" w:eastAsia="宋体" w:cs="Times New Roman"/>
          <w:snapToGrid w:val="0"/>
          <w:color w:val="auto"/>
          <w:kern w:val="0"/>
          <w:sz w:val="24"/>
          <w:szCs w:val="24"/>
          <w:vertAlign w:val="subscript"/>
          <w:lang w:val="en-US" w:eastAsia="zh-CN" w:bidi="ar"/>
        </w:rPr>
        <w:t>5</w:t>
      </w:r>
      <w:bookmarkEnd w:id="2061"/>
      <w:r>
        <w:rPr>
          <w:rFonts w:hint="default" w:ascii="Times New Roman" w:hAnsi="Times New Roman" w:eastAsia="宋体" w:cs="Times New Roman"/>
          <w:snapToGrid w:val="0"/>
          <w:color w:val="auto"/>
          <w:kern w:val="0"/>
          <w:sz w:val="24"/>
          <w:szCs w:val="24"/>
          <w:lang w:val="en-US" w:eastAsia="zh-CN" w:bidi="ar"/>
        </w:rPr>
        <w:t>）</w:t>
      </w:r>
      <w:bookmarkStart w:id="2062" w:name="pindex13695"/>
      <w:bookmarkEnd w:id="2062"/>
    </w:p>
    <w:p w14:paraId="7A8A50E0">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在溧水区北，分布面积约5km</w:t>
      </w:r>
      <w:bookmarkStart w:id="2063" w:name="OLE_LINK688"/>
      <w:r>
        <w:rPr>
          <w:rFonts w:hint="default" w:ascii="Times New Roman" w:hAnsi="Times New Roman" w:eastAsia="宋体" w:cs="Times New Roman"/>
          <w:snapToGrid w:val="0"/>
          <w:color w:val="auto"/>
          <w:kern w:val="0"/>
          <w:sz w:val="24"/>
          <w:szCs w:val="24"/>
          <w:vertAlign w:val="superscript"/>
          <w:lang w:val="en-US" w:eastAsia="zh-CN" w:bidi="ar"/>
        </w:rPr>
        <w:t>2</w:t>
      </w:r>
      <w:bookmarkEnd w:id="2063"/>
      <w:r>
        <w:rPr>
          <w:rFonts w:hint="default" w:ascii="Times New Roman" w:hAnsi="Times New Roman" w:eastAsia="宋体" w:cs="Times New Roman"/>
          <w:snapToGrid w:val="0"/>
          <w:color w:val="auto"/>
          <w:kern w:val="0"/>
          <w:sz w:val="24"/>
          <w:szCs w:val="24"/>
          <w:lang w:val="en-US" w:eastAsia="zh-CN" w:bidi="ar"/>
        </w:rPr>
        <w:t>，全区无井孔资料，推测沉积物厚度20～30m，单井涌水量100～300m</w:t>
      </w:r>
      <w:bookmarkStart w:id="2064" w:name="OLE_LINK690"/>
      <w:r>
        <w:rPr>
          <w:rFonts w:hint="default" w:ascii="Times New Roman" w:hAnsi="Times New Roman" w:eastAsia="宋体" w:cs="Times New Roman"/>
          <w:snapToGrid w:val="0"/>
          <w:color w:val="auto"/>
          <w:kern w:val="0"/>
          <w:sz w:val="24"/>
          <w:szCs w:val="24"/>
          <w:vertAlign w:val="superscript"/>
          <w:lang w:val="en-US" w:eastAsia="zh-CN" w:bidi="ar"/>
        </w:rPr>
        <w:t>3</w:t>
      </w:r>
      <w:bookmarkEnd w:id="2064"/>
      <w:r>
        <w:rPr>
          <w:rFonts w:hint="default" w:ascii="Times New Roman" w:hAnsi="Times New Roman" w:eastAsia="宋体" w:cs="Times New Roman"/>
          <w:snapToGrid w:val="0"/>
          <w:color w:val="auto"/>
          <w:kern w:val="0"/>
          <w:sz w:val="24"/>
          <w:szCs w:val="24"/>
          <w:lang w:val="en-US" w:eastAsia="zh-CN" w:bidi="ar"/>
        </w:rPr>
        <w:t>/d。深部为侏罗系火山碎屑岩。</w:t>
      </w:r>
    </w:p>
    <w:p w14:paraId="4014CBD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rPr>
        <w:t>（b）丘岗区（Ⅱ</w:t>
      </w:r>
      <w:bookmarkStart w:id="2065" w:name="OLE_LINK691"/>
      <w:r>
        <w:rPr>
          <w:rFonts w:hint="default" w:ascii="Times New Roman" w:hAnsi="Times New Roman" w:eastAsia="宋体" w:cs="Times New Roman"/>
          <w:snapToGrid w:val="0"/>
          <w:color w:val="auto"/>
          <w:kern w:val="0"/>
          <w:sz w:val="24"/>
          <w:szCs w:val="24"/>
          <w:vertAlign w:val="subscript"/>
          <w:lang w:val="en-US" w:eastAsia="zh-CN" w:bidi="ar"/>
        </w:rPr>
        <w:t>5</w:t>
      </w:r>
      <w:bookmarkEnd w:id="2065"/>
      <w:r>
        <w:rPr>
          <w:rFonts w:hint="default" w:ascii="Times New Roman" w:hAnsi="Times New Roman" w:eastAsia="宋体" w:cs="Times New Roman"/>
          <w:snapToGrid w:val="0"/>
          <w:color w:val="auto"/>
          <w:kern w:val="0"/>
          <w:sz w:val="24"/>
          <w:szCs w:val="24"/>
          <w:lang w:val="en-US" w:eastAsia="zh-CN" w:bidi="ar"/>
        </w:rPr>
        <w:t xml:space="preserve">） </w:t>
      </w:r>
      <w:bookmarkStart w:id="2066" w:name="pindex13697"/>
      <w:bookmarkEnd w:id="2066"/>
    </w:p>
    <w:p w14:paraId="2D20B82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①丘岗基岩裸露亚区（Ⅱ</w:t>
      </w:r>
      <w:bookmarkStart w:id="2067" w:name="OLE_LINK692"/>
      <w:r>
        <w:rPr>
          <w:rFonts w:hint="default" w:ascii="Times New Roman" w:hAnsi="Times New Roman" w:eastAsia="宋体" w:cs="Times New Roman"/>
          <w:snapToGrid w:val="0"/>
          <w:color w:val="auto"/>
          <w:kern w:val="0"/>
          <w:sz w:val="24"/>
          <w:szCs w:val="24"/>
          <w:vertAlign w:val="subscript"/>
          <w:lang w:val="en-US" w:eastAsia="zh-CN" w:bidi="ar"/>
        </w:rPr>
        <w:t>5</w:t>
      </w:r>
      <w:bookmarkEnd w:id="2067"/>
      <w:bookmarkStart w:id="2068" w:name="OLE_LINK693"/>
      <w:r>
        <w:rPr>
          <w:rFonts w:hint="default" w:ascii="Times New Roman" w:hAnsi="Times New Roman" w:eastAsia="宋体" w:cs="Times New Roman"/>
          <w:snapToGrid w:val="0"/>
          <w:color w:val="auto"/>
          <w:kern w:val="0"/>
          <w:sz w:val="24"/>
          <w:szCs w:val="24"/>
          <w:vertAlign w:val="superscript"/>
          <w:lang w:val="en-US" w:eastAsia="zh-CN" w:bidi="ar"/>
        </w:rPr>
        <w:t>1</w:t>
      </w:r>
      <w:bookmarkEnd w:id="2068"/>
      <w:r>
        <w:rPr>
          <w:rFonts w:hint="default" w:ascii="Times New Roman" w:hAnsi="Times New Roman" w:eastAsia="宋体" w:cs="Times New Roman"/>
          <w:snapToGrid w:val="0"/>
          <w:color w:val="auto"/>
          <w:kern w:val="0"/>
          <w:sz w:val="24"/>
          <w:szCs w:val="24"/>
          <w:lang w:val="en-US" w:eastAsia="zh-CN" w:bidi="ar"/>
        </w:rPr>
        <w:t>）</w:t>
      </w:r>
      <w:bookmarkStart w:id="2069" w:name="pindex13698"/>
      <w:bookmarkEnd w:id="2069"/>
    </w:p>
    <w:p w14:paraId="5CB4152C">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为全区分布最广的地区，总面积830km</w:t>
      </w:r>
      <w:bookmarkStart w:id="2070" w:name="OLE_LINK694"/>
      <w:r>
        <w:rPr>
          <w:rFonts w:hint="default" w:ascii="Times New Roman" w:hAnsi="Times New Roman" w:eastAsia="宋体" w:cs="Times New Roman"/>
          <w:snapToGrid w:val="0"/>
          <w:color w:val="auto"/>
          <w:kern w:val="0"/>
          <w:sz w:val="24"/>
          <w:szCs w:val="24"/>
          <w:vertAlign w:val="superscript"/>
          <w:lang w:val="en-US" w:eastAsia="zh-CN" w:bidi="ar"/>
        </w:rPr>
        <w:t>2</w:t>
      </w:r>
      <w:bookmarkEnd w:id="2070"/>
      <w:r>
        <w:rPr>
          <w:rFonts w:hint="default" w:ascii="Times New Roman" w:hAnsi="Times New Roman" w:eastAsia="宋体" w:cs="Times New Roman"/>
          <w:snapToGrid w:val="0"/>
          <w:color w:val="auto"/>
          <w:kern w:val="0"/>
          <w:sz w:val="24"/>
          <w:szCs w:val="24"/>
          <w:lang w:val="en-US" w:eastAsia="zh-CN" w:bidi="ar"/>
        </w:rPr>
        <w:t>。除表层有薄层粘性土覆盖外，大面积基岩裸露。本区出露基岩，主要为侏罗系上统上段（J</w:t>
      </w:r>
      <w:r>
        <w:rPr>
          <w:rFonts w:hint="default" w:ascii="Times New Roman" w:hAnsi="Times New Roman" w:eastAsia="宋体" w:cs="Times New Roman"/>
          <w:snapToGrid w:val="0"/>
          <w:color w:val="auto"/>
          <w:kern w:val="0"/>
          <w:sz w:val="24"/>
          <w:szCs w:val="24"/>
          <w:vertAlign w:val="subscript"/>
          <w:lang w:val="en-US" w:eastAsia="zh-CN" w:bidi="ar"/>
        </w:rPr>
        <w:t>3</w:t>
      </w:r>
      <w:bookmarkStart w:id="2071" w:name="OLE_LINK695"/>
      <w:r>
        <w:rPr>
          <w:rFonts w:hint="default" w:ascii="Times New Roman" w:hAnsi="Times New Roman" w:eastAsia="宋体" w:cs="Times New Roman"/>
          <w:snapToGrid w:val="0"/>
          <w:color w:val="auto"/>
          <w:kern w:val="0"/>
          <w:sz w:val="24"/>
          <w:szCs w:val="24"/>
          <w:vertAlign w:val="superscript"/>
          <w:lang w:val="en-US" w:eastAsia="zh-CN" w:bidi="ar"/>
        </w:rPr>
        <w:t>2</w:t>
      </w:r>
      <w:bookmarkEnd w:id="2071"/>
      <w:r>
        <w:rPr>
          <w:rFonts w:hint="default" w:ascii="Times New Roman" w:hAnsi="Times New Roman" w:eastAsia="宋体" w:cs="Times New Roman"/>
          <w:snapToGrid w:val="0"/>
          <w:color w:val="auto"/>
          <w:kern w:val="0"/>
          <w:sz w:val="24"/>
          <w:szCs w:val="24"/>
          <w:lang w:val="en-US" w:eastAsia="zh-CN" w:bidi="ar"/>
        </w:rPr>
        <w:t>）火山岩、火山碎屑岩、下段（J</w:t>
      </w:r>
      <w:bookmarkStart w:id="2072" w:name="OLE_LINK696"/>
      <w:r>
        <w:rPr>
          <w:rFonts w:hint="default" w:ascii="Times New Roman" w:hAnsi="Times New Roman" w:eastAsia="宋体" w:cs="Times New Roman"/>
          <w:snapToGrid w:val="0"/>
          <w:color w:val="auto"/>
          <w:kern w:val="0"/>
          <w:sz w:val="24"/>
          <w:szCs w:val="24"/>
          <w:vertAlign w:val="subscript"/>
          <w:lang w:val="en-US" w:eastAsia="zh-CN" w:bidi="ar"/>
        </w:rPr>
        <w:t>3</w:t>
      </w:r>
      <w:bookmarkEnd w:id="2072"/>
      <w:bookmarkStart w:id="2073" w:name="OLE_LINK697"/>
      <w:r>
        <w:rPr>
          <w:rFonts w:hint="default" w:ascii="Times New Roman" w:hAnsi="Times New Roman" w:eastAsia="宋体" w:cs="Times New Roman"/>
          <w:snapToGrid w:val="0"/>
          <w:color w:val="auto"/>
          <w:kern w:val="0"/>
          <w:sz w:val="24"/>
          <w:szCs w:val="24"/>
          <w:vertAlign w:val="superscript"/>
          <w:lang w:val="en-US" w:eastAsia="zh-CN" w:bidi="ar"/>
        </w:rPr>
        <w:t>1</w:t>
      </w:r>
      <w:bookmarkEnd w:id="2073"/>
      <w:r>
        <w:rPr>
          <w:rFonts w:hint="default" w:ascii="Times New Roman" w:hAnsi="Times New Roman" w:eastAsia="宋体" w:cs="Times New Roman"/>
          <w:snapToGrid w:val="0"/>
          <w:color w:val="auto"/>
          <w:kern w:val="0"/>
          <w:sz w:val="24"/>
          <w:szCs w:val="24"/>
          <w:lang w:val="en-US" w:eastAsia="zh-CN" w:bidi="ar"/>
        </w:rPr>
        <w:t>）碎屑岩、火山碎屑岩。局部地段侏罗系中下统（J</w:t>
      </w:r>
      <w:bookmarkStart w:id="2074" w:name="OLE_LINK698"/>
      <w:r>
        <w:rPr>
          <w:rFonts w:hint="default" w:ascii="Times New Roman" w:hAnsi="Times New Roman" w:eastAsia="宋体" w:cs="Times New Roman"/>
          <w:snapToGrid w:val="0"/>
          <w:color w:val="auto"/>
          <w:kern w:val="0"/>
          <w:sz w:val="24"/>
          <w:szCs w:val="24"/>
          <w:vertAlign w:val="subscript"/>
          <w:lang w:val="en-US" w:eastAsia="zh-CN" w:bidi="ar"/>
        </w:rPr>
        <w:t>1-2</w:t>
      </w:r>
      <w:bookmarkEnd w:id="2074"/>
      <w:r>
        <w:rPr>
          <w:rFonts w:hint="default" w:ascii="Times New Roman" w:hAnsi="Times New Roman" w:eastAsia="宋体" w:cs="Times New Roman"/>
          <w:snapToGrid w:val="0"/>
          <w:color w:val="auto"/>
          <w:kern w:val="0"/>
          <w:sz w:val="24"/>
          <w:szCs w:val="24"/>
          <w:lang w:val="en-US" w:eastAsia="zh-CN" w:bidi="ar"/>
        </w:rPr>
        <w:t>）象山群砂岩，</w:t>
      </w:r>
      <w:r>
        <w:rPr>
          <w:rFonts w:hint="eastAsia" w:ascii="Times New Roman" w:hAnsi="Times New Roman" w:eastAsia="宋体" w:cs="Times New Roman"/>
          <w:snapToGrid w:val="0"/>
          <w:color w:val="auto"/>
          <w:kern w:val="0"/>
          <w:sz w:val="24"/>
          <w:szCs w:val="24"/>
          <w:lang w:val="en-US" w:eastAsia="zh-CN" w:bidi="ar"/>
        </w:rPr>
        <w:t>三叠系</w:t>
      </w:r>
      <w:r>
        <w:rPr>
          <w:rFonts w:hint="default" w:ascii="Times New Roman" w:hAnsi="Times New Roman" w:eastAsia="宋体" w:cs="Times New Roman"/>
          <w:snapToGrid w:val="0"/>
          <w:color w:val="auto"/>
          <w:kern w:val="0"/>
          <w:sz w:val="24"/>
          <w:szCs w:val="24"/>
          <w:lang w:val="en-US" w:eastAsia="zh-CN" w:bidi="ar"/>
        </w:rPr>
        <w:t>中统黄马青组（T</w:t>
      </w:r>
      <w:bookmarkStart w:id="2075" w:name="OLE_LINK699"/>
      <w:r>
        <w:rPr>
          <w:rFonts w:hint="default" w:ascii="Times New Roman" w:hAnsi="Times New Roman" w:eastAsia="宋体" w:cs="Times New Roman"/>
          <w:snapToGrid w:val="0"/>
          <w:color w:val="auto"/>
          <w:kern w:val="0"/>
          <w:sz w:val="24"/>
          <w:szCs w:val="24"/>
          <w:vertAlign w:val="subscript"/>
          <w:lang w:val="en-US" w:eastAsia="zh-CN" w:bidi="ar"/>
        </w:rPr>
        <w:t>2</w:t>
      </w:r>
      <w:bookmarkEnd w:id="2075"/>
      <w:r>
        <w:rPr>
          <w:rFonts w:hint="default" w:ascii="Times New Roman" w:hAnsi="Times New Roman" w:eastAsia="宋体" w:cs="Times New Roman"/>
          <w:snapToGrid w:val="0"/>
          <w:color w:val="auto"/>
          <w:kern w:val="0"/>
          <w:sz w:val="24"/>
          <w:szCs w:val="24"/>
          <w:lang w:val="en-US" w:eastAsia="zh-CN" w:bidi="ar"/>
        </w:rPr>
        <w:t>h）砂岩出露。在城西华山、城北乌山、群力有粗安斑岩与闪长玢岩的侵入。在城区东南的白马镇南至芝山一带，为茅山山脉南延部分，出露有泥盆系砂岩及志留系泥页岩。</w:t>
      </w:r>
    </w:p>
    <w:p w14:paraId="6E4933D4">
      <w:pPr>
        <w:pStyle w:val="18"/>
        <w:ind w:left="0" w:leftChars="0" w:firstLine="0" w:firstLineChars="0"/>
        <w:rPr>
          <w:rFonts w:hint="default"/>
          <w:color w:val="auto"/>
        </w:rPr>
      </w:pPr>
    </w:p>
    <w:p w14:paraId="4635D003">
      <w:pPr>
        <w:rPr>
          <w:rFonts w:hint="default"/>
          <w:color w:val="auto"/>
          <w:lang w:val="en-US" w:eastAsia="zh-CN"/>
        </w:rPr>
      </w:pPr>
      <w:r>
        <w:rPr>
          <w:rFonts w:hint="default"/>
          <w:color w:val="auto"/>
          <w:lang w:val="en-US" w:eastAsia="zh-CN"/>
        </w:rPr>
        <w:br w:type="page"/>
      </w:r>
    </w:p>
    <w:p w14:paraId="1276E87B">
      <w:pPr>
        <w:keepNext w:val="0"/>
        <w:keepLines w:val="0"/>
        <w:pageBreakBefore w:val="0"/>
        <w:widowControl/>
        <w:kinsoku w:val="0"/>
        <w:wordWrap/>
        <w:overflowPunct/>
        <w:topLinePunct w:val="0"/>
        <w:autoSpaceDE w:val="0"/>
        <w:autoSpaceDN w:val="0"/>
        <w:bidi w:val="0"/>
        <w:adjustRightInd w:val="0"/>
        <w:snapToGrid w:val="0"/>
        <w:spacing w:before="305" w:line="360" w:lineRule="auto"/>
        <w:ind w:left="38"/>
        <w:textAlignment w:val="baseline"/>
        <w:outlineLvl w:val="0"/>
        <w:rPr>
          <w:rFonts w:ascii="宋体" w:hAnsi="宋体" w:eastAsia="宋体" w:cs="宋体"/>
          <w:color w:val="auto"/>
          <w:sz w:val="28"/>
          <w:szCs w:val="28"/>
          <w:highlight w:val="yellow"/>
        </w:rPr>
      </w:pPr>
      <w:bookmarkStart w:id="2076" w:name="OLE_LINK830"/>
      <w:bookmarkStart w:id="2077" w:name="_Toc22731"/>
      <w:bookmarkStart w:id="2078" w:name="OLE_LINK205"/>
      <w:bookmarkStart w:id="2079" w:name="OLE_LINK706"/>
      <w:r>
        <w:rPr>
          <w:rFonts w:hint="eastAsia" w:ascii="Times New Roman" w:hAnsi="Times New Roman" w:eastAsia="宋体" w:cs="Times New Roman"/>
          <w:b/>
          <w:bCs/>
          <w:color w:val="auto"/>
          <w:spacing w:val="-3"/>
          <w:sz w:val="28"/>
          <w:szCs w:val="28"/>
          <w:highlight w:val="none"/>
          <w:lang w:val="en-US" w:eastAsia="zh-CN"/>
        </w:rPr>
        <w:t>8</w:t>
      </w:r>
      <w:bookmarkStart w:id="2080" w:name="OLE_LINK556"/>
      <w:r>
        <w:rPr>
          <w:rFonts w:hint="eastAsia" w:ascii="Times New Roman" w:hAnsi="Times New Roman" w:eastAsia="宋体" w:cs="Times New Roman"/>
          <w:b/>
          <w:bCs/>
          <w:color w:val="auto"/>
          <w:spacing w:val="-3"/>
          <w:sz w:val="28"/>
          <w:szCs w:val="28"/>
          <w:highlight w:val="none"/>
          <w:lang w:val="en-US" w:eastAsia="zh-CN"/>
        </w:rPr>
        <w:t>环境</w:t>
      </w:r>
      <w:r>
        <w:rPr>
          <w:rFonts w:hint="eastAsia" w:ascii="宋体" w:hAnsi="宋体" w:eastAsia="宋体" w:cs="宋体"/>
          <w:b/>
          <w:bCs/>
          <w:color w:val="auto"/>
          <w:spacing w:val="-3"/>
          <w:sz w:val="28"/>
          <w:szCs w:val="28"/>
          <w:highlight w:val="none"/>
          <w:lang w:val="en-US" w:eastAsia="zh-CN"/>
        </w:rPr>
        <w:t>污染</w:t>
      </w:r>
      <w:bookmarkStart w:id="2081" w:name="OLE_LINK702"/>
      <w:r>
        <w:rPr>
          <w:rFonts w:ascii="宋体" w:hAnsi="宋体" w:eastAsia="宋体" w:cs="宋体"/>
          <w:b/>
          <w:bCs/>
          <w:color w:val="auto"/>
          <w:spacing w:val="-3"/>
          <w:sz w:val="28"/>
          <w:szCs w:val="28"/>
          <w:highlight w:val="none"/>
        </w:rPr>
        <w:t>防</w:t>
      </w:r>
      <w:r>
        <w:rPr>
          <w:rFonts w:hint="eastAsia" w:ascii="宋体" w:hAnsi="宋体" w:eastAsia="宋体" w:cs="宋体"/>
          <w:b/>
          <w:bCs/>
          <w:color w:val="auto"/>
          <w:spacing w:val="-3"/>
          <w:sz w:val="28"/>
          <w:szCs w:val="28"/>
          <w:highlight w:val="none"/>
          <w:lang w:val="en-US" w:eastAsia="zh-CN"/>
        </w:rPr>
        <w:t>治</w:t>
      </w:r>
      <w:r>
        <w:rPr>
          <w:rFonts w:ascii="宋体" w:hAnsi="宋体" w:eastAsia="宋体" w:cs="宋体"/>
          <w:b/>
          <w:bCs/>
          <w:color w:val="auto"/>
          <w:spacing w:val="-3"/>
          <w:sz w:val="28"/>
          <w:szCs w:val="28"/>
          <w:highlight w:val="none"/>
        </w:rPr>
        <w:t>措施</w:t>
      </w:r>
      <w:bookmarkEnd w:id="2076"/>
      <w:bookmarkEnd w:id="2077"/>
      <w:bookmarkEnd w:id="2081"/>
      <w:bookmarkStart w:id="2082" w:name="pindex13702"/>
      <w:bookmarkEnd w:id="2082"/>
    </w:p>
    <w:bookmarkEnd w:id="2078"/>
    <w:bookmarkEnd w:id="2080"/>
    <w:p w14:paraId="387FB41B">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1"/>
        <w:rPr>
          <w:rFonts w:hint="default" w:ascii="Times New Roman" w:hAnsi="Times New Roman" w:eastAsia="宋体" w:cs="Times New Roman"/>
          <w:b/>
          <w:bCs/>
          <w:color w:val="auto"/>
          <w:sz w:val="24"/>
          <w:szCs w:val="24"/>
          <w:lang w:val="en-US" w:eastAsia="zh-CN"/>
        </w:rPr>
      </w:pPr>
      <w:bookmarkStart w:id="2083" w:name="_Toc28538"/>
      <w:bookmarkStart w:id="2084" w:name="OLE_LINK587"/>
      <w:bookmarkStart w:id="2085" w:name="OLE_LINK704"/>
      <w:bookmarkStart w:id="2086" w:name="OLE_LINK713"/>
      <w:bookmarkStart w:id="2087" w:name="OLE_LINK583"/>
      <w:bookmarkStart w:id="2088" w:name="OLE_LINK581"/>
      <w:r>
        <w:rPr>
          <w:rFonts w:hint="default"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bCs/>
          <w:color w:val="auto"/>
          <w:sz w:val="24"/>
          <w:szCs w:val="24"/>
        </w:rPr>
        <w:t>.1</w:t>
      </w:r>
      <w:r>
        <w:rPr>
          <w:rFonts w:hint="eastAsia" w:ascii="Times New Roman" w:hAnsi="Times New Roman" w:eastAsia="宋体" w:cs="Times New Roman"/>
          <w:b/>
          <w:bCs/>
          <w:color w:val="auto"/>
          <w:sz w:val="24"/>
          <w:szCs w:val="24"/>
          <w:lang w:val="en-US" w:eastAsia="zh-CN"/>
        </w:rPr>
        <w:t>大气环境污染防治措施</w:t>
      </w:r>
      <w:bookmarkEnd w:id="2083"/>
      <w:bookmarkStart w:id="2089" w:name="pindex13703"/>
      <w:bookmarkEnd w:id="2089"/>
    </w:p>
    <w:bookmarkEnd w:id="2079"/>
    <w:bookmarkEnd w:id="2084"/>
    <w:bookmarkEnd w:id="2085"/>
    <w:bookmarkEnd w:id="2086"/>
    <w:p w14:paraId="7DA9D45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bookmarkStart w:id="2090" w:name="OLE_LINK586"/>
      <w:r>
        <w:rPr>
          <w:rFonts w:hint="default" w:ascii="Times New Roman" w:hAnsi="Times New Roman" w:eastAsia="宋体" w:cs="Times New Roman"/>
          <w:color w:val="auto"/>
          <w:sz w:val="24"/>
          <w:szCs w:val="24"/>
        </w:rPr>
        <w:t>全面实施清洁能源工程，鼓励积极改善能源结构，使用天然气等清洁燃料，提高城镇民用气化率</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加快发展天然气汽车，减少汽车尾气排放，使城镇空气质量不断提高加强对建筑施工、渣土堆放、露天原料库、运输车辆等易产生扬尘污染的场所的管理与监督检查，有效防治市区扬尘污染。切实保证环境空气质量达到国家二级标准。加强对重点污染企业的管理，促进清洁生产。</w:t>
      </w:r>
    </w:p>
    <w:bookmarkEnd w:id="2087"/>
    <w:bookmarkEnd w:id="2090"/>
    <w:p w14:paraId="3E733B9E">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1"/>
        <w:rPr>
          <w:rFonts w:hint="default" w:ascii="Times New Roman" w:hAnsi="Times New Roman" w:eastAsia="宋体" w:cs="Times New Roman"/>
          <w:b/>
          <w:bCs/>
          <w:color w:val="auto"/>
          <w:sz w:val="24"/>
          <w:szCs w:val="24"/>
          <w:lang w:val="en-US" w:eastAsia="zh-CN"/>
        </w:rPr>
      </w:pPr>
      <w:bookmarkStart w:id="2091" w:name="_Toc19142"/>
      <w:bookmarkStart w:id="2092" w:name="OLE_LINK708"/>
      <w:bookmarkStart w:id="2093" w:name="OLE_LINK584"/>
      <w:bookmarkStart w:id="2094" w:name="OLE_LINK588"/>
      <w:r>
        <w:rPr>
          <w:rFonts w:hint="default"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bCs/>
          <w:color w:val="auto"/>
          <w:sz w:val="24"/>
          <w:szCs w:val="24"/>
        </w:rPr>
        <w:t>.</w:t>
      </w:r>
      <w:r>
        <w:rPr>
          <w:rFonts w:hint="eastAsia" w:ascii="Times New Roman" w:hAnsi="Times New Roman" w:eastAsia="宋体" w:cs="Times New Roman"/>
          <w:b/>
          <w:bCs/>
          <w:color w:val="auto"/>
          <w:sz w:val="24"/>
          <w:szCs w:val="24"/>
          <w:lang w:val="en-US" w:eastAsia="zh-CN"/>
        </w:rPr>
        <w:t>2水环境污染防治措施</w:t>
      </w:r>
      <w:bookmarkEnd w:id="2091"/>
      <w:bookmarkStart w:id="2095" w:name="pindex13705"/>
      <w:bookmarkEnd w:id="2095"/>
    </w:p>
    <w:bookmarkEnd w:id="2092"/>
    <w:p w14:paraId="4EC92E97">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规划区内水体以生态恢复为主要任务，除继续加大沿岸污水排放的截流和处理外，还应根据规划区水体具体情况分别实施有效的治理恢复技术，使规划区拥有干净、美观的环境。</w:t>
      </w:r>
    </w:p>
    <w:p w14:paraId="156A40ED">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加强城市污水厂和排水管网的建设，使规划区生活污水得到有效收集和处理，对主要水污染物的排放进行总量控制。</w:t>
      </w:r>
    </w:p>
    <w:p w14:paraId="7DAA6609">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工业废水治理应按照“谁污染，谁治理”原则，政府制定产业政策，加强技术指导和监督检查，企业自主筹集资金治理。工业污染物的削减要坚持产业结构调整与技术进步和末端治理相结合，实施污染物排放总量控制与浓度控制相结合。推行清洁生产，加快产业结构调整，淘汰落后设备、引进轻污染，高效益的企业。</w:t>
      </w:r>
    </w:p>
    <w:bookmarkEnd w:id="2093"/>
    <w:bookmarkEnd w:id="2094"/>
    <w:p w14:paraId="797C440C">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1"/>
        <w:rPr>
          <w:rFonts w:hint="eastAsia" w:ascii="Times New Roman" w:hAnsi="Times New Roman" w:eastAsia="宋体" w:cs="Times New Roman"/>
          <w:b/>
          <w:bCs/>
          <w:color w:val="auto"/>
          <w:sz w:val="24"/>
          <w:szCs w:val="24"/>
          <w:lang w:val="en-US" w:eastAsia="zh-CN"/>
        </w:rPr>
      </w:pPr>
      <w:bookmarkStart w:id="2096" w:name="_Toc9735"/>
      <w:bookmarkStart w:id="2097" w:name="OLE_LINK710"/>
      <w:bookmarkStart w:id="2098" w:name="OLE_LINK591"/>
      <w:r>
        <w:rPr>
          <w:rFonts w:hint="default" w:ascii="Times New Roman" w:hAnsi="Times New Roman" w:eastAsia="宋体" w:cs="Times New Roman"/>
          <w:b/>
          <w:bCs/>
          <w:color w:val="auto"/>
          <w:sz w:val="24"/>
          <w:szCs w:val="24"/>
          <w:lang w:val="en-US" w:eastAsia="zh-CN"/>
        </w:rPr>
        <w:t>8.</w:t>
      </w:r>
      <w:r>
        <w:rPr>
          <w:rFonts w:hint="eastAsia" w:ascii="Times New Roman" w:hAnsi="Times New Roman" w:eastAsia="宋体" w:cs="Times New Roman"/>
          <w:b/>
          <w:bCs/>
          <w:color w:val="auto"/>
          <w:sz w:val="24"/>
          <w:szCs w:val="24"/>
          <w:lang w:val="en-US" w:eastAsia="zh-CN"/>
        </w:rPr>
        <w:t>3固体废物污染防治措施</w:t>
      </w:r>
      <w:bookmarkEnd w:id="2096"/>
      <w:bookmarkStart w:id="2099" w:name="pindex13709"/>
      <w:bookmarkEnd w:id="2099"/>
    </w:p>
    <w:bookmarkEnd w:id="2097"/>
    <w:p w14:paraId="2675B97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bookmarkStart w:id="2100" w:name="OLE_LINK709"/>
      <w:r>
        <w:rPr>
          <w:rFonts w:hint="default" w:ascii="Times New Roman" w:hAnsi="Times New Roman" w:eastAsia="宋体" w:cs="Times New Roman"/>
          <w:color w:val="auto"/>
          <w:sz w:val="24"/>
          <w:szCs w:val="24"/>
          <w:lang w:val="en-US" w:eastAsia="zh-CN"/>
        </w:rPr>
        <w:t>大力开展废物综合利用。制定工业固体废物资源化政策，近期工业固体废物综合利用率达95%，远期达97%以上。</w:t>
      </w:r>
    </w:p>
    <w:p w14:paraId="2237B46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加强危险废物的治理。危险废弃物不得混入一般工业固体废物中，不得任意排放，危险废物处置率达100%。</w:t>
      </w:r>
    </w:p>
    <w:p w14:paraId="138F143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加强生活垃圾的分类，完善生活垃圾的收集、储运和处理系统，生活垃圾无害化处理率应达100%。</w:t>
      </w:r>
    </w:p>
    <w:p w14:paraId="1E0CDB9D">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1"/>
        <w:rPr>
          <w:rFonts w:hint="eastAsia" w:ascii="Times New Roman" w:hAnsi="Times New Roman" w:eastAsia="宋体" w:cs="Times New Roman"/>
          <w:b/>
          <w:bCs/>
          <w:color w:val="auto"/>
          <w:sz w:val="24"/>
          <w:szCs w:val="24"/>
          <w:lang w:val="en-US" w:eastAsia="zh-CN"/>
        </w:rPr>
      </w:pPr>
      <w:bookmarkStart w:id="2101" w:name="_Toc11077"/>
      <w:r>
        <w:rPr>
          <w:rFonts w:hint="default" w:ascii="Times New Roman" w:hAnsi="Times New Roman" w:eastAsia="宋体" w:cs="Times New Roman"/>
          <w:b/>
          <w:bCs/>
          <w:color w:val="auto"/>
          <w:sz w:val="24"/>
          <w:szCs w:val="24"/>
          <w:lang w:val="en-US" w:eastAsia="zh-CN"/>
        </w:rPr>
        <w:t>8.</w:t>
      </w:r>
      <w:r>
        <w:rPr>
          <w:rFonts w:hint="eastAsia" w:ascii="Times New Roman" w:hAnsi="Times New Roman" w:eastAsia="宋体" w:cs="Times New Roman"/>
          <w:b/>
          <w:bCs/>
          <w:color w:val="auto"/>
          <w:sz w:val="24"/>
          <w:szCs w:val="24"/>
          <w:lang w:val="en-US" w:eastAsia="zh-CN"/>
        </w:rPr>
        <w:t>4噪声污染防治措施</w:t>
      </w:r>
      <w:bookmarkEnd w:id="2101"/>
      <w:bookmarkStart w:id="2102" w:name="pindex13713"/>
      <w:bookmarkEnd w:id="2102"/>
    </w:p>
    <w:p w14:paraId="7FC7B33B">
      <w:pPr>
        <w:pStyle w:val="18"/>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lang w:val="en-US" w:eastAsia="zh-CN"/>
        </w:rPr>
      </w:pPr>
      <w:bookmarkStart w:id="2103" w:name="OLE_LINK711"/>
      <w:r>
        <w:rPr>
          <w:rFonts w:hint="default" w:ascii="Times New Roman" w:hAnsi="Times New Roman" w:eastAsia="宋体" w:cs="Times New Roman"/>
          <w:color w:val="auto"/>
          <w:sz w:val="24"/>
          <w:szCs w:val="24"/>
          <w:lang w:val="en-US" w:eastAsia="zh-CN"/>
        </w:rPr>
        <w:t>合理安排城镇功能分区，尤其是安静居住区的建设，避免交通干道对其分割和在居住区内设厂，建设合理顺畅的交通道路系统</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加大城区街道机动车辆禁鸣力度，限制噪声较大的交通车辆进入繁华市区，降低交通噪声污染。对于</w:t>
      </w:r>
      <w:r>
        <w:rPr>
          <w:rFonts w:hint="eastAsia" w:ascii="Times New Roman" w:hAnsi="Times New Roman" w:eastAsia="宋体" w:cs="Times New Roman"/>
          <w:color w:val="auto"/>
          <w:sz w:val="24"/>
          <w:szCs w:val="24"/>
          <w:lang w:val="en-US" w:eastAsia="zh-CN"/>
        </w:rPr>
        <w:t>临街</w:t>
      </w:r>
      <w:r>
        <w:rPr>
          <w:rFonts w:hint="default" w:ascii="Times New Roman" w:hAnsi="Times New Roman" w:eastAsia="宋体" w:cs="Times New Roman"/>
          <w:color w:val="auto"/>
          <w:sz w:val="24"/>
          <w:szCs w:val="24"/>
          <w:lang w:val="en-US" w:eastAsia="zh-CN"/>
        </w:rPr>
        <w:t>建筑，受到交通噪声影响较大，可安装塑钢窗或设双层窗，以减轻城市道路交通噪声对住户的影响。</w:t>
      </w:r>
    </w:p>
    <w:p w14:paraId="77861087">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1"/>
        <w:rPr>
          <w:rFonts w:hint="default" w:ascii="Times New Roman" w:hAnsi="Times New Roman" w:eastAsia="宋体" w:cs="Times New Roman"/>
          <w:b/>
          <w:bCs/>
          <w:color w:val="auto"/>
          <w:sz w:val="24"/>
          <w:szCs w:val="24"/>
          <w:lang w:val="en-US" w:eastAsia="zh-CN"/>
        </w:rPr>
      </w:pPr>
      <w:bookmarkStart w:id="2104" w:name="_Toc31543"/>
      <w:r>
        <w:rPr>
          <w:rFonts w:hint="default"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bCs/>
          <w:color w:val="auto"/>
          <w:sz w:val="24"/>
          <w:szCs w:val="24"/>
        </w:rPr>
        <w:t>.</w:t>
      </w:r>
      <w:r>
        <w:rPr>
          <w:rFonts w:hint="eastAsia" w:ascii="Times New Roman" w:hAnsi="Times New Roman" w:eastAsia="宋体" w:cs="Times New Roman"/>
          <w:b/>
          <w:bCs/>
          <w:color w:val="auto"/>
          <w:sz w:val="24"/>
          <w:szCs w:val="24"/>
          <w:lang w:val="en-US" w:eastAsia="zh-CN"/>
        </w:rPr>
        <w:t>5环境风险防范措施</w:t>
      </w:r>
      <w:bookmarkEnd w:id="2104"/>
      <w:bookmarkStart w:id="2105" w:name="pindex13715"/>
      <w:bookmarkEnd w:id="2105"/>
    </w:p>
    <w:p w14:paraId="174F6E79">
      <w:pPr>
        <w:pStyle w:val="8"/>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eastAsia" w:ascii="宋体" w:hAnsi="宋体" w:eastAsia="宋体" w:cs="宋体"/>
          <w:b/>
          <w:bCs/>
          <w:color w:val="auto"/>
          <w:spacing w:val="-2"/>
          <w:sz w:val="24"/>
          <w:szCs w:val="24"/>
          <w:lang w:val="en-US" w:eastAsia="zh-CN"/>
        </w:rPr>
      </w:pPr>
      <w:bookmarkStart w:id="2106" w:name="_Toc15951"/>
      <w:r>
        <w:rPr>
          <w:rFonts w:hint="eastAsia" w:ascii="Times New Roman" w:hAnsi="Times New Roman" w:eastAsia="宋体" w:cs="Times New Roman"/>
          <w:b/>
          <w:bCs/>
          <w:color w:val="auto"/>
          <w:spacing w:val="-2"/>
          <w:sz w:val="24"/>
          <w:szCs w:val="24"/>
          <w:lang w:val="en-US" w:eastAsia="zh-CN"/>
        </w:rPr>
        <w:t>8</w:t>
      </w:r>
      <w:r>
        <w:rPr>
          <w:rFonts w:ascii="Times New Roman" w:hAnsi="Times New Roman" w:eastAsia="Times New Roman"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5.</w:t>
      </w:r>
      <w:bookmarkStart w:id="2107" w:name="OLE_LINK715"/>
      <w:r>
        <w:rPr>
          <w:rFonts w:hint="eastAsia" w:ascii="Times New Roman" w:hAnsi="Times New Roman" w:eastAsia="宋体" w:cs="Times New Roman"/>
          <w:b/>
          <w:bCs/>
          <w:color w:val="auto"/>
          <w:spacing w:val="-2"/>
          <w:sz w:val="24"/>
          <w:szCs w:val="24"/>
          <w:lang w:val="en-US" w:eastAsia="zh-CN"/>
        </w:rPr>
        <w:t>1大气</w:t>
      </w:r>
      <w:bookmarkEnd w:id="2107"/>
      <w:r>
        <w:rPr>
          <w:rFonts w:ascii="宋体" w:hAnsi="宋体" w:eastAsia="宋体" w:cs="宋体"/>
          <w:b/>
          <w:bCs/>
          <w:color w:val="auto"/>
          <w:spacing w:val="-2"/>
          <w:sz w:val="24"/>
          <w:szCs w:val="24"/>
        </w:rPr>
        <w:t>风险防</w:t>
      </w:r>
      <w:r>
        <w:rPr>
          <w:rFonts w:hint="eastAsia" w:ascii="宋体" w:hAnsi="宋体" w:eastAsia="宋体" w:cs="宋体"/>
          <w:b/>
          <w:bCs/>
          <w:color w:val="auto"/>
          <w:spacing w:val="-2"/>
          <w:sz w:val="24"/>
          <w:szCs w:val="24"/>
          <w:lang w:val="en-US" w:eastAsia="zh-CN"/>
        </w:rPr>
        <w:t>范措施</w:t>
      </w:r>
      <w:bookmarkEnd w:id="2106"/>
      <w:bookmarkStart w:id="2108" w:name="pindex13716"/>
      <w:bookmarkEnd w:id="2108"/>
    </w:p>
    <w:p w14:paraId="6D315B2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①总体布局及调整</w:t>
      </w:r>
      <w:bookmarkStart w:id="2109" w:name="pindex13717"/>
      <w:bookmarkEnd w:id="2109"/>
    </w:p>
    <w:p w14:paraId="5426C50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江宁经济技术开发区中的百家湖、九龙湖、高新园经过多年发展已成为江宁城区的一部分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不仅担负工业集中的功能</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也是江宁区高档居住区及高等教育相对集中的区域居住与教育区域对环境要求相对较高，同时由于历史原因，开发区规划范围内存在工业与居住、教育混杂的现象，例如</w:t>
      </w:r>
      <w:r>
        <w:rPr>
          <w:rFonts w:hint="default" w:ascii="Times New Roman" w:hAnsi="Times New Roman" w:eastAsia="宋体" w:cs="Times New Roman"/>
          <w:color w:val="auto"/>
          <w:sz w:val="24"/>
          <w:szCs w:val="24"/>
          <w:lang w:val="en-US" w:eastAsia="zh-CN"/>
        </w:rPr>
        <w:t>上汽</w:t>
      </w:r>
      <w:r>
        <w:rPr>
          <w:rFonts w:hint="default" w:ascii="Times New Roman" w:hAnsi="Times New Roman" w:eastAsia="宋体" w:cs="Times New Roman"/>
          <w:color w:val="auto"/>
          <w:sz w:val="24"/>
          <w:szCs w:val="24"/>
        </w:rPr>
        <w:t>大众汽车有限公司南京分公司周边分布有托乐嘉石马公寓等住宅小区</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胜太路与秦淮路之间商业、居住、工业</w:t>
      </w:r>
      <w:r>
        <w:rPr>
          <w:rFonts w:hint="default" w:ascii="Times New Roman" w:hAnsi="Times New Roman" w:eastAsia="宋体" w:cs="Times New Roman"/>
          <w:color w:val="auto"/>
          <w:sz w:val="24"/>
          <w:szCs w:val="24"/>
          <w:lang w:eastAsia="zh-CN"/>
        </w:rPr>
        <w:t>混杂</w:t>
      </w:r>
      <w:r>
        <w:rPr>
          <w:rFonts w:hint="default" w:ascii="Times New Roman" w:hAnsi="Times New Roman" w:eastAsia="宋体" w:cs="Times New Roman"/>
          <w:color w:val="auto"/>
          <w:sz w:val="24"/>
          <w:szCs w:val="24"/>
        </w:rPr>
        <w:t>分布等，对企业的风险防范和开发区环境风险管理提出了更高的要求。针对</w:t>
      </w:r>
      <w:r>
        <w:rPr>
          <w:rFonts w:hint="default" w:ascii="Times New Roman" w:hAnsi="Times New Roman" w:eastAsia="宋体" w:cs="Times New Roman"/>
          <w:color w:val="auto"/>
          <w:sz w:val="24"/>
          <w:szCs w:val="24"/>
          <w:lang w:val="en-US" w:eastAsia="zh-CN"/>
        </w:rPr>
        <w:t>上汽</w:t>
      </w:r>
      <w:r>
        <w:rPr>
          <w:rFonts w:hint="default" w:ascii="Times New Roman" w:hAnsi="Times New Roman" w:eastAsia="宋体" w:cs="Times New Roman"/>
          <w:color w:val="auto"/>
          <w:sz w:val="24"/>
          <w:szCs w:val="24"/>
        </w:rPr>
        <w:t>大众汽车有限公司南京分公司周边分布有托乐嘉、石马公寓的问题，为避免喷涂车间废气扰民，该公司已采用水性油漆房建设项目以取代现有油性油漆的使用。</w:t>
      </w:r>
    </w:p>
    <w:p w14:paraId="3F5C54B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②对拟建项目的要求</w:t>
      </w:r>
      <w:bookmarkStart w:id="2110" w:name="pindex13719"/>
      <w:bookmarkEnd w:id="2110"/>
    </w:p>
    <w:p w14:paraId="7A5BE3D1">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eastAsia"/>
          <w:color w:val="auto"/>
          <w:lang w:val="en-US" w:eastAsia="zh-CN"/>
        </w:rPr>
      </w:pPr>
      <w:r>
        <w:rPr>
          <w:rFonts w:hint="default" w:ascii="Times New Roman" w:hAnsi="Times New Roman" w:eastAsia="宋体" w:cs="Times New Roman"/>
          <w:color w:val="auto"/>
          <w:sz w:val="24"/>
          <w:szCs w:val="24"/>
        </w:rPr>
        <w:t>新建项目选址务必符合规划用地性质，其生产内容、产能及生产工艺必须与国家和地方产业政策相符。企业的污染治理设施务必实现达标排放，并针对生产工艺、产污特点，建设相应的风险防范措施。如生产原料涉及有毒、易燃、易爆物质，需根据原辅料贮存特点，在罐区设置围堰及收集池</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如建设项目污水水质较复杂、污水浓度较高，厂内应配套建设污水调节、预处理站，并根据水量大小设计建设事故池，避免未经处理不能满足排放或接管标准的废水直接排放等问题。</w:t>
      </w:r>
    </w:p>
    <w:p w14:paraId="24EB537B">
      <w:pPr>
        <w:pStyle w:val="8"/>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eastAsia" w:ascii="宋体" w:hAnsi="宋体" w:eastAsia="宋体" w:cs="宋体"/>
          <w:b/>
          <w:bCs/>
          <w:color w:val="auto"/>
          <w:spacing w:val="-2"/>
          <w:sz w:val="24"/>
          <w:szCs w:val="24"/>
          <w:lang w:val="en-US" w:eastAsia="zh-CN"/>
        </w:rPr>
      </w:pPr>
      <w:bookmarkStart w:id="2111" w:name="_Toc9839"/>
      <w:r>
        <w:rPr>
          <w:rFonts w:hint="eastAsia" w:ascii="Times New Roman" w:hAnsi="Times New Roman" w:eastAsia="宋体" w:cs="Times New Roman"/>
          <w:b/>
          <w:bCs/>
          <w:color w:val="auto"/>
          <w:spacing w:val="-2"/>
          <w:sz w:val="24"/>
          <w:szCs w:val="24"/>
          <w:lang w:val="en-US" w:eastAsia="zh-CN"/>
        </w:rPr>
        <w:t>8</w:t>
      </w:r>
      <w:r>
        <w:rPr>
          <w:rFonts w:ascii="Times New Roman" w:hAnsi="Times New Roman" w:eastAsia="Times New Roman"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5.2地表水</w:t>
      </w:r>
      <w:r>
        <w:rPr>
          <w:rFonts w:ascii="宋体" w:hAnsi="宋体" w:eastAsia="宋体" w:cs="宋体"/>
          <w:b/>
          <w:bCs/>
          <w:color w:val="auto"/>
          <w:spacing w:val="-2"/>
          <w:sz w:val="24"/>
          <w:szCs w:val="24"/>
        </w:rPr>
        <w:t>风险防</w:t>
      </w:r>
      <w:r>
        <w:rPr>
          <w:rFonts w:hint="eastAsia" w:ascii="宋体" w:hAnsi="宋体" w:eastAsia="宋体" w:cs="宋体"/>
          <w:b/>
          <w:bCs/>
          <w:color w:val="auto"/>
          <w:spacing w:val="-2"/>
          <w:sz w:val="24"/>
          <w:szCs w:val="24"/>
          <w:lang w:val="en-US" w:eastAsia="zh-CN"/>
        </w:rPr>
        <w:t>范措施</w:t>
      </w:r>
      <w:bookmarkEnd w:id="2111"/>
      <w:bookmarkStart w:id="2112" w:name="pindex13721"/>
      <w:bookmarkEnd w:id="2112"/>
    </w:p>
    <w:p w14:paraId="7642DE3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bookmarkStart w:id="2113" w:name="OLE_LINK589"/>
      <w:r>
        <w:rPr>
          <w:rFonts w:hint="default" w:ascii="Times New Roman" w:hAnsi="Times New Roman" w:eastAsia="宋体" w:cs="Times New Roman"/>
          <w:color w:val="auto"/>
          <w:sz w:val="24"/>
          <w:szCs w:val="24"/>
          <w:lang w:val="en-US" w:eastAsia="zh-CN"/>
        </w:rPr>
        <w:t>开发区水污染事故应急能力较强。针对开发区内各企业污水处理装置可能发生故障造成水体污染的潜在事故，污水处理厂及各企业均对污水处理设施采取了相应的措施，并对处理设施配备了相应的处理设备，（如回流泵、回流管道等）。同时在污水处理厂废水排放口安装了在线监测仪器，且较大以上风险企业及污水集中处理厂均设置事故应急池，以便在出现事故时，及时处理。</w:t>
      </w:r>
    </w:p>
    <w:p w14:paraId="0694E8E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此外，开发区已要求区内重点企业安装在线监控系统，对各企业排放指标进行监控并将监测数据送至江宁生态环境局环境信息综合监控中心的监控室，以及时了解企业排放情况。一旦监控的污染因子超标，将及时关闭企业污水排放管，必要时，责令事故发生企业限产或停产，以减小环境风险。</w:t>
      </w:r>
    </w:p>
    <w:bookmarkEnd w:id="2100"/>
    <w:bookmarkEnd w:id="2103"/>
    <w:bookmarkEnd w:id="2113"/>
    <w:p w14:paraId="57DAEC30">
      <w:pPr>
        <w:pStyle w:val="8"/>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eastAsia" w:ascii="宋体" w:hAnsi="宋体" w:eastAsia="宋体" w:cs="宋体"/>
          <w:b/>
          <w:bCs/>
          <w:color w:val="auto"/>
          <w:spacing w:val="-2"/>
          <w:sz w:val="24"/>
          <w:szCs w:val="24"/>
          <w:lang w:val="en-US" w:eastAsia="zh-CN"/>
        </w:rPr>
      </w:pPr>
      <w:bookmarkStart w:id="2114" w:name="_Toc15172"/>
      <w:bookmarkStart w:id="2115" w:name="OLE_LINK714"/>
      <w:r>
        <w:rPr>
          <w:rFonts w:hint="eastAsia" w:ascii="Times New Roman" w:hAnsi="Times New Roman" w:eastAsia="宋体" w:cs="Times New Roman"/>
          <w:b/>
          <w:bCs/>
          <w:color w:val="auto"/>
          <w:spacing w:val="-2"/>
          <w:sz w:val="24"/>
          <w:szCs w:val="24"/>
          <w:lang w:val="en-US" w:eastAsia="zh-CN"/>
        </w:rPr>
        <w:t>8</w:t>
      </w:r>
      <w:r>
        <w:rPr>
          <w:rFonts w:ascii="Times New Roman" w:hAnsi="Times New Roman" w:eastAsia="Times New Roman"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5.3</w:t>
      </w:r>
      <w:r>
        <w:rPr>
          <w:rFonts w:hint="eastAsia" w:ascii="宋体" w:hAnsi="宋体" w:eastAsia="宋体" w:cs="宋体"/>
          <w:b/>
          <w:bCs/>
          <w:color w:val="auto"/>
          <w:spacing w:val="-2"/>
          <w:sz w:val="24"/>
          <w:szCs w:val="24"/>
          <w:lang w:val="en-US" w:eastAsia="zh-CN"/>
        </w:rPr>
        <w:t>地下水</w:t>
      </w:r>
      <w:r>
        <w:rPr>
          <w:rFonts w:ascii="宋体" w:hAnsi="宋体" w:eastAsia="宋体" w:cs="宋体"/>
          <w:b/>
          <w:bCs/>
          <w:color w:val="auto"/>
          <w:spacing w:val="-2"/>
          <w:sz w:val="24"/>
          <w:szCs w:val="24"/>
        </w:rPr>
        <w:t>风险</w:t>
      </w:r>
      <w:bookmarkStart w:id="2116" w:name="OLE_LINK712"/>
      <w:r>
        <w:rPr>
          <w:rFonts w:ascii="宋体" w:hAnsi="宋体" w:eastAsia="宋体" w:cs="宋体"/>
          <w:b/>
          <w:bCs/>
          <w:color w:val="auto"/>
          <w:spacing w:val="-2"/>
          <w:sz w:val="24"/>
          <w:szCs w:val="24"/>
        </w:rPr>
        <w:t>防</w:t>
      </w:r>
      <w:r>
        <w:rPr>
          <w:rFonts w:hint="eastAsia" w:ascii="宋体" w:hAnsi="宋体" w:eastAsia="宋体" w:cs="宋体"/>
          <w:b/>
          <w:bCs/>
          <w:color w:val="auto"/>
          <w:spacing w:val="-2"/>
          <w:sz w:val="24"/>
          <w:szCs w:val="24"/>
          <w:lang w:val="en-US" w:eastAsia="zh-CN"/>
        </w:rPr>
        <w:t>范措施</w:t>
      </w:r>
      <w:bookmarkEnd w:id="2114"/>
      <w:bookmarkEnd w:id="2116"/>
      <w:bookmarkStart w:id="2117" w:name="pindex13724"/>
      <w:bookmarkEnd w:id="2117"/>
    </w:p>
    <w:bookmarkEnd w:id="2098"/>
    <w:bookmarkEnd w:id="2115"/>
    <w:p w14:paraId="390C0392">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72" w:firstLineChars="200"/>
        <w:textAlignment w:val="baseline"/>
        <w:rPr>
          <w:rFonts w:hint="default" w:ascii="Times New Roman" w:hAnsi="Times New Roman" w:eastAsia="宋体" w:cs="Times New Roman"/>
          <w:b w:val="0"/>
          <w:bCs w:val="0"/>
          <w:color w:val="auto"/>
          <w:spacing w:val="-2"/>
          <w:sz w:val="24"/>
          <w:szCs w:val="24"/>
          <w:lang w:val="en-US" w:eastAsia="zh-CN"/>
        </w:rPr>
      </w:pPr>
      <w:bookmarkStart w:id="2118" w:name="OLE_LINK590"/>
      <w:r>
        <w:rPr>
          <w:rFonts w:hint="default" w:ascii="Times New Roman" w:hAnsi="Times New Roman" w:eastAsia="宋体" w:cs="Times New Roman"/>
          <w:b w:val="0"/>
          <w:bCs w:val="0"/>
          <w:color w:val="auto"/>
          <w:spacing w:val="-2"/>
          <w:sz w:val="24"/>
          <w:szCs w:val="24"/>
          <w:lang w:val="en-US" w:eastAsia="zh-CN"/>
        </w:rPr>
        <w:t>开发区土层防污性能较差，厂址地面无良好的隔水层，因而各企业地面冲洗水和固体废弃物淋滤水易渗透污染地下水，产生环境灾害的潜在风险。根据现场调查，区内各企业生产区和贮存区地面均用水泥铺成，且四周设有防渗处理的地沟，地面冲洗废水和初期雨水均能通过地沟及时收集起来，及时送污水处理设施处理。</w:t>
      </w:r>
    </w:p>
    <w:p w14:paraId="729B715E">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72" w:firstLineChars="200"/>
        <w:textAlignment w:val="baseline"/>
        <w:rPr>
          <w:rFonts w:hint="eastAsia" w:ascii="Times New Roman" w:hAnsi="Times New Roman" w:eastAsia="宋体" w:cs="Times New Roman"/>
          <w:b w:val="0"/>
          <w:bCs w:val="0"/>
          <w:color w:val="auto"/>
          <w:spacing w:val="-2"/>
          <w:sz w:val="24"/>
          <w:szCs w:val="24"/>
          <w:lang w:val="en-US" w:eastAsia="zh-CN"/>
        </w:rPr>
      </w:pPr>
      <w:r>
        <w:rPr>
          <w:rFonts w:hint="default" w:ascii="Times New Roman" w:hAnsi="Times New Roman" w:eastAsia="宋体" w:cs="Times New Roman"/>
          <w:b w:val="0"/>
          <w:bCs w:val="0"/>
          <w:color w:val="auto"/>
          <w:spacing w:val="-2"/>
          <w:sz w:val="24"/>
          <w:szCs w:val="24"/>
          <w:lang w:val="en-US" w:eastAsia="zh-CN"/>
        </w:rPr>
        <w:t>同时，开发区要求各企业固体废弃物按有关标准进行存放管理。危险废物委托有资质单位进行处理，一般固废委外处置，生活垃圾由市政卫生部门统一收集处理，并定期对各企业固废堆放场所进行检查</w:t>
      </w:r>
      <w:r>
        <w:rPr>
          <w:rFonts w:hint="eastAsia" w:ascii="Times New Roman" w:hAnsi="Times New Roman" w:eastAsia="宋体" w:cs="Times New Roman"/>
          <w:b w:val="0"/>
          <w:bCs w:val="0"/>
          <w:color w:val="auto"/>
          <w:spacing w:val="-2"/>
          <w:sz w:val="24"/>
          <w:szCs w:val="24"/>
          <w:lang w:val="en-US" w:eastAsia="zh-CN"/>
        </w:rPr>
        <w:t>。</w:t>
      </w:r>
      <w:bookmarkEnd w:id="2118"/>
      <w:bookmarkStart w:id="2119" w:name="OLE_LINK582"/>
    </w:p>
    <w:bookmarkEnd w:id="2088"/>
    <w:bookmarkEnd w:id="2119"/>
    <w:p w14:paraId="5F86F3DE">
      <w:pPr>
        <w:pStyle w:val="8"/>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eastAsia" w:ascii="宋体" w:hAnsi="宋体" w:eastAsia="宋体" w:cs="宋体"/>
          <w:b/>
          <w:bCs/>
          <w:color w:val="auto"/>
          <w:spacing w:val="-2"/>
          <w:sz w:val="24"/>
          <w:szCs w:val="24"/>
          <w:lang w:val="en-US" w:eastAsia="zh-CN"/>
        </w:rPr>
      </w:pPr>
      <w:bookmarkStart w:id="2120" w:name="_Toc12508"/>
      <w:r>
        <w:rPr>
          <w:rFonts w:hint="eastAsia" w:ascii="Times New Roman" w:hAnsi="Times New Roman" w:eastAsia="宋体" w:cs="Times New Roman"/>
          <w:b/>
          <w:bCs/>
          <w:color w:val="auto"/>
          <w:spacing w:val="-2"/>
          <w:sz w:val="24"/>
          <w:szCs w:val="24"/>
          <w:lang w:val="en-US" w:eastAsia="zh-CN"/>
        </w:rPr>
        <w:t>8</w:t>
      </w:r>
      <w:r>
        <w:rPr>
          <w:rFonts w:ascii="Times New Roman" w:hAnsi="Times New Roman" w:eastAsia="Times New Roman"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5.4</w:t>
      </w:r>
      <w:r>
        <w:rPr>
          <w:rFonts w:hint="eastAsia" w:ascii="宋体" w:hAnsi="宋体" w:eastAsia="宋体" w:cs="宋体"/>
          <w:b/>
          <w:bCs/>
          <w:color w:val="auto"/>
          <w:spacing w:val="-2"/>
          <w:sz w:val="24"/>
          <w:szCs w:val="24"/>
          <w:lang w:val="en-US" w:eastAsia="zh-CN"/>
        </w:rPr>
        <w:t>企业</w:t>
      </w:r>
      <w:r>
        <w:rPr>
          <w:rFonts w:ascii="宋体" w:hAnsi="宋体" w:eastAsia="宋体" w:cs="宋体"/>
          <w:b/>
          <w:bCs/>
          <w:color w:val="auto"/>
          <w:spacing w:val="-2"/>
          <w:sz w:val="24"/>
          <w:szCs w:val="24"/>
        </w:rPr>
        <w:t>风险防</w:t>
      </w:r>
      <w:r>
        <w:rPr>
          <w:rFonts w:hint="eastAsia" w:ascii="宋体" w:hAnsi="宋体" w:eastAsia="宋体" w:cs="宋体"/>
          <w:b/>
          <w:bCs/>
          <w:color w:val="auto"/>
          <w:spacing w:val="-2"/>
          <w:sz w:val="24"/>
          <w:szCs w:val="24"/>
          <w:lang w:val="en-US" w:eastAsia="zh-CN"/>
        </w:rPr>
        <w:t>范措施</w:t>
      </w:r>
      <w:bookmarkEnd w:id="2120"/>
      <w:bookmarkStart w:id="2121" w:name="pindex13727"/>
      <w:bookmarkEnd w:id="2121"/>
    </w:p>
    <w:p w14:paraId="4BEA7867">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72" w:firstLineChars="200"/>
        <w:textAlignment w:val="baseline"/>
        <w:rPr>
          <w:rFonts w:hint="default" w:ascii="Times New Roman" w:hAnsi="Times New Roman" w:eastAsia="宋体" w:cs="Times New Roman"/>
          <w:b w:val="0"/>
          <w:bCs w:val="0"/>
          <w:color w:val="auto"/>
          <w:spacing w:val="-2"/>
          <w:sz w:val="24"/>
          <w:szCs w:val="24"/>
          <w:lang w:val="en-US" w:eastAsia="zh-CN"/>
        </w:rPr>
      </w:pPr>
      <w:r>
        <w:rPr>
          <w:rFonts w:hint="eastAsia" w:ascii="Times New Roman" w:hAnsi="Times New Roman" w:eastAsia="宋体" w:cs="Times New Roman"/>
          <w:b w:val="0"/>
          <w:bCs w:val="0"/>
          <w:color w:val="auto"/>
          <w:spacing w:val="-2"/>
          <w:sz w:val="24"/>
          <w:szCs w:val="24"/>
          <w:lang w:val="en-US" w:eastAsia="zh-CN"/>
        </w:rPr>
        <w:t>开发区已要求各企业必须针对其生产过程、危险化学品贮存、电讯电气、风险管理、检修施工等方面工作，制定和执行严格的风险防范措施，并编制相应的环评报告和应急预案，作为管理依据。</w:t>
      </w:r>
    </w:p>
    <w:p w14:paraId="2681F218">
      <w:pPr>
        <w:spacing w:before="40" w:line="220" w:lineRule="auto"/>
        <w:ind w:left="37"/>
        <w:outlineLvl w:val="2"/>
        <w:rPr>
          <w:rFonts w:ascii="宋体" w:hAnsi="宋体" w:eastAsia="宋体" w:cs="宋体"/>
          <w:color w:val="auto"/>
          <w:sz w:val="24"/>
          <w:szCs w:val="24"/>
        </w:rPr>
      </w:pPr>
      <w:bookmarkStart w:id="2122" w:name="_Toc8384"/>
      <w:bookmarkStart w:id="2123" w:name="OLE_LINK607"/>
      <w:bookmarkStart w:id="2124" w:name="OLE_LINK608"/>
      <w:r>
        <w:rPr>
          <w:rFonts w:hint="eastAsia" w:ascii="Times New Roman" w:hAnsi="Times New Roman" w:eastAsia="宋体" w:cs="Times New Roman"/>
          <w:b/>
          <w:bCs/>
          <w:color w:val="auto"/>
          <w:spacing w:val="-2"/>
          <w:sz w:val="24"/>
          <w:szCs w:val="24"/>
          <w:lang w:val="en-US" w:eastAsia="zh-CN"/>
        </w:rPr>
        <w:t>8</w:t>
      </w:r>
      <w:r>
        <w:rPr>
          <w:rFonts w:ascii="Times New Roman" w:hAnsi="Times New Roman" w:eastAsia="Times New Roman"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5.5</w:t>
      </w:r>
      <w:r>
        <w:rPr>
          <w:rFonts w:ascii="宋体" w:hAnsi="宋体" w:eastAsia="宋体" w:cs="宋体"/>
          <w:b/>
          <w:bCs/>
          <w:color w:val="auto"/>
          <w:spacing w:val="-2"/>
          <w:sz w:val="24"/>
          <w:szCs w:val="24"/>
        </w:rPr>
        <w:t>环境应急管理</w:t>
      </w:r>
      <w:bookmarkEnd w:id="2122"/>
      <w:bookmarkStart w:id="2125" w:name="pindex13729"/>
      <w:bookmarkEnd w:id="2125"/>
    </w:p>
    <w:bookmarkEnd w:id="2123"/>
    <w:p w14:paraId="6B1D4589">
      <w:pPr>
        <w:spacing w:before="182" w:line="219" w:lineRule="auto"/>
        <w:ind w:left="37"/>
        <w:outlineLvl w:val="9"/>
        <w:rPr>
          <w:rFonts w:ascii="宋体" w:hAnsi="宋体" w:eastAsia="宋体" w:cs="宋体"/>
          <w:color w:val="auto"/>
          <w:sz w:val="24"/>
          <w:szCs w:val="24"/>
        </w:rPr>
      </w:pPr>
      <w:r>
        <w:rPr>
          <w:rFonts w:hint="eastAsia" w:ascii="Times New Roman" w:hAnsi="Times New Roman" w:eastAsia="宋体" w:cs="Times New Roman"/>
          <w:b/>
          <w:bCs/>
          <w:color w:val="auto"/>
          <w:spacing w:val="-4"/>
          <w:sz w:val="24"/>
          <w:szCs w:val="24"/>
          <w:lang w:val="en-US" w:eastAsia="zh-CN"/>
        </w:rPr>
        <w:t>8</w:t>
      </w:r>
      <w:r>
        <w:rPr>
          <w:rFonts w:ascii="Times New Roman" w:hAnsi="Times New Roman" w:eastAsia="Times New Roman" w:cs="Times New Roman"/>
          <w:b/>
          <w:bCs/>
          <w:color w:val="auto"/>
          <w:spacing w:val="-4"/>
          <w:sz w:val="24"/>
          <w:szCs w:val="24"/>
        </w:rPr>
        <w:t>.</w:t>
      </w:r>
      <w:r>
        <w:rPr>
          <w:rFonts w:hint="eastAsia" w:ascii="Times New Roman" w:hAnsi="Times New Roman" w:eastAsia="宋体" w:cs="Times New Roman"/>
          <w:b/>
          <w:bCs/>
          <w:color w:val="auto"/>
          <w:spacing w:val="-4"/>
          <w:sz w:val="24"/>
          <w:szCs w:val="24"/>
          <w:lang w:val="en-US" w:eastAsia="zh-CN"/>
        </w:rPr>
        <w:t>5.5</w:t>
      </w:r>
      <w:r>
        <w:rPr>
          <w:rFonts w:ascii="Times New Roman" w:hAnsi="Times New Roman" w:eastAsia="Times New Roman" w:cs="Times New Roman"/>
          <w:b/>
          <w:bCs/>
          <w:color w:val="auto"/>
          <w:spacing w:val="-4"/>
          <w:sz w:val="24"/>
          <w:szCs w:val="24"/>
        </w:rPr>
        <w:t>.1</w:t>
      </w:r>
      <w:r>
        <w:rPr>
          <w:rFonts w:ascii="宋体" w:hAnsi="宋体" w:eastAsia="宋体" w:cs="宋体"/>
          <w:b/>
          <w:bCs/>
          <w:color w:val="auto"/>
          <w:spacing w:val="-4"/>
          <w:sz w:val="24"/>
          <w:szCs w:val="24"/>
        </w:rPr>
        <w:t>区域环境应急管理机构设置情况</w:t>
      </w:r>
      <w:bookmarkStart w:id="2126" w:name="pindex13730"/>
      <w:bookmarkEnd w:id="2126"/>
    </w:p>
    <w:bookmarkEnd w:id="2124"/>
    <w:p w14:paraId="264DCC11">
      <w:pPr>
        <w:spacing w:before="182" w:line="350" w:lineRule="auto"/>
        <w:ind w:left="41" w:right="82" w:firstLine="478"/>
        <w:jc w:val="both"/>
        <w:rPr>
          <w:rFonts w:ascii="宋体" w:hAnsi="宋体" w:eastAsia="宋体" w:cs="宋体"/>
          <w:color w:val="auto"/>
          <w:sz w:val="24"/>
          <w:szCs w:val="24"/>
        </w:rPr>
      </w:pPr>
      <w:bookmarkStart w:id="2127" w:name="OLE_LINK596"/>
      <w:r>
        <w:rPr>
          <w:rFonts w:hint="eastAsia" w:ascii="宋体" w:hAnsi="宋体" w:eastAsia="宋体" w:cs="宋体"/>
          <w:color w:val="auto"/>
          <w:spacing w:val="-3"/>
          <w:sz w:val="24"/>
          <w:szCs w:val="24"/>
          <w:highlight w:val="none"/>
          <w:lang w:eastAsia="zh-CN"/>
        </w:rPr>
        <w:t>江宁开发区环境保护局</w:t>
      </w:r>
      <w:r>
        <w:rPr>
          <w:rFonts w:ascii="宋体" w:hAnsi="宋体" w:eastAsia="宋体" w:cs="宋体"/>
          <w:color w:val="auto"/>
          <w:spacing w:val="-3"/>
          <w:sz w:val="24"/>
          <w:szCs w:val="24"/>
        </w:rPr>
        <w:t>负责开发区日常环境管理</w:t>
      </w:r>
      <w:r>
        <w:rPr>
          <w:rFonts w:ascii="宋体" w:hAnsi="宋体" w:eastAsia="宋体" w:cs="宋体"/>
          <w:color w:val="auto"/>
          <w:spacing w:val="-4"/>
          <w:sz w:val="24"/>
          <w:szCs w:val="24"/>
        </w:rPr>
        <w:t>工作，包括对开发</w:t>
      </w:r>
      <w:r>
        <w:rPr>
          <w:rFonts w:ascii="宋体" w:hAnsi="宋体" w:eastAsia="宋体" w:cs="宋体"/>
          <w:color w:val="auto"/>
          <w:spacing w:val="-5"/>
          <w:sz w:val="24"/>
          <w:szCs w:val="24"/>
        </w:rPr>
        <w:t>区企业污染物排放、污染控制设施运行、环境影响</w:t>
      </w:r>
      <w:r>
        <w:rPr>
          <w:rFonts w:ascii="宋体" w:hAnsi="宋体" w:eastAsia="宋体" w:cs="宋体"/>
          <w:color w:val="auto"/>
          <w:spacing w:val="-6"/>
          <w:sz w:val="24"/>
          <w:szCs w:val="24"/>
        </w:rPr>
        <w:t>评价制度、</w:t>
      </w:r>
      <w:r>
        <w:rPr>
          <w:rFonts w:ascii="Times New Roman" w:hAnsi="Times New Roman" w:eastAsia="Times New Roman" w:cs="Times New Roman"/>
          <w:color w:val="auto"/>
          <w:spacing w:val="-6"/>
          <w:sz w:val="24"/>
          <w:szCs w:val="24"/>
        </w:rPr>
        <w:t>“</w:t>
      </w:r>
      <w:r>
        <w:rPr>
          <w:rFonts w:ascii="宋体" w:hAnsi="宋体" w:eastAsia="宋体" w:cs="宋体"/>
          <w:color w:val="auto"/>
          <w:spacing w:val="-6"/>
          <w:sz w:val="24"/>
          <w:szCs w:val="24"/>
        </w:rPr>
        <w:t>三同时</w:t>
      </w:r>
      <w:r>
        <w:rPr>
          <w:rFonts w:ascii="Times New Roman" w:hAnsi="Times New Roman" w:eastAsia="Times New Roman" w:cs="Times New Roman"/>
          <w:color w:val="auto"/>
          <w:spacing w:val="-6"/>
          <w:sz w:val="24"/>
          <w:szCs w:val="24"/>
        </w:rPr>
        <w:t>”</w:t>
      </w:r>
      <w:r>
        <w:rPr>
          <w:rFonts w:ascii="宋体" w:hAnsi="宋体" w:eastAsia="宋体" w:cs="宋体"/>
          <w:color w:val="auto"/>
          <w:spacing w:val="-6"/>
          <w:sz w:val="24"/>
          <w:szCs w:val="24"/>
        </w:rPr>
        <w:t>制度的执</w:t>
      </w:r>
      <w:r>
        <w:rPr>
          <w:rFonts w:ascii="宋体" w:hAnsi="宋体" w:eastAsia="宋体" w:cs="宋体"/>
          <w:color w:val="auto"/>
          <w:spacing w:val="-2"/>
          <w:sz w:val="24"/>
          <w:szCs w:val="24"/>
        </w:rPr>
        <w:t>行等方面进行监督和管理，形成开发区的环境管理体系。</w:t>
      </w:r>
    </w:p>
    <w:bookmarkEnd w:id="2127"/>
    <w:p w14:paraId="07D4FAE3">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textAlignment w:val="baseline"/>
        <w:outlineLvl w:val="9"/>
        <w:rPr>
          <w:rFonts w:ascii="宋体" w:hAnsi="宋体" w:eastAsia="宋体" w:cs="宋体"/>
          <w:b/>
          <w:bCs/>
          <w:color w:val="auto"/>
          <w:spacing w:val="-3"/>
          <w:sz w:val="24"/>
          <w:szCs w:val="24"/>
        </w:rPr>
      </w:pPr>
      <w:bookmarkStart w:id="2128" w:name="OLE_LINK598"/>
      <w:r>
        <w:rPr>
          <w:rFonts w:hint="eastAsia" w:ascii="Times New Roman" w:hAnsi="Times New Roman" w:eastAsia="宋体" w:cs="Times New Roman"/>
          <w:b/>
          <w:bCs/>
          <w:color w:val="auto"/>
          <w:spacing w:val="-3"/>
          <w:sz w:val="24"/>
          <w:szCs w:val="24"/>
          <w:lang w:val="en-US" w:eastAsia="zh-CN"/>
        </w:rPr>
        <w:t>8</w:t>
      </w:r>
      <w:r>
        <w:rPr>
          <w:rFonts w:ascii="Times New Roman" w:hAnsi="Times New Roman" w:eastAsia="Times New Roman" w:cs="Times New Roman"/>
          <w:b/>
          <w:bCs/>
          <w:color w:val="auto"/>
          <w:spacing w:val="-3"/>
          <w:sz w:val="24"/>
          <w:szCs w:val="24"/>
        </w:rPr>
        <w:t>.</w:t>
      </w:r>
      <w:r>
        <w:rPr>
          <w:rFonts w:hint="eastAsia" w:ascii="Times New Roman" w:hAnsi="Times New Roman" w:eastAsia="宋体" w:cs="Times New Roman"/>
          <w:b/>
          <w:bCs/>
          <w:color w:val="auto"/>
          <w:spacing w:val="-3"/>
          <w:sz w:val="24"/>
          <w:szCs w:val="24"/>
          <w:lang w:val="en-US" w:eastAsia="zh-CN"/>
        </w:rPr>
        <w:t>5.5.</w:t>
      </w:r>
      <w:r>
        <w:rPr>
          <w:rFonts w:ascii="Times New Roman" w:hAnsi="Times New Roman" w:eastAsia="Times New Roman" w:cs="Times New Roman"/>
          <w:b/>
          <w:bCs/>
          <w:color w:val="auto"/>
          <w:spacing w:val="-3"/>
          <w:sz w:val="24"/>
          <w:szCs w:val="24"/>
        </w:rPr>
        <w:t>2</w:t>
      </w:r>
      <w:r>
        <w:rPr>
          <w:rFonts w:ascii="宋体" w:hAnsi="宋体" w:eastAsia="宋体" w:cs="宋体"/>
          <w:b/>
          <w:bCs/>
          <w:color w:val="auto"/>
          <w:spacing w:val="-3"/>
          <w:sz w:val="24"/>
          <w:szCs w:val="24"/>
        </w:rPr>
        <w:t>突发环境事件应急预案管理情况</w:t>
      </w:r>
      <w:bookmarkStart w:id="2129" w:name="pindex13732"/>
      <w:bookmarkEnd w:id="2129"/>
    </w:p>
    <w:bookmarkEnd w:id="2128"/>
    <w:p w14:paraId="7C49DA1B">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52" w:firstLineChars="200"/>
        <w:textAlignment w:val="baseline"/>
        <w:outlineLvl w:val="9"/>
        <w:rPr>
          <w:rFonts w:ascii="宋体" w:hAnsi="宋体" w:eastAsia="宋体" w:cs="宋体"/>
          <w:color w:val="auto"/>
          <w:spacing w:val="-2"/>
          <w:sz w:val="24"/>
          <w:szCs w:val="24"/>
        </w:rPr>
      </w:pPr>
      <w:bookmarkStart w:id="2130" w:name="OLE_LINK597"/>
      <w:r>
        <w:rPr>
          <w:rFonts w:ascii="宋体" w:hAnsi="宋体" w:eastAsia="宋体" w:cs="宋体"/>
          <w:color w:val="auto"/>
          <w:spacing w:val="-7"/>
          <w:sz w:val="24"/>
          <w:szCs w:val="24"/>
        </w:rPr>
        <w:t>按照《江苏省突发环境事件应急预案管理办法》，园区、企业应编制突发环</w:t>
      </w:r>
      <w:r>
        <w:rPr>
          <w:rFonts w:ascii="宋体" w:hAnsi="宋体" w:eastAsia="宋体" w:cs="宋体"/>
          <w:color w:val="auto"/>
          <w:spacing w:val="-3"/>
          <w:sz w:val="24"/>
          <w:szCs w:val="24"/>
        </w:rPr>
        <w:t>境事件应急预案，环境应急预案的编制应当符合有关法律、法规、规章、</w:t>
      </w:r>
      <w:r>
        <w:rPr>
          <w:rFonts w:ascii="宋体" w:hAnsi="宋体" w:eastAsia="宋体" w:cs="宋体"/>
          <w:color w:val="auto"/>
          <w:spacing w:val="-4"/>
          <w:sz w:val="24"/>
          <w:szCs w:val="24"/>
        </w:rPr>
        <w:t>标准和</w:t>
      </w:r>
      <w:r>
        <w:rPr>
          <w:rFonts w:ascii="宋体" w:hAnsi="宋体" w:eastAsia="宋体" w:cs="宋体"/>
          <w:color w:val="auto"/>
          <w:spacing w:val="-3"/>
          <w:sz w:val="24"/>
          <w:szCs w:val="24"/>
        </w:rPr>
        <w:t>规范等规定，应与相关应急预案有效衔接并符合上位环境应急预案要求；</w:t>
      </w:r>
      <w:r>
        <w:rPr>
          <w:rFonts w:ascii="宋体" w:hAnsi="宋体" w:eastAsia="宋体" w:cs="宋体"/>
          <w:color w:val="auto"/>
          <w:spacing w:val="-4"/>
          <w:sz w:val="24"/>
          <w:szCs w:val="24"/>
        </w:rPr>
        <w:t>与相关</w:t>
      </w:r>
      <w:r>
        <w:rPr>
          <w:rFonts w:ascii="宋体" w:hAnsi="宋体" w:eastAsia="宋体" w:cs="宋体"/>
          <w:color w:val="auto"/>
          <w:spacing w:val="-2"/>
          <w:sz w:val="24"/>
          <w:szCs w:val="24"/>
        </w:rPr>
        <w:t>重点河流</w:t>
      </w:r>
      <w:r>
        <w:rPr>
          <w:rFonts w:hint="eastAsia" w:ascii="宋体" w:hAnsi="宋体" w:eastAsia="宋体" w:cs="宋体"/>
          <w:color w:val="auto"/>
          <w:spacing w:val="-2"/>
          <w:sz w:val="24"/>
          <w:szCs w:val="24"/>
        </w:rPr>
        <w:t>“一河一策一图”以及重点园区“一园一策一图”相</w:t>
      </w:r>
      <w:r>
        <w:rPr>
          <w:rFonts w:ascii="宋体" w:hAnsi="宋体" w:eastAsia="宋体" w:cs="宋体"/>
          <w:color w:val="auto"/>
          <w:spacing w:val="-2"/>
          <w:sz w:val="24"/>
          <w:szCs w:val="24"/>
        </w:rPr>
        <w:t>衔接；</w:t>
      </w:r>
      <w:bookmarkEnd w:id="2130"/>
      <w:r>
        <w:rPr>
          <w:rFonts w:ascii="宋体" w:hAnsi="宋体" w:eastAsia="宋体" w:cs="宋体"/>
          <w:color w:val="auto"/>
          <w:spacing w:val="-2"/>
          <w:sz w:val="24"/>
          <w:szCs w:val="24"/>
        </w:rPr>
        <w:t>单位环境应急预案附件包括</w:t>
      </w:r>
      <w:r>
        <w:rPr>
          <w:rFonts w:ascii="Times New Roman" w:hAnsi="Times New Roman" w:eastAsia="Times New Roman" w:cs="Times New Roman"/>
          <w:color w:val="auto"/>
          <w:spacing w:val="-2"/>
          <w:sz w:val="24"/>
          <w:szCs w:val="24"/>
        </w:rPr>
        <w:t>“</w:t>
      </w:r>
      <w:r>
        <w:rPr>
          <w:rFonts w:ascii="宋体" w:hAnsi="宋体" w:eastAsia="宋体" w:cs="宋体"/>
          <w:color w:val="auto"/>
          <w:spacing w:val="-2"/>
          <w:sz w:val="24"/>
          <w:szCs w:val="24"/>
        </w:rPr>
        <w:t>一图两单两卡</w:t>
      </w:r>
      <w:r>
        <w:rPr>
          <w:rFonts w:ascii="Times New Roman" w:hAnsi="Times New Roman" w:eastAsia="Times New Roman" w:cs="Times New Roman"/>
          <w:color w:val="auto"/>
          <w:spacing w:val="-2"/>
          <w:sz w:val="24"/>
          <w:szCs w:val="24"/>
        </w:rPr>
        <w:t>”</w:t>
      </w:r>
      <w:r>
        <w:rPr>
          <w:rFonts w:ascii="宋体" w:hAnsi="宋体" w:eastAsia="宋体" w:cs="宋体"/>
          <w:color w:val="auto"/>
          <w:spacing w:val="-2"/>
          <w:sz w:val="24"/>
          <w:szCs w:val="24"/>
        </w:rPr>
        <w:t>，即预案管理</w:t>
      </w:r>
      <w:r>
        <w:rPr>
          <w:rFonts w:ascii="Times New Roman" w:hAnsi="Times New Roman" w:eastAsia="Times New Roman" w:cs="Times New Roman"/>
          <w:color w:val="auto"/>
          <w:spacing w:val="-2"/>
          <w:sz w:val="24"/>
          <w:szCs w:val="24"/>
        </w:rPr>
        <w:t>“</w:t>
      </w:r>
      <w:r>
        <w:rPr>
          <w:rFonts w:ascii="宋体" w:hAnsi="宋体" w:eastAsia="宋体" w:cs="宋体"/>
          <w:color w:val="auto"/>
          <w:spacing w:val="-2"/>
          <w:sz w:val="24"/>
          <w:szCs w:val="24"/>
        </w:rPr>
        <w:t>一张图</w:t>
      </w:r>
      <w:r>
        <w:rPr>
          <w:rFonts w:ascii="Times New Roman" w:hAnsi="Times New Roman" w:eastAsia="Times New Roman" w:cs="Times New Roman"/>
          <w:color w:val="auto"/>
          <w:spacing w:val="-2"/>
          <w:sz w:val="24"/>
          <w:szCs w:val="24"/>
        </w:rPr>
        <w:t>”</w:t>
      </w:r>
      <w:r>
        <w:rPr>
          <w:rFonts w:ascii="宋体" w:hAnsi="宋体" w:eastAsia="宋体" w:cs="宋体"/>
          <w:color w:val="auto"/>
          <w:spacing w:val="-2"/>
          <w:sz w:val="24"/>
          <w:szCs w:val="24"/>
        </w:rPr>
        <w:t>，环境风</w:t>
      </w:r>
      <w:r>
        <w:rPr>
          <w:rFonts w:ascii="宋体" w:hAnsi="宋体" w:eastAsia="宋体" w:cs="宋体"/>
          <w:color w:val="auto"/>
          <w:spacing w:val="-5"/>
          <w:sz w:val="24"/>
          <w:szCs w:val="24"/>
        </w:rPr>
        <w:t>险辨识、环境风险防范措施</w:t>
      </w:r>
      <w:r>
        <w:rPr>
          <w:rFonts w:ascii="Times New Roman" w:hAnsi="Times New Roman" w:eastAsia="Times New Roman" w:cs="Times New Roman"/>
          <w:color w:val="auto"/>
          <w:spacing w:val="-5"/>
          <w:sz w:val="24"/>
          <w:szCs w:val="24"/>
        </w:rPr>
        <w:t>“</w:t>
      </w:r>
      <w:r>
        <w:rPr>
          <w:rFonts w:ascii="宋体" w:hAnsi="宋体" w:eastAsia="宋体" w:cs="宋体"/>
          <w:color w:val="auto"/>
          <w:spacing w:val="-5"/>
          <w:sz w:val="24"/>
          <w:szCs w:val="24"/>
        </w:rPr>
        <w:t>两个清单</w:t>
      </w:r>
      <w:r>
        <w:rPr>
          <w:rFonts w:ascii="Times New Roman" w:hAnsi="Times New Roman" w:eastAsia="Times New Roman" w:cs="Times New Roman"/>
          <w:color w:val="auto"/>
          <w:spacing w:val="-5"/>
          <w:sz w:val="24"/>
          <w:szCs w:val="24"/>
        </w:rPr>
        <w:t>”</w:t>
      </w:r>
      <w:r>
        <w:rPr>
          <w:rFonts w:ascii="宋体" w:hAnsi="宋体" w:eastAsia="宋体" w:cs="宋体"/>
          <w:color w:val="auto"/>
          <w:spacing w:val="-5"/>
          <w:sz w:val="24"/>
          <w:szCs w:val="24"/>
        </w:rPr>
        <w:t>，环境安全职责承诺、应急处置措施</w:t>
      </w:r>
      <w:r>
        <w:rPr>
          <w:rFonts w:ascii="Times New Roman" w:hAnsi="Times New Roman" w:eastAsia="Times New Roman" w:cs="Times New Roman"/>
          <w:color w:val="auto"/>
          <w:spacing w:val="-5"/>
          <w:sz w:val="24"/>
          <w:szCs w:val="24"/>
        </w:rPr>
        <w:t>“</w:t>
      </w:r>
      <w:r>
        <w:rPr>
          <w:rFonts w:ascii="宋体" w:hAnsi="宋体" w:eastAsia="宋体" w:cs="宋体"/>
          <w:color w:val="auto"/>
          <w:spacing w:val="-5"/>
          <w:sz w:val="24"/>
          <w:szCs w:val="24"/>
        </w:rPr>
        <w:t>两张</w:t>
      </w:r>
      <w:r>
        <w:rPr>
          <w:rFonts w:ascii="宋体" w:hAnsi="宋体" w:eastAsia="宋体" w:cs="宋体"/>
          <w:color w:val="auto"/>
          <w:spacing w:val="2"/>
          <w:sz w:val="24"/>
          <w:szCs w:val="24"/>
        </w:rPr>
        <w:t>卡</w:t>
      </w:r>
      <w:r>
        <w:rPr>
          <w:rFonts w:ascii="Times New Roman" w:hAnsi="Times New Roman" w:eastAsia="Times New Roman" w:cs="Times New Roman"/>
          <w:color w:val="auto"/>
          <w:spacing w:val="2"/>
          <w:sz w:val="24"/>
          <w:szCs w:val="24"/>
        </w:rPr>
        <w:t>”</w:t>
      </w:r>
      <w:r>
        <w:rPr>
          <w:rFonts w:ascii="宋体" w:hAnsi="宋体" w:eastAsia="宋体" w:cs="宋体"/>
          <w:color w:val="auto"/>
          <w:spacing w:val="2"/>
          <w:sz w:val="24"/>
          <w:szCs w:val="24"/>
        </w:rPr>
        <w:t>。其中</w:t>
      </w:r>
      <w:r>
        <w:rPr>
          <w:rFonts w:ascii="Times New Roman" w:hAnsi="Times New Roman" w:eastAsia="Times New Roman" w:cs="Times New Roman"/>
          <w:color w:val="auto"/>
          <w:spacing w:val="2"/>
          <w:sz w:val="24"/>
          <w:szCs w:val="24"/>
        </w:rPr>
        <w:t>“</w:t>
      </w:r>
      <w:r>
        <w:rPr>
          <w:rFonts w:ascii="宋体" w:hAnsi="宋体" w:eastAsia="宋体" w:cs="宋体"/>
          <w:color w:val="auto"/>
          <w:spacing w:val="2"/>
          <w:sz w:val="24"/>
          <w:szCs w:val="24"/>
        </w:rPr>
        <w:t>一张图</w:t>
      </w:r>
      <w:r>
        <w:rPr>
          <w:rFonts w:ascii="Times New Roman" w:hAnsi="Times New Roman" w:eastAsia="Times New Roman" w:cs="Times New Roman"/>
          <w:color w:val="auto"/>
          <w:spacing w:val="2"/>
          <w:sz w:val="24"/>
          <w:szCs w:val="24"/>
        </w:rPr>
        <w:t>”</w:t>
      </w:r>
      <w:r>
        <w:rPr>
          <w:rFonts w:ascii="宋体" w:hAnsi="宋体" w:eastAsia="宋体" w:cs="宋体"/>
          <w:color w:val="auto"/>
          <w:spacing w:val="2"/>
          <w:sz w:val="24"/>
          <w:szCs w:val="24"/>
        </w:rPr>
        <w:t>应至少包括环境风险</w:t>
      </w:r>
      <w:r>
        <w:rPr>
          <w:rFonts w:ascii="宋体" w:hAnsi="宋体" w:eastAsia="宋体" w:cs="宋体"/>
          <w:color w:val="auto"/>
          <w:spacing w:val="1"/>
          <w:sz w:val="24"/>
          <w:szCs w:val="24"/>
        </w:rPr>
        <w:t>源平面分布、周边水系及环境风险受体</w:t>
      </w:r>
      <w:r>
        <w:rPr>
          <w:rFonts w:ascii="宋体" w:hAnsi="宋体" w:eastAsia="宋体" w:cs="宋体"/>
          <w:color w:val="auto"/>
          <w:spacing w:val="-6"/>
          <w:sz w:val="24"/>
          <w:szCs w:val="24"/>
        </w:rPr>
        <w:t>分布、雨污水收集排放管网、应急救援组织信息、应急物资</w:t>
      </w:r>
      <w:r>
        <w:rPr>
          <w:rFonts w:ascii="宋体" w:hAnsi="宋体" w:eastAsia="宋体" w:cs="宋体"/>
          <w:color w:val="auto"/>
          <w:spacing w:val="-7"/>
          <w:sz w:val="24"/>
          <w:szCs w:val="24"/>
        </w:rPr>
        <w:t>装备信息等内容。一</w:t>
      </w:r>
      <w:r>
        <w:rPr>
          <w:rFonts w:ascii="宋体" w:hAnsi="宋体" w:eastAsia="宋体" w:cs="宋体"/>
          <w:color w:val="auto"/>
          <w:spacing w:val="1"/>
          <w:sz w:val="24"/>
          <w:szCs w:val="24"/>
        </w:rPr>
        <w:t>般环境风险企业事业单位环境应急预案适当简化，以现场处置预案</w:t>
      </w:r>
      <w:r>
        <w:rPr>
          <w:rFonts w:ascii="宋体" w:hAnsi="宋体" w:eastAsia="宋体" w:cs="宋体"/>
          <w:color w:val="auto"/>
          <w:sz w:val="24"/>
          <w:szCs w:val="24"/>
        </w:rPr>
        <w:t>以及</w:t>
      </w:r>
      <w:r>
        <w:rPr>
          <w:rFonts w:ascii="Times New Roman" w:hAnsi="Times New Roman" w:eastAsia="Times New Roman" w:cs="Times New Roman"/>
          <w:color w:val="auto"/>
          <w:sz w:val="24"/>
          <w:szCs w:val="24"/>
        </w:rPr>
        <w:t>“</w:t>
      </w:r>
      <w:r>
        <w:rPr>
          <w:rFonts w:ascii="宋体" w:hAnsi="宋体" w:eastAsia="宋体" w:cs="宋体"/>
          <w:color w:val="auto"/>
          <w:sz w:val="24"/>
          <w:szCs w:val="24"/>
        </w:rPr>
        <w:t>一图两</w:t>
      </w:r>
      <w:r>
        <w:rPr>
          <w:rFonts w:ascii="宋体" w:hAnsi="宋体" w:eastAsia="宋体" w:cs="宋体"/>
          <w:color w:val="auto"/>
          <w:spacing w:val="-1"/>
          <w:sz w:val="24"/>
          <w:szCs w:val="24"/>
        </w:rPr>
        <w:t>单两卡</w:t>
      </w:r>
      <w:r>
        <w:rPr>
          <w:rFonts w:ascii="Times New Roman" w:hAnsi="Times New Roman" w:eastAsia="Times New Roman" w:cs="Times New Roman"/>
          <w:color w:val="auto"/>
          <w:spacing w:val="-1"/>
          <w:sz w:val="24"/>
          <w:szCs w:val="24"/>
        </w:rPr>
        <w:t>”</w:t>
      </w:r>
      <w:r>
        <w:rPr>
          <w:rFonts w:ascii="宋体" w:hAnsi="宋体" w:eastAsia="宋体" w:cs="宋体"/>
          <w:color w:val="auto"/>
          <w:spacing w:val="-1"/>
          <w:sz w:val="24"/>
          <w:szCs w:val="24"/>
        </w:rPr>
        <w:t>为主，注重以列表、图示等方式直观展示内容。</w:t>
      </w:r>
      <w:r>
        <w:rPr>
          <w:rFonts w:ascii="Times New Roman" w:hAnsi="Times New Roman" w:eastAsia="Times New Roman" w:cs="Times New Roman"/>
          <w:color w:val="auto"/>
          <w:spacing w:val="-1"/>
          <w:sz w:val="24"/>
          <w:szCs w:val="24"/>
        </w:rPr>
        <w:t>Q</w:t>
      </w:r>
      <w:r>
        <w:rPr>
          <w:rFonts w:ascii="宋体" w:hAnsi="宋体" w:eastAsia="宋体" w:cs="宋体"/>
          <w:color w:val="auto"/>
          <w:spacing w:val="-1"/>
          <w:sz w:val="24"/>
          <w:szCs w:val="24"/>
        </w:rPr>
        <w:t>值（环境风险物质数</w:t>
      </w:r>
      <w:r>
        <w:rPr>
          <w:rFonts w:ascii="宋体" w:hAnsi="宋体" w:eastAsia="宋体" w:cs="宋体"/>
          <w:color w:val="auto"/>
          <w:spacing w:val="-2"/>
          <w:sz w:val="24"/>
          <w:szCs w:val="24"/>
        </w:rPr>
        <w:t>量与临界量比值）小于</w:t>
      </w:r>
      <w:r>
        <w:rPr>
          <w:rFonts w:ascii="Times New Roman" w:hAnsi="Times New Roman" w:eastAsia="Times New Roman" w:cs="Times New Roman"/>
          <w:color w:val="auto"/>
          <w:spacing w:val="-2"/>
          <w:sz w:val="24"/>
          <w:szCs w:val="24"/>
        </w:rPr>
        <w:t>1</w:t>
      </w:r>
      <w:r>
        <w:rPr>
          <w:rFonts w:ascii="宋体" w:hAnsi="宋体" w:eastAsia="宋体" w:cs="宋体"/>
          <w:color w:val="auto"/>
          <w:spacing w:val="-2"/>
          <w:sz w:val="24"/>
          <w:szCs w:val="24"/>
        </w:rPr>
        <w:t>的企业事业单位可只编制现场处置预案以及</w:t>
      </w:r>
      <w:r>
        <w:rPr>
          <w:rFonts w:ascii="Times New Roman" w:hAnsi="Times New Roman" w:eastAsia="Times New Roman" w:cs="Times New Roman"/>
          <w:color w:val="auto"/>
          <w:spacing w:val="-3"/>
          <w:sz w:val="24"/>
          <w:szCs w:val="24"/>
        </w:rPr>
        <w:t>“</w:t>
      </w:r>
      <w:r>
        <w:rPr>
          <w:rFonts w:ascii="宋体" w:hAnsi="宋体" w:eastAsia="宋体" w:cs="宋体"/>
          <w:color w:val="auto"/>
          <w:spacing w:val="-3"/>
          <w:sz w:val="24"/>
          <w:szCs w:val="24"/>
        </w:rPr>
        <w:t>一图两单</w:t>
      </w:r>
      <w:r>
        <w:rPr>
          <w:rFonts w:ascii="宋体" w:hAnsi="宋体" w:eastAsia="宋体" w:cs="宋体"/>
          <w:color w:val="auto"/>
          <w:spacing w:val="-2"/>
          <w:sz w:val="24"/>
          <w:szCs w:val="24"/>
        </w:rPr>
        <w:t>两卡</w:t>
      </w:r>
      <w:r>
        <w:rPr>
          <w:rFonts w:ascii="Times New Roman" w:hAnsi="Times New Roman" w:eastAsia="Times New Roman" w:cs="Times New Roman"/>
          <w:color w:val="auto"/>
          <w:spacing w:val="-2"/>
          <w:sz w:val="24"/>
          <w:szCs w:val="24"/>
        </w:rPr>
        <w:t>”</w:t>
      </w:r>
      <w:r>
        <w:rPr>
          <w:rFonts w:ascii="宋体" w:hAnsi="宋体" w:eastAsia="宋体" w:cs="宋体"/>
          <w:color w:val="auto"/>
          <w:spacing w:val="-2"/>
          <w:sz w:val="24"/>
          <w:szCs w:val="24"/>
        </w:rPr>
        <w:t>。较大及以上环境风险企业事业单位环境应急预案应明确</w:t>
      </w:r>
      <w:r>
        <w:rPr>
          <w:rFonts w:ascii="Times New Roman" w:hAnsi="Times New Roman" w:eastAsia="Times New Roman" w:cs="Times New Roman"/>
          <w:color w:val="auto"/>
          <w:spacing w:val="-2"/>
          <w:sz w:val="24"/>
          <w:szCs w:val="24"/>
        </w:rPr>
        <w:t>“</w:t>
      </w:r>
      <w:r>
        <w:rPr>
          <w:rFonts w:ascii="宋体" w:hAnsi="宋体" w:eastAsia="宋体" w:cs="宋体"/>
          <w:color w:val="auto"/>
          <w:spacing w:val="-2"/>
          <w:sz w:val="24"/>
          <w:szCs w:val="24"/>
        </w:rPr>
        <w:t>风险单元</w:t>
      </w:r>
      <w:r>
        <w:rPr>
          <w:rFonts w:ascii="Times New Roman" w:hAnsi="Times New Roman" w:eastAsia="Times New Roman" w:cs="Times New Roman"/>
          <w:color w:val="auto"/>
          <w:spacing w:val="-2"/>
          <w:sz w:val="24"/>
          <w:szCs w:val="24"/>
        </w:rPr>
        <w:t>-</w:t>
      </w:r>
      <w:r>
        <w:rPr>
          <w:rFonts w:ascii="宋体" w:hAnsi="宋体" w:eastAsia="宋体" w:cs="宋体"/>
          <w:color w:val="auto"/>
          <w:spacing w:val="-2"/>
          <w:sz w:val="24"/>
          <w:szCs w:val="24"/>
        </w:rPr>
        <w:t>管网、应急池</w:t>
      </w:r>
      <w:r>
        <w:rPr>
          <w:rFonts w:ascii="Times New Roman" w:hAnsi="Times New Roman" w:eastAsia="Times New Roman" w:cs="Times New Roman"/>
          <w:color w:val="auto"/>
          <w:spacing w:val="-2"/>
          <w:sz w:val="24"/>
          <w:szCs w:val="24"/>
        </w:rPr>
        <w:t>-</w:t>
      </w:r>
      <w:r>
        <w:rPr>
          <w:rFonts w:ascii="宋体" w:hAnsi="宋体" w:eastAsia="宋体" w:cs="宋体"/>
          <w:color w:val="auto"/>
          <w:spacing w:val="-2"/>
          <w:sz w:val="24"/>
          <w:szCs w:val="24"/>
        </w:rPr>
        <w:t>厂界</w:t>
      </w:r>
      <w:r>
        <w:rPr>
          <w:rFonts w:ascii="Times New Roman" w:hAnsi="Times New Roman" w:eastAsia="Times New Roman" w:cs="Times New Roman"/>
          <w:color w:val="auto"/>
          <w:spacing w:val="-2"/>
          <w:sz w:val="24"/>
          <w:szCs w:val="24"/>
        </w:rPr>
        <w:t>”</w:t>
      </w:r>
      <w:r>
        <w:rPr>
          <w:rFonts w:ascii="宋体" w:hAnsi="宋体" w:eastAsia="宋体" w:cs="宋体"/>
          <w:color w:val="auto"/>
          <w:spacing w:val="-2"/>
          <w:sz w:val="24"/>
          <w:szCs w:val="24"/>
        </w:rPr>
        <w:t>的突发水污染事件风险防控措施。</w:t>
      </w:r>
    </w:p>
    <w:p w14:paraId="2B8B01D9">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60" w:firstLineChars="200"/>
        <w:textAlignment w:val="baseline"/>
        <w:rPr>
          <w:rFonts w:hint="eastAsia" w:ascii="Times New Roman" w:hAnsi="Times New Roman" w:eastAsia="Times New Roman" w:cs="Times New Roman"/>
          <w:snapToGrid w:val="0"/>
          <w:color w:val="auto"/>
          <w:spacing w:val="-5"/>
          <w:kern w:val="0"/>
          <w:sz w:val="24"/>
          <w:szCs w:val="24"/>
          <w:lang w:val="en-US" w:eastAsia="zh-CN" w:bidi="ar-SA"/>
        </w:rPr>
      </w:pPr>
      <w:r>
        <w:rPr>
          <w:rFonts w:hint="eastAsia" w:ascii="Times New Roman" w:hAnsi="Times New Roman" w:eastAsia="Times New Roman" w:cs="Times New Roman"/>
          <w:snapToGrid w:val="0"/>
          <w:color w:val="auto"/>
          <w:spacing w:val="-5"/>
          <w:kern w:val="0"/>
          <w:sz w:val="24"/>
          <w:szCs w:val="24"/>
          <w:lang w:val="en-US" w:eastAsia="zh-CN" w:bidi="ar-SA"/>
        </w:rPr>
        <w:t>江宁经济技术开发区于2024年2月22日取得应急预案备案表，风险级别（综-R中，气-R中，水-R低），备案编号：320100-2024-001-M。</w:t>
      </w:r>
    </w:p>
    <w:p w14:paraId="6619B01A">
      <w:pPr>
        <w:spacing w:before="37" w:line="353" w:lineRule="auto"/>
        <w:ind w:left="37" w:firstLine="482"/>
        <w:jc w:val="both"/>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pacing w:val="-3"/>
          <w:sz w:val="24"/>
          <w:szCs w:val="24"/>
        </w:rPr>
        <w:t>园区和企业应急预案备案及环境风险等级情况</w:t>
      </w:r>
    </w:p>
    <w:p w14:paraId="7CE05155">
      <w:pPr>
        <w:spacing w:before="8" w:line="345" w:lineRule="auto"/>
        <w:ind w:left="41" w:right="85" w:firstLine="477"/>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3"/>
          <w:sz w:val="24"/>
          <w:szCs w:val="24"/>
        </w:rPr>
        <w:t>通过对园区主要企业资料的收集和整理，结合现场踏勘，</w:t>
      </w:r>
      <w:r>
        <w:rPr>
          <w:rFonts w:hint="default" w:ascii="Times New Roman" w:hAnsi="Times New Roman" w:eastAsia="宋体" w:cs="Times New Roman"/>
          <w:color w:val="auto"/>
          <w:spacing w:val="-4"/>
          <w:sz w:val="24"/>
          <w:szCs w:val="24"/>
        </w:rPr>
        <w:t>区内企业应急预案</w:t>
      </w:r>
      <w:r>
        <w:rPr>
          <w:rFonts w:hint="default" w:ascii="Times New Roman" w:hAnsi="Times New Roman" w:eastAsia="宋体" w:cs="Times New Roman"/>
          <w:color w:val="auto"/>
          <w:spacing w:val="-3"/>
          <w:sz w:val="24"/>
          <w:szCs w:val="24"/>
        </w:rPr>
        <w:t>备案情况见表</w:t>
      </w:r>
      <w:r>
        <w:rPr>
          <w:rFonts w:hint="eastAsia" w:ascii="Times New Roman" w:hAnsi="Times New Roman" w:eastAsia="宋体" w:cs="Times New Roman"/>
          <w:color w:val="auto"/>
          <w:spacing w:val="-3"/>
          <w:sz w:val="24"/>
          <w:szCs w:val="24"/>
          <w:lang w:val="en-US" w:eastAsia="zh-CN"/>
        </w:rPr>
        <w:t>8</w:t>
      </w:r>
      <w:r>
        <w:rPr>
          <w:rFonts w:hint="default" w:ascii="Times New Roman" w:hAnsi="Times New Roman" w:eastAsia="Times New Roman" w:cs="Times New Roman"/>
          <w:color w:val="auto"/>
          <w:spacing w:val="-3"/>
          <w:sz w:val="24"/>
          <w:szCs w:val="24"/>
        </w:rPr>
        <w:t>.</w:t>
      </w:r>
      <w:r>
        <w:rPr>
          <w:rFonts w:hint="eastAsia" w:ascii="Times New Roman" w:hAnsi="Times New Roman" w:eastAsia="宋体" w:cs="Times New Roman"/>
          <w:color w:val="auto"/>
          <w:spacing w:val="-3"/>
          <w:sz w:val="24"/>
          <w:szCs w:val="24"/>
          <w:lang w:val="en-US" w:eastAsia="zh-CN"/>
        </w:rPr>
        <w:t>5</w:t>
      </w:r>
      <w:r>
        <w:rPr>
          <w:rFonts w:hint="default" w:ascii="Times New Roman" w:hAnsi="Times New Roman" w:eastAsia="Times New Roman" w:cs="Times New Roman"/>
          <w:color w:val="auto"/>
          <w:spacing w:val="-3"/>
          <w:sz w:val="24"/>
          <w:szCs w:val="24"/>
        </w:rPr>
        <w:t>-1</w:t>
      </w:r>
      <w:r>
        <w:rPr>
          <w:rFonts w:hint="default" w:ascii="Times New Roman" w:hAnsi="Times New Roman" w:eastAsia="宋体" w:cs="Times New Roman"/>
          <w:color w:val="auto"/>
          <w:spacing w:val="-3"/>
          <w:sz w:val="24"/>
          <w:szCs w:val="24"/>
        </w:rPr>
        <w:t>。</w:t>
      </w:r>
    </w:p>
    <w:p w14:paraId="4689B6A1">
      <w:pPr>
        <w:spacing w:before="37" w:line="350" w:lineRule="auto"/>
        <w:ind w:left="37" w:right="82" w:firstLine="476"/>
        <w:jc w:val="both"/>
        <w:rPr>
          <w:color w:val="auto"/>
        </w:rPr>
      </w:pPr>
      <w:bookmarkStart w:id="2131" w:name="OLE_LINK1129"/>
      <w:r>
        <w:rPr>
          <w:rFonts w:hint="eastAsia" w:ascii="Times New Roman" w:hAnsi="Times New Roman" w:eastAsia="Times New Roman" w:cs="Times New Roman"/>
          <w:b w:val="0"/>
          <w:bCs w:val="0"/>
          <w:color w:val="auto"/>
          <w:spacing w:val="-3"/>
          <w:sz w:val="24"/>
          <w:szCs w:val="24"/>
          <w:highlight w:val="none"/>
          <w:lang w:val="en-US" w:eastAsia="zh-CN"/>
        </w:rPr>
        <w:t>2020年以来开发区应急预案已备案企业数量为111家，其中较大环境风险企业共有5家，一般环境风险企业共有106家</w:t>
      </w:r>
      <w:r>
        <w:rPr>
          <w:rFonts w:ascii="宋体" w:hAnsi="宋体" w:eastAsia="宋体" w:cs="宋体"/>
          <w:color w:val="auto"/>
          <w:spacing w:val="-2"/>
          <w:sz w:val="24"/>
          <w:szCs w:val="24"/>
          <w:highlight w:val="none"/>
        </w:rPr>
        <w:t>。</w:t>
      </w:r>
      <w:bookmarkEnd w:id="2131"/>
    </w:p>
    <w:p w14:paraId="3B396AF6">
      <w:pPr>
        <w:keepNext w:val="0"/>
        <w:keepLines w:val="0"/>
        <w:pageBreakBefore w:val="0"/>
        <w:widowControl/>
        <w:kinsoku w:val="0"/>
        <w:wordWrap/>
        <w:overflowPunct/>
        <w:topLinePunct w:val="0"/>
        <w:autoSpaceDE w:val="0"/>
        <w:autoSpaceDN w:val="0"/>
        <w:bidi w:val="0"/>
        <w:adjustRightInd w:val="0"/>
        <w:snapToGrid w:val="0"/>
        <w:spacing w:before="37" w:line="240" w:lineRule="auto"/>
        <w:ind w:right="79"/>
        <w:jc w:val="center"/>
        <w:textAlignment w:val="baseline"/>
        <w:rPr>
          <w:rFonts w:ascii="宋体" w:hAnsi="宋体" w:eastAsia="宋体" w:cs="宋体"/>
          <w:b/>
          <w:bCs/>
          <w:color w:val="auto"/>
          <w:spacing w:val="-2"/>
          <w:sz w:val="24"/>
          <w:szCs w:val="24"/>
          <w:highlight w:val="none"/>
        </w:rPr>
      </w:pPr>
      <w:r>
        <w:rPr>
          <w:rFonts w:ascii="宋体" w:hAnsi="宋体" w:eastAsia="宋体" w:cs="宋体"/>
          <w:b/>
          <w:bCs/>
          <w:color w:val="auto"/>
          <w:spacing w:val="-2"/>
          <w:sz w:val="24"/>
          <w:szCs w:val="24"/>
          <w:highlight w:val="none"/>
        </w:rPr>
        <w:t>表</w:t>
      </w:r>
      <w:r>
        <w:rPr>
          <w:rFonts w:hint="eastAsia" w:ascii="Times New Roman" w:hAnsi="Times New Roman" w:eastAsia="宋体" w:cs="Times New Roman"/>
          <w:b/>
          <w:bCs/>
          <w:color w:val="auto"/>
          <w:spacing w:val="-2"/>
          <w:sz w:val="24"/>
          <w:szCs w:val="24"/>
          <w:highlight w:val="none"/>
          <w:lang w:val="en-US" w:eastAsia="zh-CN"/>
        </w:rPr>
        <w:t>8</w:t>
      </w:r>
      <w:r>
        <w:rPr>
          <w:rFonts w:ascii="Times New Roman" w:hAnsi="Times New Roman" w:eastAsia="Times New Roman" w:cs="Times New Roman"/>
          <w:b/>
          <w:bCs/>
          <w:color w:val="auto"/>
          <w:spacing w:val="-2"/>
          <w:sz w:val="24"/>
          <w:szCs w:val="24"/>
          <w:highlight w:val="none"/>
        </w:rPr>
        <w:t>.</w:t>
      </w:r>
      <w:r>
        <w:rPr>
          <w:rFonts w:hint="eastAsia" w:ascii="Times New Roman" w:hAnsi="Times New Roman" w:eastAsia="宋体" w:cs="Times New Roman"/>
          <w:b/>
          <w:bCs/>
          <w:color w:val="auto"/>
          <w:spacing w:val="-2"/>
          <w:sz w:val="24"/>
          <w:szCs w:val="24"/>
          <w:highlight w:val="none"/>
          <w:lang w:val="en-US" w:eastAsia="zh-CN"/>
        </w:rPr>
        <w:t>5</w:t>
      </w:r>
      <w:r>
        <w:rPr>
          <w:rFonts w:ascii="Times New Roman" w:hAnsi="Times New Roman" w:eastAsia="Times New Roman" w:cs="Times New Roman"/>
          <w:b/>
          <w:bCs/>
          <w:color w:val="auto"/>
          <w:spacing w:val="-2"/>
          <w:sz w:val="24"/>
          <w:szCs w:val="24"/>
          <w:highlight w:val="none"/>
        </w:rPr>
        <w:t>-1</w:t>
      </w:r>
      <w:r>
        <w:rPr>
          <w:rFonts w:hint="eastAsia" w:ascii="Times New Roman" w:hAnsi="Times New Roman" w:eastAsia="宋体" w:cs="Times New Roman"/>
          <w:b/>
          <w:bCs/>
          <w:color w:val="auto"/>
          <w:spacing w:val="-2"/>
          <w:sz w:val="24"/>
          <w:szCs w:val="24"/>
          <w:highlight w:val="none"/>
          <w:lang w:val="en-US" w:eastAsia="zh-CN"/>
        </w:rPr>
        <w:t xml:space="preserve">  </w:t>
      </w:r>
      <w:r>
        <w:rPr>
          <w:rFonts w:ascii="宋体" w:hAnsi="宋体" w:eastAsia="宋体" w:cs="宋体"/>
          <w:b/>
          <w:bCs/>
          <w:color w:val="auto"/>
          <w:spacing w:val="-2"/>
          <w:sz w:val="24"/>
          <w:szCs w:val="24"/>
          <w:highlight w:val="none"/>
        </w:rPr>
        <w:t>开发区内</w:t>
      </w:r>
      <w:r>
        <w:rPr>
          <w:rFonts w:hint="eastAsia" w:ascii="宋体" w:hAnsi="宋体" w:eastAsia="宋体" w:cs="宋体"/>
          <w:b/>
          <w:bCs/>
          <w:color w:val="auto"/>
          <w:spacing w:val="-2"/>
          <w:sz w:val="24"/>
          <w:szCs w:val="24"/>
          <w:highlight w:val="none"/>
          <w:lang w:val="en-US" w:eastAsia="zh-CN"/>
        </w:rPr>
        <w:t>较大风险等级</w:t>
      </w:r>
      <w:r>
        <w:rPr>
          <w:rFonts w:ascii="宋体" w:hAnsi="宋体" w:eastAsia="宋体" w:cs="宋体"/>
          <w:b/>
          <w:bCs/>
          <w:color w:val="auto"/>
          <w:spacing w:val="-2"/>
          <w:sz w:val="24"/>
          <w:szCs w:val="24"/>
          <w:highlight w:val="none"/>
        </w:rPr>
        <w:t>应急预案备案情况</w:t>
      </w:r>
      <w:bookmarkStart w:id="2132" w:name="pindex13738"/>
      <w:bookmarkEnd w:id="2132"/>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7"/>
        <w:gridCol w:w="4005"/>
        <w:gridCol w:w="1696"/>
        <w:gridCol w:w="1780"/>
      </w:tblGrid>
      <w:tr w14:paraId="05E269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717" w:type="dxa"/>
            <w:tcBorders>
              <w:tl2br w:val="nil"/>
              <w:tr2bl w:val="nil"/>
            </w:tcBorders>
            <w:vAlign w:val="center"/>
          </w:tcPr>
          <w:p w14:paraId="0C529D03">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ascii="宋体" w:hAnsi="宋体" w:eastAsia="宋体" w:cs="宋体"/>
                <w:b/>
                <w:bCs/>
                <w:color w:val="auto"/>
                <w:spacing w:val="-2"/>
                <w:sz w:val="21"/>
                <w:szCs w:val="21"/>
                <w:highlight w:val="yellow"/>
                <w:vertAlign w:val="baseline"/>
              </w:rPr>
            </w:pPr>
            <w:r>
              <w:rPr>
                <w:rFonts w:hint="default" w:ascii="Times New Roman" w:hAnsi="Times New Roman" w:eastAsia="宋体" w:cs="Times New Roman"/>
                <w:b/>
                <w:bCs/>
                <w:color w:val="auto"/>
                <w:sz w:val="21"/>
                <w:szCs w:val="21"/>
              </w:rPr>
              <w:t>序号</w:t>
            </w:r>
          </w:p>
        </w:tc>
        <w:tc>
          <w:tcPr>
            <w:tcW w:w="4005" w:type="dxa"/>
            <w:tcBorders>
              <w:tl2br w:val="nil"/>
              <w:tr2bl w:val="nil"/>
            </w:tcBorders>
            <w:vAlign w:val="center"/>
          </w:tcPr>
          <w:p w14:paraId="3740FC4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ascii="宋体" w:hAnsi="宋体" w:eastAsia="宋体" w:cs="宋体"/>
                <w:b/>
                <w:bCs/>
                <w:color w:val="auto"/>
                <w:spacing w:val="-2"/>
                <w:sz w:val="21"/>
                <w:szCs w:val="21"/>
                <w:highlight w:val="yellow"/>
                <w:vertAlign w:val="baseline"/>
              </w:rPr>
            </w:pPr>
            <w:r>
              <w:rPr>
                <w:rFonts w:hint="default" w:ascii="Times New Roman" w:hAnsi="Times New Roman" w:eastAsia="宋体" w:cs="Times New Roman"/>
                <w:b/>
                <w:bCs/>
                <w:color w:val="auto"/>
                <w:sz w:val="21"/>
                <w:szCs w:val="21"/>
              </w:rPr>
              <w:t>企业名称</w:t>
            </w:r>
          </w:p>
        </w:tc>
        <w:tc>
          <w:tcPr>
            <w:tcW w:w="1696" w:type="dxa"/>
            <w:tcBorders>
              <w:tl2br w:val="nil"/>
              <w:tr2bl w:val="nil"/>
            </w:tcBorders>
            <w:vAlign w:val="center"/>
          </w:tcPr>
          <w:p w14:paraId="2D0FDA41">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备案时间</w:t>
            </w:r>
          </w:p>
        </w:tc>
        <w:tc>
          <w:tcPr>
            <w:tcW w:w="1780" w:type="dxa"/>
            <w:tcBorders>
              <w:tl2br w:val="nil"/>
              <w:tr2bl w:val="nil"/>
            </w:tcBorders>
            <w:vAlign w:val="center"/>
          </w:tcPr>
          <w:p w14:paraId="0A26B69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ascii="宋体" w:hAnsi="宋体" w:eastAsia="宋体" w:cs="宋体"/>
                <w:b/>
                <w:bCs/>
                <w:color w:val="auto"/>
                <w:spacing w:val="-2"/>
                <w:sz w:val="21"/>
                <w:szCs w:val="21"/>
                <w:highlight w:val="yellow"/>
                <w:vertAlign w:val="baseline"/>
              </w:rPr>
            </w:pPr>
            <w:r>
              <w:rPr>
                <w:rFonts w:hint="default" w:ascii="Times New Roman" w:hAnsi="Times New Roman" w:eastAsia="宋体" w:cs="Times New Roman"/>
                <w:b/>
                <w:bCs/>
                <w:color w:val="auto"/>
                <w:sz w:val="21"/>
                <w:szCs w:val="21"/>
                <w:lang w:val="en-US" w:eastAsia="zh-CN"/>
              </w:rPr>
              <w:t>风险</w:t>
            </w:r>
            <w:r>
              <w:rPr>
                <w:rFonts w:hint="eastAsia" w:ascii="Times New Roman" w:hAnsi="Times New Roman" w:eastAsia="宋体" w:cs="Times New Roman"/>
                <w:b/>
                <w:bCs/>
                <w:color w:val="auto"/>
                <w:sz w:val="21"/>
                <w:szCs w:val="21"/>
                <w:lang w:val="en-US" w:eastAsia="zh-CN"/>
              </w:rPr>
              <w:t>等级</w:t>
            </w:r>
          </w:p>
        </w:tc>
      </w:tr>
      <w:tr w14:paraId="3F00C2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717" w:type="dxa"/>
            <w:tcBorders>
              <w:tl2br w:val="nil"/>
              <w:tr2bl w:val="nil"/>
            </w:tcBorders>
            <w:shd w:val="clear" w:color="auto" w:fill="auto"/>
            <w:vAlign w:val="center"/>
          </w:tcPr>
          <w:p w14:paraId="0A308182">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46" w:line="240" w:lineRule="auto"/>
              <w:ind w:left="425" w:leftChars="0" w:hanging="425" w:firstLineChars="0"/>
              <w:jc w:val="center"/>
              <w:textAlignment w:val="baseline"/>
              <w:rPr>
                <w:rFonts w:hint="default" w:ascii="Times New Roman" w:hAnsi="Times New Roman" w:eastAsia="宋体" w:cs="Times New Roman"/>
                <w:b w:val="0"/>
                <w:bCs w:val="0"/>
                <w:snapToGrid w:val="0"/>
                <w:color w:val="auto"/>
                <w:spacing w:val="-2"/>
                <w:kern w:val="0"/>
                <w:sz w:val="21"/>
                <w:szCs w:val="21"/>
                <w:highlight w:val="none"/>
                <w:vertAlign w:val="baseline"/>
                <w:lang w:val="en-US" w:eastAsia="zh-CN" w:bidi="ar-SA"/>
              </w:rPr>
            </w:pPr>
            <w:r>
              <w:rPr>
                <w:rFonts w:hint="eastAsia" w:ascii="Times New Roman" w:hAnsi="Times New Roman" w:eastAsia="宋体" w:cs="Times New Roman"/>
                <w:b w:val="0"/>
                <w:bCs w:val="0"/>
                <w:snapToGrid w:val="0"/>
                <w:color w:val="auto"/>
                <w:spacing w:val="-2"/>
                <w:kern w:val="0"/>
                <w:sz w:val="21"/>
                <w:szCs w:val="21"/>
                <w:vertAlign w:val="baseline"/>
                <w:lang w:val="en-US" w:eastAsia="zh-CN" w:bidi="ar-SA"/>
              </w:rPr>
              <w:t>1</w:t>
            </w:r>
          </w:p>
        </w:tc>
        <w:tc>
          <w:tcPr>
            <w:tcW w:w="4005" w:type="dxa"/>
            <w:tcBorders>
              <w:tl2br w:val="nil"/>
              <w:tr2bl w:val="nil"/>
            </w:tcBorders>
            <w:vAlign w:val="center"/>
          </w:tcPr>
          <w:p w14:paraId="64C52AE5">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南京国盛电子有限公司</w:t>
            </w:r>
          </w:p>
        </w:tc>
        <w:tc>
          <w:tcPr>
            <w:tcW w:w="1696" w:type="dxa"/>
            <w:tcBorders>
              <w:tl2br w:val="nil"/>
              <w:tr2bl w:val="nil"/>
            </w:tcBorders>
            <w:vAlign w:val="center"/>
          </w:tcPr>
          <w:p w14:paraId="289BC11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2021.4.8</w:t>
            </w:r>
          </w:p>
        </w:tc>
        <w:tc>
          <w:tcPr>
            <w:tcW w:w="1780" w:type="dxa"/>
            <w:tcBorders>
              <w:tl2br w:val="nil"/>
              <w:tr2bl w:val="nil"/>
            </w:tcBorders>
            <w:vAlign w:val="center"/>
          </w:tcPr>
          <w:p w14:paraId="1037FC10">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lang w:val="en-US" w:eastAsia="zh-CN"/>
              </w:rPr>
            </w:pPr>
            <w:r>
              <w:rPr>
                <w:rFonts w:hint="eastAsia" w:ascii="宋体" w:hAnsi="宋体" w:eastAsia="宋体" w:cs="宋体"/>
                <w:snapToGrid w:val="0"/>
                <w:color w:val="auto"/>
                <w:kern w:val="0"/>
                <w:sz w:val="21"/>
                <w:szCs w:val="21"/>
                <w:lang w:val="en-US" w:eastAsia="zh-CN" w:bidi="ar"/>
              </w:rPr>
              <w:t>较大</w:t>
            </w:r>
          </w:p>
        </w:tc>
      </w:tr>
      <w:tr w14:paraId="26B29B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717" w:type="dxa"/>
            <w:tcBorders>
              <w:tl2br w:val="nil"/>
              <w:tr2bl w:val="nil"/>
            </w:tcBorders>
            <w:shd w:val="clear" w:color="auto" w:fill="auto"/>
            <w:vAlign w:val="center"/>
          </w:tcPr>
          <w:p w14:paraId="68FB972F">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46" w:line="240" w:lineRule="auto"/>
              <w:ind w:left="425" w:leftChars="0" w:hanging="425" w:firstLineChars="0"/>
              <w:jc w:val="center"/>
              <w:textAlignment w:val="baseline"/>
              <w:rPr>
                <w:rFonts w:hint="eastAsia" w:ascii="Times New Roman" w:hAnsi="Times New Roman" w:eastAsia="宋体" w:cs="Times New Roman"/>
                <w:b w:val="0"/>
                <w:bCs w:val="0"/>
                <w:snapToGrid w:val="0"/>
                <w:color w:val="auto"/>
                <w:spacing w:val="-2"/>
                <w:kern w:val="0"/>
                <w:sz w:val="21"/>
                <w:szCs w:val="21"/>
                <w:highlight w:val="none"/>
                <w:vertAlign w:val="baseline"/>
                <w:lang w:val="en-US" w:eastAsia="zh-CN" w:bidi="ar-SA"/>
              </w:rPr>
            </w:pPr>
            <w:r>
              <w:rPr>
                <w:rFonts w:hint="eastAsia" w:ascii="Times New Roman" w:hAnsi="Times New Roman" w:eastAsia="宋体" w:cs="Times New Roman"/>
                <w:b w:val="0"/>
                <w:bCs w:val="0"/>
                <w:snapToGrid w:val="0"/>
                <w:color w:val="auto"/>
                <w:spacing w:val="-2"/>
                <w:kern w:val="0"/>
                <w:sz w:val="21"/>
                <w:szCs w:val="21"/>
                <w:vertAlign w:val="baseline"/>
                <w:lang w:val="en-US" w:eastAsia="zh-CN" w:bidi="ar-SA"/>
              </w:rPr>
              <w:t>2</w:t>
            </w:r>
          </w:p>
        </w:tc>
        <w:tc>
          <w:tcPr>
            <w:tcW w:w="4005" w:type="dxa"/>
            <w:tcBorders>
              <w:tl2br w:val="nil"/>
              <w:tr2bl w:val="nil"/>
            </w:tcBorders>
            <w:shd w:val="clear" w:color="auto" w:fill="auto"/>
            <w:vAlign w:val="center"/>
          </w:tcPr>
          <w:p w14:paraId="36992BEC">
            <w:pPr>
              <w:keepNext w:val="0"/>
              <w:keepLines w:val="0"/>
              <w:widowControl/>
              <w:suppressLineNumbers w:val="0"/>
              <w:jc w:val="center"/>
              <w:textAlignment w:val="center"/>
              <w:rPr>
                <w:rFonts w:ascii="宋体" w:hAnsi="宋体" w:eastAsia="宋体" w:cs="宋体"/>
                <w:b/>
                <w:bCs/>
                <w:snapToGrid w:val="0"/>
                <w:color w:val="auto"/>
                <w:spacing w:val="-2"/>
                <w:kern w:val="0"/>
                <w:sz w:val="21"/>
                <w:szCs w:val="21"/>
                <w:highlight w:val="yellow"/>
                <w:vertAlign w:val="baseline"/>
                <w:lang w:val="en-US" w:eastAsia="en-US" w:bidi="ar-SA"/>
              </w:rPr>
            </w:pPr>
            <w:r>
              <w:rPr>
                <w:rFonts w:hint="eastAsia" w:ascii="宋体" w:hAnsi="宋体" w:eastAsia="宋体" w:cs="宋体"/>
                <w:i w:val="0"/>
                <w:iCs w:val="0"/>
                <w:snapToGrid w:val="0"/>
                <w:color w:val="auto"/>
                <w:kern w:val="0"/>
                <w:sz w:val="21"/>
                <w:szCs w:val="21"/>
                <w:u w:val="none"/>
                <w:lang w:val="en-US" w:eastAsia="zh-CN" w:bidi="ar"/>
              </w:rPr>
              <w:t>南京迈瑞生物技术有限公司</w:t>
            </w:r>
          </w:p>
        </w:tc>
        <w:tc>
          <w:tcPr>
            <w:tcW w:w="1696" w:type="dxa"/>
            <w:tcBorders>
              <w:tl2br w:val="nil"/>
              <w:tr2bl w:val="nil"/>
            </w:tcBorders>
            <w:shd w:val="clear" w:color="auto" w:fill="auto"/>
            <w:vAlign w:val="center"/>
          </w:tcPr>
          <w:p w14:paraId="31957FB6">
            <w:pPr>
              <w:keepNext w:val="0"/>
              <w:keepLines w:val="0"/>
              <w:widowControl/>
              <w:suppressLineNumbers w:val="0"/>
              <w:jc w:val="center"/>
              <w:rPr>
                <w:rFonts w:ascii="宋体" w:hAnsi="宋体" w:eastAsia="宋体" w:cs="宋体"/>
                <w:b/>
                <w:bCs/>
                <w:snapToGrid w:val="0"/>
                <w:color w:val="auto"/>
                <w:spacing w:val="-2"/>
                <w:kern w:val="0"/>
                <w:sz w:val="21"/>
                <w:szCs w:val="21"/>
                <w:highlight w:val="yellow"/>
                <w:vertAlign w:val="baseline"/>
                <w:lang w:val="en-US" w:eastAsia="en-US" w:bidi="ar-SA"/>
              </w:rPr>
            </w:pPr>
            <w:r>
              <w:rPr>
                <w:rFonts w:hint="default" w:ascii="Times New Roman" w:hAnsi="Times New Roman" w:eastAsia="宋体" w:cs="Times New Roman"/>
                <w:snapToGrid w:val="0"/>
                <w:color w:val="auto"/>
                <w:kern w:val="0"/>
                <w:sz w:val="21"/>
                <w:szCs w:val="21"/>
                <w:lang w:val="en-US" w:eastAsia="zh-CN" w:bidi="ar"/>
              </w:rPr>
              <w:t>2023.11.23</w:t>
            </w:r>
          </w:p>
        </w:tc>
        <w:tc>
          <w:tcPr>
            <w:tcW w:w="1780" w:type="dxa"/>
            <w:tcBorders>
              <w:tl2br w:val="nil"/>
              <w:tr2bl w:val="nil"/>
            </w:tcBorders>
            <w:shd w:val="clear" w:color="auto" w:fill="auto"/>
            <w:vAlign w:val="center"/>
          </w:tcPr>
          <w:p w14:paraId="26535615">
            <w:pPr>
              <w:keepNext w:val="0"/>
              <w:keepLines w:val="0"/>
              <w:widowControl/>
              <w:suppressLineNumbers w:val="0"/>
              <w:jc w:val="center"/>
              <w:rPr>
                <w:rFonts w:ascii="宋体" w:hAnsi="宋体" w:eastAsia="宋体" w:cs="宋体"/>
                <w:b/>
                <w:bCs/>
                <w:snapToGrid w:val="0"/>
                <w:color w:val="auto"/>
                <w:spacing w:val="-2"/>
                <w:kern w:val="0"/>
                <w:sz w:val="21"/>
                <w:szCs w:val="21"/>
                <w:highlight w:val="yellow"/>
                <w:vertAlign w:val="baseline"/>
                <w:lang w:val="en-US" w:eastAsia="en-US" w:bidi="ar-SA"/>
              </w:rPr>
            </w:pPr>
            <w:r>
              <w:rPr>
                <w:rFonts w:hint="eastAsia" w:ascii="宋体" w:hAnsi="宋体" w:eastAsia="宋体" w:cs="宋体"/>
                <w:snapToGrid w:val="0"/>
                <w:color w:val="auto"/>
                <w:kern w:val="0"/>
                <w:sz w:val="21"/>
                <w:szCs w:val="21"/>
                <w:lang w:val="en-US" w:eastAsia="zh-CN" w:bidi="ar"/>
              </w:rPr>
              <w:t>较大</w:t>
            </w:r>
          </w:p>
        </w:tc>
      </w:tr>
      <w:tr w14:paraId="19868A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717" w:type="dxa"/>
            <w:tcBorders>
              <w:tl2br w:val="nil"/>
              <w:tr2bl w:val="nil"/>
            </w:tcBorders>
            <w:shd w:val="clear" w:color="auto" w:fill="auto"/>
            <w:vAlign w:val="center"/>
          </w:tcPr>
          <w:p w14:paraId="15AF37B5">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46" w:line="240" w:lineRule="auto"/>
              <w:ind w:left="425" w:leftChars="0" w:hanging="425" w:firstLineChars="0"/>
              <w:jc w:val="center"/>
              <w:textAlignment w:val="baseline"/>
              <w:rPr>
                <w:rFonts w:hint="eastAsia" w:ascii="Times New Roman" w:hAnsi="Times New Roman" w:eastAsia="宋体" w:cs="Times New Roman"/>
                <w:b w:val="0"/>
                <w:bCs w:val="0"/>
                <w:snapToGrid w:val="0"/>
                <w:color w:val="auto"/>
                <w:spacing w:val="-2"/>
                <w:kern w:val="0"/>
                <w:sz w:val="21"/>
                <w:szCs w:val="21"/>
                <w:highlight w:val="none"/>
                <w:vertAlign w:val="baseline"/>
                <w:lang w:val="en-US" w:eastAsia="zh-CN" w:bidi="ar-SA"/>
              </w:rPr>
            </w:pPr>
            <w:r>
              <w:rPr>
                <w:rFonts w:hint="eastAsia" w:ascii="Times New Roman" w:hAnsi="Times New Roman" w:eastAsia="宋体" w:cs="Times New Roman"/>
                <w:b w:val="0"/>
                <w:bCs w:val="0"/>
                <w:snapToGrid w:val="0"/>
                <w:color w:val="auto"/>
                <w:spacing w:val="-2"/>
                <w:kern w:val="0"/>
                <w:sz w:val="21"/>
                <w:szCs w:val="21"/>
                <w:vertAlign w:val="baseline"/>
                <w:lang w:val="en-US" w:eastAsia="zh-CN" w:bidi="ar-SA"/>
              </w:rPr>
              <w:t>3</w:t>
            </w:r>
          </w:p>
        </w:tc>
        <w:tc>
          <w:tcPr>
            <w:tcW w:w="4005" w:type="dxa"/>
            <w:tcBorders>
              <w:tl2br w:val="nil"/>
              <w:tr2bl w:val="nil"/>
            </w:tcBorders>
            <w:shd w:val="clear" w:color="auto" w:fill="auto"/>
            <w:vAlign w:val="center"/>
          </w:tcPr>
          <w:p w14:paraId="1686E072">
            <w:pPr>
              <w:keepNext w:val="0"/>
              <w:keepLines w:val="0"/>
              <w:widowControl/>
              <w:suppressLineNumbers w:val="0"/>
              <w:jc w:val="center"/>
              <w:textAlignment w:val="center"/>
              <w:rPr>
                <w:rFonts w:ascii="宋体" w:hAnsi="宋体" w:eastAsia="宋体" w:cs="宋体"/>
                <w:b/>
                <w:bCs/>
                <w:snapToGrid w:val="0"/>
                <w:color w:val="auto"/>
                <w:spacing w:val="-2"/>
                <w:kern w:val="0"/>
                <w:sz w:val="21"/>
                <w:szCs w:val="21"/>
                <w:highlight w:val="yellow"/>
                <w:vertAlign w:val="baseline"/>
                <w:lang w:val="en-US" w:eastAsia="en-US" w:bidi="ar-SA"/>
              </w:rPr>
            </w:pPr>
            <w:r>
              <w:rPr>
                <w:rFonts w:hint="eastAsia" w:ascii="宋体" w:hAnsi="宋体" w:eastAsia="宋体" w:cs="宋体"/>
                <w:i w:val="0"/>
                <w:iCs w:val="0"/>
                <w:snapToGrid w:val="0"/>
                <w:color w:val="auto"/>
                <w:kern w:val="0"/>
                <w:sz w:val="21"/>
                <w:szCs w:val="21"/>
                <w:u w:val="none"/>
                <w:lang w:val="en-US" w:eastAsia="zh-CN" w:bidi="ar"/>
              </w:rPr>
              <w:t>中国电子科技集团公司第五十五研究所</w:t>
            </w:r>
          </w:p>
        </w:tc>
        <w:tc>
          <w:tcPr>
            <w:tcW w:w="1696" w:type="dxa"/>
            <w:tcBorders>
              <w:tl2br w:val="nil"/>
              <w:tr2bl w:val="nil"/>
            </w:tcBorders>
            <w:shd w:val="clear" w:color="auto" w:fill="auto"/>
            <w:vAlign w:val="center"/>
          </w:tcPr>
          <w:p w14:paraId="1F42CB57">
            <w:pPr>
              <w:keepNext w:val="0"/>
              <w:keepLines w:val="0"/>
              <w:widowControl/>
              <w:suppressLineNumbers w:val="0"/>
              <w:jc w:val="center"/>
              <w:rPr>
                <w:rFonts w:ascii="宋体" w:hAnsi="宋体" w:eastAsia="宋体" w:cs="宋体"/>
                <w:b/>
                <w:bCs/>
                <w:snapToGrid w:val="0"/>
                <w:color w:val="auto"/>
                <w:spacing w:val="-2"/>
                <w:kern w:val="0"/>
                <w:sz w:val="21"/>
                <w:szCs w:val="21"/>
                <w:highlight w:val="yellow"/>
                <w:vertAlign w:val="baseline"/>
                <w:lang w:val="en-US" w:eastAsia="en-US" w:bidi="ar-SA"/>
              </w:rPr>
            </w:pPr>
            <w:r>
              <w:rPr>
                <w:rFonts w:hint="default" w:ascii="Times New Roman" w:hAnsi="Times New Roman" w:eastAsia="宋体" w:cs="Times New Roman"/>
                <w:snapToGrid w:val="0"/>
                <w:color w:val="auto"/>
                <w:kern w:val="0"/>
                <w:sz w:val="21"/>
                <w:szCs w:val="21"/>
                <w:highlight w:val="none"/>
                <w:lang w:val="en-US" w:eastAsia="zh-CN" w:bidi="ar"/>
              </w:rPr>
              <w:t>2021.10.18</w:t>
            </w:r>
          </w:p>
        </w:tc>
        <w:tc>
          <w:tcPr>
            <w:tcW w:w="1780" w:type="dxa"/>
            <w:tcBorders>
              <w:tl2br w:val="nil"/>
              <w:tr2bl w:val="nil"/>
            </w:tcBorders>
            <w:shd w:val="clear" w:color="auto" w:fill="auto"/>
            <w:vAlign w:val="center"/>
          </w:tcPr>
          <w:p w14:paraId="7892E0B0">
            <w:pPr>
              <w:keepNext w:val="0"/>
              <w:keepLines w:val="0"/>
              <w:widowControl/>
              <w:suppressLineNumbers w:val="0"/>
              <w:jc w:val="center"/>
              <w:rPr>
                <w:rFonts w:ascii="宋体" w:hAnsi="宋体" w:eastAsia="宋体" w:cs="宋体"/>
                <w:b/>
                <w:bCs/>
                <w:snapToGrid w:val="0"/>
                <w:color w:val="auto"/>
                <w:spacing w:val="-2"/>
                <w:kern w:val="0"/>
                <w:sz w:val="21"/>
                <w:szCs w:val="21"/>
                <w:highlight w:val="yellow"/>
                <w:vertAlign w:val="baseline"/>
                <w:lang w:val="en-US" w:eastAsia="en-US" w:bidi="ar-SA"/>
              </w:rPr>
            </w:pPr>
            <w:r>
              <w:rPr>
                <w:rFonts w:hint="eastAsia" w:ascii="宋体" w:hAnsi="宋体" w:eastAsia="宋体" w:cs="宋体"/>
                <w:snapToGrid w:val="0"/>
                <w:color w:val="auto"/>
                <w:kern w:val="0"/>
                <w:sz w:val="21"/>
                <w:szCs w:val="21"/>
                <w:lang w:val="en-US" w:eastAsia="zh-CN" w:bidi="ar"/>
              </w:rPr>
              <w:t>较大</w:t>
            </w:r>
          </w:p>
        </w:tc>
      </w:tr>
      <w:tr w14:paraId="3C3C70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717" w:type="dxa"/>
            <w:tcBorders>
              <w:tl2br w:val="nil"/>
              <w:tr2bl w:val="nil"/>
            </w:tcBorders>
            <w:shd w:val="clear" w:color="auto" w:fill="auto"/>
            <w:vAlign w:val="center"/>
          </w:tcPr>
          <w:p w14:paraId="2E19D50F">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46" w:line="240" w:lineRule="auto"/>
              <w:ind w:left="0" w:leftChars="0" w:firstLine="0" w:firstLineChars="0"/>
              <w:jc w:val="center"/>
              <w:textAlignment w:val="baseline"/>
              <w:rPr>
                <w:rFonts w:hint="eastAsia" w:ascii="Times New Roman" w:hAnsi="Times New Roman" w:eastAsia="宋体" w:cs="Times New Roman"/>
                <w:b w:val="0"/>
                <w:bCs w:val="0"/>
                <w:snapToGrid w:val="0"/>
                <w:color w:val="auto"/>
                <w:spacing w:val="-2"/>
                <w:kern w:val="0"/>
                <w:sz w:val="21"/>
                <w:szCs w:val="21"/>
                <w:highlight w:val="none"/>
                <w:vertAlign w:val="baseline"/>
                <w:lang w:val="en-US" w:eastAsia="zh-CN" w:bidi="ar-SA"/>
              </w:rPr>
            </w:pPr>
            <w:r>
              <w:rPr>
                <w:rFonts w:hint="eastAsia" w:ascii="Times New Roman" w:hAnsi="Times New Roman" w:eastAsia="宋体" w:cs="Times New Roman"/>
                <w:b w:val="0"/>
                <w:bCs w:val="0"/>
                <w:color w:val="auto"/>
                <w:spacing w:val="-2"/>
                <w:sz w:val="21"/>
                <w:szCs w:val="21"/>
                <w:highlight w:val="none"/>
                <w:vertAlign w:val="baseline"/>
                <w:lang w:val="en-US" w:eastAsia="zh-CN"/>
              </w:rPr>
              <w:t>4</w:t>
            </w:r>
          </w:p>
        </w:tc>
        <w:tc>
          <w:tcPr>
            <w:tcW w:w="4005" w:type="dxa"/>
            <w:tcBorders>
              <w:tl2br w:val="nil"/>
              <w:tr2bl w:val="nil"/>
            </w:tcBorders>
            <w:shd w:val="clear" w:color="auto" w:fill="auto"/>
            <w:vAlign w:val="center"/>
          </w:tcPr>
          <w:p w14:paraId="75E11B66">
            <w:pPr>
              <w:keepNext w:val="0"/>
              <w:keepLines w:val="0"/>
              <w:widowControl/>
              <w:suppressLineNumbers w:val="0"/>
              <w:jc w:val="center"/>
              <w:textAlignment w:val="center"/>
              <w:rPr>
                <w:rFonts w:ascii="宋体" w:hAnsi="宋体" w:eastAsia="宋体" w:cs="宋体"/>
                <w:b/>
                <w:bCs/>
                <w:snapToGrid w:val="0"/>
                <w:color w:val="auto"/>
                <w:spacing w:val="-2"/>
                <w:kern w:val="0"/>
                <w:sz w:val="21"/>
                <w:szCs w:val="21"/>
                <w:highlight w:val="yellow"/>
                <w:vertAlign w:val="baseline"/>
                <w:lang w:val="en-US" w:eastAsia="en-US" w:bidi="ar-SA"/>
              </w:rPr>
            </w:pPr>
            <w:r>
              <w:rPr>
                <w:rFonts w:hint="eastAsia" w:ascii="宋体" w:hAnsi="宋体" w:eastAsia="宋体" w:cs="宋体"/>
                <w:snapToGrid w:val="0"/>
                <w:color w:val="auto"/>
                <w:kern w:val="0"/>
                <w:sz w:val="21"/>
                <w:szCs w:val="21"/>
                <w:lang w:val="en-US" w:eastAsia="zh-CN" w:bidi="ar"/>
              </w:rPr>
              <w:t>延锋（南京）汽车零部件有限公司</w:t>
            </w:r>
          </w:p>
        </w:tc>
        <w:tc>
          <w:tcPr>
            <w:tcW w:w="1696" w:type="dxa"/>
            <w:tcBorders>
              <w:tl2br w:val="nil"/>
              <w:tr2bl w:val="nil"/>
            </w:tcBorders>
            <w:shd w:val="clear" w:color="auto" w:fill="auto"/>
            <w:vAlign w:val="center"/>
          </w:tcPr>
          <w:p w14:paraId="07F4BFEE">
            <w:pPr>
              <w:keepNext w:val="0"/>
              <w:keepLines w:val="0"/>
              <w:widowControl/>
              <w:suppressLineNumbers w:val="0"/>
              <w:jc w:val="center"/>
              <w:rPr>
                <w:rFonts w:ascii="宋体" w:hAnsi="宋体" w:eastAsia="宋体" w:cs="宋体"/>
                <w:b/>
                <w:bCs/>
                <w:snapToGrid w:val="0"/>
                <w:color w:val="auto"/>
                <w:spacing w:val="-2"/>
                <w:kern w:val="0"/>
                <w:sz w:val="21"/>
                <w:szCs w:val="21"/>
                <w:highlight w:val="yellow"/>
                <w:vertAlign w:val="baseline"/>
                <w:lang w:val="en-US" w:eastAsia="en-US" w:bidi="ar-SA"/>
              </w:rPr>
            </w:pPr>
            <w:r>
              <w:rPr>
                <w:rFonts w:hint="default" w:ascii="Times New Roman" w:hAnsi="Times New Roman" w:eastAsia="宋体" w:cs="Times New Roman"/>
                <w:snapToGrid w:val="0"/>
                <w:color w:val="auto"/>
                <w:kern w:val="0"/>
                <w:sz w:val="21"/>
                <w:szCs w:val="21"/>
                <w:lang w:val="en-US" w:eastAsia="zh-CN" w:bidi="ar"/>
              </w:rPr>
              <w:t>2023.8.31</w:t>
            </w:r>
          </w:p>
        </w:tc>
        <w:tc>
          <w:tcPr>
            <w:tcW w:w="1780" w:type="dxa"/>
            <w:tcBorders>
              <w:tl2br w:val="nil"/>
              <w:tr2bl w:val="nil"/>
            </w:tcBorders>
            <w:shd w:val="clear" w:color="auto" w:fill="auto"/>
            <w:vAlign w:val="center"/>
          </w:tcPr>
          <w:p w14:paraId="334C8E20">
            <w:pPr>
              <w:keepNext w:val="0"/>
              <w:keepLines w:val="0"/>
              <w:widowControl/>
              <w:suppressLineNumbers w:val="0"/>
              <w:jc w:val="center"/>
              <w:rPr>
                <w:rFonts w:ascii="宋体" w:hAnsi="宋体" w:eastAsia="宋体" w:cs="宋体"/>
                <w:b/>
                <w:bCs/>
                <w:snapToGrid w:val="0"/>
                <w:color w:val="auto"/>
                <w:spacing w:val="-2"/>
                <w:kern w:val="0"/>
                <w:sz w:val="21"/>
                <w:szCs w:val="21"/>
                <w:highlight w:val="yellow"/>
                <w:vertAlign w:val="baseline"/>
                <w:lang w:val="en-US" w:eastAsia="en-US" w:bidi="ar-SA"/>
              </w:rPr>
            </w:pPr>
            <w:r>
              <w:rPr>
                <w:rFonts w:hint="eastAsia" w:ascii="宋体" w:hAnsi="宋体" w:eastAsia="宋体" w:cs="宋体"/>
                <w:snapToGrid w:val="0"/>
                <w:color w:val="auto"/>
                <w:kern w:val="0"/>
                <w:sz w:val="21"/>
                <w:szCs w:val="21"/>
                <w:lang w:val="en-US" w:eastAsia="zh-CN" w:bidi="ar"/>
              </w:rPr>
              <w:t>较大</w:t>
            </w:r>
          </w:p>
        </w:tc>
      </w:tr>
      <w:tr w14:paraId="0F4E43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717" w:type="dxa"/>
            <w:tcBorders>
              <w:tl2br w:val="nil"/>
              <w:tr2bl w:val="nil"/>
            </w:tcBorders>
            <w:vAlign w:val="center"/>
          </w:tcPr>
          <w:p w14:paraId="740B7E76">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46" w:line="240" w:lineRule="auto"/>
              <w:ind w:leftChars="0"/>
              <w:jc w:val="center"/>
              <w:textAlignment w:val="baseline"/>
              <w:rPr>
                <w:rFonts w:hint="default" w:ascii="Times New Roman" w:hAnsi="Times New Roman" w:eastAsia="宋体" w:cs="Times New Roman"/>
                <w:b w:val="0"/>
                <w:bCs w:val="0"/>
                <w:color w:val="auto"/>
                <w:spacing w:val="-2"/>
                <w:sz w:val="21"/>
                <w:szCs w:val="21"/>
                <w:highlight w:val="none"/>
                <w:vertAlign w:val="baseline"/>
                <w:lang w:val="en-US" w:eastAsia="zh-CN"/>
              </w:rPr>
            </w:pPr>
            <w:r>
              <w:rPr>
                <w:rFonts w:hint="eastAsia" w:ascii="Times New Roman" w:hAnsi="Times New Roman" w:eastAsia="宋体" w:cs="Times New Roman"/>
                <w:b w:val="0"/>
                <w:bCs w:val="0"/>
                <w:color w:val="auto"/>
                <w:spacing w:val="-2"/>
                <w:sz w:val="21"/>
                <w:szCs w:val="21"/>
                <w:highlight w:val="none"/>
                <w:vertAlign w:val="baseline"/>
                <w:lang w:val="en-US" w:eastAsia="zh-CN"/>
              </w:rPr>
              <w:t>5</w:t>
            </w:r>
          </w:p>
        </w:tc>
        <w:tc>
          <w:tcPr>
            <w:tcW w:w="4005" w:type="dxa"/>
            <w:tcBorders>
              <w:tl2br w:val="nil"/>
              <w:tr2bl w:val="nil"/>
            </w:tcBorders>
            <w:vAlign w:val="center"/>
          </w:tcPr>
          <w:p w14:paraId="2542EA64">
            <w:pPr>
              <w:keepNext w:val="0"/>
              <w:keepLines w:val="0"/>
              <w:widowControl/>
              <w:suppressLineNumbers w:val="0"/>
              <w:jc w:val="center"/>
              <w:textAlignment w:val="center"/>
              <w:rPr>
                <w:rFonts w:ascii="宋体" w:hAnsi="宋体" w:eastAsia="宋体" w:cs="宋体"/>
                <w:b/>
                <w:bCs/>
                <w:color w:val="auto"/>
                <w:spacing w:val="-2"/>
                <w:sz w:val="21"/>
                <w:szCs w:val="21"/>
                <w:highlight w:val="yellow"/>
                <w:vertAlign w:val="baseline"/>
              </w:rPr>
            </w:pPr>
            <w:r>
              <w:rPr>
                <w:rFonts w:hint="eastAsia" w:ascii="宋体" w:hAnsi="宋体" w:eastAsia="宋体" w:cs="宋体"/>
                <w:i w:val="0"/>
                <w:iCs w:val="0"/>
                <w:snapToGrid w:val="0"/>
                <w:color w:val="auto"/>
                <w:kern w:val="0"/>
                <w:sz w:val="21"/>
                <w:szCs w:val="21"/>
                <w:u w:val="none"/>
                <w:lang w:val="en-US" w:eastAsia="zh-CN" w:bidi="ar"/>
              </w:rPr>
              <w:t>上汽大众汽车有限公司南京分公司</w:t>
            </w:r>
          </w:p>
        </w:tc>
        <w:tc>
          <w:tcPr>
            <w:tcW w:w="1696" w:type="dxa"/>
            <w:tcBorders>
              <w:tl2br w:val="nil"/>
              <w:tr2bl w:val="nil"/>
            </w:tcBorders>
            <w:vAlign w:val="center"/>
          </w:tcPr>
          <w:p w14:paraId="0410B07D">
            <w:pPr>
              <w:keepNext w:val="0"/>
              <w:keepLines w:val="0"/>
              <w:widowControl/>
              <w:suppressLineNumbers w:val="0"/>
              <w:jc w:val="center"/>
              <w:rPr>
                <w:rFonts w:ascii="宋体" w:hAnsi="宋体" w:eastAsia="宋体" w:cs="宋体"/>
                <w:b/>
                <w:bCs/>
                <w:color w:val="auto"/>
                <w:spacing w:val="-2"/>
                <w:sz w:val="21"/>
                <w:szCs w:val="21"/>
                <w:highlight w:val="yellow"/>
                <w:vertAlign w:val="baseline"/>
              </w:rPr>
            </w:pPr>
            <w:r>
              <w:rPr>
                <w:rFonts w:hint="default" w:ascii="Times New Roman" w:hAnsi="Times New Roman" w:eastAsia="宋体" w:cs="Times New Roman"/>
                <w:snapToGrid w:val="0"/>
                <w:color w:val="auto"/>
                <w:kern w:val="0"/>
                <w:sz w:val="21"/>
                <w:szCs w:val="21"/>
                <w:lang w:val="en-US" w:eastAsia="zh-CN" w:bidi="ar"/>
              </w:rPr>
              <w:t>2023.8.15</w:t>
            </w:r>
          </w:p>
        </w:tc>
        <w:tc>
          <w:tcPr>
            <w:tcW w:w="1780" w:type="dxa"/>
            <w:tcBorders>
              <w:tl2br w:val="nil"/>
              <w:tr2bl w:val="nil"/>
            </w:tcBorders>
            <w:vAlign w:val="center"/>
          </w:tcPr>
          <w:p w14:paraId="55304F17">
            <w:pPr>
              <w:keepNext w:val="0"/>
              <w:keepLines w:val="0"/>
              <w:widowControl/>
              <w:suppressLineNumbers w:val="0"/>
              <w:jc w:val="center"/>
              <w:rPr>
                <w:rFonts w:ascii="宋体" w:hAnsi="宋体" w:eastAsia="宋体" w:cs="宋体"/>
                <w:b/>
                <w:bCs/>
                <w:color w:val="auto"/>
                <w:spacing w:val="-2"/>
                <w:sz w:val="21"/>
                <w:szCs w:val="21"/>
                <w:highlight w:val="yellow"/>
                <w:vertAlign w:val="baseline"/>
              </w:rPr>
            </w:pPr>
            <w:r>
              <w:rPr>
                <w:rFonts w:hint="eastAsia" w:ascii="宋体" w:hAnsi="宋体" w:eastAsia="宋体" w:cs="宋体"/>
                <w:snapToGrid w:val="0"/>
                <w:color w:val="auto"/>
                <w:kern w:val="0"/>
                <w:sz w:val="21"/>
                <w:szCs w:val="21"/>
                <w:lang w:val="en-US" w:eastAsia="zh-CN" w:bidi="ar"/>
              </w:rPr>
              <w:t>较大</w:t>
            </w:r>
          </w:p>
        </w:tc>
      </w:tr>
    </w:tbl>
    <w:p w14:paraId="67A8C99D">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textAlignment w:val="baseline"/>
        <w:outlineLvl w:val="9"/>
        <w:rPr>
          <w:rFonts w:hint="eastAsia" w:ascii="宋体" w:hAnsi="宋体" w:eastAsia="宋体" w:cs="宋体"/>
          <w:b/>
          <w:bCs/>
          <w:color w:val="auto"/>
          <w:spacing w:val="-3"/>
          <w:sz w:val="24"/>
          <w:szCs w:val="24"/>
          <w:lang w:eastAsia="zh-CN"/>
        </w:rPr>
      </w:pPr>
      <w:bookmarkStart w:id="2133" w:name="_Toc29342"/>
      <w:r>
        <w:rPr>
          <w:rFonts w:hint="eastAsia" w:ascii="Times New Roman" w:hAnsi="Times New Roman" w:eastAsia="宋体" w:cs="Times New Roman"/>
          <w:b/>
          <w:bCs/>
          <w:color w:val="auto"/>
          <w:spacing w:val="-3"/>
          <w:sz w:val="24"/>
          <w:szCs w:val="24"/>
          <w:lang w:val="en-US" w:eastAsia="zh-CN"/>
        </w:rPr>
        <w:t>8</w:t>
      </w:r>
      <w:r>
        <w:rPr>
          <w:rFonts w:ascii="Times New Roman" w:hAnsi="Times New Roman" w:eastAsia="Times New Roman" w:cs="Times New Roman"/>
          <w:b/>
          <w:bCs/>
          <w:color w:val="auto"/>
          <w:spacing w:val="-3"/>
          <w:sz w:val="24"/>
          <w:szCs w:val="24"/>
        </w:rPr>
        <w:t>.</w:t>
      </w:r>
      <w:r>
        <w:rPr>
          <w:rFonts w:hint="eastAsia" w:ascii="Times New Roman" w:hAnsi="Times New Roman" w:eastAsia="宋体" w:cs="Times New Roman"/>
          <w:b/>
          <w:bCs/>
          <w:color w:val="auto"/>
          <w:spacing w:val="-3"/>
          <w:sz w:val="24"/>
          <w:szCs w:val="24"/>
          <w:lang w:val="en-US" w:eastAsia="zh-CN"/>
        </w:rPr>
        <w:t>5.5.3</w:t>
      </w:r>
      <w:r>
        <w:rPr>
          <w:rFonts w:hint="eastAsia" w:ascii="宋体" w:hAnsi="宋体" w:eastAsia="宋体" w:cs="宋体"/>
          <w:b/>
          <w:bCs/>
          <w:color w:val="auto"/>
          <w:spacing w:val="-3"/>
          <w:sz w:val="24"/>
          <w:szCs w:val="24"/>
          <w:lang w:val="en-US" w:eastAsia="zh-CN"/>
        </w:rPr>
        <w:t>应急措施</w:t>
      </w:r>
      <w:bookmarkStart w:id="2134" w:name="pindex13763"/>
      <w:bookmarkEnd w:id="2134"/>
    </w:p>
    <w:p w14:paraId="463175AC">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4" w:firstLineChars="200"/>
        <w:textAlignment w:val="baseline"/>
        <w:outlineLvl w:val="9"/>
        <w:rPr>
          <w:rFonts w:hint="eastAsia" w:ascii="宋体" w:hAnsi="宋体" w:eastAsia="宋体" w:cs="宋体"/>
          <w:b/>
          <w:bCs/>
          <w:color w:val="auto"/>
          <w:spacing w:val="-2"/>
          <w:sz w:val="24"/>
          <w:szCs w:val="24"/>
          <w:lang w:val="en-US" w:eastAsia="zh-CN"/>
        </w:rPr>
      </w:pPr>
      <w:r>
        <w:rPr>
          <w:rFonts w:hint="eastAsia" w:ascii="宋体" w:hAnsi="宋体" w:eastAsia="宋体" w:cs="宋体"/>
          <w:b/>
          <w:bCs/>
          <w:color w:val="auto"/>
          <w:spacing w:val="-2"/>
          <w:sz w:val="24"/>
          <w:szCs w:val="24"/>
          <w:lang w:val="en-US" w:eastAsia="zh-CN"/>
        </w:rPr>
        <w:t>1）现场应急措施原则</w:t>
      </w:r>
      <w:bookmarkStart w:id="2135" w:name="pindex13764"/>
      <w:bookmarkEnd w:id="2135"/>
    </w:p>
    <w:p w14:paraId="7C843875">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lang w:val="en-US" w:eastAsia="zh-CN"/>
        </w:rPr>
        <w:t>应急人员到达现场后，根据污染物的性质，事件类型、可控性、严重程度和影响范围，结合事件发生企业（或事业）单位的应急预案做出应急响应工作。</w:t>
      </w:r>
    </w:p>
    <w:p w14:paraId="5720594F">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lang w:val="en-US" w:eastAsia="zh-CN"/>
        </w:rPr>
        <w:t>（1）现场调查和污染源排查</w:t>
      </w:r>
      <w:bookmarkStart w:id="2136" w:name="pindex13766"/>
      <w:bookmarkEnd w:id="2136"/>
    </w:p>
    <w:p w14:paraId="3E0CCC63">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应急监测组及时展开现场调查和污染源排查。现场调查内容包括事故原因、主要污染物质的性质和数量、人员受害情况、危害程度、周边环境（居民、水体流向、流速）、影响范围等。污染源排查主要内容为确定引发环境事故的污染源，并及时进行堵漏工作，防止进一步污染环境。</w:t>
      </w:r>
    </w:p>
    <w:p w14:paraId="77033684">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（2）控制污染源</w:t>
      </w:r>
      <w:bookmarkStart w:id="2137" w:name="pindex13768"/>
      <w:bookmarkEnd w:id="2137"/>
    </w:p>
    <w:p w14:paraId="7CE8B6CE">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办公室主任统一指导开展应急工作，协调现场处置组和其他专业小组及时控制污染源。由现场应急指挥部根据突发环境事件情况，统一调度开发区应急设施、应急物资和应急救援队伍，并及时协调、调度各企业单位的应急物资、应急设施和应急救援队伍，采取科学有效的紧急措施切断污染源，控制污染源影响范围和程度，以防止污染事故扩大。</w:t>
      </w:r>
    </w:p>
    <w:p w14:paraId="3AAF87B9">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现场处置组负责及时控制风险源，并根据危险化学品的性质立即组织专用的防护用品及专用工具。事件发生企业负责人及时指导危险设施设备的全部或部分停运，并与消防大队配合，利用关阀、降压、导流、停止供热、停炉吹扫管线、防空点火、堵漏等措施，实施环境风险源控制。及时组织现场灭火、现场伤员的搜救、设备容器的冷却等工作。</w:t>
      </w:r>
    </w:p>
    <w:p w14:paraId="7117D145">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color w:val="auto"/>
          <w:spacing w:val="-2"/>
          <w:sz w:val="24"/>
          <w:szCs w:val="24"/>
          <w:lang w:val="en-US" w:eastAsia="zh-CN"/>
        </w:rPr>
        <w:t>（3</w:t>
      </w:r>
      <w:r>
        <w:rPr>
          <w:rFonts w:hint="default" w:ascii="Times New Roman" w:hAnsi="Times New Roman" w:eastAsia="宋体" w:cs="Times New Roman"/>
          <w:color w:val="auto"/>
          <w:spacing w:val="-2"/>
          <w:sz w:val="24"/>
          <w:szCs w:val="24"/>
          <w:highlight w:val="none"/>
          <w:lang w:val="en-US" w:eastAsia="zh-CN"/>
        </w:rPr>
        <w:t>）应急监测</w:t>
      </w:r>
      <w:bookmarkStart w:id="2138" w:name="pindex13771"/>
      <w:bookmarkEnd w:id="2138"/>
    </w:p>
    <w:p w14:paraId="7E634CE5">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color w:val="auto"/>
          <w:spacing w:val="-2"/>
          <w:sz w:val="24"/>
          <w:szCs w:val="24"/>
          <w:highlight w:val="none"/>
          <w:lang w:val="en-US" w:eastAsia="zh-CN"/>
        </w:rPr>
        <w:t>应急监测组制定现场监测方案，及时开展应急监测。</w:t>
      </w:r>
    </w:p>
    <w:p w14:paraId="7BE4BFF2">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color w:val="auto"/>
          <w:spacing w:val="-2"/>
          <w:sz w:val="24"/>
          <w:szCs w:val="24"/>
          <w:highlight w:val="none"/>
          <w:lang w:val="en-US" w:eastAsia="zh-CN"/>
        </w:rPr>
        <w:t>（4）现场隔离区划定</w:t>
      </w:r>
      <w:bookmarkStart w:id="2139" w:name="pindex13773"/>
      <w:bookmarkEnd w:id="2139"/>
    </w:p>
    <w:p w14:paraId="62303AEB">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highlight w:val="none"/>
          <w:lang w:val="en-US" w:eastAsia="zh-CN"/>
        </w:rPr>
      </w:pPr>
      <w:bookmarkStart w:id="2140" w:name="sys13774052"/>
      <w:r>
        <w:rPr>
          <w:rFonts w:hint="default" w:ascii="Times New Roman" w:hAnsi="Times New Roman" w:eastAsia="宋体" w:cs="Times New Roman"/>
          <w:color w:val="auto"/>
          <w:spacing w:val="-2"/>
          <w:sz w:val="24"/>
          <w:szCs w:val="24"/>
          <w:highlight w:val="none"/>
          <w:lang w:val="en-US" w:eastAsia="zh-CN"/>
        </w:rPr>
        <w:t>应急监测组根据事故点地形地貌、气象条件、污染监测数据和现场调查，向现场应急指挥部提出污染警戒区域的建议。</w:t>
      </w:r>
      <w:bookmarkEnd w:id="2140"/>
      <w:r>
        <w:rPr>
          <w:rFonts w:hint="default" w:ascii="Times New Roman" w:hAnsi="Times New Roman" w:eastAsia="宋体" w:cs="Times New Roman"/>
          <w:color w:val="auto"/>
          <w:spacing w:val="-2"/>
          <w:sz w:val="24"/>
          <w:szCs w:val="24"/>
          <w:highlight w:val="none"/>
          <w:lang w:val="en-US" w:eastAsia="zh-CN"/>
        </w:rPr>
        <w:t>现场应急指挥部向应急响应中心报告后发布警报决定。现场应急指挥部统一协调公安、交通等部门布设警戒线，划定污染危险区和安全区，防止非相关人员进入危险区。</w:t>
      </w:r>
    </w:p>
    <w:p w14:paraId="44D741B9">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color w:val="auto"/>
          <w:spacing w:val="-2"/>
          <w:sz w:val="24"/>
          <w:szCs w:val="24"/>
          <w:highlight w:val="none"/>
          <w:lang w:val="en-US" w:eastAsia="zh-CN"/>
        </w:rPr>
        <w:t>（5）人员疏散与救援</w:t>
      </w:r>
      <w:bookmarkStart w:id="2141" w:name="pindex13775"/>
      <w:bookmarkEnd w:id="2141"/>
    </w:p>
    <w:p w14:paraId="1A1B9E11">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highlight w:val="none"/>
          <w:lang w:val="en-US" w:eastAsia="zh-CN"/>
        </w:rPr>
        <w:t>在突发环境事件发生后，应急保障组应迅速组织抢救现场中毒人员。</w:t>
      </w:r>
      <w:bookmarkStart w:id="2142" w:name="sys137763045"/>
      <w:r>
        <w:rPr>
          <w:rFonts w:hint="eastAsia" w:ascii="宋体" w:hAnsi="宋体" w:eastAsia="宋体" w:cs="宋体"/>
          <w:color w:val="auto"/>
          <w:spacing w:val="-2"/>
          <w:sz w:val="24"/>
          <w:szCs w:val="24"/>
          <w:highlight w:val="none"/>
          <w:lang w:val="en-US" w:eastAsia="zh-CN"/>
        </w:rPr>
        <w:t>同时，根据现场危险化学品泄漏量、扩散方式、危害程度，结合气象条件，迅速确定疏散方向及距离。</w:t>
      </w:r>
      <w:bookmarkEnd w:id="2142"/>
      <w:r>
        <w:rPr>
          <w:rFonts w:hint="eastAsia" w:ascii="宋体" w:hAnsi="宋体" w:eastAsia="宋体" w:cs="宋体"/>
          <w:color w:val="auto"/>
          <w:spacing w:val="-2"/>
          <w:sz w:val="24"/>
          <w:szCs w:val="24"/>
          <w:highlight w:val="none"/>
          <w:lang w:val="en-US" w:eastAsia="zh-CN"/>
        </w:rPr>
        <w:t>由现场应急指挥部统一协调各部门疏散影响范围内的居民，并送至江宁区应急避难场所（小龙湾路与杨家圩路交叉口西南50米江宁市民公园附近）、江宁区体育中心应急避难场所（江宁区格致路1号江宁大学城内）等，同时，必要时可以征用机关、</w:t>
      </w:r>
      <w:r>
        <w:rPr>
          <w:rFonts w:hint="eastAsia" w:ascii="宋体" w:hAnsi="宋体" w:eastAsia="宋体" w:cs="宋体"/>
          <w:color w:val="auto"/>
          <w:spacing w:val="-2"/>
          <w:sz w:val="24"/>
          <w:szCs w:val="24"/>
          <w:lang w:val="en-US" w:eastAsia="zh-CN"/>
        </w:rPr>
        <w:t>学校、文化场所、娱乐设施，必要时也可征用经营性宾馆、招待所、酒店作为临时避难场所，并确保疏散人员生活所需。</w:t>
      </w:r>
    </w:p>
    <w:p w14:paraId="3F547C8A">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lang w:val="en-US" w:eastAsia="zh-CN"/>
        </w:rPr>
        <w:t>（6）确定污染消除方案</w:t>
      </w:r>
      <w:bookmarkStart w:id="2143" w:name="pindex13777"/>
      <w:bookmarkEnd w:id="2143"/>
    </w:p>
    <w:p w14:paraId="07353436">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lang w:val="en-US" w:eastAsia="zh-CN"/>
        </w:rPr>
        <w:t>专家咨询组根据现场调查结果和应急监测结果，预测可能影响范围，及时向现场应急指挥部提出污染控制与消除方案建议，由现场应急指挥部提出意见，经江宁开发区突发环境事件应急指挥中心同意后实施应急处置。</w:t>
      </w:r>
    </w:p>
    <w:p w14:paraId="40F28A36">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lang w:val="en-US" w:eastAsia="zh-CN"/>
        </w:rPr>
        <w:t>（7）应急处理废物的处置措施</w:t>
      </w:r>
      <w:bookmarkStart w:id="2144" w:name="pindex13779"/>
      <w:bookmarkEnd w:id="2144"/>
    </w:p>
    <w:p w14:paraId="1101DE0C">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lang w:val="en-US" w:eastAsia="zh-CN"/>
        </w:rPr>
        <w:t>事件处理过程中产生的废器材、吸附材料、废液等固体废物，经统一回收后，委托有资质单位统一进行处置。</w:t>
      </w:r>
    </w:p>
    <w:p w14:paraId="46BB6269">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lang w:val="en-US" w:eastAsia="zh-CN"/>
        </w:rPr>
        <w:t>事故现场产生事故废水（消防废水），经市政污水管网或临时污水</w:t>
      </w:r>
      <w:r>
        <w:rPr>
          <w:rFonts w:hint="default" w:ascii="Times New Roman" w:hAnsi="Times New Roman" w:eastAsia="宋体" w:cs="Times New Roman"/>
          <w:color w:val="auto"/>
          <w:sz w:val="24"/>
          <w:szCs w:val="24"/>
          <w:lang w:eastAsia="zh-CN"/>
        </w:rPr>
        <w:t>传</w:t>
      </w:r>
      <w:r>
        <w:rPr>
          <w:rFonts w:hint="default" w:ascii="Times New Roman" w:hAnsi="Times New Roman" w:eastAsia="宋体" w:cs="Times New Roman"/>
          <w:color w:val="auto"/>
          <w:spacing w:val="-2"/>
          <w:sz w:val="24"/>
          <w:szCs w:val="24"/>
          <w:lang w:val="en-US" w:eastAsia="zh-CN"/>
        </w:rPr>
        <w:t>输设备</w:t>
      </w:r>
      <w:sdt>
        <w:sdtPr>
          <w:rPr>
            <w:rFonts w:hint="default" w:ascii="Times New Roman" w:hAnsi="Times New Roman" w:cs="Times New Roman"/>
            <w:color w:val="auto"/>
            <w:sz w:val="24"/>
            <w:szCs w:val="24"/>
          </w:rPr>
          <w:alias w:val="易错词检查"/>
          <w:tag w:val="auto"/>
          <w:id w:val="2152651"/>
        </w:sdtPr>
        <w:sdtEndPr>
          <w:rPr>
            <w:rFonts w:hint="default" w:ascii="Times New Roman" w:hAnsi="Times New Roman" w:cs="Times New Roman"/>
            <w:color w:val="auto"/>
            <w:sz w:val="24"/>
            <w:szCs w:val="24"/>
          </w:rPr>
        </w:sdtEndPr>
        <w:sdtContent>
          <w:bookmarkStart w:id="2145" w:name="bkReivew2152651"/>
          <w:r>
            <w:rPr>
              <w:rFonts w:hint="default" w:ascii="Times New Roman" w:hAnsi="Times New Roman" w:eastAsia="宋体" w:cs="Times New Roman"/>
              <w:color w:val="auto"/>
              <w:spacing w:val="-2"/>
              <w:sz w:val="24"/>
              <w:szCs w:val="24"/>
              <w:lang w:val="en-US" w:eastAsia="zh-CN"/>
            </w:rPr>
            <w:t>转输</w:t>
          </w:r>
          <w:bookmarkEnd w:id="2145"/>
        </w:sdtContent>
      </w:sdt>
      <w:r>
        <w:rPr>
          <w:rFonts w:hint="default" w:ascii="Times New Roman" w:hAnsi="Times New Roman" w:eastAsia="宋体" w:cs="Times New Roman"/>
          <w:color w:val="auto"/>
          <w:spacing w:val="-2"/>
          <w:sz w:val="24"/>
          <w:szCs w:val="24"/>
          <w:lang w:val="en-US" w:eastAsia="zh-CN"/>
        </w:rPr>
        <w:t>至事故单位应急池或污水处理厂集中处理，确保事故废水全部得以处理。</w:t>
      </w:r>
    </w:p>
    <w:p w14:paraId="7CEDC4C4">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2" w:firstLineChars="200"/>
        <w:jc w:val="left"/>
        <w:textAlignment w:val="baseline"/>
        <w:rPr>
          <w:rFonts w:hint="default" w:ascii="Times New Roman" w:hAnsi="Times New Roman" w:cs="Times New Roman"/>
          <w:color w:val="auto"/>
          <w:sz w:val="24"/>
          <w:szCs w:val="24"/>
        </w:rPr>
      </w:pPr>
      <w:r>
        <w:rPr>
          <w:rFonts w:hint="default" w:ascii="Times New Roman" w:hAnsi="Times New Roman" w:eastAsia="宋体" w:cs="Times New Roman"/>
          <w:b/>
          <w:bCs/>
          <w:snapToGrid w:val="0"/>
          <w:color w:val="auto"/>
          <w:kern w:val="0"/>
          <w:sz w:val="24"/>
          <w:szCs w:val="24"/>
          <w:lang w:val="en-US" w:eastAsia="zh-CN" w:bidi="ar"/>
        </w:rPr>
        <w:t>2）区内企业突发环境事件（Ⅱ 级以上）应急措施</w:t>
      </w:r>
      <w:bookmarkStart w:id="2146" w:name="pindex13782"/>
      <w:bookmarkEnd w:id="2146"/>
    </w:p>
    <w:p w14:paraId="5CC20F7A">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4" w:firstLineChars="200"/>
        <w:textAlignment w:val="baseline"/>
        <w:outlineLvl w:val="9"/>
        <w:rPr>
          <w:rFonts w:hint="default" w:ascii="Times New Roman" w:hAnsi="Times New Roman" w:eastAsia="宋体" w:cs="Times New Roman"/>
          <w:b/>
          <w:bCs/>
          <w:color w:val="auto"/>
          <w:spacing w:val="-2"/>
          <w:sz w:val="24"/>
          <w:szCs w:val="24"/>
        </w:rPr>
      </w:pPr>
      <w:r>
        <w:rPr>
          <w:rFonts w:hint="default" w:ascii="Times New Roman" w:hAnsi="Times New Roman" w:eastAsia="宋体" w:cs="Times New Roman"/>
          <w:b/>
          <w:bCs/>
          <w:color w:val="auto"/>
          <w:spacing w:val="-2"/>
          <w:sz w:val="24"/>
          <w:szCs w:val="24"/>
          <w:lang w:val="en-US" w:eastAsia="zh-CN"/>
        </w:rPr>
        <w:t>现场控制措施</w:t>
      </w:r>
    </w:p>
    <w:p w14:paraId="1083E1E4">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ascii="宋体" w:hAnsi="宋体" w:eastAsia="宋体" w:cs="宋体"/>
          <w:color w:val="auto"/>
          <w:spacing w:val="-2"/>
          <w:sz w:val="24"/>
          <w:szCs w:val="24"/>
        </w:rPr>
      </w:pPr>
      <w:r>
        <w:rPr>
          <w:rFonts w:hint="default" w:ascii="Times New Roman" w:hAnsi="Times New Roman" w:eastAsia="宋体" w:cs="Times New Roman"/>
          <w:color w:val="auto"/>
          <w:spacing w:val="-2"/>
          <w:sz w:val="24"/>
          <w:szCs w:val="24"/>
          <w:lang w:val="en-US" w:eastAsia="zh-CN"/>
        </w:rPr>
        <w:t>应急队伍到达现场后，现场应急指挥部应立即会同环境保护、安全生产监督管理、消防等单位及事故单位进行紧急磋商，迅速分析、收集和汇总事故发生危害的情况。应急监测组到达现场后，应迅速布点监测，利用应急监测设备等方法迅速判明危险化学品种类、危</w:t>
      </w:r>
      <w:r>
        <w:rPr>
          <w:rFonts w:hint="eastAsia" w:ascii="宋体" w:hAnsi="宋体" w:eastAsia="宋体" w:cs="宋体"/>
          <w:color w:val="auto"/>
          <w:spacing w:val="-2"/>
          <w:sz w:val="24"/>
          <w:szCs w:val="24"/>
          <w:lang w:val="en-US" w:eastAsia="zh-CN"/>
        </w:rPr>
        <w:t>害程度、扩散方式。</w:t>
      </w:r>
    </w:p>
    <w:p w14:paraId="2BF7BF82">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综合协调组到达现场后，配合公安，消防等单位控制现场，划定紧急隔离区域，设置警告标志现场处置组到达现场后，会同事故单位，制定处置措施，切断污染源，防止污染物扩散。</w:t>
      </w:r>
    </w:p>
    <w:p w14:paraId="075D8950">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4"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b/>
          <w:bCs/>
          <w:color w:val="auto"/>
          <w:spacing w:val="-2"/>
          <w:sz w:val="24"/>
          <w:szCs w:val="24"/>
          <w:lang w:val="en-US" w:eastAsia="zh-CN"/>
        </w:rPr>
        <w:t>现场调查</w:t>
      </w:r>
    </w:p>
    <w:p w14:paraId="1AD8E747">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现场处置组应迅速展开现场调查，取证工作，查明事件原因，初步分析影响程度等；并负责与应急管理，消防等单位协调，共同现场勘验工作。在现场勘查的同时，迅速查明事故点的周围敏感目标，包括：1km范围内的居民区（村庄）、公共场所、河流、水源、交通要道等。以防止污染物进入水体造成次生污染，并为群众转移做好前期准备工作。</w:t>
      </w:r>
    </w:p>
    <w:p w14:paraId="4815CE95">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4"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b/>
          <w:bCs/>
          <w:color w:val="auto"/>
          <w:spacing w:val="-2"/>
          <w:sz w:val="24"/>
          <w:szCs w:val="24"/>
          <w:lang w:val="en-US" w:eastAsia="zh-CN"/>
        </w:rPr>
        <w:t>应急监测</w:t>
      </w:r>
    </w:p>
    <w:p w14:paraId="1AB828D9">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由应急监测组会同南京市江宁生态环境监测监控中心、江苏省南京环境监测中心及第三方监测机构，开展大气及周边水体环境污染物的应急监测；判定污染物的种类、性质、危害程度以及受影响的范围等，制定应急监测实施方案；及时向江宁开发区突发环境事件应急指挥中心报告现场情况，根据现场情况，提出处置建议；对短期内不能消除、降解的污染物进行跟踪监测；综合分析突发环境污染事件污染变化的趋势；通过专家组分析，预测事故发展情况和污染物的变化情况，上报现场应急指挥部，作为突发环境事件应急处置决策的依据。</w:t>
      </w:r>
    </w:p>
    <w:p w14:paraId="2F39B0CC">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应急监测报告以环境监测快报形式报出。开发区环境保护局根据应急监测组提供的监测数据，组织编写和报出环境监测快报，在污染事故影响期间内应连续编制各期快报。</w:t>
      </w:r>
    </w:p>
    <w:p w14:paraId="0C6E8129">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环境监测快报报送范围是：主送上级生态环境部门、同级人民政府有关部门。</w:t>
      </w:r>
    </w:p>
    <w:p w14:paraId="09DCD598">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（1）第一期环境监测快报（速报）：环境监测人员到场后2小时内报出，报告内容为事故发生时间、地点，初步判断污染物的种类、污染程度与范围、原因等；</w:t>
      </w:r>
      <w:bookmarkStart w:id="2147" w:name="pindex13792"/>
      <w:bookmarkEnd w:id="2147"/>
    </w:p>
    <w:p w14:paraId="6A143D73">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（2）第二期环境监测快报（确报）：监测人员到场后6小时内报出，在应急监测的全部或部分分析基础上，对污染物种类、浓度、污染范围及其可能的危害作出定量或定性的描述；</w:t>
      </w:r>
      <w:bookmarkStart w:id="2148" w:name="pindex13793"/>
      <w:bookmarkEnd w:id="2148"/>
    </w:p>
    <w:p w14:paraId="1E49556A">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highlight w:val="none"/>
          <w:lang w:val="en-US" w:eastAsia="zh-CN"/>
        </w:rPr>
      </w:pPr>
      <w:r>
        <w:rPr>
          <w:rFonts w:hint="eastAsia" w:ascii="宋体" w:hAnsi="宋体" w:eastAsia="宋体" w:cs="宋体"/>
          <w:color w:val="auto"/>
          <w:spacing w:val="-2"/>
          <w:sz w:val="24"/>
          <w:szCs w:val="24"/>
          <w:lang w:val="en-US" w:eastAsia="zh-CN"/>
        </w:rPr>
        <w:t>（3）最后一期快报（处理报告）：在污染事故处理后24小时内报出，包括为尽快消除污染物、限制污染范围扩大以及减轻和消除危害所采取的一切措施，以及处理结果。</w:t>
      </w:r>
      <w:bookmarkStart w:id="2149" w:name="pindex13794"/>
      <w:bookmarkEnd w:id="2149"/>
    </w:p>
    <w:p w14:paraId="5BF685F1">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4" w:firstLineChars="200"/>
        <w:textAlignment w:val="baseline"/>
        <w:outlineLvl w:val="9"/>
        <w:rPr>
          <w:rFonts w:hint="eastAsia" w:ascii="宋体" w:hAnsi="宋体" w:eastAsia="宋体" w:cs="宋体"/>
          <w:color w:val="auto"/>
          <w:spacing w:val="-2"/>
          <w:sz w:val="24"/>
          <w:szCs w:val="24"/>
          <w:highlight w:val="none"/>
          <w:lang w:val="en-US" w:eastAsia="zh-CN"/>
        </w:rPr>
      </w:pPr>
      <w:r>
        <w:rPr>
          <w:rFonts w:hint="eastAsia" w:ascii="宋体" w:hAnsi="宋体" w:eastAsia="宋体" w:cs="宋体"/>
          <w:b/>
          <w:bCs/>
          <w:color w:val="auto"/>
          <w:spacing w:val="-2"/>
          <w:sz w:val="24"/>
          <w:szCs w:val="24"/>
          <w:highlight w:val="none"/>
          <w:lang w:val="en-US" w:eastAsia="zh-CN"/>
        </w:rPr>
        <w:t>人员疏散与救援</w:t>
      </w:r>
    </w:p>
    <w:p w14:paraId="4B48A7C5">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highlight w:val="none"/>
          <w:lang w:val="en-US" w:eastAsia="zh-CN"/>
        </w:rPr>
      </w:pPr>
      <w:r>
        <w:rPr>
          <w:rFonts w:hint="eastAsia" w:ascii="宋体" w:hAnsi="宋体" w:eastAsia="宋体" w:cs="宋体"/>
          <w:color w:val="auto"/>
          <w:spacing w:val="-2"/>
          <w:sz w:val="24"/>
          <w:szCs w:val="24"/>
          <w:highlight w:val="none"/>
          <w:lang w:val="en-US" w:eastAsia="zh-CN"/>
        </w:rPr>
        <w:t>应急保障组应迅速组织专业医疗救护小组抢救现场中毒人员。</w:t>
      </w:r>
      <w:bookmarkStart w:id="2150" w:name="sys137962747"/>
      <w:r>
        <w:rPr>
          <w:rFonts w:hint="eastAsia" w:ascii="宋体" w:hAnsi="宋体" w:eastAsia="宋体" w:cs="宋体"/>
          <w:color w:val="auto"/>
          <w:spacing w:val="-2"/>
          <w:sz w:val="24"/>
          <w:szCs w:val="24"/>
          <w:highlight w:val="none"/>
          <w:lang w:val="en-US" w:eastAsia="zh-CN"/>
        </w:rPr>
        <w:t>同时，综合协调组根据现场危险化学品泄漏量、扩散方式、危害程度，结合气象条件，迅速确定疏散距离。</w:t>
      </w:r>
      <w:bookmarkEnd w:id="2150"/>
    </w:p>
    <w:p w14:paraId="2217C50E">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highlight w:val="none"/>
          <w:lang w:val="en-US" w:eastAsia="zh-CN"/>
        </w:rPr>
      </w:pPr>
      <w:r>
        <w:rPr>
          <w:rFonts w:hint="eastAsia" w:ascii="宋体" w:hAnsi="宋体" w:eastAsia="宋体" w:cs="宋体"/>
          <w:color w:val="auto"/>
          <w:spacing w:val="-2"/>
          <w:sz w:val="24"/>
          <w:szCs w:val="24"/>
          <w:highlight w:val="none"/>
          <w:lang w:val="en-US" w:eastAsia="zh-CN"/>
        </w:rPr>
        <w:t>对于可能给周围环境造成影响和损害的污染事件，信息宣传组应当通知政府或事故单位立即通知周围相关单位和群众，采取有效防范措施，避免遭到损失。</w:t>
      </w:r>
    </w:p>
    <w:p w14:paraId="7FCC2A5F">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color w:val="auto"/>
          <w:spacing w:val="-2"/>
          <w:sz w:val="24"/>
          <w:szCs w:val="24"/>
          <w:highlight w:val="none"/>
          <w:lang w:val="en-US" w:eastAsia="zh-CN"/>
        </w:rPr>
        <w:t>（1）疏散距离要求</w:t>
      </w:r>
      <w:bookmarkStart w:id="2151" w:name="pindex13798"/>
      <w:bookmarkEnd w:id="2151"/>
    </w:p>
    <w:p w14:paraId="7F285F5D">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highlight w:val="none"/>
          <w:lang w:val="en-US" w:eastAsia="zh-CN"/>
        </w:rPr>
      </w:pPr>
      <w:r>
        <w:rPr>
          <w:rFonts w:hint="default" w:ascii="Times New Roman" w:hAnsi="Times New Roman" w:eastAsia="宋体" w:cs="Times New Roman"/>
          <w:color w:val="auto"/>
          <w:spacing w:val="-2"/>
          <w:sz w:val="24"/>
          <w:szCs w:val="24"/>
          <w:highlight w:val="none"/>
          <w:lang w:val="en-US" w:eastAsia="zh-CN"/>
        </w:rPr>
        <w:t>①紧急隔离带是以紧急隔离距离为半径的圆，非事故处理人员不得入内；</w:t>
      </w:r>
      <w:bookmarkStart w:id="2152" w:name="pindex13799"/>
      <w:bookmarkEnd w:id="2152"/>
    </w:p>
    <w:p w14:paraId="35438D0E">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highlight w:val="none"/>
          <w:lang w:val="en-US" w:eastAsia="zh-CN"/>
        </w:rPr>
        <w:t>②下风向疏散距离是指必须采取保护措施的范围，即该范围内的居</w:t>
      </w:r>
      <w:r>
        <w:rPr>
          <w:rFonts w:hint="default" w:ascii="Times New Roman" w:hAnsi="Times New Roman" w:eastAsia="宋体" w:cs="Times New Roman"/>
          <w:color w:val="auto"/>
          <w:spacing w:val="-2"/>
          <w:sz w:val="24"/>
          <w:szCs w:val="24"/>
          <w:lang w:val="en-US" w:eastAsia="zh-CN"/>
        </w:rPr>
        <w:t>民处于有害接触的危险之中，根据泄漏危险化学品的毒性，可以采取撤离、密闭住所有窗户等有效措施，并保持通讯畅通以听从指挥。</w:t>
      </w:r>
      <w:bookmarkStart w:id="2153" w:name="pindex13800"/>
      <w:bookmarkEnd w:id="2153"/>
    </w:p>
    <w:p w14:paraId="50B38F26">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③由于夜间气象条件对毒气云的混合作用要比白天小，毒气云不易散开，因而下风向疏散距离相对比白天的远。夜间和白天的区分以太阳升起和降落为准。</w:t>
      </w:r>
      <w:bookmarkStart w:id="2154" w:name="pindex13801"/>
      <w:bookmarkEnd w:id="2154"/>
    </w:p>
    <w:p w14:paraId="0EF9271C">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④白天气温逆转或者有雪覆盖的地区，或者在日落时发生泄漏，如伴有稳定的风，也需要增加疏散距离。因为在这类气象条件下污染物的大气混合与扩散比较缓慢（即毒气云不易被空气稀释），会顺风向下飘得较远。</w:t>
      </w:r>
      <w:bookmarkStart w:id="2155" w:name="pindex13802"/>
      <w:bookmarkEnd w:id="2155"/>
    </w:p>
    <w:p w14:paraId="268DB300">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⑤对液态化学品泄漏，如果物料温度或气温超过 30℃，疏散距离也应增加。</w:t>
      </w:r>
      <w:bookmarkStart w:id="2156" w:name="pindex13803"/>
      <w:bookmarkEnd w:id="2156"/>
    </w:p>
    <w:p w14:paraId="391304E7">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（2）人员疏散</w:t>
      </w:r>
      <w:bookmarkStart w:id="2157" w:name="pindex13804"/>
      <w:bookmarkEnd w:id="2157"/>
    </w:p>
    <w:p w14:paraId="5AE8A108">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当危险化学品发生泄漏后，现场应急指挥部应迅速判明污染物性状及危害，掌握气象条件、地形地貌和周边环境基本情况，根据现场情况认真做好群众疏散工作。</w:t>
      </w:r>
    </w:p>
    <w:p w14:paraId="25153736">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①依据危险化学品特性及泄漏量，结合现场气象条件（风向、风速、气温等），借助污染扩散模型科学确定污染范围、明确疏散区域；</w:t>
      </w:r>
      <w:bookmarkStart w:id="2158" w:name="pindex13806"/>
      <w:bookmarkEnd w:id="2158"/>
    </w:p>
    <w:p w14:paraId="244EE88D">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②现场应急指挥部下达人员疏散命令，由现场处置组组织实施；</w:t>
      </w:r>
      <w:bookmarkStart w:id="2159" w:name="pindex13807"/>
      <w:bookmarkEnd w:id="2159"/>
    </w:p>
    <w:p w14:paraId="2E1B9BCE">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③封锁污染区域，将污染区域内人员撤离至安全区域；</w:t>
      </w:r>
      <w:bookmarkStart w:id="2160" w:name="pindex13808"/>
      <w:bookmarkEnd w:id="2160"/>
    </w:p>
    <w:p w14:paraId="2CD49BB8">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④在污染区域和可能污染区域立即进行布点监测，根据监测数据及时调整疏散范围；</w:t>
      </w:r>
      <w:bookmarkStart w:id="2161" w:name="pindex13809"/>
      <w:bookmarkEnd w:id="2161"/>
    </w:p>
    <w:p w14:paraId="7B45096B">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⑤在保障被转移群众的基本生活的同时及时向社会发布污染事故权威公告，做好社会稳定工作；</w:t>
      </w:r>
      <w:bookmarkStart w:id="2162" w:name="pindex13810"/>
      <w:bookmarkEnd w:id="2162"/>
    </w:p>
    <w:p w14:paraId="1404E715">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⑥根据现场处置情况和应急监测数据，在确保群众安全的情况下，由现场应急指挥部发布公告，被疏散人员返回。</w:t>
      </w:r>
      <w:bookmarkStart w:id="2163" w:name="pindex13811"/>
      <w:bookmarkEnd w:id="2163"/>
    </w:p>
    <w:p w14:paraId="4822D70A">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（3）现场急救</w:t>
      </w:r>
      <w:bookmarkStart w:id="2164" w:name="pindex13812"/>
      <w:bookmarkEnd w:id="2164"/>
    </w:p>
    <w:p w14:paraId="0097EAE6">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皮肤接触：立即脱去被污染的衣着，用肥皂水和清水彻底冲洗皮肤。就医。</w:t>
      </w:r>
    </w:p>
    <w:p w14:paraId="2FCAC0DD">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眼睛接触：立即提起眼睑，用大量流动清水或生理盐水彻底冲洗至少15分钟。就医。</w:t>
      </w:r>
    </w:p>
    <w:p w14:paraId="227AC9F5">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default" w:ascii="Times New Roman" w:hAnsi="Times New Roman" w:eastAsia="宋体" w:cs="Times New Roman"/>
          <w:b/>
          <w:bCs/>
          <w:color w:val="auto"/>
          <w:spacing w:val="-2"/>
          <w:sz w:val="24"/>
          <w:szCs w:val="24"/>
          <w:lang w:val="en-US" w:eastAsia="zh-CN"/>
        </w:rPr>
      </w:pPr>
      <w:r>
        <w:rPr>
          <w:rFonts w:hint="default" w:ascii="Times New Roman" w:hAnsi="Times New Roman" w:eastAsia="宋体" w:cs="Times New Roman"/>
          <w:color w:val="auto"/>
          <w:spacing w:val="-2"/>
          <w:sz w:val="24"/>
          <w:szCs w:val="24"/>
          <w:lang w:val="en-US" w:eastAsia="zh-CN"/>
        </w:rPr>
        <w:t>吸入：迅速脱离现场至空气新鲜处。保持呼吸道通畅。如呼吸困难，给输氧。如呼吸心跳停止时，立即进行人工呼吸（勿用口对口）和胸外心脏按压术，及时就医</w:t>
      </w:r>
      <w:r>
        <w:rPr>
          <w:rFonts w:hint="default" w:ascii="Times New Roman" w:hAnsi="Times New Roman" w:eastAsia="宋体" w:cs="Times New Roman"/>
          <w:b/>
          <w:bCs/>
          <w:color w:val="auto"/>
          <w:spacing w:val="-2"/>
          <w:sz w:val="24"/>
          <w:szCs w:val="24"/>
          <w:lang w:val="en-US" w:eastAsia="zh-CN"/>
        </w:rPr>
        <w:t>。</w:t>
      </w:r>
    </w:p>
    <w:p w14:paraId="7E5EC36C">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4"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b/>
          <w:bCs/>
          <w:color w:val="auto"/>
          <w:spacing w:val="-2"/>
          <w:sz w:val="24"/>
          <w:szCs w:val="24"/>
          <w:lang w:val="en-US" w:eastAsia="zh-CN"/>
        </w:rPr>
        <w:t>确定应急处置方案</w:t>
      </w:r>
    </w:p>
    <w:p w14:paraId="00E4121E">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根据事故类型（火灾、爆炸、泄漏）及危险化学品特性，由江宁开发区突发环境事件应急指挥中心及时组织相关部门和专家研究制定应急方案，经领导小组审核、批准后组织实施。对排放污染物毒性剧烈、危害情况紧急的事故，江宁开发区突发环境事件应</w:t>
      </w:r>
    </w:p>
    <w:p w14:paraId="4E58FBB1">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急指挥中心可以组织城管、公安、消防部门以及其他专业队伍给予支持。</w:t>
      </w:r>
    </w:p>
    <w:p w14:paraId="0DCEFED2">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4"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b/>
          <w:bCs/>
          <w:color w:val="auto"/>
          <w:spacing w:val="-2"/>
          <w:sz w:val="24"/>
          <w:szCs w:val="24"/>
          <w:lang w:val="en-US" w:eastAsia="zh-CN"/>
        </w:rPr>
        <w:t>污染警戒区域划定和消息发布</w:t>
      </w:r>
    </w:p>
    <w:p w14:paraId="6742B608">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highlight w:val="none"/>
          <w:lang w:val="en-US" w:eastAsia="zh-CN"/>
        </w:rPr>
      </w:pPr>
      <w:bookmarkStart w:id="2165" w:name="sys13820052"/>
      <w:r>
        <w:rPr>
          <w:rFonts w:hint="eastAsia" w:ascii="宋体" w:hAnsi="宋体" w:eastAsia="宋体" w:cs="宋体"/>
          <w:color w:val="auto"/>
          <w:spacing w:val="-2"/>
          <w:sz w:val="24"/>
          <w:szCs w:val="24"/>
          <w:highlight w:val="none"/>
          <w:lang w:val="en-US" w:eastAsia="zh-CN"/>
        </w:rPr>
        <w:t>现场处置组根据事故点地形地貌、气象条件、污染监测数据和现场调查，向现场应急指挥部提出污染警戒区域的建议。</w:t>
      </w:r>
      <w:bookmarkEnd w:id="2165"/>
      <w:r>
        <w:rPr>
          <w:rFonts w:hint="eastAsia" w:ascii="宋体" w:hAnsi="宋体" w:eastAsia="宋体" w:cs="宋体"/>
          <w:color w:val="auto"/>
          <w:spacing w:val="-2"/>
          <w:sz w:val="24"/>
          <w:szCs w:val="24"/>
          <w:highlight w:val="none"/>
          <w:lang w:val="en-US" w:eastAsia="zh-CN"/>
        </w:rPr>
        <w:t>现场应急指挥部向江宁开发区突发环境事件应急指挥中心领导小组报告后发布警报决定。</w:t>
      </w:r>
    </w:p>
    <w:p w14:paraId="61ACB865">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highlight w:val="none"/>
          <w:lang w:val="en-US" w:eastAsia="zh-CN"/>
        </w:rPr>
        <w:t>现场应急指挥部要组织各应急小组召开事故处理分析会</w:t>
      </w:r>
      <w:r>
        <w:rPr>
          <w:rFonts w:hint="eastAsia" w:ascii="宋体" w:hAnsi="宋体" w:eastAsia="宋体" w:cs="宋体"/>
          <w:color w:val="auto"/>
          <w:spacing w:val="-2"/>
          <w:sz w:val="24"/>
          <w:szCs w:val="24"/>
          <w:lang w:val="en-US" w:eastAsia="zh-CN"/>
        </w:rPr>
        <w:t>，将分析结果及时报告江宁开发区突发环境事件应急指挥中心。按照国家保密局、原国家环保总局《环境保护工作国家秘密范围》和《环境污染与破坏事故新闻发布管理办法》的有关规定，有关突发环境事件信息，由市委宣传部负责新闻发布，其他相关部门单位及个人未经批准，不得擅自泄漏事件信息。</w:t>
      </w:r>
    </w:p>
    <w:p w14:paraId="3C54532A">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4"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b/>
          <w:bCs/>
          <w:color w:val="auto"/>
          <w:spacing w:val="-2"/>
          <w:sz w:val="24"/>
          <w:szCs w:val="24"/>
          <w:lang w:val="en-US" w:eastAsia="zh-CN"/>
        </w:rPr>
        <w:t>污染事件跟踪</w:t>
      </w:r>
    </w:p>
    <w:p w14:paraId="74024796">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应急监测组要对污染状况进行跟踪调查，根据监测数据和其他有关数据编制分析图表，预测污染迁移强度，速度和影响范围，及时调整对策。每24小时向应急现场指挥组报告一次污染事件处理动态和下一步对策（续报），直至突发事件消失。</w:t>
      </w:r>
    </w:p>
    <w:p w14:paraId="7077B389">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4"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b/>
          <w:bCs/>
          <w:color w:val="auto"/>
          <w:spacing w:val="-2"/>
          <w:sz w:val="24"/>
          <w:szCs w:val="24"/>
          <w:lang w:val="en-US" w:eastAsia="zh-CN"/>
        </w:rPr>
        <w:t>现场处置措施</w:t>
      </w:r>
    </w:p>
    <w:p w14:paraId="783F48CC">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（1）大气污染现场处置措施</w:t>
      </w:r>
      <w:bookmarkStart w:id="2166" w:name="pindex13825"/>
      <w:bookmarkEnd w:id="2166"/>
    </w:p>
    <w:p w14:paraId="29806461">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对于由于危险化学品泄漏而导致的大气环境污染事故，消防人员可与事故单位的专业技术人员密切配合，采用关闭阀门、修补容器、管道等方法，阻止毒气从管道、容器、设备的裂缝处继续外泄。同时对已泄漏出来的毒气必须及时进行洗消。具体措施如下：</w:t>
      </w:r>
    </w:p>
    <w:p w14:paraId="1FACD07A">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现场处置组采取有效措施防止污染扩散。应将抢修设备与消除污染相结合。抢修设备旨在控制污染源，抢修越早受污染面积越小。在抢修区域，直接对泄漏点或泄漏部位洗消，构成空间除污网，为抢修设备起到掩护作用。</w:t>
      </w:r>
    </w:p>
    <w:p w14:paraId="5CF105DC">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通常采用的方法有以下几种：</w:t>
      </w:r>
    </w:p>
    <w:p w14:paraId="71D87052">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①堵。用针对性的材料封闭下水道，截断有毒物质外流造成污染。</w:t>
      </w:r>
      <w:bookmarkStart w:id="2167" w:name="pindex13829"/>
      <w:bookmarkEnd w:id="2167"/>
    </w:p>
    <w:p w14:paraId="1DB66F38">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②撒。可用具有中和作用的酸性和碱性粉末抛撒在泄漏地点的周围，使之发生中和反应，降低危害程度。</w:t>
      </w:r>
      <w:bookmarkStart w:id="2168" w:name="pindex13830"/>
      <w:bookmarkEnd w:id="2168"/>
    </w:p>
    <w:p w14:paraId="7A71ABD2">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③喷。用酸碱中和原理，将稀碱（酸）喷洒在泄漏部位，形成隔离区域。</w:t>
      </w:r>
      <w:bookmarkStart w:id="2169" w:name="pindex13831"/>
      <w:bookmarkEnd w:id="2169"/>
    </w:p>
    <w:p w14:paraId="1267E32A">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④稀。利用大量的水对污染进行稀释，以降低污染浓度。</w:t>
      </w:r>
      <w:bookmarkStart w:id="2170" w:name="pindex13832"/>
      <w:bookmarkEnd w:id="2170"/>
    </w:p>
    <w:p w14:paraId="45436185">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现场处置组会同消防部门，利用喷洒洗消液、抛撒粉状消毒剂等方式消除毒气污染。一般在毒气事故救援现场可采用三种洗消方式。</w:t>
      </w:r>
    </w:p>
    <w:p w14:paraId="28ACCD50">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①源头洗消。在事故发生初期，对事故发生点、设备或厂房洗消，将污染源严密控制在最小范围内。</w:t>
      </w:r>
      <w:bookmarkStart w:id="2171" w:name="pindex13834"/>
      <w:bookmarkEnd w:id="2171"/>
    </w:p>
    <w:p w14:paraId="3A00B35D">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②隔离洗消。当污染蔓延时，对下风向暴露的设备、厂房，特别是高大建筑物喷洒洗消液，抛洒粉状消毒剂，形成保护层，污染降落物流经时即可产生反应，降低甚至消除危害。</w:t>
      </w:r>
      <w:bookmarkStart w:id="2172" w:name="pindex13835"/>
      <w:bookmarkEnd w:id="2172"/>
    </w:p>
    <w:p w14:paraId="4A6B0B39">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③延伸洗消。在控制住污染源后，从事故发生地开始向下风向对污染区逐次推进全面而彻底的洗消。</w:t>
      </w:r>
      <w:bookmarkStart w:id="2173" w:name="pindex13836"/>
      <w:bookmarkEnd w:id="2173"/>
    </w:p>
    <w:p w14:paraId="73C13495">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（2）废液及消防废水现场处置措施</w:t>
      </w:r>
      <w:bookmarkStart w:id="2174" w:name="pindex13837"/>
      <w:bookmarkEnd w:id="2174"/>
    </w:p>
    <w:p w14:paraId="7A4E842B">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在应急人员的到达现场后，现场处置组应会同事故单位关闭事故企业的雨、污排口，开启通向事故应急池的阀门。</w:t>
      </w:r>
    </w:p>
    <w:p w14:paraId="13F5506A">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2"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现场处置组跟踪事故应急池接水情况，若导入的废水即将超过事故应急池容积，现场处置组应尽快修筑围堤或转移事故废水，严防事故废水进入外环境。</w:t>
      </w:r>
    </w:p>
    <w:p w14:paraId="2875F146">
      <w:pPr>
        <w:keepNext w:val="0"/>
        <w:keepLines w:val="0"/>
        <w:pageBreakBefore w:val="0"/>
        <w:widowControl/>
        <w:kinsoku w:val="0"/>
        <w:wordWrap/>
        <w:overflowPunct/>
        <w:topLinePunct w:val="0"/>
        <w:autoSpaceDE w:val="0"/>
        <w:autoSpaceDN w:val="0"/>
        <w:bidi w:val="0"/>
        <w:adjustRightInd w:val="0"/>
        <w:snapToGrid w:val="0"/>
        <w:spacing w:before="35" w:line="360" w:lineRule="auto"/>
        <w:ind w:left="40" w:firstLine="474" w:firstLineChars="200"/>
        <w:textAlignment w:val="baseline"/>
        <w:outlineLvl w:val="9"/>
        <w:rPr>
          <w:rFonts w:hint="eastAsia" w:ascii="宋体" w:hAnsi="宋体" w:eastAsia="宋体" w:cs="宋体"/>
          <w:color w:val="auto"/>
          <w:spacing w:val="-2"/>
          <w:sz w:val="24"/>
          <w:szCs w:val="24"/>
          <w:lang w:val="en-US" w:eastAsia="zh-CN"/>
        </w:rPr>
      </w:pPr>
      <w:r>
        <w:rPr>
          <w:rFonts w:hint="eastAsia" w:ascii="宋体" w:hAnsi="宋体" w:eastAsia="宋体" w:cs="宋体"/>
          <w:b/>
          <w:bCs/>
          <w:color w:val="auto"/>
          <w:spacing w:val="-2"/>
          <w:sz w:val="24"/>
          <w:szCs w:val="24"/>
          <w:lang w:val="en-US" w:eastAsia="zh-CN"/>
        </w:rPr>
        <w:t>开发区三级防控体系建设</w:t>
      </w:r>
    </w:p>
    <w:p w14:paraId="42E713CA">
      <w:pPr>
        <w:snapToGrid w:val="0"/>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根据开发区的企业分布、雨污管网分布等情况，本次方案的三级防控措施划分总体如下：</w:t>
      </w:r>
    </w:p>
    <w:bookmarkEnd w:id="2133"/>
    <w:p w14:paraId="185F69B0">
      <w:pPr>
        <w:spacing w:line="360" w:lineRule="auto"/>
        <w:ind w:firstLine="480" w:firstLineChars="200"/>
        <w:rPr>
          <w:rFonts w:ascii="Times New Roman" w:hAnsi="Times New Roman" w:eastAsia="宋体" w:cs="Times New Roman"/>
          <w:color w:val="auto"/>
          <w:sz w:val="24"/>
          <w:szCs w:val="24"/>
        </w:rPr>
      </w:pPr>
      <w:bookmarkStart w:id="2175" w:name="_Toc13613"/>
      <w:bookmarkStart w:id="2176" w:name="OLE_LINK605"/>
      <w:r>
        <w:rPr>
          <w:rFonts w:ascii="Times New Roman" w:hAnsi="Times New Roman" w:eastAsia="宋体" w:cs="Times New Roman"/>
          <w:color w:val="auto"/>
          <w:sz w:val="24"/>
          <w:szCs w:val="24"/>
        </w:rPr>
        <w:t>一级防控体系主要通过各企业严格按照相关标准，查漏补缺，完善企业内部截流措施、雨排水防控措施等，保障事故条件下，事故废水不出厂区，并日常保持应急事故池和初期雨水收集池空置状态，定期做好突发水污染事件应急演练，保障相关应急物资的储备（特别是应急抽水泵、封堵气囊等应急物资的储备）。</w:t>
      </w:r>
    </w:p>
    <w:p w14:paraId="56567F67">
      <w:pPr>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二级防控借助水务平台将开发区分片区，利用各个片区的企业分布、河道分布、交通运输以及雨污水管网分布的实际情况，要求明确企业分布，确定雨水排放去向，</w:t>
      </w:r>
      <w:r>
        <w:rPr>
          <w:rFonts w:hint="eastAsia" w:ascii="Times New Roman" w:hAnsi="Times New Roman" w:eastAsia="宋体" w:cs="Times New Roman"/>
          <w:color w:val="auto"/>
          <w:sz w:val="24"/>
          <w:szCs w:val="24"/>
        </w:rPr>
        <w:t>利用对雨水管网进行封堵构建临时“应急空间”，对企业外溢事故水进行暂存。</w:t>
      </w:r>
    </w:p>
    <w:p w14:paraId="2030C130">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三级防控利用园区周边利用园区内部的河道和泵站前池作为三级防控措施，一旦园区内企业发生特别重大事故，企业及雨水管网均无法满足事故废水储存需求时，尽快关闭通入主要河流的闸阀，暂时利用园区内部河流、撇洪沟和泵站前池储存，以确保不对外界环境造成影响。</w:t>
      </w:r>
    </w:p>
    <w:p w14:paraId="19A30B85">
      <w:pPr>
        <w:spacing w:line="360" w:lineRule="auto"/>
        <w:rPr>
          <w:rFonts w:ascii="宋体" w:hAnsi="宋体" w:eastAsia="宋体" w:cs="宋体"/>
          <w:color w:val="auto"/>
          <w:sz w:val="24"/>
          <w:szCs w:val="24"/>
        </w:rPr>
      </w:pPr>
      <w:r>
        <w:rPr>
          <w:rFonts w:hint="eastAsia" w:ascii="Times New Roman" w:hAnsi="Times New Roman" w:eastAsia="宋体" w:cs="Times New Roman"/>
          <w:b/>
          <w:bCs/>
          <w:color w:val="auto"/>
          <w:spacing w:val="-2"/>
          <w:sz w:val="24"/>
          <w:szCs w:val="24"/>
          <w:lang w:val="en-US" w:eastAsia="zh-CN"/>
        </w:rPr>
        <w:t>8</w:t>
      </w:r>
      <w:r>
        <w:rPr>
          <w:rFonts w:ascii="Times New Roman" w:hAnsi="Times New Roman" w:eastAsia="Times New Roman"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5.5.4</w:t>
      </w:r>
      <w:r>
        <w:rPr>
          <w:rFonts w:ascii="宋体" w:hAnsi="宋体" w:eastAsia="宋体" w:cs="宋体"/>
          <w:b/>
          <w:bCs/>
          <w:color w:val="auto"/>
          <w:spacing w:val="-2"/>
          <w:sz w:val="24"/>
          <w:szCs w:val="24"/>
        </w:rPr>
        <w:t>环境应急队伍和物资储备</w:t>
      </w:r>
      <w:bookmarkEnd w:id="2175"/>
      <w:bookmarkStart w:id="2177" w:name="pindex13845"/>
      <w:bookmarkEnd w:id="2177"/>
    </w:p>
    <w:bookmarkEnd w:id="2176"/>
    <w:p w14:paraId="6AD05C0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（1）环境应急专家队伍</w:t>
      </w:r>
      <w:bookmarkStart w:id="2178" w:name="pindex13846"/>
      <w:bookmarkEnd w:id="2178"/>
    </w:p>
    <w:p w14:paraId="32C85C49">
      <w:pPr>
        <w:keepNext w:val="0"/>
        <w:keepLines w:val="0"/>
        <w:pageBreakBefore w:val="0"/>
        <w:widowControl/>
        <w:kinsoku w:val="0"/>
        <w:wordWrap/>
        <w:overflowPunct/>
        <w:topLinePunct w:val="0"/>
        <w:autoSpaceDE w:val="0"/>
        <w:autoSpaceDN w:val="0"/>
        <w:bidi w:val="0"/>
        <w:adjustRightInd w:val="0"/>
        <w:snapToGrid w:val="0"/>
        <w:spacing w:line="360" w:lineRule="auto"/>
        <w:ind w:firstLine="476" w:firstLineChars="200"/>
        <w:textAlignment w:val="baseline"/>
        <w:rPr>
          <w:rFonts w:hint="default" w:ascii="Times New Roman" w:hAnsi="Times New Roman" w:eastAsia="宋体" w:cs="Times New Roman"/>
          <w:color w:val="auto"/>
          <w:sz w:val="24"/>
          <w:szCs w:val="24"/>
          <w:lang w:eastAsia="zh-CN"/>
        </w:rPr>
      </w:pPr>
      <w:r>
        <w:rPr>
          <w:rFonts w:ascii="宋体" w:hAnsi="宋体" w:eastAsia="宋体" w:cs="宋体"/>
          <w:color w:val="auto"/>
          <w:spacing w:val="-1"/>
          <w:sz w:val="24"/>
          <w:szCs w:val="24"/>
        </w:rPr>
        <w:t>①</w:t>
      </w:r>
      <w:r>
        <w:rPr>
          <w:rFonts w:hint="default" w:ascii="Times New Roman" w:hAnsi="Times New Roman" w:eastAsia="宋体" w:cs="Times New Roman"/>
          <w:color w:val="auto"/>
          <w:sz w:val="24"/>
          <w:szCs w:val="24"/>
          <w:lang w:eastAsia="zh-CN"/>
        </w:rPr>
        <w:t>环境应急救援队伍建设情况</w:t>
      </w:r>
      <w:bookmarkStart w:id="2179" w:name="pindex13847"/>
      <w:bookmarkEnd w:id="2179"/>
    </w:p>
    <w:p w14:paraId="4229D5AD">
      <w:pPr>
        <w:keepNext w:val="0"/>
        <w:keepLines w:val="0"/>
        <w:pageBreakBefore w:val="0"/>
        <w:widowControl/>
        <w:kinsoku w:val="0"/>
        <w:wordWrap/>
        <w:overflowPunct/>
        <w:topLinePunct w:val="0"/>
        <w:autoSpaceDE w:val="0"/>
        <w:autoSpaceDN w:val="0"/>
        <w:bidi w:val="0"/>
        <w:adjustRightInd w:val="0"/>
        <w:snapToGrid w:val="0"/>
        <w:spacing w:line="360" w:lineRule="auto"/>
        <w:ind w:firstLine="476" w:firstLineChars="200"/>
        <w:textAlignment w:val="baseline"/>
        <w:rPr>
          <w:rFonts w:ascii="宋体" w:hAnsi="宋体" w:eastAsia="宋体" w:cs="宋体"/>
          <w:color w:val="auto"/>
          <w:spacing w:val="-1"/>
          <w:sz w:val="24"/>
          <w:szCs w:val="24"/>
        </w:rPr>
      </w:pPr>
      <w:r>
        <w:rPr>
          <w:rFonts w:hint="eastAsia" w:ascii="宋体" w:hAnsi="宋体" w:eastAsia="宋体" w:cs="宋体"/>
          <w:color w:val="auto"/>
          <w:spacing w:val="-1"/>
          <w:sz w:val="24"/>
          <w:szCs w:val="24"/>
          <w:lang w:val="en-US" w:eastAsia="zh-CN"/>
        </w:rPr>
        <w:t>目前开发区环境应急管理机构为开发区环境保护局，环境应急现场管理职能由环境保护局环境监察组承担，并配有专门的环境应急人员。开发区未设置专门的环境检测机构，但与检测单位签订了应急监测协议。同时成立了专门的应急专家组，但未建立专职的救援机构。</w:t>
      </w:r>
    </w:p>
    <w:p w14:paraId="3E95AFC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②环境应急专家组建设情况</w:t>
      </w:r>
      <w:bookmarkStart w:id="2180" w:name="pindex13849"/>
      <w:bookmarkEnd w:id="2180"/>
    </w:p>
    <w:p w14:paraId="54C8E3B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宋体" w:hAnsi="宋体" w:eastAsia="宋体" w:cs="宋体"/>
          <w:color w:val="auto"/>
          <w:spacing w:val="-1"/>
          <w:sz w:val="24"/>
          <w:szCs w:val="24"/>
        </w:rPr>
      </w:pPr>
      <w:r>
        <w:rPr>
          <w:rFonts w:hint="default" w:ascii="Times New Roman" w:hAnsi="Times New Roman" w:eastAsia="宋体" w:cs="Times New Roman"/>
          <w:color w:val="auto"/>
          <w:sz w:val="24"/>
          <w:szCs w:val="24"/>
          <w:lang w:eastAsia="zh-CN"/>
        </w:rPr>
        <w:t>开发区根据突发环境事件应急预</w:t>
      </w:r>
      <w:r>
        <w:rPr>
          <w:rFonts w:hint="default" w:ascii="宋体" w:hAnsi="宋体" w:eastAsia="宋体" w:cs="宋体"/>
          <w:color w:val="auto"/>
          <w:spacing w:val="-1"/>
          <w:sz w:val="24"/>
          <w:szCs w:val="24"/>
        </w:rPr>
        <w:t>案要求，成立专家组，定期聘请专家指导开发区应急管理工作。</w:t>
      </w:r>
    </w:p>
    <w:p w14:paraId="54148EC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环境应急物资的储备种类与数量</w:t>
      </w:r>
      <w:bookmarkStart w:id="2181" w:name="pindex13851"/>
      <w:bookmarkEnd w:id="2181"/>
    </w:p>
    <w:p w14:paraId="5A164D3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开发区域内建有专业应急物资储备库（江苏省生态环境厅应急物资储备</w:t>
      </w:r>
      <w:sdt>
        <w:sdtPr>
          <w:rPr>
            <w:color w:val="auto"/>
          </w:rPr>
          <w:alias w:val="标点符号检查"/>
          <w:tag w:val="FF0000"/>
          <w:id w:val="122755"/>
        </w:sdtPr>
        <w:sdtEndPr>
          <w:rPr>
            <w:color w:val="auto"/>
          </w:rPr>
        </w:sdtEndPr>
        <w:sdtContent>
          <w:bookmarkStart w:id="2182" w:name="bkReivew122755"/>
          <w:r>
            <w:rPr>
              <w:rFonts w:hint="eastAsia" w:ascii="Times New Roman" w:hAnsi="Times New Roman" w:eastAsia="宋体" w:cs="Times New Roman"/>
              <w:color w:val="auto"/>
              <w:sz w:val="24"/>
              <w:szCs w:val="24"/>
              <w:lang w:val="en-US" w:eastAsia="zh-CN"/>
            </w:rPr>
            <w:t>（</w:t>
          </w:r>
          <w:bookmarkEnd w:id="2182"/>
        </w:sdtContent>
      </w:sdt>
      <w:r>
        <w:rPr>
          <w:rFonts w:hint="eastAsia" w:ascii="Times New Roman" w:hAnsi="Times New Roman" w:eastAsia="宋体" w:cs="Times New Roman"/>
          <w:color w:val="auto"/>
          <w:sz w:val="24"/>
          <w:szCs w:val="24"/>
          <w:lang w:val="en-US" w:eastAsia="zh-CN"/>
        </w:rPr>
        <w:t>南京</w:t>
      </w:r>
      <w:sdt>
        <w:sdtPr>
          <w:rPr>
            <w:color w:val="auto"/>
          </w:rPr>
          <w:alias w:val="标点符号检查"/>
          <w:tag w:val="FF0000"/>
          <w:id w:val="31105"/>
        </w:sdtPr>
        <w:sdtEndPr>
          <w:rPr>
            <w:color w:val="auto"/>
          </w:rPr>
        </w:sdtEndPr>
        <w:sdtContent>
          <w:bookmarkStart w:id="2183" w:name="bkReivew31105"/>
          <w:r>
            <w:rPr>
              <w:rFonts w:hint="eastAsia" w:ascii="Times New Roman" w:hAnsi="Times New Roman" w:eastAsia="宋体" w:cs="Times New Roman"/>
              <w:color w:val="auto"/>
              <w:sz w:val="24"/>
              <w:szCs w:val="24"/>
              <w:lang w:val="en-US" w:eastAsia="zh-CN"/>
            </w:rPr>
            <w:t>）</w:t>
          </w:r>
          <w:bookmarkEnd w:id="2183"/>
        </w:sdtContent>
      </w:sdt>
      <w:r>
        <w:rPr>
          <w:rFonts w:hint="eastAsia" w:ascii="Times New Roman" w:hAnsi="Times New Roman" w:eastAsia="宋体" w:cs="Times New Roman"/>
          <w:color w:val="auto"/>
          <w:sz w:val="24"/>
          <w:szCs w:val="24"/>
          <w:lang w:val="en-US" w:eastAsia="zh-CN"/>
        </w:rPr>
        <w:t>基地，江宁区隆盛路</w:t>
      </w:r>
      <w:r>
        <w:rPr>
          <w:rFonts w:hint="default" w:ascii="Times New Roman" w:hAnsi="Times New Roman" w:eastAsia="宋体" w:cs="Times New Roman"/>
          <w:color w:val="auto"/>
          <w:sz w:val="24"/>
          <w:szCs w:val="24"/>
          <w:lang w:val="en-US" w:eastAsia="zh-CN"/>
        </w:rPr>
        <w:t>58</w:t>
      </w:r>
      <w:r>
        <w:rPr>
          <w:rFonts w:hint="eastAsia" w:ascii="Times New Roman" w:hAnsi="Times New Roman" w:eastAsia="宋体" w:cs="Times New Roman"/>
          <w:color w:val="auto"/>
          <w:sz w:val="24"/>
          <w:szCs w:val="24"/>
          <w:lang w:val="en-US" w:eastAsia="zh-CN"/>
        </w:rPr>
        <w:t>号），</w:t>
      </w:r>
      <w:r>
        <w:rPr>
          <w:rFonts w:hint="default" w:ascii="Times New Roman" w:hAnsi="Times New Roman" w:eastAsia="宋体" w:cs="Times New Roman"/>
          <w:color w:val="auto"/>
          <w:sz w:val="24"/>
          <w:szCs w:val="24"/>
          <w:lang w:val="en-US" w:eastAsia="zh-CN"/>
        </w:rPr>
        <w:t>同时，开发区还依托南京市江宁生态环境局、江宁区公安消防大队应急物资及装备</w:t>
      </w:r>
      <w:r>
        <w:rPr>
          <w:rFonts w:hint="eastAsia" w:ascii="Times New Roman" w:hAnsi="Times New Roman" w:eastAsia="宋体" w:cs="Times New Roman"/>
          <w:color w:val="auto"/>
          <w:sz w:val="24"/>
          <w:szCs w:val="24"/>
          <w:lang w:val="en-US" w:eastAsia="zh-CN"/>
        </w:rPr>
        <w:t>。园区内企业具备应急物资，基本能满足应急需求，且开发区建立了园区应急物资库。</w:t>
      </w:r>
    </w:p>
    <w:p w14:paraId="73A6D4B7">
      <w:pPr>
        <w:keepNext w:val="0"/>
        <w:keepLines w:val="0"/>
        <w:pageBreakBefore w:val="0"/>
        <w:widowControl/>
        <w:kinsoku w:val="0"/>
        <w:wordWrap/>
        <w:overflowPunct/>
        <w:topLinePunct w:val="0"/>
        <w:autoSpaceDE w:val="0"/>
        <w:autoSpaceDN w:val="0"/>
        <w:bidi w:val="0"/>
        <w:adjustRightInd w:val="0"/>
        <w:snapToGrid w:val="0"/>
        <w:spacing w:before="37" w:line="240" w:lineRule="auto"/>
        <w:jc w:val="center"/>
        <w:textAlignment w:val="baseline"/>
        <w:rPr>
          <w:rFonts w:hint="eastAsia" w:ascii="宋体" w:hAnsi="宋体" w:eastAsia="宋体" w:cs="宋体"/>
          <w:color w:val="auto"/>
          <w:sz w:val="24"/>
          <w:szCs w:val="24"/>
          <w:highlight w:val="none"/>
          <w:lang w:eastAsia="zh-CN"/>
        </w:rPr>
      </w:pPr>
      <w:r>
        <w:rPr>
          <w:rFonts w:ascii="宋体" w:hAnsi="宋体" w:eastAsia="宋体" w:cs="宋体"/>
          <w:b/>
          <w:bCs/>
          <w:color w:val="auto"/>
          <w:spacing w:val="-2"/>
          <w:sz w:val="24"/>
          <w:szCs w:val="24"/>
          <w:highlight w:val="none"/>
        </w:rPr>
        <w:t>表</w:t>
      </w:r>
      <w:r>
        <w:rPr>
          <w:rFonts w:hint="eastAsia" w:ascii="Times New Roman" w:hAnsi="Times New Roman" w:eastAsia="宋体" w:cs="Times New Roman"/>
          <w:b/>
          <w:bCs/>
          <w:color w:val="auto"/>
          <w:spacing w:val="-2"/>
          <w:sz w:val="24"/>
          <w:szCs w:val="24"/>
          <w:highlight w:val="none"/>
          <w:lang w:val="en-US" w:eastAsia="zh-CN"/>
        </w:rPr>
        <w:t>8</w:t>
      </w:r>
      <w:r>
        <w:rPr>
          <w:rFonts w:ascii="Times New Roman" w:hAnsi="Times New Roman" w:eastAsia="Times New Roman" w:cs="Times New Roman"/>
          <w:b/>
          <w:bCs/>
          <w:color w:val="auto"/>
          <w:spacing w:val="-2"/>
          <w:sz w:val="24"/>
          <w:szCs w:val="24"/>
          <w:highlight w:val="none"/>
        </w:rPr>
        <w:t>.</w:t>
      </w:r>
      <w:r>
        <w:rPr>
          <w:rFonts w:hint="eastAsia" w:ascii="Times New Roman" w:hAnsi="Times New Roman" w:eastAsia="宋体" w:cs="Times New Roman"/>
          <w:b/>
          <w:bCs/>
          <w:color w:val="auto"/>
          <w:spacing w:val="-2"/>
          <w:sz w:val="24"/>
          <w:szCs w:val="24"/>
          <w:highlight w:val="none"/>
          <w:lang w:val="en-US" w:eastAsia="zh-CN"/>
        </w:rPr>
        <w:t>5</w:t>
      </w:r>
      <w:r>
        <w:rPr>
          <w:rFonts w:ascii="Times New Roman" w:hAnsi="Times New Roman" w:eastAsia="Times New Roman" w:cs="Times New Roman"/>
          <w:b/>
          <w:bCs/>
          <w:color w:val="auto"/>
          <w:spacing w:val="-2"/>
          <w:sz w:val="24"/>
          <w:szCs w:val="24"/>
          <w:highlight w:val="none"/>
        </w:rPr>
        <w:t>-2</w:t>
      </w:r>
      <w:r>
        <w:rPr>
          <w:rFonts w:hint="eastAsia" w:ascii="宋体" w:hAnsi="宋体" w:eastAsia="宋体" w:cs="宋体"/>
          <w:b/>
          <w:bCs/>
          <w:color w:val="auto"/>
          <w:spacing w:val="-2"/>
          <w:sz w:val="24"/>
          <w:szCs w:val="24"/>
          <w:highlight w:val="none"/>
          <w:lang w:val="en-US" w:eastAsia="zh-CN"/>
        </w:rPr>
        <w:t xml:space="preserve">  </w:t>
      </w:r>
      <w:r>
        <w:rPr>
          <w:rFonts w:ascii="宋体" w:hAnsi="宋体" w:eastAsia="宋体" w:cs="宋体"/>
          <w:b/>
          <w:bCs/>
          <w:color w:val="auto"/>
          <w:spacing w:val="-2"/>
          <w:sz w:val="24"/>
          <w:szCs w:val="24"/>
          <w:highlight w:val="none"/>
        </w:rPr>
        <w:t>开发区内</w:t>
      </w:r>
      <w:r>
        <w:rPr>
          <w:rFonts w:hint="eastAsia" w:ascii="宋体" w:hAnsi="宋体" w:eastAsia="宋体" w:cs="宋体"/>
          <w:b/>
          <w:bCs/>
          <w:color w:val="auto"/>
          <w:spacing w:val="-2"/>
          <w:sz w:val="24"/>
          <w:szCs w:val="24"/>
          <w:highlight w:val="none"/>
          <w:lang w:val="en-US" w:eastAsia="zh-CN"/>
        </w:rPr>
        <w:t>主要</w:t>
      </w:r>
      <w:r>
        <w:rPr>
          <w:rFonts w:ascii="宋体" w:hAnsi="宋体" w:eastAsia="宋体" w:cs="宋体"/>
          <w:b/>
          <w:bCs/>
          <w:color w:val="auto"/>
          <w:spacing w:val="-2"/>
          <w:sz w:val="24"/>
          <w:szCs w:val="24"/>
          <w:highlight w:val="none"/>
        </w:rPr>
        <w:t>企业应急</w:t>
      </w:r>
      <w:r>
        <w:rPr>
          <w:rFonts w:hint="eastAsia" w:ascii="宋体" w:hAnsi="宋体" w:eastAsia="宋体" w:cs="宋体"/>
          <w:b/>
          <w:bCs/>
          <w:color w:val="auto"/>
          <w:spacing w:val="-2"/>
          <w:sz w:val="24"/>
          <w:szCs w:val="24"/>
          <w:highlight w:val="none"/>
          <w:lang w:val="en-US" w:eastAsia="zh-CN"/>
        </w:rPr>
        <w:t>物资</w:t>
      </w:r>
      <w:bookmarkStart w:id="2184" w:name="pindex13853"/>
      <w:bookmarkEnd w:id="2184"/>
    </w:p>
    <w:tbl>
      <w:tblPr>
        <w:tblStyle w:val="2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22"/>
        <w:gridCol w:w="3165"/>
        <w:gridCol w:w="1125"/>
        <w:gridCol w:w="1771"/>
      </w:tblGrid>
      <w:tr w14:paraId="7B3954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tcBorders>
              <w:tl2br w:val="nil"/>
              <w:tr2bl w:val="nil"/>
            </w:tcBorders>
            <w:vAlign w:val="center"/>
          </w:tcPr>
          <w:p w14:paraId="46BA4862">
            <w:pPr>
              <w:widowControl w:val="0"/>
              <w:spacing w:before="22"/>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企业名称</w:t>
            </w:r>
          </w:p>
        </w:tc>
        <w:tc>
          <w:tcPr>
            <w:tcW w:w="3165" w:type="dxa"/>
            <w:tcBorders>
              <w:tl2br w:val="nil"/>
              <w:tr2bl w:val="nil"/>
            </w:tcBorders>
            <w:vAlign w:val="center"/>
          </w:tcPr>
          <w:p w14:paraId="0836B950">
            <w:pPr>
              <w:widowControl w:val="0"/>
              <w:spacing w:before="22"/>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物品名称</w:t>
            </w:r>
          </w:p>
        </w:tc>
        <w:tc>
          <w:tcPr>
            <w:tcW w:w="1125" w:type="dxa"/>
            <w:tcBorders>
              <w:tl2br w:val="nil"/>
              <w:tr2bl w:val="nil"/>
            </w:tcBorders>
            <w:vAlign w:val="center"/>
          </w:tcPr>
          <w:p w14:paraId="526C7571">
            <w:pPr>
              <w:widowControl w:val="0"/>
              <w:spacing w:before="22"/>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数量</w:t>
            </w:r>
          </w:p>
        </w:tc>
        <w:tc>
          <w:tcPr>
            <w:tcW w:w="1771" w:type="dxa"/>
            <w:tcBorders>
              <w:tl2br w:val="nil"/>
              <w:tr2bl w:val="nil"/>
            </w:tcBorders>
            <w:vAlign w:val="center"/>
          </w:tcPr>
          <w:p w14:paraId="5029D983">
            <w:pPr>
              <w:widowControl w:val="0"/>
              <w:spacing w:before="22"/>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存放位置</w:t>
            </w:r>
          </w:p>
        </w:tc>
      </w:tr>
      <w:tr w14:paraId="076168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restart"/>
            <w:tcBorders>
              <w:tl2br w:val="nil"/>
              <w:tr2bl w:val="nil"/>
            </w:tcBorders>
            <w:vAlign w:val="center"/>
          </w:tcPr>
          <w:p w14:paraId="76752FFA">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长安马自达发动机有限公司</w:t>
            </w:r>
          </w:p>
        </w:tc>
        <w:tc>
          <w:tcPr>
            <w:tcW w:w="3165" w:type="dxa"/>
            <w:tcBorders>
              <w:tl2br w:val="nil"/>
              <w:tr2bl w:val="nil"/>
            </w:tcBorders>
            <w:vAlign w:val="center"/>
          </w:tcPr>
          <w:p w14:paraId="6CCCD334">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对讲机</w:t>
            </w:r>
          </w:p>
        </w:tc>
        <w:tc>
          <w:tcPr>
            <w:tcW w:w="1125" w:type="dxa"/>
            <w:tcBorders>
              <w:tl2br w:val="nil"/>
              <w:tr2bl w:val="nil"/>
            </w:tcBorders>
            <w:vAlign w:val="center"/>
          </w:tcPr>
          <w:p w14:paraId="072698ED">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7台</w:t>
            </w:r>
          </w:p>
        </w:tc>
        <w:tc>
          <w:tcPr>
            <w:tcW w:w="1771" w:type="dxa"/>
            <w:vMerge w:val="restart"/>
            <w:tcBorders>
              <w:tl2br w:val="nil"/>
              <w:tr2bl w:val="nil"/>
            </w:tcBorders>
            <w:vAlign w:val="center"/>
          </w:tcPr>
          <w:p w14:paraId="7CCD01E2">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ERT办公室</w:t>
            </w:r>
          </w:p>
        </w:tc>
      </w:tr>
      <w:tr w14:paraId="39A43C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07BFBE8E">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5711EB5F">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消防人员跌倒报警器</w:t>
            </w:r>
          </w:p>
        </w:tc>
        <w:tc>
          <w:tcPr>
            <w:tcW w:w="1125" w:type="dxa"/>
            <w:tcBorders>
              <w:tl2br w:val="nil"/>
              <w:tr2bl w:val="nil"/>
            </w:tcBorders>
            <w:vAlign w:val="center"/>
          </w:tcPr>
          <w:p w14:paraId="6165E6EC">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2个</w:t>
            </w:r>
          </w:p>
        </w:tc>
        <w:tc>
          <w:tcPr>
            <w:tcW w:w="1771" w:type="dxa"/>
            <w:vMerge w:val="continue"/>
            <w:tcBorders>
              <w:tl2br w:val="nil"/>
              <w:tr2bl w:val="nil"/>
            </w:tcBorders>
            <w:vAlign w:val="center"/>
          </w:tcPr>
          <w:p w14:paraId="3E12F157">
            <w:pPr>
              <w:widowControl w:val="0"/>
              <w:spacing w:before="22"/>
              <w:jc w:val="center"/>
              <w:rPr>
                <w:rFonts w:hint="default" w:ascii="Times New Roman" w:hAnsi="Times New Roman" w:cs="Times New Roman"/>
                <w:color w:val="auto"/>
                <w:sz w:val="21"/>
                <w:szCs w:val="21"/>
                <w:vertAlign w:val="baseline"/>
              </w:rPr>
            </w:pPr>
          </w:p>
        </w:tc>
      </w:tr>
      <w:tr w14:paraId="60F4EC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41F6F44C">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19B9331D">
            <w:pPr>
              <w:widowControl w:val="0"/>
              <w:spacing w:before="22"/>
              <w:jc w:val="center"/>
              <w:rPr>
                <w:rFonts w:hint="default" w:ascii="Times New Roman" w:hAnsi="Times New Roman" w:eastAsia="宋体" w:cs="Times New Roman"/>
                <w:color w:val="auto"/>
                <w:sz w:val="21"/>
                <w:szCs w:val="21"/>
                <w:vertAlign w:val="baseline"/>
                <w:lang w:val="en-US" w:eastAsia="zh-CN"/>
              </w:rPr>
            </w:pPr>
            <w:sdt>
              <w:sdtPr>
                <w:rPr>
                  <w:color w:val="auto"/>
                </w:rPr>
                <w:alias w:val="易错词检查"/>
                <w:tag w:val="auto"/>
                <w:id w:val="2110433"/>
              </w:sdtPr>
              <w:sdtEndPr>
                <w:rPr>
                  <w:color w:val="auto"/>
                </w:rPr>
              </w:sdtEndPr>
              <w:sdtContent>
                <w:bookmarkStart w:id="2185" w:name="bkReivew2110433"/>
                <w:r>
                  <w:rPr>
                    <w:rFonts w:hint="default" w:ascii="Times New Roman" w:hAnsi="Times New Roman" w:eastAsia="宋体" w:cs="Times New Roman"/>
                    <w:color w:val="auto"/>
                    <w:sz w:val="21"/>
                    <w:szCs w:val="21"/>
                    <w:vertAlign w:val="baseline"/>
                    <w:lang w:val="en-US" w:eastAsia="zh-CN"/>
                  </w:rPr>
                  <w:t>四用</w:t>
                </w:r>
                <w:bookmarkEnd w:id="2185"/>
              </w:sdtContent>
            </w:sdt>
            <w:r>
              <w:rPr>
                <w:rFonts w:hint="default" w:ascii="Times New Roman" w:hAnsi="Times New Roman" w:eastAsia="宋体" w:cs="Times New Roman"/>
                <w:color w:val="auto"/>
                <w:sz w:val="21"/>
                <w:szCs w:val="21"/>
                <w:vertAlign w:val="baseline"/>
                <w:lang w:val="en-US" w:eastAsia="zh-CN"/>
              </w:rPr>
              <w:t>气体探测仪</w:t>
            </w:r>
          </w:p>
        </w:tc>
        <w:tc>
          <w:tcPr>
            <w:tcW w:w="1125" w:type="dxa"/>
            <w:tcBorders>
              <w:tl2br w:val="nil"/>
              <w:tr2bl w:val="nil"/>
            </w:tcBorders>
            <w:vAlign w:val="center"/>
          </w:tcPr>
          <w:p w14:paraId="01770530">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1部</w:t>
            </w:r>
          </w:p>
        </w:tc>
        <w:tc>
          <w:tcPr>
            <w:tcW w:w="1771" w:type="dxa"/>
            <w:vMerge w:val="continue"/>
            <w:tcBorders>
              <w:tl2br w:val="nil"/>
              <w:tr2bl w:val="nil"/>
            </w:tcBorders>
            <w:vAlign w:val="center"/>
          </w:tcPr>
          <w:p w14:paraId="67112036">
            <w:pPr>
              <w:widowControl w:val="0"/>
              <w:spacing w:before="22"/>
              <w:jc w:val="center"/>
              <w:rPr>
                <w:rFonts w:hint="default" w:ascii="Times New Roman" w:hAnsi="Times New Roman" w:cs="Times New Roman"/>
                <w:color w:val="auto"/>
                <w:sz w:val="21"/>
                <w:szCs w:val="21"/>
                <w:vertAlign w:val="baseline"/>
              </w:rPr>
            </w:pPr>
          </w:p>
        </w:tc>
      </w:tr>
      <w:tr w14:paraId="4EDA98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42C9B9A9">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74AB6CE1">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天然气气体检测器</w:t>
            </w:r>
          </w:p>
        </w:tc>
        <w:tc>
          <w:tcPr>
            <w:tcW w:w="1125" w:type="dxa"/>
            <w:tcBorders>
              <w:tl2br w:val="nil"/>
              <w:tr2bl w:val="nil"/>
            </w:tcBorders>
            <w:vAlign w:val="center"/>
          </w:tcPr>
          <w:p w14:paraId="0C1445D7">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1部</w:t>
            </w:r>
          </w:p>
        </w:tc>
        <w:tc>
          <w:tcPr>
            <w:tcW w:w="1771" w:type="dxa"/>
            <w:vMerge w:val="continue"/>
            <w:tcBorders>
              <w:tl2br w:val="nil"/>
              <w:tr2bl w:val="nil"/>
            </w:tcBorders>
            <w:vAlign w:val="center"/>
          </w:tcPr>
          <w:p w14:paraId="00E6C123">
            <w:pPr>
              <w:widowControl w:val="0"/>
              <w:spacing w:before="22"/>
              <w:jc w:val="center"/>
              <w:rPr>
                <w:rFonts w:hint="default" w:ascii="Times New Roman" w:hAnsi="Times New Roman" w:cs="Times New Roman"/>
                <w:color w:val="auto"/>
                <w:sz w:val="21"/>
                <w:szCs w:val="21"/>
                <w:vertAlign w:val="baseline"/>
              </w:rPr>
            </w:pPr>
          </w:p>
        </w:tc>
      </w:tr>
      <w:tr w14:paraId="6DF68D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49BF27F1">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55B6FA40">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手持式</w:t>
            </w:r>
            <w:sdt>
              <w:sdtPr>
                <w:rPr>
                  <w:color w:val="auto"/>
                </w:rPr>
                <w:alias w:val="易错词检查"/>
                <w:tag w:val="auto"/>
                <w:id w:val="170334"/>
              </w:sdtPr>
              <w:sdtEndPr>
                <w:rPr>
                  <w:color w:val="auto"/>
                </w:rPr>
              </w:sdtEndPr>
              <w:sdtContent>
                <w:bookmarkStart w:id="2186" w:name="bkReivew170334"/>
                <w:r>
                  <w:rPr>
                    <w:rFonts w:hint="default" w:ascii="Times New Roman" w:hAnsi="Times New Roman" w:eastAsia="宋体" w:cs="Times New Roman"/>
                    <w:color w:val="auto"/>
                    <w:sz w:val="21"/>
                    <w:szCs w:val="21"/>
                    <w:vertAlign w:val="baseline"/>
                    <w:lang w:val="en-US" w:eastAsia="zh-CN"/>
                  </w:rPr>
                  <w:t>防爆</w:t>
                </w:r>
                <w:bookmarkEnd w:id="2186"/>
              </w:sdtContent>
            </w:sdt>
            <w:r>
              <w:rPr>
                <w:rFonts w:hint="default" w:ascii="Times New Roman" w:hAnsi="Times New Roman" w:eastAsia="宋体" w:cs="Times New Roman"/>
                <w:color w:val="auto"/>
                <w:sz w:val="21"/>
                <w:szCs w:val="21"/>
                <w:vertAlign w:val="baseline"/>
                <w:lang w:val="en-US" w:eastAsia="zh-CN"/>
              </w:rPr>
              <w:t>手电筒</w:t>
            </w:r>
          </w:p>
        </w:tc>
        <w:tc>
          <w:tcPr>
            <w:tcW w:w="1125" w:type="dxa"/>
            <w:tcBorders>
              <w:tl2br w:val="nil"/>
              <w:tr2bl w:val="nil"/>
            </w:tcBorders>
            <w:vAlign w:val="center"/>
          </w:tcPr>
          <w:p w14:paraId="5CBB4206">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4支</w:t>
            </w:r>
          </w:p>
        </w:tc>
        <w:tc>
          <w:tcPr>
            <w:tcW w:w="1771" w:type="dxa"/>
            <w:vMerge w:val="continue"/>
            <w:tcBorders>
              <w:tl2br w:val="nil"/>
              <w:tr2bl w:val="nil"/>
            </w:tcBorders>
            <w:vAlign w:val="center"/>
          </w:tcPr>
          <w:p w14:paraId="016C87FE">
            <w:pPr>
              <w:widowControl w:val="0"/>
              <w:spacing w:before="22"/>
              <w:jc w:val="center"/>
              <w:rPr>
                <w:rFonts w:hint="default" w:ascii="Times New Roman" w:hAnsi="Times New Roman" w:cs="Times New Roman"/>
                <w:color w:val="auto"/>
                <w:sz w:val="21"/>
                <w:szCs w:val="21"/>
                <w:vertAlign w:val="baseline"/>
              </w:rPr>
            </w:pPr>
          </w:p>
        </w:tc>
      </w:tr>
      <w:tr w14:paraId="17816B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34E0BCF9">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1DCC90BC">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C级化学防护服</w:t>
            </w:r>
          </w:p>
        </w:tc>
        <w:tc>
          <w:tcPr>
            <w:tcW w:w="1125" w:type="dxa"/>
            <w:tcBorders>
              <w:tl2br w:val="nil"/>
              <w:tr2bl w:val="nil"/>
            </w:tcBorders>
            <w:vAlign w:val="center"/>
          </w:tcPr>
          <w:p w14:paraId="55E09547">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2套</w:t>
            </w:r>
          </w:p>
        </w:tc>
        <w:tc>
          <w:tcPr>
            <w:tcW w:w="1771" w:type="dxa"/>
            <w:vMerge w:val="continue"/>
            <w:tcBorders>
              <w:tl2br w:val="nil"/>
              <w:tr2bl w:val="nil"/>
            </w:tcBorders>
            <w:vAlign w:val="center"/>
          </w:tcPr>
          <w:p w14:paraId="66259434">
            <w:pPr>
              <w:widowControl w:val="0"/>
              <w:spacing w:before="22"/>
              <w:jc w:val="center"/>
              <w:rPr>
                <w:rFonts w:hint="default" w:ascii="Times New Roman" w:hAnsi="Times New Roman" w:cs="Times New Roman"/>
                <w:color w:val="auto"/>
                <w:sz w:val="21"/>
                <w:szCs w:val="21"/>
                <w:vertAlign w:val="baseline"/>
              </w:rPr>
            </w:pPr>
          </w:p>
        </w:tc>
      </w:tr>
      <w:tr w14:paraId="4B0B54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23E02EE8">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342976FF">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阻燃连身服（红色）</w:t>
            </w:r>
          </w:p>
        </w:tc>
        <w:tc>
          <w:tcPr>
            <w:tcW w:w="1125" w:type="dxa"/>
            <w:tcBorders>
              <w:tl2br w:val="nil"/>
              <w:tr2bl w:val="nil"/>
            </w:tcBorders>
            <w:vAlign w:val="center"/>
          </w:tcPr>
          <w:p w14:paraId="310AC4F8">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6套</w:t>
            </w:r>
          </w:p>
        </w:tc>
        <w:tc>
          <w:tcPr>
            <w:tcW w:w="1771" w:type="dxa"/>
            <w:vMerge w:val="continue"/>
            <w:tcBorders>
              <w:tl2br w:val="nil"/>
              <w:tr2bl w:val="nil"/>
            </w:tcBorders>
            <w:vAlign w:val="center"/>
          </w:tcPr>
          <w:p w14:paraId="23442365">
            <w:pPr>
              <w:widowControl w:val="0"/>
              <w:spacing w:before="22"/>
              <w:jc w:val="center"/>
              <w:rPr>
                <w:rFonts w:hint="default" w:ascii="Times New Roman" w:hAnsi="Times New Roman" w:cs="Times New Roman"/>
                <w:color w:val="auto"/>
                <w:sz w:val="21"/>
                <w:szCs w:val="21"/>
                <w:vertAlign w:val="baseline"/>
              </w:rPr>
            </w:pPr>
          </w:p>
        </w:tc>
      </w:tr>
      <w:tr w14:paraId="15CDCF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7AA7E9F6">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7C43DDAC">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RAT救援坐侍</w:t>
            </w:r>
          </w:p>
        </w:tc>
        <w:tc>
          <w:tcPr>
            <w:tcW w:w="1125" w:type="dxa"/>
            <w:tcBorders>
              <w:tl2br w:val="nil"/>
              <w:tr2bl w:val="nil"/>
            </w:tcBorders>
            <w:vAlign w:val="center"/>
          </w:tcPr>
          <w:p w14:paraId="23D3CC8F">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2套</w:t>
            </w:r>
          </w:p>
        </w:tc>
        <w:tc>
          <w:tcPr>
            <w:tcW w:w="1771" w:type="dxa"/>
            <w:vMerge w:val="continue"/>
            <w:tcBorders>
              <w:tl2br w:val="nil"/>
              <w:tr2bl w:val="nil"/>
            </w:tcBorders>
            <w:vAlign w:val="center"/>
          </w:tcPr>
          <w:p w14:paraId="54CCE078">
            <w:pPr>
              <w:widowControl w:val="0"/>
              <w:spacing w:before="22"/>
              <w:jc w:val="center"/>
              <w:rPr>
                <w:rFonts w:hint="default" w:ascii="Times New Roman" w:hAnsi="Times New Roman" w:cs="Times New Roman"/>
                <w:color w:val="auto"/>
                <w:sz w:val="21"/>
                <w:szCs w:val="21"/>
                <w:vertAlign w:val="baseline"/>
              </w:rPr>
            </w:pPr>
          </w:p>
        </w:tc>
      </w:tr>
      <w:tr w14:paraId="50CA4B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18B39D1A">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71AF243F">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自给式空气呼吸器MSA</w:t>
            </w:r>
          </w:p>
        </w:tc>
        <w:tc>
          <w:tcPr>
            <w:tcW w:w="1125" w:type="dxa"/>
            <w:tcBorders>
              <w:tl2br w:val="nil"/>
              <w:tr2bl w:val="nil"/>
            </w:tcBorders>
            <w:vAlign w:val="center"/>
          </w:tcPr>
          <w:p w14:paraId="41D56EAA">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4套</w:t>
            </w:r>
          </w:p>
        </w:tc>
        <w:tc>
          <w:tcPr>
            <w:tcW w:w="1771" w:type="dxa"/>
            <w:vMerge w:val="continue"/>
            <w:tcBorders>
              <w:tl2br w:val="nil"/>
              <w:tr2bl w:val="nil"/>
            </w:tcBorders>
            <w:vAlign w:val="center"/>
          </w:tcPr>
          <w:p w14:paraId="544697DF">
            <w:pPr>
              <w:widowControl w:val="0"/>
              <w:spacing w:before="22"/>
              <w:jc w:val="center"/>
              <w:rPr>
                <w:rFonts w:hint="default" w:ascii="Times New Roman" w:hAnsi="Times New Roman" w:cs="Times New Roman"/>
                <w:color w:val="auto"/>
                <w:sz w:val="21"/>
                <w:szCs w:val="21"/>
                <w:vertAlign w:val="baseline"/>
              </w:rPr>
            </w:pPr>
          </w:p>
        </w:tc>
      </w:tr>
      <w:tr w14:paraId="1FA4BA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4D7957B3">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7D5AC715">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喇叭</w:t>
            </w:r>
          </w:p>
        </w:tc>
        <w:tc>
          <w:tcPr>
            <w:tcW w:w="1125" w:type="dxa"/>
            <w:tcBorders>
              <w:tl2br w:val="nil"/>
              <w:tr2bl w:val="nil"/>
            </w:tcBorders>
            <w:vAlign w:val="center"/>
          </w:tcPr>
          <w:p w14:paraId="0A3E21AF">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4个</w:t>
            </w:r>
          </w:p>
        </w:tc>
        <w:tc>
          <w:tcPr>
            <w:tcW w:w="1771" w:type="dxa"/>
            <w:vMerge w:val="continue"/>
            <w:tcBorders>
              <w:tl2br w:val="nil"/>
              <w:tr2bl w:val="nil"/>
            </w:tcBorders>
            <w:vAlign w:val="center"/>
          </w:tcPr>
          <w:p w14:paraId="205E23F8">
            <w:pPr>
              <w:widowControl w:val="0"/>
              <w:spacing w:before="22"/>
              <w:jc w:val="center"/>
              <w:rPr>
                <w:rFonts w:hint="default" w:ascii="Times New Roman" w:hAnsi="Times New Roman" w:cs="Times New Roman"/>
                <w:color w:val="auto"/>
                <w:sz w:val="21"/>
                <w:szCs w:val="21"/>
                <w:vertAlign w:val="baseline"/>
              </w:rPr>
            </w:pPr>
          </w:p>
        </w:tc>
      </w:tr>
      <w:tr w14:paraId="6C422B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4DEA38C6">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55424DC1">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高温环境型堵漏剂</w:t>
            </w:r>
          </w:p>
        </w:tc>
        <w:tc>
          <w:tcPr>
            <w:tcW w:w="1125" w:type="dxa"/>
            <w:tcBorders>
              <w:tl2br w:val="nil"/>
              <w:tr2bl w:val="nil"/>
            </w:tcBorders>
            <w:vAlign w:val="center"/>
          </w:tcPr>
          <w:p w14:paraId="513E7BD3">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2瓶</w:t>
            </w:r>
          </w:p>
        </w:tc>
        <w:tc>
          <w:tcPr>
            <w:tcW w:w="1771" w:type="dxa"/>
            <w:vMerge w:val="continue"/>
            <w:tcBorders>
              <w:tl2br w:val="nil"/>
              <w:tr2bl w:val="nil"/>
            </w:tcBorders>
            <w:vAlign w:val="center"/>
          </w:tcPr>
          <w:p w14:paraId="4167A19B">
            <w:pPr>
              <w:widowControl w:val="0"/>
              <w:spacing w:before="22"/>
              <w:jc w:val="center"/>
              <w:rPr>
                <w:rFonts w:hint="default" w:ascii="Times New Roman" w:hAnsi="Times New Roman" w:cs="Times New Roman"/>
                <w:color w:val="auto"/>
                <w:sz w:val="21"/>
                <w:szCs w:val="21"/>
                <w:vertAlign w:val="baseline"/>
              </w:rPr>
            </w:pPr>
          </w:p>
        </w:tc>
      </w:tr>
      <w:tr w14:paraId="51F655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66F9D5DE">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478394FF">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通用型吸附棉片</w:t>
            </w:r>
          </w:p>
        </w:tc>
        <w:tc>
          <w:tcPr>
            <w:tcW w:w="1125" w:type="dxa"/>
            <w:tcBorders>
              <w:tl2br w:val="nil"/>
              <w:tr2bl w:val="nil"/>
            </w:tcBorders>
            <w:vAlign w:val="center"/>
          </w:tcPr>
          <w:p w14:paraId="328E055D">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2包</w:t>
            </w:r>
          </w:p>
        </w:tc>
        <w:tc>
          <w:tcPr>
            <w:tcW w:w="1771" w:type="dxa"/>
            <w:vMerge w:val="continue"/>
            <w:tcBorders>
              <w:tl2br w:val="nil"/>
              <w:tr2bl w:val="nil"/>
            </w:tcBorders>
            <w:vAlign w:val="center"/>
          </w:tcPr>
          <w:p w14:paraId="21900FA5">
            <w:pPr>
              <w:widowControl w:val="0"/>
              <w:spacing w:before="22"/>
              <w:jc w:val="center"/>
              <w:rPr>
                <w:rFonts w:hint="default" w:ascii="Times New Roman" w:hAnsi="Times New Roman" w:cs="Times New Roman"/>
                <w:color w:val="auto"/>
                <w:sz w:val="21"/>
                <w:szCs w:val="21"/>
                <w:vertAlign w:val="baseline"/>
              </w:rPr>
            </w:pPr>
          </w:p>
        </w:tc>
      </w:tr>
      <w:tr w14:paraId="246DE9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1E6F0024">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22E100D5">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泄漏应急处理柜</w:t>
            </w:r>
          </w:p>
        </w:tc>
        <w:tc>
          <w:tcPr>
            <w:tcW w:w="1125" w:type="dxa"/>
            <w:tcBorders>
              <w:tl2br w:val="nil"/>
              <w:tr2bl w:val="nil"/>
            </w:tcBorders>
            <w:vAlign w:val="center"/>
          </w:tcPr>
          <w:p w14:paraId="07CCAE93">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1台</w:t>
            </w:r>
          </w:p>
        </w:tc>
        <w:tc>
          <w:tcPr>
            <w:tcW w:w="1771" w:type="dxa"/>
            <w:vMerge w:val="continue"/>
            <w:tcBorders>
              <w:tl2br w:val="nil"/>
              <w:tr2bl w:val="nil"/>
            </w:tcBorders>
            <w:vAlign w:val="center"/>
          </w:tcPr>
          <w:p w14:paraId="2B503353">
            <w:pPr>
              <w:widowControl w:val="0"/>
              <w:spacing w:before="22"/>
              <w:jc w:val="center"/>
              <w:rPr>
                <w:rFonts w:hint="default" w:ascii="Times New Roman" w:hAnsi="Times New Roman" w:cs="Times New Roman"/>
                <w:color w:val="auto"/>
                <w:sz w:val="21"/>
                <w:szCs w:val="21"/>
                <w:vertAlign w:val="baseline"/>
              </w:rPr>
            </w:pPr>
          </w:p>
        </w:tc>
      </w:tr>
      <w:tr w14:paraId="6C6E8B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325F28F1">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53D50846">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灭火毯L50287</w:t>
            </w:r>
          </w:p>
        </w:tc>
        <w:tc>
          <w:tcPr>
            <w:tcW w:w="1125" w:type="dxa"/>
            <w:tcBorders>
              <w:tl2br w:val="nil"/>
              <w:tr2bl w:val="nil"/>
            </w:tcBorders>
            <w:vAlign w:val="center"/>
          </w:tcPr>
          <w:p w14:paraId="7089F737">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2张</w:t>
            </w:r>
          </w:p>
        </w:tc>
        <w:tc>
          <w:tcPr>
            <w:tcW w:w="1771" w:type="dxa"/>
            <w:vMerge w:val="continue"/>
            <w:tcBorders>
              <w:tl2br w:val="nil"/>
              <w:tr2bl w:val="nil"/>
            </w:tcBorders>
            <w:vAlign w:val="center"/>
          </w:tcPr>
          <w:p w14:paraId="10E13540">
            <w:pPr>
              <w:widowControl w:val="0"/>
              <w:spacing w:before="22"/>
              <w:jc w:val="center"/>
              <w:rPr>
                <w:rFonts w:hint="default" w:ascii="Times New Roman" w:hAnsi="Times New Roman" w:cs="Times New Roman"/>
                <w:color w:val="auto"/>
                <w:sz w:val="21"/>
                <w:szCs w:val="21"/>
                <w:vertAlign w:val="baseline"/>
              </w:rPr>
            </w:pPr>
          </w:p>
        </w:tc>
      </w:tr>
      <w:tr w14:paraId="00DF1A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4A6AEFEF">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02FCF920">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消防服</w:t>
            </w:r>
          </w:p>
        </w:tc>
        <w:tc>
          <w:tcPr>
            <w:tcW w:w="1125" w:type="dxa"/>
            <w:tcBorders>
              <w:tl2br w:val="nil"/>
              <w:tr2bl w:val="nil"/>
            </w:tcBorders>
            <w:vAlign w:val="center"/>
          </w:tcPr>
          <w:p w14:paraId="1258F85A">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2套</w:t>
            </w:r>
          </w:p>
        </w:tc>
        <w:tc>
          <w:tcPr>
            <w:tcW w:w="1771" w:type="dxa"/>
            <w:vMerge w:val="continue"/>
            <w:tcBorders>
              <w:tl2br w:val="nil"/>
              <w:tr2bl w:val="nil"/>
            </w:tcBorders>
            <w:vAlign w:val="center"/>
          </w:tcPr>
          <w:p w14:paraId="225EB091">
            <w:pPr>
              <w:widowControl w:val="0"/>
              <w:spacing w:before="22"/>
              <w:jc w:val="center"/>
              <w:rPr>
                <w:rFonts w:hint="default" w:ascii="Times New Roman" w:hAnsi="Times New Roman" w:cs="Times New Roman"/>
                <w:color w:val="auto"/>
                <w:sz w:val="21"/>
                <w:szCs w:val="21"/>
                <w:vertAlign w:val="baseline"/>
              </w:rPr>
            </w:pPr>
          </w:p>
        </w:tc>
      </w:tr>
      <w:tr w14:paraId="2E9C1B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6C8CACD1">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1BA7CA17">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消防头盔（黄色）</w:t>
            </w:r>
          </w:p>
        </w:tc>
        <w:tc>
          <w:tcPr>
            <w:tcW w:w="1125" w:type="dxa"/>
            <w:tcBorders>
              <w:tl2br w:val="nil"/>
              <w:tr2bl w:val="nil"/>
            </w:tcBorders>
            <w:vAlign w:val="center"/>
          </w:tcPr>
          <w:p w14:paraId="40EBEED6">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2顶</w:t>
            </w:r>
          </w:p>
        </w:tc>
        <w:tc>
          <w:tcPr>
            <w:tcW w:w="1771" w:type="dxa"/>
            <w:vMerge w:val="continue"/>
            <w:tcBorders>
              <w:tl2br w:val="nil"/>
              <w:tr2bl w:val="nil"/>
            </w:tcBorders>
            <w:vAlign w:val="center"/>
          </w:tcPr>
          <w:p w14:paraId="6E918374">
            <w:pPr>
              <w:widowControl w:val="0"/>
              <w:spacing w:before="22"/>
              <w:jc w:val="center"/>
              <w:rPr>
                <w:rFonts w:hint="default" w:ascii="Times New Roman" w:hAnsi="Times New Roman" w:cs="Times New Roman"/>
                <w:color w:val="auto"/>
                <w:sz w:val="21"/>
                <w:szCs w:val="21"/>
                <w:vertAlign w:val="baseline"/>
              </w:rPr>
            </w:pPr>
          </w:p>
        </w:tc>
      </w:tr>
      <w:tr w14:paraId="493679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015591B3">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793D0E00">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经济型消防员战斗靴</w:t>
            </w:r>
          </w:p>
        </w:tc>
        <w:tc>
          <w:tcPr>
            <w:tcW w:w="1125" w:type="dxa"/>
            <w:tcBorders>
              <w:tl2br w:val="nil"/>
              <w:tr2bl w:val="nil"/>
            </w:tcBorders>
            <w:vAlign w:val="center"/>
          </w:tcPr>
          <w:p w14:paraId="352FF78D">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2双</w:t>
            </w:r>
          </w:p>
        </w:tc>
        <w:tc>
          <w:tcPr>
            <w:tcW w:w="1771" w:type="dxa"/>
            <w:vMerge w:val="continue"/>
            <w:tcBorders>
              <w:tl2br w:val="nil"/>
              <w:tr2bl w:val="nil"/>
            </w:tcBorders>
            <w:vAlign w:val="center"/>
          </w:tcPr>
          <w:p w14:paraId="3C4B1127">
            <w:pPr>
              <w:widowControl w:val="0"/>
              <w:spacing w:before="22"/>
              <w:jc w:val="center"/>
              <w:rPr>
                <w:rFonts w:hint="default" w:ascii="Times New Roman" w:hAnsi="Times New Roman" w:cs="Times New Roman"/>
                <w:color w:val="auto"/>
                <w:sz w:val="21"/>
                <w:szCs w:val="21"/>
                <w:vertAlign w:val="baseline"/>
              </w:rPr>
            </w:pPr>
          </w:p>
        </w:tc>
      </w:tr>
      <w:tr w14:paraId="474AE5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00FD2242">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11A5B437">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消防员手套</w:t>
            </w:r>
          </w:p>
        </w:tc>
        <w:tc>
          <w:tcPr>
            <w:tcW w:w="1125" w:type="dxa"/>
            <w:tcBorders>
              <w:tl2br w:val="nil"/>
              <w:tr2bl w:val="nil"/>
            </w:tcBorders>
            <w:vAlign w:val="center"/>
          </w:tcPr>
          <w:p w14:paraId="6E6A1D88">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2双</w:t>
            </w:r>
          </w:p>
        </w:tc>
        <w:tc>
          <w:tcPr>
            <w:tcW w:w="1771" w:type="dxa"/>
            <w:vMerge w:val="continue"/>
            <w:tcBorders>
              <w:tl2br w:val="nil"/>
              <w:tr2bl w:val="nil"/>
            </w:tcBorders>
            <w:vAlign w:val="center"/>
          </w:tcPr>
          <w:p w14:paraId="1E54B778">
            <w:pPr>
              <w:widowControl w:val="0"/>
              <w:spacing w:before="22"/>
              <w:jc w:val="center"/>
              <w:rPr>
                <w:rFonts w:hint="default" w:ascii="Times New Roman" w:hAnsi="Times New Roman" w:cs="Times New Roman"/>
                <w:color w:val="auto"/>
                <w:sz w:val="21"/>
                <w:szCs w:val="21"/>
                <w:vertAlign w:val="baseline"/>
              </w:rPr>
            </w:pPr>
          </w:p>
        </w:tc>
      </w:tr>
      <w:tr w14:paraId="6F704C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308873E6">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2CB15868">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玻璃钢安全帽（红色）</w:t>
            </w:r>
          </w:p>
        </w:tc>
        <w:tc>
          <w:tcPr>
            <w:tcW w:w="1125" w:type="dxa"/>
            <w:tcBorders>
              <w:tl2br w:val="nil"/>
              <w:tr2bl w:val="nil"/>
            </w:tcBorders>
            <w:vAlign w:val="center"/>
          </w:tcPr>
          <w:p w14:paraId="5D37CC9B">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4顶</w:t>
            </w:r>
          </w:p>
        </w:tc>
        <w:tc>
          <w:tcPr>
            <w:tcW w:w="1771" w:type="dxa"/>
            <w:vMerge w:val="continue"/>
            <w:tcBorders>
              <w:tl2br w:val="nil"/>
              <w:tr2bl w:val="nil"/>
            </w:tcBorders>
            <w:vAlign w:val="center"/>
          </w:tcPr>
          <w:p w14:paraId="34D18762">
            <w:pPr>
              <w:widowControl w:val="0"/>
              <w:spacing w:before="22"/>
              <w:jc w:val="center"/>
              <w:rPr>
                <w:rFonts w:hint="default" w:ascii="Times New Roman" w:hAnsi="Times New Roman" w:cs="Times New Roman"/>
                <w:color w:val="auto"/>
                <w:sz w:val="21"/>
                <w:szCs w:val="21"/>
                <w:vertAlign w:val="baseline"/>
              </w:rPr>
            </w:pPr>
          </w:p>
        </w:tc>
      </w:tr>
      <w:tr w14:paraId="5DD3A0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378F414F">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68457E57">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救援头盔</w:t>
            </w:r>
          </w:p>
        </w:tc>
        <w:tc>
          <w:tcPr>
            <w:tcW w:w="1125" w:type="dxa"/>
            <w:tcBorders>
              <w:tl2br w:val="nil"/>
              <w:tr2bl w:val="nil"/>
            </w:tcBorders>
            <w:vAlign w:val="center"/>
          </w:tcPr>
          <w:p w14:paraId="739E59F6">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4顶</w:t>
            </w:r>
          </w:p>
        </w:tc>
        <w:tc>
          <w:tcPr>
            <w:tcW w:w="1771" w:type="dxa"/>
            <w:vMerge w:val="continue"/>
            <w:tcBorders>
              <w:tl2br w:val="nil"/>
              <w:tr2bl w:val="nil"/>
            </w:tcBorders>
            <w:vAlign w:val="center"/>
          </w:tcPr>
          <w:p w14:paraId="32424E51">
            <w:pPr>
              <w:widowControl w:val="0"/>
              <w:spacing w:before="22"/>
              <w:jc w:val="center"/>
              <w:rPr>
                <w:rFonts w:hint="default" w:ascii="Times New Roman" w:hAnsi="Times New Roman" w:cs="Times New Roman"/>
                <w:color w:val="auto"/>
                <w:sz w:val="21"/>
                <w:szCs w:val="21"/>
                <w:vertAlign w:val="baseline"/>
              </w:rPr>
            </w:pPr>
          </w:p>
        </w:tc>
      </w:tr>
      <w:tr w14:paraId="4117A3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36088AA4">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5924BB8C">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耐高温防护手套</w:t>
            </w:r>
          </w:p>
        </w:tc>
        <w:tc>
          <w:tcPr>
            <w:tcW w:w="1125" w:type="dxa"/>
            <w:tcBorders>
              <w:tl2br w:val="nil"/>
              <w:tr2bl w:val="nil"/>
            </w:tcBorders>
            <w:vAlign w:val="center"/>
          </w:tcPr>
          <w:p w14:paraId="1E66534E">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4双</w:t>
            </w:r>
          </w:p>
        </w:tc>
        <w:tc>
          <w:tcPr>
            <w:tcW w:w="1771" w:type="dxa"/>
            <w:vMerge w:val="continue"/>
            <w:tcBorders>
              <w:tl2br w:val="nil"/>
              <w:tr2bl w:val="nil"/>
            </w:tcBorders>
            <w:vAlign w:val="center"/>
          </w:tcPr>
          <w:p w14:paraId="34338466">
            <w:pPr>
              <w:widowControl w:val="0"/>
              <w:spacing w:before="22"/>
              <w:jc w:val="center"/>
              <w:rPr>
                <w:rFonts w:hint="default" w:ascii="Times New Roman" w:hAnsi="Times New Roman" w:cs="Times New Roman"/>
                <w:color w:val="auto"/>
                <w:sz w:val="21"/>
                <w:szCs w:val="21"/>
                <w:vertAlign w:val="baseline"/>
              </w:rPr>
            </w:pPr>
          </w:p>
        </w:tc>
      </w:tr>
      <w:tr w14:paraId="14AAAB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1D9F192F">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38EF8050">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绝缘手套</w:t>
            </w:r>
          </w:p>
        </w:tc>
        <w:tc>
          <w:tcPr>
            <w:tcW w:w="1125" w:type="dxa"/>
            <w:tcBorders>
              <w:tl2br w:val="nil"/>
              <w:tr2bl w:val="nil"/>
            </w:tcBorders>
            <w:vAlign w:val="center"/>
          </w:tcPr>
          <w:p w14:paraId="6295D76E">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5双</w:t>
            </w:r>
          </w:p>
        </w:tc>
        <w:tc>
          <w:tcPr>
            <w:tcW w:w="1771" w:type="dxa"/>
            <w:vMerge w:val="continue"/>
            <w:tcBorders>
              <w:tl2br w:val="nil"/>
              <w:tr2bl w:val="nil"/>
            </w:tcBorders>
            <w:vAlign w:val="center"/>
          </w:tcPr>
          <w:p w14:paraId="2EB1CD7C">
            <w:pPr>
              <w:widowControl w:val="0"/>
              <w:spacing w:before="22"/>
              <w:jc w:val="center"/>
              <w:rPr>
                <w:rFonts w:hint="default" w:ascii="Times New Roman" w:hAnsi="Times New Roman" w:cs="Times New Roman"/>
                <w:color w:val="auto"/>
                <w:sz w:val="21"/>
                <w:szCs w:val="21"/>
                <w:vertAlign w:val="baseline"/>
              </w:rPr>
            </w:pPr>
          </w:p>
        </w:tc>
      </w:tr>
      <w:tr w14:paraId="7F2A5D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7218482F">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41E32ED7">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带侧翼铝制护颈护膝脚盖</w:t>
            </w:r>
          </w:p>
        </w:tc>
        <w:tc>
          <w:tcPr>
            <w:tcW w:w="1125" w:type="dxa"/>
            <w:tcBorders>
              <w:tl2br w:val="nil"/>
              <w:tr2bl w:val="nil"/>
            </w:tcBorders>
            <w:vAlign w:val="center"/>
          </w:tcPr>
          <w:p w14:paraId="161464E7">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2件</w:t>
            </w:r>
          </w:p>
        </w:tc>
        <w:tc>
          <w:tcPr>
            <w:tcW w:w="1771" w:type="dxa"/>
            <w:vMerge w:val="continue"/>
            <w:tcBorders>
              <w:tl2br w:val="nil"/>
              <w:tr2bl w:val="nil"/>
            </w:tcBorders>
            <w:vAlign w:val="center"/>
          </w:tcPr>
          <w:p w14:paraId="47924093">
            <w:pPr>
              <w:widowControl w:val="0"/>
              <w:spacing w:before="22"/>
              <w:jc w:val="center"/>
              <w:rPr>
                <w:rFonts w:hint="default" w:ascii="Times New Roman" w:hAnsi="Times New Roman" w:cs="Times New Roman"/>
                <w:color w:val="auto"/>
                <w:sz w:val="21"/>
                <w:szCs w:val="21"/>
                <w:vertAlign w:val="baseline"/>
              </w:rPr>
            </w:pPr>
          </w:p>
        </w:tc>
      </w:tr>
      <w:tr w14:paraId="7D7136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73CEA392">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375BC56F">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安全绳</w:t>
            </w:r>
          </w:p>
        </w:tc>
        <w:tc>
          <w:tcPr>
            <w:tcW w:w="1125" w:type="dxa"/>
            <w:tcBorders>
              <w:tl2br w:val="nil"/>
              <w:tr2bl w:val="nil"/>
            </w:tcBorders>
            <w:vAlign w:val="center"/>
          </w:tcPr>
          <w:p w14:paraId="3289826A">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1根</w:t>
            </w:r>
          </w:p>
        </w:tc>
        <w:tc>
          <w:tcPr>
            <w:tcW w:w="1771" w:type="dxa"/>
            <w:vMerge w:val="continue"/>
            <w:tcBorders>
              <w:tl2br w:val="nil"/>
              <w:tr2bl w:val="nil"/>
            </w:tcBorders>
            <w:vAlign w:val="center"/>
          </w:tcPr>
          <w:p w14:paraId="15A16C77">
            <w:pPr>
              <w:widowControl w:val="0"/>
              <w:spacing w:before="22"/>
              <w:jc w:val="center"/>
              <w:rPr>
                <w:rFonts w:hint="default" w:ascii="Times New Roman" w:hAnsi="Times New Roman" w:cs="Times New Roman"/>
                <w:color w:val="auto"/>
                <w:sz w:val="21"/>
                <w:szCs w:val="21"/>
                <w:vertAlign w:val="baseline"/>
              </w:rPr>
            </w:pPr>
          </w:p>
        </w:tc>
      </w:tr>
      <w:tr w14:paraId="105A95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52EBD027">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63865D99">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标准排风器</w:t>
            </w:r>
          </w:p>
        </w:tc>
        <w:tc>
          <w:tcPr>
            <w:tcW w:w="1125" w:type="dxa"/>
            <w:tcBorders>
              <w:tl2br w:val="nil"/>
              <w:tr2bl w:val="nil"/>
            </w:tcBorders>
            <w:vAlign w:val="center"/>
          </w:tcPr>
          <w:p w14:paraId="003A323D">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1台</w:t>
            </w:r>
          </w:p>
        </w:tc>
        <w:tc>
          <w:tcPr>
            <w:tcW w:w="1771" w:type="dxa"/>
            <w:vMerge w:val="continue"/>
            <w:tcBorders>
              <w:tl2br w:val="nil"/>
              <w:tr2bl w:val="nil"/>
            </w:tcBorders>
            <w:vAlign w:val="center"/>
          </w:tcPr>
          <w:p w14:paraId="6E0DF0F1">
            <w:pPr>
              <w:widowControl w:val="0"/>
              <w:spacing w:before="22"/>
              <w:jc w:val="center"/>
              <w:rPr>
                <w:rFonts w:hint="default" w:ascii="Times New Roman" w:hAnsi="Times New Roman" w:cs="Times New Roman"/>
                <w:color w:val="auto"/>
                <w:sz w:val="21"/>
                <w:szCs w:val="21"/>
                <w:vertAlign w:val="baseline"/>
              </w:rPr>
            </w:pPr>
          </w:p>
        </w:tc>
      </w:tr>
      <w:tr w14:paraId="126755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635905FD">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65FABE4A">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排风管</w:t>
            </w:r>
          </w:p>
        </w:tc>
        <w:tc>
          <w:tcPr>
            <w:tcW w:w="1125" w:type="dxa"/>
            <w:tcBorders>
              <w:tl2br w:val="nil"/>
              <w:tr2bl w:val="nil"/>
            </w:tcBorders>
            <w:vAlign w:val="center"/>
          </w:tcPr>
          <w:p w14:paraId="72DA05C7">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1根</w:t>
            </w:r>
          </w:p>
        </w:tc>
        <w:tc>
          <w:tcPr>
            <w:tcW w:w="1771" w:type="dxa"/>
            <w:vMerge w:val="continue"/>
            <w:tcBorders>
              <w:tl2br w:val="nil"/>
              <w:tr2bl w:val="nil"/>
            </w:tcBorders>
            <w:vAlign w:val="center"/>
          </w:tcPr>
          <w:p w14:paraId="2659A72C">
            <w:pPr>
              <w:widowControl w:val="0"/>
              <w:spacing w:before="22"/>
              <w:jc w:val="center"/>
              <w:rPr>
                <w:rFonts w:hint="default" w:ascii="Times New Roman" w:hAnsi="Times New Roman" w:cs="Times New Roman"/>
                <w:color w:val="auto"/>
                <w:sz w:val="21"/>
                <w:szCs w:val="21"/>
                <w:vertAlign w:val="baseline"/>
              </w:rPr>
            </w:pPr>
          </w:p>
        </w:tc>
      </w:tr>
      <w:tr w14:paraId="2FBC1C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564444E2">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50FCA37B">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手提</w:t>
            </w:r>
            <w:r>
              <w:rPr>
                <w:rFonts w:hint="default" w:ascii="Times New Roman" w:hAnsi="Times New Roman" w:eastAsia="宋体" w:cs="Times New Roman"/>
                <w:color w:val="auto"/>
                <w:sz w:val="21"/>
                <w:szCs w:val="21"/>
                <w:vertAlign w:val="baseline"/>
                <w:lang w:val="en-US" w:eastAsia="zh-CN"/>
              </w:rPr>
              <w:t>式消防泵</w:t>
            </w:r>
          </w:p>
        </w:tc>
        <w:tc>
          <w:tcPr>
            <w:tcW w:w="1125" w:type="dxa"/>
            <w:tcBorders>
              <w:tl2br w:val="nil"/>
              <w:tr2bl w:val="nil"/>
            </w:tcBorders>
            <w:vAlign w:val="center"/>
          </w:tcPr>
          <w:p w14:paraId="66C75FF8">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2台</w:t>
            </w:r>
          </w:p>
        </w:tc>
        <w:tc>
          <w:tcPr>
            <w:tcW w:w="1771" w:type="dxa"/>
            <w:vMerge w:val="continue"/>
            <w:tcBorders>
              <w:tl2br w:val="nil"/>
              <w:tr2bl w:val="nil"/>
            </w:tcBorders>
            <w:vAlign w:val="center"/>
          </w:tcPr>
          <w:p w14:paraId="238D2ED1">
            <w:pPr>
              <w:widowControl w:val="0"/>
              <w:spacing w:before="22"/>
              <w:jc w:val="center"/>
              <w:rPr>
                <w:rFonts w:hint="default" w:ascii="Times New Roman" w:hAnsi="Times New Roman" w:cs="Times New Roman"/>
                <w:color w:val="auto"/>
                <w:sz w:val="21"/>
                <w:szCs w:val="21"/>
                <w:vertAlign w:val="baseline"/>
              </w:rPr>
            </w:pPr>
          </w:p>
        </w:tc>
      </w:tr>
      <w:tr w14:paraId="36CB95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4C493F8B">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5D13071C">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消防斧360MM</w:t>
            </w:r>
          </w:p>
        </w:tc>
        <w:tc>
          <w:tcPr>
            <w:tcW w:w="1125" w:type="dxa"/>
            <w:tcBorders>
              <w:tl2br w:val="nil"/>
              <w:tr2bl w:val="nil"/>
            </w:tcBorders>
            <w:vAlign w:val="center"/>
          </w:tcPr>
          <w:p w14:paraId="3E175DD6">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3把</w:t>
            </w:r>
          </w:p>
        </w:tc>
        <w:tc>
          <w:tcPr>
            <w:tcW w:w="1771" w:type="dxa"/>
            <w:vMerge w:val="continue"/>
            <w:tcBorders>
              <w:tl2br w:val="nil"/>
              <w:tr2bl w:val="nil"/>
            </w:tcBorders>
            <w:vAlign w:val="center"/>
          </w:tcPr>
          <w:p w14:paraId="193D2D24">
            <w:pPr>
              <w:widowControl w:val="0"/>
              <w:spacing w:before="22"/>
              <w:jc w:val="center"/>
              <w:rPr>
                <w:rFonts w:hint="default" w:ascii="Times New Roman" w:hAnsi="Times New Roman" w:cs="Times New Roman"/>
                <w:color w:val="auto"/>
                <w:sz w:val="21"/>
                <w:szCs w:val="21"/>
                <w:vertAlign w:val="baseline"/>
              </w:rPr>
            </w:pPr>
          </w:p>
        </w:tc>
      </w:tr>
      <w:tr w14:paraId="7EA57F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33B5B8D6">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514A025E">
            <w:pPr>
              <w:widowControl w:val="0"/>
              <w:spacing w:before="22"/>
              <w:jc w:val="center"/>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消防斧头800MM</w:t>
            </w:r>
          </w:p>
        </w:tc>
        <w:tc>
          <w:tcPr>
            <w:tcW w:w="1125" w:type="dxa"/>
            <w:tcBorders>
              <w:tl2br w:val="nil"/>
              <w:tr2bl w:val="nil"/>
            </w:tcBorders>
            <w:vAlign w:val="center"/>
          </w:tcPr>
          <w:p w14:paraId="20ECDC07">
            <w:pPr>
              <w:widowControl w:val="0"/>
              <w:spacing w:before="22"/>
              <w:jc w:val="center"/>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3把</w:t>
            </w:r>
          </w:p>
        </w:tc>
        <w:tc>
          <w:tcPr>
            <w:tcW w:w="1771" w:type="dxa"/>
            <w:vMerge w:val="continue"/>
            <w:tcBorders>
              <w:tl2br w:val="nil"/>
              <w:tr2bl w:val="nil"/>
            </w:tcBorders>
            <w:vAlign w:val="center"/>
          </w:tcPr>
          <w:p w14:paraId="373EA291">
            <w:pPr>
              <w:widowControl w:val="0"/>
              <w:spacing w:before="22"/>
              <w:jc w:val="center"/>
              <w:rPr>
                <w:rFonts w:hint="default" w:ascii="Times New Roman" w:hAnsi="Times New Roman" w:cs="Times New Roman"/>
                <w:color w:val="auto"/>
                <w:sz w:val="21"/>
                <w:szCs w:val="21"/>
                <w:vertAlign w:val="baseline"/>
              </w:rPr>
            </w:pPr>
          </w:p>
        </w:tc>
      </w:tr>
      <w:tr w14:paraId="6E74ED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7EE0DD2B">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4BB79C13">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逃生缓降器</w:t>
            </w:r>
          </w:p>
        </w:tc>
        <w:tc>
          <w:tcPr>
            <w:tcW w:w="1125" w:type="dxa"/>
            <w:tcBorders>
              <w:tl2br w:val="nil"/>
              <w:tr2bl w:val="nil"/>
            </w:tcBorders>
            <w:vAlign w:val="center"/>
          </w:tcPr>
          <w:p w14:paraId="639D8AB2">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2套</w:t>
            </w:r>
          </w:p>
        </w:tc>
        <w:tc>
          <w:tcPr>
            <w:tcW w:w="1771" w:type="dxa"/>
            <w:vMerge w:val="continue"/>
            <w:tcBorders>
              <w:tl2br w:val="nil"/>
              <w:tr2bl w:val="nil"/>
            </w:tcBorders>
            <w:vAlign w:val="center"/>
          </w:tcPr>
          <w:p w14:paraId="44BECC49">
            <w:pPr>
              <w:widowControl w:val="0"/>
              <w:spacing w:before="22"/>
              <w:jc w:val="center"/>
              <w:rPr>
                <w:rFonts w:hint="default" w:ascii="Times New Roman" w:hAnsi="Times New Roman" w:cs="Times New Roman"/>
                <w:color w:val="auto"/>
                <w:sz w:val="21"/>
                <w:szCs w:val="21"/>
                <w:vertAlign w:val="baseline"/>
              </w:rPr>
            </w:pPr>
          </w:p>
        </w:tc>
      </w:tr>
      <w:tr w14:paraId="62AD61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786B8306">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735B8760">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救援</w:t>
            </w:r>
            <w:r>
              <w:rPr>
                <w:rFonts w:hint="eastAsia" w:ascii="Times New Roman" w:hAnsi="Times New Roman" w:eastAsia="宋体" w:cs="Times New Roman"/>
                <w:color w:val="auto"/>
                <w:sz w:val="21"/>
                <w:szCs w:val="21"/>
                <w:vertAlign w:val="baseline"/>
                <w:lang w:val="en-US" w:eastAsia="zh-CN"/>
              </w:rPr>
              <w:t>三脚架</w:t>
            </w:r>
          </w:p>
        </w:tc>
        <w:tc>
          <w:tcPr>
            <w:tcW w:w="1125" w:type="dxa"/>
            <w:tcBorders>
              <w:tl2br w:val="nil"/>
              <w:tr2bl w:val="nil"/>
            </w:tcBorders>
            <w:vAlign w:val="center"/>
          </w:tcPr>
          <w:p w14:paraId="6A0690C3">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1套</w:t>
            </w:r>
          </w:p>
        </w:tc>
        <w:tc>
          <w:tcPr>
            <w:tcW w:w="1771" w:type="dxa"/>
            <w:vMerge w:val="continue"/>
            <w:tcBorders>
              <w:tl2br w:val="nil"/>
              <w:tr2bl w:val="nil"/>
            </w:tcBorders>
            <w:vAlign w:val="center"/>
          </w:tcPr>
          <w:p w14:paraId="324C239E">
            <w:pPr>
              <w:widowControl w:val="0"/>
              <w:spacing w:before="22"/>
              <w:jc w:val="center"/>
              <w:rPr>
                <w:rFonts w:hint="default" w:ascii="Times New Roman" w:hAnsi="Times New Roman" w:cs="Times New Roman"/>
                <w:color w:val="auto"/>
                <w:sz w:val="21"/>
                <w:szCs w:val="21"/>
                <w:vertAlign w:val="baseline"/>
              </w:rPr>
            </w:pPr>
          </w:p>
        </w:tc>
      </w:tr>
      <w:tr w14:paraId="49B822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54A554A5">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6C397E9C">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绞盘</w:t>
            </w:r>
          </w:p>
        </w:tc>
        <w:tc>
          <w:tcPr>
            <w:tcW w:w="1125" w:type="dxa"/>
            <w:tcBorders>
              <w:tl2br w:val="nil"/>
              <w:tr2bl w:val="nil"/>
            </w:tcBorders>
            <w:vAlign w:val="center"/>
          </w:tcPr>
          <w:p w14:paraId="29F77DB0">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1套</w:t>
            </w:r>
          </w:p>
        </w:tc>
        <w:tc>
          <w:tcPr>
            <w:tcW w:w="1771" w:type="dxa"/>
            <w:vMerge w:val="continue"/>
            <w:tcBorders>
              <w:tl2br w:val="nil"/>
              <w:tr2bl w:val="nil"/>
            </w:tcBorders>
            <w:vAlign w:val="center"/>
          </w:tcPr>
          <w:p w14:paraId="48081379">
            <w:pPr>
              <w:widowControl w:val="0"/>
              <w:spacing w:before="22"/>
              <w:jc w:val="center"/>
              <w:rPr>
                <w:rFonts w:hint="default" w:ascii="Times New Roman" w:hAnsi="Times New Roman" w:cs="Times New Roman"/>
                <w:color w:val="auto"/>
                <w:sz w:val="21"/>
                <w:szCs w:val="21"/>
                <w:vertAlign w:val="baseline"/>
              </w:rPr>
            </w:pPr>
          </w:p>
        </w:tc>
      </w:tr>
      <w:tr w14:paraId="61DAB9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32AC3B45">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shd w:val="clear" w:color="auto" w:fill="auto"/>
            <w:vAlign w:val="center"/>
          </w:tcPr>
          <w:p w14:paraId="35CE8B3C">
            <w:pPr>
              <w:widowControl w:val="0"/>
              <w:spacing w:before="22"/>
              <w:jc w:val="center"/>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液压多功能钳</w:t>
            </w:r>
          </w:p>
        </w:tc>
        <w:tc>
          <w:tcPr>
            <w:tcW w:w="1125" w:type="dxa"/>
            <w:tcBorders>
              <w:tl2br w:val="nil"/>
              <w:tr2bl w:val="nil"/>
            </w:tcBorders>
            <w:shd w:val="clear" w:color="auto" w:fill="auto"/>
            <w:vAlign w:val="center"/>
          </w:tcPr>
          <w:p w14:paraId="27080BC3">
            <w:pPr>
              <w:widowControl w:val="0"/>
              <w:spacing w:before="22"/>
              <w:jc w:val="center"/>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1套</w:t>
            </w:r>
          </w:p>
        </w:tc>
        <w:tc>
          <w:tcPr>
            <w:tcW w:w="1771" w:type="dxa"/>
            <w:vMerge w:val="continue"/>
            <w:tcBorders>
              <w:tl2br w:val="nil"/>
              <w:tr2bl w:val="nil"/>
            </w:tcBorders>
            <w:vAlign w:val="center"/>
          </w:tcPr>
          <w:p w14:paraId="21FCE17B">
            <w:pPr>
              <w:widowControl w:val="0"/>
              <w:spacing w:before="22"/>
              <w:jc w:val="center"/>
              <w:rPr>
                <w:rFonts w:hint="default" w:ascii="Times New Roman" w:hAnsi="Times New Roman" w:cs="Times New Roman"/>
                <w:color w:val="auto"/>
                <w:sz w:val="21"/>
                <w:szCs w:val="21"/>
                <w:vertAlign w:val="baseline"/>
              </w:rPr>
            </w:pPr>
          </w:p>
        </w:tc>
      </w:tr>
      <w:tr w14:paraId="4A9D22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3785FD16">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45F91360">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事故应急池</w:t>
            </w:r>
          </w:p>
        </w:tc>
        <w:tc>
          <w:tcPr>
            <w:tcW w:w="1125" w:type="dxa"/>
            <w:tcBorders>
              <w:tl2br w:val="nil"/>
              <w:tr2bl w:val="nil"/>
            </w:tcBorders>
            <w:vAlign w:val="center"/>
          </w:tcPr>
          <w:p w14:paraId="4D0A2C9E">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100m</w:t>
            </w:r>
            <w:r>
              <w:rPr>
                <w:rFonts w:hint="eastAsia" w:ascii="Times New Roman" w:hAnsi="Times New Roman" w:eastAsia="宋体" w:cs="Times New Roman"/>
                <w:color w:val="auto"/>
                <w:sz w:val="21"/>
                <w:szCs w:val="21"/>
                <w:vertAlign w:val="superscript"/>
                <w:lang w:val="en-US" w:eastAsia="zh-CN"/>
              </w:rPr>
              <w:t>3</w:t>
            </w:r>
          </w:p>
        </w:tc>
        <w:tc>
          <w:tcPr>
            <w:tcW w:w="1771" w:type="dxa"/>
            <w:tcBorders>
              <w:tl2br w:val="nil"/>
              <w:tr2bl w:val="nil"/>
            </w:tcBorders>
            <w:vAlign w:val="center"/>
          </w:tcPr>
          <w:p w14:paraId="6FDB43E9">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厂区</w:t>
            </w:r>
          </w:p>
        </w:tc>
      </w:tr>
      <w:tr w14:paraId="3C3C4B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restart"/>
            <w:tcBorders>
              <w:tl2br w:val="nil"/>
              <w:tr2bl w:val="nil"/>
            </w:tcBorders>
            <w:vAlign w:val="center"/>
          </w:tcPr>
          <w:p w14:paraId="3BC3980C">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上汽大众汽车有限公司</w:t>
            </w:r>
          </w:p>
        </w:tc>
        <w:tc>
          <w:tcPr>
            <w:tcW w:w="3165" w:type="dxa"/>
            <w:tcBorders>
              <w:tl2br w:val="nil"/>
              <w:tr2bl w:val="nil"/>
            </w:tcBorders>
            <w:vAlign w:val="center"/>
          </w:tcPr>
          <w:p w14:paraId="53E523E7">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消防水带</w:t>
            </w:r>
          </w:p>
        </w:tc>
        <w:tc>
          <w:tcPr>
            <w:tcW w:w="1125" w:type="dxa"/>
            <w:tcBorders>
              <w:tl2br w:val="nil"/>
              <w:tr2bl w:val="nil"/>
            </w:tcBorders>
            <w:vAlign w:val="center"/>
          </w:tcPr>
          <w:p w14:paraId="48104FDD">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773条</w:t>
            </w:r>
          </w:p>
        </w:tc>
        <w:tc>
          <w:tcPr>
            <w:tcW w:w="1771" w:type="dxa"/>
            <w:tcBorders>
              <w:tl2br w:val="nil"/>
              <w:tr2bl w:val="nil"/>
            </w:tcBorders>
            <w:vAlign w:val="center"/>
          </w:tcPr>
          <w:p w14:paraId="2DFB5B45">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TFND</w:t>
            </w:r>
          </w:p>
        </w:tc>
      </w:tr>
      <w:tr w14:paraId="08DD5A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0706DCAE">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6DAF4A2D">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室外消火栓</w:t>
            </w:r>
          </w:p>
        </w:tc>
        <w:tc>
          <w:tcPr>
            <w:tcW w:w="1125" w:type="dxa"/>
            <w:tcBorders>
              <w:tl2br w:val="nil"/>
              <w:tr2bl w:val="nil"/>
            </w:tcBorders>
            <w:vAlign w:val="center"/>
          </w:tcPr>
          <w:p w14:paraId="39088B39">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78具</w:t>
            </w:r>
          </w:p>
        </w:tc>
        <w:tc>
          <w:tcPr>
            <w:tcW w:w="1771" w:type="dxa"/>
            <w:tcBorders>
              <w:tl2br w:val="nil"/>
              <w:tr2bl w:val="nil"/>
            </w:tcBorders>
            <w:vAlign w:val="center"/>
          </w:tcPr>
          <w:p w14:paraId="5C1BF6A7">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TFND</w:t>
            </w:r>
          </w:p>
        </w:tc>
      </w:tr>
      <w:tr w14:paraId="7417C9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01F3CCB1">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01AC93EC">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室内消火栓</w:t>
            </w:r>
          </w:p>
        </w:tc>
        <w:tc>
          <w:tcPr>
            <w:tcW w:w="1125" w:type="dxa"/>
            <w:tcBorders>
              <w:tl2br w:val="nil"/>
              <w:tr2bl w:val="nil"/>
            </w:tcBorders>
            <w:vAlign w:val="center"/>
          </w:tcPr>
          <w:p w14:paraId="798340E8">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773具</w:t>
            </w:r>
          </w:p>
        </w:tc>
        <w:tc>
          <w:tcPr>
            <w:tcW w:w="1771" w:type="dxa"/>
            <w:tcBorders>
              <w:tl2br w:val="nil"/>
              <w:tr2bl w:val="nil"/>
            </w:tcBorders>
            <w:vAlign w:val="center"/>
          </w:tcPr>
          <w:p w14:paraId="43D9E056">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TFND</w:t>
            </w:r>
          </w:p>
        </w:tc>
      </w:tr>
      <w:tr w14:paraId="1B14D1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293FD237">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11FA4D1B">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干粉灭火器</w:t>
            </w:r>
          </w:p>
        </w:tc>
        <w:tc>
          <w:tcPr>
            <w:tcW w:w="1125" w:type="dxa"/>
            <w:tcBorders>
              <w:tl2br w:val="nil"/>
              <w:tr2bl w:val="nil"/>
            </w:tcBorders>
            <w:vAlign w:val="center"/>
          </w:tcPr>
          <w:p w14:paraId="06C52CBF">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1677具</w:t>
            </w:r>
          </w:p>
        </w:tc>
        <w:tc>
          <w:tcPr>
            <w:tcW w:w="1771" w:type="dxa"/>
            <w:tcBorders>
              <w:tl2br w:val="nil"/>
              <w:tr2bl w:val="nil"/>
            </w:tcBorders>
            <w:vAlign w:val="center"/>
          </w:tcPr>
          <w:p w14:paraId="510FC4CF">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TFND</w:t>
            </w:r>
          </w:p>
        </w:tc>
      </w:tr>
      <w:tr w14:paraId="2BFCFD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4174ABF1">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20451A01">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二氧化碳灭火器</w:t>
            </w:r>
          </w:p>
        </w:tc>
        <w:tc>
          <w:tcPr>
            <w:tcW w:w="1125" w:type="dxa"/>
            <w:tcBorders>
              <w:tl2br w:val="nil"/>
              <w:tr2bl w:val="nil"/>
            </w:tcBorders>
            <w:vAlign w:val="center"/>
          </w:tcPr>
          <w:p w14:paraId="7A559BC4">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87具</w:t>
            </w:r>
          </w:p>
        </w:tc>
        <w:tc>
          <w:tcPr>
            <w:tcW w:w="1771" w:type="dxa"/>
            <w:tcBorders>
              <w:tl2br w:val="nil"/>
              <w:tr2bl w:val="nil"/>
            </w:tcBorders>
            <w:vAlign w:val="center"/>
          </w:tcPr>
          <w:p w14:paraId="0A480F5F">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TFND</w:t>
            </w:r>
          </w:p>
        </w:tc>
      </w:tr>
      <w:tr w14:paraId="2AE798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1034E832">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2FC20B45">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移动式汽油发电机</w:t>
            </w:r>
          </w:p>
        </w:tc>
        <w:tc>
          <w:tcPr>
            <w:tcW w:w="1125" w:type="dxa"/>
            <w:tcBorders>
              <w:tl2br w:val="nil"/>
              <w:tr2bl w:val="nil"/>
            </w:tcBorders>
            <w:vAlign w:val="center"/>
          </w:tcPr>
          <w:p w14:paraId="033FD0CF">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660具</w:t>
            </w:r>
          </w:p>
        </w:tc>
        <w:tc>
          <w:tcPr>
            <w:tcW w:w="1771" w:type="dxa"/>
            <w:tcBorders>
              <w:tl2br w:val="nil"/>
              <w:tr2bl w:val="nil"/>
            </w:tcBorders>
            <w:vAlign w:val="center"/>
          </w:tcPr>
          <w:p w14:paraId="22AC4403">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TFNT</w:t>
            </w:r>
          </w:p>
        </w:tc>
      </w:tr>
      <w:tr w14:paraId="4AC410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457AB51A">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3D221F97">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担架</w:t>
            </w:r>
          </w:p>
        </w:tc>
        <w:tc>
          <w:tcPr>
            <w:tcW w:w="1125" w:type="dxa"/>
            <w:tcBorders>
              <w:tl2br w:val="nil"/>
              <w:tr2bl w:val="nil"/>
            </w:tcBorders>
            <w:vAlign w:val="center"/>
          </w:tcPr>
          <w:p w14:paraId="25F9A574">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2个</w:t>
            </w:r>
          </w:p>
        </w:tc>
        <w:tc>
          <w:tcPr>
            <w:tcW w:w="1771" w:type="dxa"/>
            <w:tcBorders>
              <w:tl2br w:val="nil"/>
              <w:tr2bl w:val="nil"/>
            </w:tcBorders>
            <w:vAlign w:val="center"/>
          </w:tcPr>
          <w:p w14:paraId="713E2BA8">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医务室</w:t>
            </w:r>
          </w:p>
        </w:tc>
      </w:tr>
      <w:tr w14:paraId="68BA4C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7B090430">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2FCC9FCD">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简易呼吸囊</w:t>
            </w:r>
          </w:p>
        </w:tc>
        <w:tc>
          <w:tcPr>
            <w:tcW w:w="1125" w:type="dxa"/>
            <w:tcBorders>
              <w:tl2br w:val="nil"/>
              <w:tr2bl w:val="nil"/>
            </w:tcBorders>
            <w:vAlign w:val="center"/>
          </w:tcPr>
          <w:p w14:paraId="10D04535">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2个</w:t>
            </w:r>
          </w:p>
        </w:tc>
        <w:tc>
          <w:tcPr>
            <w:tcW w:w="1771" w:type="dxa"/>
            <w:tcBorders>
              <w:tl2br w:val="nil"/>
              <w:tr2bl w:val="nil"/>
            </w:tcBorders>
            <w:vAlign w:val="center"/>
          </w:tcPr>
          <w:p w14:paraId="657F7521">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医务室</w:t>
            </w:r>
          </w:p>
        </w:tc>
      </w:tr>
      <w:tr w14:paraId="6D9EAF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192A6244">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570C37DD">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剪刀</w:t>
            </w:r>
          </w:p>
        </w:tc>
        <w:tc>
          <w:tcPr>
            <w:tcW w:w="1125" w:type="dxa"/>
            <w:tcBorders>
              <w:tl2br w:val="nil"/>
              <w:tr2bl w:val="nil"/>
            </w:tcBorders>
            <w:vAlign w:val="center"/>
          </w:tcPr>
          <w:p w14:paraId="7BA520BC">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1把</w:t>
            </w:r>
          </w:p>
        </w:tc>
        <w:tc>
          <w:tcPr>
            <w:tcW w:w="1771" w:type="dxa"/>
            <w:tcBorders>
              <w:tl2br w:val="nil"/>
              <w:tr2bl w:val="nil"/>
            </w:tcBorders>
            <w:vAlign w:val="center"/>
          </w:tcPr>
          <w:p w14:paraId="5F972ECE">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医务室</w:t>
            </w:r>
          </w:p>
        </w:tc>
      </w:tr>
      <w:tr w14:paraId="606681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05155C04">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0A93807B">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绑带</w:t>
            </w:r>
          </w:p>
        </w:tc>
        <w:tc>
          <w:tcPr>
            <w:tcW w:w="1125" w:type="dxa"/>
            <w:tcBorders>
              <w:tl2br w:val="nil"/>
              <w:tr2bl w:val="nil"/>
            </w:tcBorders>
            <w:vAlign w:val="center"/>
          </w:tcPr>
          <w:p w14:paraId="74E55136">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2个</w:t>
            </w:r>
          </w:p>
        </w:tc>
        <w:tc>
          <w:tcPr>
            <w:tcW w:w="1771" w:type="dxa"/>
            <w:tcBorders>
              <w:tl2br w:val="nil"/>
              <w:tr2bl w:val="nil"/>
            </w:tcBorders>
            <w:vAlign w:val="center"/>
          </w:tcPr>
          <w:p w14:paraId="278AFBE4">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医务室</w:t>
            </w:r>
          </w:p>
        </w:tc>
      </w:tr>
      <w:tr w14:paraId="6FEEEB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037ACF57">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4CC4C3AF">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纱布</w:t>
            </w:r>
          </w:p>
        </w:tc>
        <w:tc>
          <w:tcPr>
            <w:tcW w:w="1125" w:type="dxa"/>
            <w:tcBorders>
              <w:tl2br w:val="nil"/>
              <w:tr2bl w:val="nil"/>
            </w:tcBorders>
            <w:vAlign w:val="center"/>
          </w:tcPr>
          <w:p w14:paraId="120DABB9">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10块</w:t>
            </w:r>
          </w:p>
        </w:tc>
        <w:tc>
          <w:tcPr>
            <w:tcW w:w="1771" w:type="dxa"/>
            <w:tcBorders>
              <w:tl2br w:val="nil"/>
              <w:tr2bl w:val="nil"/>
            </w:tcBorders>
            <w:vAlign w:val="center"/>
          </w:tcPr>
          <w:p w14:paraId="3724A9AF">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医务室</w:t>
            </w:r>
          </w:p>
        </w:tc>
      </w:tr>
      <w:tr w14:paraId="0F0299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371B1DD0">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4DD3A76C">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棉签</w:t>
            </w:r>
          </w:p>
        </w:tc>
        <w:tc>
          <w:tcPr>
            <w:tcW w:w="1125" w:type="dxa"/>
            <w:tcBorders>
              <w:tl2br w:val="nil"/>
              <w:tr2bl w:val="nil"/>
            </w:tcBorders>
            <w:vAlign w:val="center"/>
          </w:tcPr>
          <w:p w14:paraId="75F6174C">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1包</w:t>
            </w:r>
          </w:p>
        </w:tc>
        <w:tc>
          <w:tcPr>
            <w:tcW w:w="1771" w:type="dxa"/>
            <w:tcBorders>
              <w:tl2br w:val="nil"/>
              <w:tr2bl w:val="nil"/>
            </w:tcBorders>
            <w:vAlign w:val="center"/>
          </w:tcPr>
          <w:p w14:paraId="15086E2D">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医务室</w:t>
            </w:r>
          </w:p>
        </w:tc>
      </w:tr>
      <w:tr w14:paraId="6D201C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1BD7884A">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4A72930E">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碘酒</w:t>
            </w:r>
          </w:p>
        </w:tc>
        <w:tc>
          <w:tcPr>
            <w:tcW w:w="1125" w:type="dxa"/>
            <w:tcBorders>
              <w:tl2br w:val="nil"/>
              <w:tr2bl w:val="nil"/>
            </w:tcBorders>
            <w:vAlign w:val="center"/>
          </w:tcPr>
          <w:p w14:paraId="4916D04E">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1瓶</w:t>
            </w:r>
          </w:p>
        </w:tc>
        <w:tc>
          <w:tcPr>
            <w:tcW w:w="1771" w:type="dxa"/>
            <w:tcBorders>
              <w:tl2br w:val="nil"/>
              <w:tr2bl w:val="nil"/>
            </w:tcBorders>
            <w:vAlign w:val="center"/>
          </w:tcPr>
          <w:p w14:paraId="04F1F126">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医务室</w:t>
            </w:r>
          </w:p>
        </w:tc>
      </w:tr>
      <w:tr w14:paraId="3772B1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746DA561">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1023AA27">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一次性手套</w:t>
            </w:r>
          </w:p>
        </w:tc>
        <w:tc>
          <w:tcPr>
            <w:tcW w:w="1125" w:type="dxa"/>
            <w:tcBorders>
              <w:tl2br w:val="nil"/>
              <w:tr2bl w:val="nil"/>
            </w:tcBorders>
            <w:vAlign w:val="center"/>
          </w:tcPr>
          <w:p w14:paraId="39F4271E">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1副</w:t>
            </w:r>
          </w:p>
        </w:tc>
        <w:tc>
          <w:tcPr>
            <w:tcW w:w="1771" w:type="dxa"/>
            <w:tcBorders>
              <w:tl2br w:val="nil"/>
              <w:tr2bl w:val="nil"/>
            </w:tcBorders>
            <w:vAlign w:val="center"/>
          </w:tcPr>
          <w:p w14:paraId="74ACA05A">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医务室</w:t>
            </w:r>
          </w:p>
        </w:tc>
      </w:tr>
      <w:tr w14:paraId="5EC8E5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392562FB">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5197C6CD">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雨衣</w:t>
            </w:r>
          </w:p>
        </w:tc>
        <w:tc>
          <w:tcPr>
            <w:tcW w:w="1125" w:type="dxa"/>
            <w:tcBorders>
              <w:tl2br w:val="nil"/>
              <w:tr2bl w:val="nil"/>
            </w:tcBorders>
            <w:vAlign w:val="center"/>
          </w:tcPr>
          <w:p w14:paraId="1A8A4BE6">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20套</w:t>
            </w:r>
          </w:p>
        </w:tc>
        <w:tc>
          <w:tcPr>
            <w:tcW w:w="1771" w:type="dxa"/>
            <w:tcBorders>
              <w:tl2br w:val="nil"/>
              <w:tr2bl w:val="nil"/>
            </w:tcBorders>
            <w:vAlign w:val="center"/>
          </w:tcPr>
          <w:p w14:paraId="34CE05C6">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TFNT</w:t>
            </w:r>
          </w:p>
        </w:tc>
      </w:tr>
      <w:tr w14:paraId="5B41BF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542E79E7">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7094B5E9">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单相潜水泵</w:t>
            </w:r>
          </w:p>
        </w:tc>
        <w:tc>
          <w:tcPr>
            <w:tcW w:w="1125" w:type="dxa"/>
            <w:tcBorders>
              <w:tl2br w:val="nil"/>
              <w:tr2bl w:val="nil"/>
            </w:tcBorders>
            <w:vAlign w:val="center"/>
          </w:tcPr>
          <w:p w14:paraId="564FA5C2">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2台</w:t>
            </w:r>
          </w:p>
        </w:tc>
        <w:tc>
          <w:tcPr>
            <w:tcW w:w="1771" w:type="dxa"/>
            <w:tcBorders>
              <w:tl2br w:val="nil"/>
              <w:tr2bl w:val="nil"/>
            </w:tcBorders>
            <w:vAlign w:val="center"/>
          </w:tcPr>
          <w:p w14:paraId="32A7D8B4">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TFNT</w:t>
            </w:r>
          </w:p>
        </w:tc>
      </w:tr>
      <w:tr w14:paraId="3D58B0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0BA7837C">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060229AA">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污水泵</w:t>
            </w:r>
          </w:p>
        </w:tc>
        <w:tc>
          <w:tcPr>
            <w:tcW w:w="1125" w:type="dxa"/>
            <w:tcBorders>
              <w:tl2br w:val="nil"/>
              <w:tr2bl w:val="nil"/>
            </w:tcBorders>
            <w:vAlign w:val="center"/>
          </w:tcPr>
          <w:p w14:paraId="1B2D497D">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4台</w:t>
            </w:r>
          </w:p>
        </w:tc>
        <w:tc>
          <w:tcPr>
            <w:tcW w:w="1771" w:type="dxa"/>
            <w:tcBorders>
              <w:tl2br w:val="nil"/>
              <w:tr2bl w:val="nil"/>
            </w:tcBorders>
            <w:vAlign w:val="center"/>
          </w:tcPr>
          <w:p w14:paraId="6BEDA0E1">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TFNT</w:t>
            </w:r>
          </w:p>
        </w:tc>
      </w:tr>
      <w:tr w14:paraId="5B455C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4184803B">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shd w:val="clear" w:color="auto" w:fill="auto"/>
            <w:vAlign w:val="center"/>
          </w:tcPr>
          <w:p w14:paraId="6FE2C7E7">
            <w:pPr>
              <w:widowControl w:val="0"/>
              <w:spacing w:before="22"/>
              <w:jc w:val="center"/>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铁铲</w:t>
            </w:r>
          </w:p>
        </w:tc>
        <w:tc>
          <w:tcPr>
            <w:tcW w:w="1125" w:type="dxa"/>
            <w:tcBorders>
              <w:tl2br w:val="nil"/>
              <w:tr2bl w:val="nil"/>
            </w:tcBorders>
            <w:shd w:val="clear" w:color="auto" w:fill="auto"/>
            <w:vAlign w:val="center"/>
          </w:tcPr>
          <w:p w14:paraId="62C6284D">
            <w:pPr>
              <w:widowControl w:val="0"/>
              <w:spacing w:before="22"/>
              <w:jc w:val="center"/>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70把</w:t>
            </w:r>
          </w:p>
        </w:tc>
        <w:tc>
          <w:tcPr>
            <w:tcW w:w="1771" w:type="dxa"/>
            <w:tcBorders>
              <w:tl2br w:val="nil"/>
              <w:tr2bl w:val="nil"/>
            </w:tcBorders>
            <w:shd w:val="clear" w:color="auto" w:fill="auto"/>
            <w:vAlign w:val="center"/>
          </w:tcPr>
          <w:p w14:paraId="720E648D">
            <w:pPr>
              <w:widowControl w:val="0"/>
              <w:spacing w:before="22"/>
              <w:jc w:val="center"/>
              <w:rPr>
                <w:rFonts w:hint="default" w:ascii="Times New Roman" w:hAnsi="Times New Roman" w:eastAsia="Arial"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TFNT</w:t>
            </w:r>
          </w:p>
        </w:tc>
      </w:tr>
      <w:tr w14:paraId="31DB32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18AFA85B">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7A528725">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事故应急池</w:t>
            </w:r>
          </w:p>
        </w:tc>
        <w:tc>
          <w:tcPr>
            <w:tcW w:w="1125" w:type="dxa"/>
            <w:tcBorders>
              <w:tl2br w:val="nil"/>
              <w:tr2bl w:val="nil"/>
            </w:tcBorders>
            <w:vAlign w:val="center"/>
          </w:tcPr>
          <w:p w14:paraId="3E2A28C6">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700m</w:t>
            </w:r>
            <w:r>
              <w:rPr>
                <w:rFonts w:hint="eastAsia" w:ascii="Times New Roman" w:hAnsi="Times New Roman" w:eastAsia="宋体" w:cs="Times New Roman"/>
                <w:color w:val="auto"/>
                <w:sz w:val="21"/>
                <w:szCs w:val="21"/>
                <w:vertAlign w:val="superscript"/>
                <w:lang w:val="en-US" w:eastAsia="zh-CN"/>
              </w:rPr>
              <w:t>3</w:t>
            </w:r>
          </w:p>
        </w:tc>
        <w:tc>
          <w:tcPr>
            <w:tcW w:w="1771" w:type="dxa"/>
            <w:tcBorders>
              <w:tl2br w:val="nil"/>
              <w:tr2bl w:val="nil"/>
            </w:tcBorders>
            <w:vAlign w:val="center"/>
          </w:tcPr>
          <w:p w14:paraId="747A65E9">
            <w:pPr>
              <w:widowControl w:val="0"/>
              <w:spacing w:before="22"/>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厂区</w:t>
            </w:r>
          </w:p>
        </w:tc>
      </w:tr>
      <w:tr w14:paraId="146D18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restart"/>
            <w:tcBorders>
              <w:tl2br w:val="nil"/>
              <w:tr2bl w:val="nil"/>
            </w:tcBorders>
            <w:vAlign w:val="center"/>
          </w:tcPr>
          <w:p w14:paraId="29926EA6">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南京南瑞继保电气有限公司</w:t>
            </w:r>
          </w:p>
        </w:tc>
        <w:tc>
          <w:tcPr>
            <w:tcW w:w="3165" w:type="dxa"/>
            <w:tcBorders>
              <w:tl2br w:val="nil"/>
              <w:tr2bl w:val="nil"/>
            </w:tcBorders>
            <w:vAlign w:val="center"/>
          </w:tcPr>
          <w:p w14:paraId="0F62AE79">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消防水带</w:t>
            </w:r>
          </w:p>
        </w:tc>
        <w:tc>
          <w:tcPr>
            <w:tcW w:w="1125" w:type="dxa"/>
            <w:tcBorders>
              <w:tl2br w:val="nil"/>
              <w:tr2bl w:val="nil"/>
            </w:tcBorders>
            <w:vAlign w:val="center"/>
          </w:tcPr>
          <w:p w14:paraId="6016F074">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若干</w:t>
            </w:r>
          </w:p>
        </w:tc>
        <w:tc>
          <w:tcPr>
            <w:tcW w:w="1771" w:type="dxa"/>
            <w:tcBorders>
              <w:tl2br w:val="nil"/>
              <w:tr2bl w:val="nil"/>
            </w:tcBorders>
            <w:vAlign w:val="center"/>
          </w:tcPr>
          <w:p w14:paraId="416321B1">
            <w:pPr>
              <w:widowControl w:val="0"/>
              <w:spacing w:before="22"/>
              <w:jc w:val="center"/>
              <w:rPr>
                <w:rFonts w:hint="default" w:ascii="Times New Roman" w:hAnsi="Times New Roman" w:cs="Times New Roman"/>
                <w:color w:val="auto"/>
                <w:sz w:val="21"/>
                <w:szCs w:val="21"/>
                <w:vertAlign w:val="baseline"/>
              </w:rPr>
            </w:pPr>
          </w:p>
        </w:tc>
      </w:tr>
      <w:tr w14:paraId="2D9A3C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4F2E6F98">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6B872AC0">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水枪</w:t>
            </w:r>
          </w:p>
        </w:tc>
        <w:tc>
          <w:tcPr>
            <w:tcW w:w="1125" w:type="dxa"/>
            <w:tcBorders>
              <w:tl2br w:val="nil"/>
              <w:tr2bl w:val="nil"/>
            </w:tcBorders>
            <w:vAlign w:val="center"/>
          </w:tcPr>
          <w:p w14:paraId="538B5650">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686套</w:t>
            </w:r>
          </w:p>
        </w:tc>
        <w:tc>
          <w:tcPr>
            <w:tcW w:w="1771" w:type="dxa"/>
            <w:tcBorders>
              <w:tl2br w:val="nil"/>
              <w:tr2bl w:val="nil"/>
            </w:tcBorders>
            <w:vAlign w:val="center"/>
          </w:tcPr>
          <w:p w14:paraId="5E5ECA9B">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生产楼、食堂宿舍</w:t>
            </w:r>
          </w:p>
        </w:tc>
      </w:tr>
      <w:tr w14:paraId="093017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1746642A">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2BC13831">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黄沙箱</w:t>
            </w:r>
          </w:p>
        </w:tc>
        <w:tc>
          <w:tcPr>
            <w:tcW w:w="1125" w:type="dxa"/>
            <w:tcBorders>
              <w:tl2br w:val="nil"/>
              <w:tr2bl w:val="nil"/>
            </w:tcBorders>
            <w:vAlign w:val="center"/>
          </w:tcPr>
          <w:p w14:paraId="56B6FED4">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6个</w:t>
            </w:r>
          </w:p>
        </w:tc>
        <w:tc>
          <w:tcPr>
            <w:tcW w:w="1771" w:type="dxa"/>
            <w:tcBorders>
              <w:tl2br w:val="nil"/>
              <w:tr2bl w:val="nil"/>
            </w:tcBorders>
            <w:vAlign w:val="center"/>
          </w:tcPr>
          <w:p w14:paraId="223DB68B">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室外、地下车库</w:t>
            </w:r>
          </w:p>
        </w:tc>
      </w:tr>
      <w:tr w14:paraId="45FDF2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2439CA19">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19A0E2EA">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干粉灭火器</w:t>
            </w:r>
          </w:p>
        </w:tc>
        <w:tc>
          <w:tcPr>
            <w:tcW w:w="1125" w:type="dxa"/>
            <w:tcBorders>
              <w:tl2br w:val="nil"/>
              <w:tr2bl w:val="nil"/>
            </w:tcBorders>
            <w:vAlign w:val="center"/>
          </w:tcPr>
          <w:p w14:paraId="1A278D09">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2628套</w:t>
            </w:r>
          </w:p>
        </w:tc>
        <w:tc>
          <w:tcPr>
            <w:tcW w:w="1771" w:type="dxa"/>
            <w:tcBorders>
              <w:tl2br w:val="nil"/>
              <w:tr2bl w:val="nil"/>
            </w:tcBorders>
            <w:vAlign w:val="center"/>
          </w:tcPr>
          <w:p w14:paraId="095483AE">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生产楼、食堂宿舍</w:t>
            </w:r>
          </w:p>
        </w:tc>
      </w:tr>
      <w:tr w14:paraId="689FB8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34C8A686">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1E3EEB64">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二氧化碳灭火器</w:t>
            </w:r>
          </w:p>
        </w:tc>
        <w:tc>
          <w:tcPr>
            <w:tcW w:w="1125" w:type="dxa"/>
            <w:tcBorders>
              <w:tl2br w:val="nil"/>
              <w:tr2bl w:val="nil"/>
            </w:tcBorders>
            <w:vAlign w:val="center"/>
          </w:tcPr>
          <w:p w14:paraId="26FF46BA">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2204套</w:t>
            </w:r>
          </w:p>
        </w:tc>
        <w:tc>
          <w:tcPr>
            <w:tcW w:w="1771" w:type="dxa"/>
            <w:tcBorders>
              <w:tl2br w:val="nil"/>
              <w:tr2bl w:val="nil"/>
            </w:tcBorders>
            <w:vAlign w:val="center"/>
          </w:tcPr>
          <w:p w14:paraId="78669858">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生产楼、食堂宿舍</w:t>
            </w:r>
          </w:p>
        </w:tc>
      </w:tr>
      <w:tr w14:paraId="5BD502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36BC4272">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79E7087A">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消防水泵</w:t>
            </w:r>
          </w:p>
        </w:tc>
        <w:tc>
          <w:tcPr>
            <w:tcW w:w="1125" w:type="dxa"/>
            <w:tcBorders>
              <w:tl2br w:val="nil"/>
              <w:tr2bl w:val="nil"/>
            </w:tcBorders>
            <w:vAlign w:val="center"/>
          </w:tcPr>
          <w:p w14:paraId="61582D45">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6台</w:t>
            </w:r>
          </w:p>
        </w:tc>
        <w:tc>
          <w:tcPr>
            <w:tcW w:w="1771" w:type="dxa"/>
            <w:tcBorders>
              <w:tl2br w:val="nil"/>
              <w:tr2bl w:val="nil"/>
            </w:tcBorders>
            <w:vAlign w:val="center"/>
          </w:tcPr>
          <w:p w14:paraId="59F7211E">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7#地下室</w:t>
            </w:r>
          </w:p>
        </w:tc>
      </w:tr>
      <w:tr w14:paraId="43D21F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5D54FAB9">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37AF9651">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消防水泵</w:t>
            </w:r>
            <w:r>
              <w:rPr>
                <w:rFonts w:hint="eastAsia" w:ascii="Times New Roman" w:hAnsi="Times New Roman" w:eastAsia="宋体" w:cs="Times New Roman"/>
                <w:color w:val="auto"/>
                <w:sz w:val="21"/>
                <w:szCs w:val="21"/>
                <w:vertAlign w:val="baseline"/>
                <w:lang w:val="en-US" w:eastAsia="zh-CN"/>
              </w:rPr>
              <w:t>接合</w:t>
            </w:r>
            <w:r>
              <w:rPr>
                <w:rFonts w:hint="default" w:ascii="Times New Roman" w:hAnsi="Times New Roman" w:eastAsia="宋体" w:cs="Times New Roman"/>
                <w:color w:val="auto"/>
                <w:sz w:val="21"/>
                <w:szCs w:val="21"/>
                <w:vertAlign w:val="baseline"/>
                <w:lang w:val="en-US" w:eastAsia="zh-CN"/>
              </w:rPr>
              <w:t>器</w:t>
            </w:r>
          </w:p>
        </w:tc>
        <w:tc>
          <w:tcPr>
            <w:tcW w:w="1125" w:type="dxa"/>
            <w:tcBorders>
              <w:tl2br w:val="nil"/>
              <w:tr2bl w:val="nil"/>
            </w:tcBorders>
            <w:vAlign w:val="center"/>
          </w:tcPr>
          <w:p w14:paraId="2160C831">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12套</w:t>
            </w:r>
          </w:p>
        </w:tc>
        <w:tc>
          <w:tcPr>
            <w:tcW w:w="1771" w:type="dxa"/>
            <w:tcBorders>
              <w:tl2br w:val="nil"/>
              <w:tr2bl w:val="nil"/>
            </w:tcBorders>
            <w:vAlign w:val="center"/>
          </w:tcPr>
          <w:p w14:paraId="6B142B49">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室外</w:t>
            </w:r>
          </w:p>
        </w:tc>
      </w:tr>
      <w:tr w14:paraId="48104E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3C4694CD">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78BD02E5">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消防水池</w:t>
            </w:r>
          </w:p>
        </w:tc>
        <w:tc>
          <w:tcPr>
            <w:tcW w:w="1125" w:type="dxa"/>
            <w:tcBorders>
              <w:tl2br w:val="nil"/>
              <w:tr2bl w:val="nil"/>
            </w:tcBorders>
            <w:vAlign w:val="center"/>
          </w:tcPr>
          <w:p w14:paraId="0A9DC875">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1座</w:t>
            </w:r>
          </w:p>
        </w:tc>
        <w:tc>
          <w:tcPr>
            <w:tcW w:w="1771" w:type="dxa"/>
            <w:tcBorders>
              <w:tl2br w:val="nil"/>
              <w:tr2bl w:val="nil"/>
            </w:tcBorders>
            <w:vAlign w:val="center"/>
          </w:tcPr>
          <w:p w14:paraId="27823EBB">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7#地下室</w:t>
            </w:r>
          </w:p>
        </w:tc>
      </w:tr>
      <w:tr w14:paraId="6301F4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2E70610F">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73D11A5F">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消防管网</w:t>
            </w:r>
          </w:p>
        </w:tc>
        <w:tc>
          <w:tcPr>
            <w:tcW w:w="1125" w:type="dxa"/>
            <w:tcBorders>
              <w:tl2br w:val="nil"/>
              <w:tr2bl w:val="nil"/>
            </w:tcBorders>
            <w:vAlign w:val="center"/>
          </w:tcPr>
          <w:p w14:paraId="7FF7C58F">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5300m</w:t>
            </w:r>
          </w:p>
        </w:tc>
        <w:tc>
          <w:tcPr>
            <w:tcW w:w="1771" w:type="dxa"/>
            <w:tcBorders>
              <w:tl2br w:val="nil"/>
              <w:tr2bl w:val="nil"/>
            </w:tcBorders>
            <w:vAlign w:val="center"/>
          </w:tcPr>
          <w:p w14:paraId="096E7082">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室外</w:t>
            </w:r>
          </w:p>
        </w:tc>
      </w:tr>
      <w:tr w14:paraId="75B1F1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5C2468C2">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301B17E2">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对讲机</w:t>
            </w:r>
          </w:p>
        </w:tc>
        <w:tc>
          <w:tcPr>
            <w:tcW w:w="1125" w:type="dxa"/>
            <w:tcBorders>
              <w:tl2br w:val="nil"/>
              <w:tr2bl w:val="nil"/>
            </w:tcBorders>
            <w:vAlign w:val="center"/>
          </w:tcPr>
          <w:p w14:paraId="5A0ED9F9">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6台</w:t>
            </w:r>
          </w:p>
        </w:tc>
        <w:tc>
          <w:tcPr>
            <w:tcW w:w="1771" w:type="dxa"/>
            <w:tcBorders>
              <w:tl2br w:val="nil"/>
              <w:tr2bl w:val="nil"/>
            </w:tcBorders>
            <w:vAlign w:val="center"/>
          </w:tcPr>
          <w:p w14:paraId="6734892C">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6100室</w:t>
            </w:r>
          </w:p>
        </w:tc>
      </w:tr>
      <w:tr w14:paraId="7045D0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1089321B">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1F780DEE">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应急照明灯</w:t>
            </w:r>
          </w:p>
        </w:tc>
        <w:tc>
          <w:tcPr>
            <w:tcW w:w="1125" w:type="dxa"/>
            <w:tcBorders>
              <w:tl2br w:val="nil"/>
              <w:tr2bl w:val="nil"/>
            </w:tcBorders>
            <w:vAlign w:val="center"/>
          </w:tcPr>
          <w:p w14:paraId="42E47C3A">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20个</w:t>
            </w:r>
          </w:p>
        </w:tc>
        <w:tc>
          <w:tcPr>
            <w:tcW w:w="1771" w:type="dxa"/>
            <w:tcBorders>
              <w:tl2br w:val="nil"/>
              <w:tr2bl w:val="nil"/>
            </w:tcBorders>
            <w:vAlign w:val="center"/>
          </w:tcPr>
          <w:p w14:paraId="521FE461">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6100室</w:t>
            </w:r>
          </w:p>
        </w:tc>
      </w:tr>
      <w:tr w14:paraId="799A69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7B7F73D5">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48C5D86D">
            <w:pPr>
              <w:widowControl w:val="0"/>
              <w:spacing w:before="22"/>
              <w:jc w:val="center"/>
              <w:rPr>
                <w:rFonts w:hint="default" w:ascii="Times New Roman" w:hAnsi="Times New Roman" w:eastAsia="宋体" w:cs="Times New Roman"/>
                <w:color w:val="auto"/>
                <w:sz w:val="21"/>
                <w:szCs w:val="21"/>
                <w:vertAlign w:val="baseline"/>
                <w:lang w:val="en-US" w:eastAsia="zh-CN"/>
              </w:rPr>
            </w:pPr>
            <w:sdt>
              <w:sdtPr>
                <w:rPr>
                  <w:color w:val="auto"/>
                </w:rPr>
                <w:alias w:val="易错词检查"/>
                <w:tag w:val="auto"/>
                <w:id w:val="3052624"/>
              </w:sdtPr>
              <w:sdtEndPr>
                <w:rPr>
                  <w:color w:val="auto"/>
                </w:rPr>
              </w:sdtEndPr>
              <w:sdtContent>
                <w:bookmarkStart w:id="2187" w:name="bkReivew3052624"/>
                <w:r>
                  <w:rPr>
                    <w:rFonts w:hint="default" w:ascii="Times New Roman" w:hAnsi="Times New Roman" w:eastAsia="宋体" w:cs="Times New Roman"/>
                    <w:color w:val="auto"/>
                    <w:sz w:val="21"/>
                    <w:szCs w:val="21"/>
                    <w:vertAlign w:val="baseline"/>
                    <w:lang w:val="en-US" w:eastAsia="zh-CN"/>
                  </w:rPr>
                  <w:t>通讯设备</w:t>
                </w:r>
                <w:bookmarkEnd w:id="2187"/>
              </w:sdtContent>
            </w:sdt>
          </w:p>
        </w:tc>
        <w:tc>
          <w:tcPr>
            <w:tcW w:w="1125" w:type="dxa"/>
            <w:tcBorders>
              <w:tl2br w:val="nil"/>
              <w:tr2bl w:val="nil"/>
            </w:tcBorders>
            <w:vAlign w:val="center"/>
          </w:tcPr>
          <w:p w14:paraId="5B1BC776">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若干</w:t>
            </w:r>
          </w:p>
        </w:tc>
        <w:tc>
          <w:tcPr>
            <w:tcW w:w="1771" w:type="dxa"/>
            <w:tcBorders>
              <w:tl2br w:val="nil"/>
              <w:tr2bl w:val="nil"/>
            </w:tcBorders>
            <w:vAlign w:val="center"/>
          </w:tcPr>
          <w:p w14:paraId="272C7C2E">
            <w:pPr>
              <w:widowControl w:val="0"/>
              <w:spacing w:before="22"/>
              <w:jc w:val="center"/>
              <w:rPr>
                <w:rFonts w:hint="default" w:ascii="Times New Roman" w:hAnsi="Times New Roman" w:cs="Times New Roman"/>
                <w:color w:val="auto"/>
                <w:sz w:val="21"/>
                <w:szCs w:val="21"/>
                <w:vertAlign w:val="baseline"/>
              </w:rPr>
            </w:pPr>
          </w:p>
        </w:tc>
      </w:tr>
      <w:tr w14:paraId="153CD5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412A53CC">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vAlign w:val="center"/>
          </w:tcPr>
          <w:p w14:paraId="44585D2E">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消防服</w:t>
            </w:r>
          </w:p>
        </w:tc>
        <w:tc>
          <w:tcPr>
            <w:tcW w:w="1125" w:type="dxa"/>
            <w:tcBorders>
              <w:tl2br w:val="nil"/>
              <w:tr2bl w:val="nil"/>
            </w:tcBorders>
            <w:vAlign w:val="center"/>
          </w:tcPr>
          <w:p w14:paraId="5B34E9C8">
            <w:pPr>
              <w:widowControl w:val="0"/>
              <w:spacing w:before="22"/>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6套</w:t>
            </w:r>
          </w:p>
        </w:tc>
        <w:tc>
          <w:tcPr>
            <w:tcW w:w="1771" w:type="dxa"/>
            <w:tcBorders>
              <w:tl2br w:val="nil"/>
              <w:tr2bl w:val="nil"/>
            </w:tcBorders>
            <w:vAlign w:val="center"/>
          </w:tcPr>
          <w:p w14:paraId="5FD52972">
            <w:pPr>
              <w:widowControl w:val="0"/>
              <w:spacing w:before="22"/>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6100室</w:t>
            </w:r>
          </w:p>
        </w:tc>
      </w:tr>
      <w:tr w14:paraId="1BF1F8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7A7E1227">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shd w:val="clear" w:color="auto" w:fill="auto"/>
            <w:vAlign w:val="center"/>
          </w:tcPr>
          <w:p w14:paraId="6A25F241">
            <w:pPr>
              <w:widowControl w:val="0"/>
              <w:spacing w:before="22"/>
              <w:jc w:val="center"/>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医药箱、医疗急救器材</w:t>
            </w:r>
          </w:p>
        </w:tc>
        <w:tc>
          <w:tcPr>
            <w:tcW w:w="1125" w:type="dxa"/>
            <w:tcBorders>
              <w:tl2br w:val="nil"/>
              <w:tr2bl w:val="nil"/>
            </w:tcBorders>
            <w:shd w:val="clear" w:color="auto" w:fill="auto"/>
            <w:vAlign w:val="center"/>
          </w:tcPr>
          <w:p w14:paraId="2C38B5FD">
            <w:pPr>
              <w:widowControl w:val="0"/>
              <w:spacing w:before="22"/>
              <w:jc w:val="center"/>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若干</w:t>
            </w:r>
          </w:p>
        </w:tc>
        <w:tc>
          <w:tcPr>
            <w:tcW w:w="1771" w:type="dxa"/>
            <w:tcBorders>
              <w:tl2br w:val="nil"/>
              <w:tr2bl w:val="nil"/>
            </w:tcBorders>
            <w:shd w:val="clear" w:color="auto" w:fill="auto"/>
            <w:vAlign w:val="center"/>
          </w:tcPr>
          <w:p w14:paraId="06830AE5">
            <w:pPr>
              <w:widowControl w:val="0"/>
              <w:spacing w:before="22"/>
              <w:jc w:val="center"/>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8203室</w:t>
            </w:r>
          </w:p>
        </w:tc>
      </w:tr>
      <w:tr w14:paraId="4059CA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22" w:type="dxa"/>
            <w:vMerge w:val="continue"/>
            <w:tcBorders>
              <w:tl2br w:val="nil"/>
              <w:tr2bl w:val="nil"/>
            </w:tcBorders>
            <w:vAlign w:val="center"/>
          </w:tcPr>
          <w:p w14:paraId="5027A89D">
            <w:pPr>
              <w:widowControl w:val="0"/>
              <w:spacing w:before="22"/>
              <w:jc w:val="center"/>
              <w:rPr>
                <w:rFonts w:hint="default" w:ascii="Times New Roman" w:hAnsi="Times New Roman" w:cs="Times New Roman"/>
                <w:color w:val="auto"/>
                <w:sz w:val="21"/>
                <w:szCs w:val="21"/>
                <w:vertAlign w:val="baseline"/>
              </w:rPr>
            </w:pPr>
          </w:p>
        </w:tc>
        <w:tc>
          <w:tcPr>
            <w:tcW w:w="3165" w:type="dxa"/>
            <w:tcBorders>
              <w:tl2br w:val="nil"/>
              <w:tr2bl w:val="nil"/>
            </w:tcBorders>
            <w:shd w:val="clear" w:color="auto" w:fill="auto"/>
            <w:vAlign w:val="center"/>
          </w:tcPr>
          <w:p w14:paraId="7817D574">
            <w:pPr>
              <w:widowControl w:val="0"/>
              <w:spacing w:before="22"/>
              <w:jc w:val="center"/>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事故应急池</w:t>
            </w:r>
          </w:p>
        </w:tc>
        <w:tc>
          <w:tcPr>
            <w:tcW w:w="1125" w:type="dxa"/>
            <w:tcBorders>
              <w:tl2br w:val="nil"/>
              <w:tr2bl w:val="nil"/>
            </w:tcBorders>
            <w:shd w:val="clear" w:color="auto" w:fill="auto"/>
            <w:vAlign w:val="center"/>
          </w:tcPr>
          <w:p w14:paraId="28B6CB9A">
            <w:pPr>
              <w:widowControl w:val="0"/>
              <w:spacing w:before="22"/>
              <w:jc w:val="center"/>
              <w:rPr>
                <w:rFonts w:hint="default" w:ascii="Times New Roman" w:hAnsi="Times New Roman" w:eastAsia="宋体" w:cs="Times New Roman"/>
                <w:snapToGrid w:val="0"/>
                <w:color w:val="auto"/>
                <w:kern w:val="0"/>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500m</w:t>
            </w:r>
            <w:r>
              <w:rPr>
                <w:rFonts w:hint="eastAsia" w:ascii="Times New Roman" w:hAnsi="Times New Roman" w:eastAsia="宋体" w:cs="Times New Roman"/>
                <w:color w:val="auto"/>
                <w:sz w:val="21"/>
                <w:szCs w:val="21"/>
                <w:vertAlign w:val="superscript"/>
                <w:lang w:val="en-US" w:eastAsia="zh-CN"/>
              </w:rPr>
              <w:t>3</w:t>
            </w:r>
          </w:p>
        </w:tc>
        <w:tc>
          <w:tcPr>
            <w:tcW w:w="1771" w:type="dxa"/>
            <w:tcBorders>
              <w:tl2br w:val="nil"/>
              <w:tr2bl w:val="nil"/>
            </w:tcBorders>
            <w:shd w:val="clear" w:color="auto" w:fill="auto"/>
            <w:vAlign w:val="center"/>
          </w:tcPr>
          <w:p w14:paraId="06DC7E9A">
            <w:pPr>
              <w:widowControl w:val="0"/>
              <w:spacing w:before="22"/>
              <w:jc w:val="center"/>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vertAlign w:val="baseline"/>
                <w:lang w:val="en-US" w:eastAsia="zh-CN" w:bidi="ar-SA"/>
              </w:rPr>
              <w:t>一座位于一期空地的东北角，一座位于厂区东南角</w:t>
            </w:r>
          </w:p>
        </w:tc>
      </w:tr>
    </w:tbl>
    <w:p w14:paraId="356105CD">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ascii="宋体" w:hAnsi="宋体" w:eastAsia="宋体" w:cs="宋体"/>
          <w:color w:val="auto"/>
          <w:sz w:val="24"/>
          <w:szCs w:val="24"/>
          <w:highlight w:val="none"/>
        </w:rPr>
      </w:pPr>
      <w:r>
        <w:rPr>
          <w:rFonts w:ascii="宋体" w:hAnsi="宋体" w:eastAsia="宋体" w:cs="宋体"/>
          <w:b/>
          <w:bCs/>
          <w:color w:val="auto"/>
          <w:spacing w:val="-2"/>
          <w:sz w:val="24"/>
          <w:szCs w:val="24"/>
          <w:highlight w:val="none"/>
        </w:rPr>
        <w:t>表</w:t>
      </w:r>
      <w:r>
        <w:rPr>
          <w:rFonts w:hint="eastAsia" w:ascii="Times New Roman" w:hAnsi="Times New Roman" w:eastAsia="宋体" w:cs="Times New Roman"/>
          <w:b/>
          <w:bCs/>
          <w:color w:val="auto"/>
          <w:spacing w:val="-2"/>
          <w:sz w:val="24"/>
          <w:szCs w:val="24"/>
          <w:highlight w:val="none"/>
          <w:lang w:val="en-US" w:eastAsia="zh-CN"/>
        </w:rPr>
        <w:t>8</w:t>
      </w:r>
      <w:r>
        <w:rPr>
          <w:rFonts w:ascii="Times New Roman" w:hAnsi="Times New Roman" w:eastAsia="Times New Roman" w:cs="Times New Roman"/>
          <w:b/>
          <w:bCs/>
          <w:color w:val="auto"/>
          <w:spacing w:val="-2"/>
          <w:sz w:val="24"/>
          <w:szCs w:val="24"/>
          <w:highlight w:val="none"/>
        </w:rPr>
        <w:t>.</w:t>
      </w:r>
      <w:r>
        <w:rPr>
          <w:rFonts w:hint="eastAsia" w:ascii="Times New Roman" w:hAnsi="Times New Roman" w:eastAsia="宋体" w:cs="Times New Roman"/>
          <w:b/>
          <w:bCs/>
          <w:color w:val="auto"/>
          <w:spacing w:val="-2"/>
          <w:sz w:val="24"/>
          <w:szCs w:val="24"/>
          <w:highlight w:val="none"/>
          <w:lang w:val="en-US" w:eastAsia="zh-CN"/>
        </w:rPr>
        <w:t>5</w:t>
      </w:r>
      <w:r>
        <w:rPr>
          <w:rFonts w:ascii="Times New Roman" w:hAnsi="Times New Roman" w:eastAsia="Times New Roman" w:cs="Times New Roman"/>
          <w:b/>
          <w:bCs/>
          <w:color w:val="auto"/>
          <w:spacing w:val="-2"/>
          <w:sz w:val="24"/>
          <w:szCs w:val="24"/>
          <w:highlight w:val="none"/>
        </w:rPr>
        <w:t>-3</w:t>
      </w:r>
      <w:r>
        <w:rPr>
          <w:rFonts w:hint="eastAsia" w:ascii="Times New Roman" w:hAnsi="Times New Roman" w:eastAsia="宋体" w:cs="Times New Roman"/>
          <w:b/>
          <w:bCs/>
          <w:color w:val="auto"/>
          <w:spacing w:val="-2"/>
          <w:sz w:val="24"/>
          <w:szCs w:val="24"/>
          <w:highlight w:val="none"/>
          <w:lang w:val="en-US" w:eastAsia="zh-CN"/>
        </w:rPr>
        <w:t xml:space="preserve">  </w:t>
      </w:r>
      <w:r>
        <w:rPr>
          <w:rFonts w:hint="eastAsia" w:ascii="宋体" w:hAnsi="宋体" w:eastAsia="宋体" w:cs="宋体"/>
          <w:b/>
          <w:bCs/>
          <w:color w:val="auto"/>
          <w:spacing w:val="-2"/>
          <w:sz w:val="24"/>
          <w:szCs w:val="24"/>
          <w:highlight w:val="none"/>
          <w:lang w:val="en-US" w:eastAsia="zh-CN"/>
        </w:rPr>
        <w:t>开发区应急物资及设备</w:t>
      </w:r>
      <w:bookmarkStart w:id="2188" w:name="pindex14130"/>
      <w:bookmarkEnd w:id="2188"/>
    </w:p>
    <w:tbl>
      <w:tblPr>
        <w:tblStyle w:val="2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6"/>
        <w:gridCol w:w="3376"/>
        <w:gridCol w:w="1927"/>
        <w:gridCol w:w="2144"/>
      </w:tblGrid>
      <w:tr w14:paraId="2934F0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tcBorders>
              <w:tl2br w:val="nil"/>
              <w:tr2bl w:val="nil"/>
            </w:tcBorders>
            <w:vAlign w:val="center"/>
          </w:tcPr>
          <w:p w14:paraId="1966FF71">
            <w:pPr>
              <w:widowControl w:val="0"/>
              <w:bidi w:val="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类型</w:t>
            </w:r>
          </w:p>
        </w:tc>
        <w:tc>
          <w:tcPr>
            <w:tcW w:w="3376" w:type="dxa"/>
            <w:tcBorders>
              <w:tl2br w:val="nil"/>
              <w:tr2bl w:val="nil"/>
            </w:tcBorders>
            <w:vAlign w:val="center"/>
          </w:tcPr>
          <w:p w14:paraId="29BB9261">
            <w:pPr>
              <w:widowControl w:val="0"/>
              <w:bidi w:val="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名称</w:t>
            </w:r>
          </w:p>
        </w:tc>
        <w:tc>
          <w:tcPr>
            <w:tcW w:w="1927" w:type="dxa"/>
            <w:tcBorders>
              <w:tl2br w:val="nil"/>
              <w:tr2bl w:val="nil"/>
            </w:tcBorders>
            <w:vAlign w:val="center"/>
          </w:tcPr>
          <w:p w14:paraId="6B5DFA6E">
            <w:pPr>
              <w:widowControl w:val="0"/>
              <w:bidi w:val="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数量</w:t>
            </w:r>
          </w:p>
        </w:tc>
        <w:tc>
          <w:tcPr>
            <w:tcW w:w="2144" w:type="dxa"/>
            <w:tcBorders>
              <w:tl2br w:val="nil"/>
              <w:tr2bl w:val="nil"/>
            </w:tcBorders>
            <w:vAlign w:val="center"/>
          </w:tcPr>
          <w:p w14:paraId="6E9D5054">
            <w:pPr>
              <w:widowControl w:val="0"/>
              <w:bidi w:val="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位置</w:t>
            </w:r>
          </w:p>
        </w:tc>
      </w:tr>
      <w:tr w14:paraId="282BE0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vMerge w:val="restart"/>
            <w:tcBorders>
              <w:tl2br w:val="nil"/>
              <w:tr2bl w:val="nil"/>
            </w:tcBorders>
            <w:vAlign w:val="center"/>
          </w:tcPr>
          <w:p w14:paraId="121AF7FF">
            <w:pPr>
              <w:widowControl w:val="0"/>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污染源切断</w:t>
            </w:r>
          </w:p>
        </w:tc>
        <w:tc>
          <w:tcPr>
            <w:tcW w:w="3376" w:type="dxa"/>
            <w:tcBorders>
              <w:tl2br w:val="nil"/>
              <w:tr2bl w:val="nil"/>
            </w:tcBorders>
            <w:vAlign w:val="center"/>
          </w:tcPr>
          <w:p w14:paraId="41CF5BA5">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沙包沙袋</w:t>
            </w:r>
          </w:p>
        </w:tc>
        <w:tc>
          <w:tcPr>
            <w:tcW w:w="1927" w:type="dxa"/>
            <w:tcBorders>
              <w:tl2br w:val="nil"/>
              <w:tr2bl w:val="nil"/>
            </w:tcBorders>
            <w:vAlign w:val="center"/>
          </w:tcPr>
          <w:p w14:paraId="733CD2D6">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100</w:t>
            </w:r>
          </w:p>
        </w:tc>
        <w:tc>
          <w:tcPr>
            <w:tcW w:w="2144" w:type="dxa"/>
            <w:vMerge w:val="restart"/>
            <w:tcBorders>
              <w:tl2br w:val="nil"/>
              <w:tr2bl w:val="nil"/>
            </w:tcBorders>
            <w:vAlign w:val="center"/>
          </w:tcPr>
          <w:p w14:paraId="5E342A87">
            <w:pPr>
              <w:widowControl w:val="0"/>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江宁区长青街</w:t>
            </w:r>
          </w:p>
        </w:tc>
      </w:tr>
      <w:tr w14:paraId="2DF5CF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vMerge w:val="continue"/>
            <w:tcBorders>
              <w:tl2br w:val="nil"/>
              <w:tr2bl w:val="nil"/>
            </w:tcBorders>
            <w:vAlign w:val="center"/>
          </w:tcPr>
          <w:p w14:paraId="6D5E9077">
            <w:pPr>
              <w:widowControl w:val="0"/>
              <w:bidi w:val="0"/>
              <w:jc w:val="center"/>
              <w:rPr>
                <w:rFonts w:hint="default" w:ascii="Times New Roman" w:hAnsi="Times New Roman" w:eastAsia="宋体" w:cs="Times New Roman"/>
                <w:color w:val="auto"/>
                <w:lang w:val="en-US" w:eastAsia="zh-CN"/>
              </w:rPr>
            </w:pPr>
          </w:p>
        </w:tc>
        <w:tc>
          <w:tcPr>
            <w:tcW w:w="3376" w:type="dxa"/>
            <w:tcBorders>
              <w:tl2br w:val="nil"/>
              <w:tr2bl w:val="nil"/>
            </w:tcBorders>
            <w:vAlign w:val="center"/>
          </w:tcPr>
          <w:p w14:paraId="3AA3ED05">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快速膨胀袋</w:t>
            </w:r>
          </w:p>
        </w:tc>
        <w:tc>
          <w:tcPr>
            <w:tcW w:w="1927" w:type="dxa"/>
            <w:tcBorders>
              <w:tl2br w:val="nil"/>
              <w:tr2bl w:val="nil"/>
            </w:tcBorders>
            <w:vAlign w:val="center"/>
          </w:tcPr>
          <w:p w14:paraId="672ADACA">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50</w:t>
            </w:r>
          </w:p>
        </w:tc>
        <w:tc>
          <w:tcPr>
            <w:tcW w:w="2144" w:type="dxa"/>
            <w:vMerge w:val="continue"/>
            <w:tcBorders>
              <w:tl2br w:val="nil"/>
              <w:tr2bl w:val="nil"/>
            </w:tcBorders>
            <w:vAlign w:val="center"/>
          </w:tcPr>
          <w:p w14:paraId="37769E5E">
            <w:pPr>
              <w:widowControl w:val="0"/>
              <w:bidi w:val="0"/>
              <w:jc w:val="center"/>
              <w:rPr>
                <w:rFonts w:hint="default" w:ascii="Times New Roman" w:hAnsi="Times New Roman" w:eastAsia="宋体" w:cs="Times New Roman"/>
                <w:color w:val="auto"/>
                <w:lang w:val="en-US" w:eastAsia="zh-CN"/>
              </w:rPr>
            </w:pPr>
          </w:p>
        </w:tc>
      </w:tr>
      <w:tr w14:paraId="00C794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vMerge w:val="continue"/>
            <w:tcBorders>
              <w:tl2br w:val="nil"/>
              <w:tr2bl w:val="nil"/>
            </w:tcBorders>
            <w:vAlign w:val="center"/>
          </w:tcPr>
          <w:p w14:paraId="3B5AC0FE">
            <w:pPr>
              <w:widowControl w:val="0"/>
              <w:bidi w:val="0"/>
              <w:jc w:val="center"/>
              <w:rPr>
                <w:rFonts w:hint="default" w:ascii="Times New Roman" w:hAnsi="Times New Roman" w:eastAsia="宋体" w:cs="Times New Roman"/>
                <w:color w:val="auto"/>
                <w:lang w:val="en-US" w:eastAsia="zh-CN"/>
              </w:rPr>
            </w:pPr>
          </w:p>
        </w:tc>
        <w:tc>
          <w:tcPr>
            <w:tcW w:w="3376" w:type="dxa"/>
            <w:tcBorders>
              <w:tl2br w:val="nil"/>
              <w:tr2bl w:val="nil"/>
            </w:tcBorders>
            <w:vAlign w:val="center"/>
          </w:tcPr>
          <w:p w14:paraId="3B0F2A5A">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溢漏围堤</w:t>
            </w:r>
          </w:p>
        </w:tc>
        <w:tc>
          <w:tcPr>
            <w:tcW w:w="1927" w:type="dxa"/>
            <w:tcBorders>
              <w:tl2br w:val="nil"/>
              <w:tr2bl w:val="nil"/>
            </w:tcBorders>
            <w:vAlign w:val="center"/>
          </w:tcPr>
          <w:p w14:paraId="2814C479">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w:t>
            </w:r>
          </w:p>
        </w:tc>
        <w:tc>
          <w:tcPr>
            <w:tcW w:w="2144" w:type="dxa"/>
            <w:vMerge w:val="continue"/>
            <w:tcBorders>
              <w:tl2br w:val="nil"/>
              <w:tr2bl w:val="nil"/>
            </w:tcBorders>
            <w:vAlign w:val="center"/>
          </w:tcPr>
          <w:p w14:paraId="392AD5C7">
            <w:pPr>
              <w:widowControl w:val="0"/>
              <w:bidi w:val="0"/>
              <w:jc w:val="center"/>
              <w:rPr>
                <w:rFonts w:hint="default" w:ascii="Times New Roman" w:hAnsi="Times New Roman" w:eastAsia="宋体" w:cs="Times New Roman"/>
                <w:color w:val="auto"/>
                <w:lang w:val="en-US" w:eastAsia="zh-CN"/>
              </w:rPr>
            </w:pPr>
          </w:p>
        </w:tc>
      </w:tr>
      <w:tr w14:paraId="773964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vMerge w:val="continue"/>
            <w:tcBorders>
              <w:tl2br w:val="nil"/>
              <w:tr2bl w:val="nil"/>
            </w:tcBorders>
            <w:vAlign w:val="center"/>
          </w:tcPr>
          <w:p w14:paraId="2990205D">
            <w:pPr>
              <w:widowControl w:val="0"/>
              <w:bidi w:val="0"/>
              <w:jc w:val="center"/>
              <w:rPr>
                <w:rFonts w:hint="default" w:ascii="Times New Roman" w:hAnsi="Times New Roman" w:eastAsia="宋体" w:cs="Times New Roman"/>
                <w:color w:val="auto"/>
                <w:lang w:val="en-US" w:eastAsia="zh-CN"/>
              </w:rPr>
            </w:pPr>
          </w:p>
        </w:tc>
        <w:tc>
          <w:tcPr>
            <w:tcW w:w="3376" w:type="dxa"/>
            <w:tcBorders>
              <w:tl2br w:val="nil"/>
              <w:tr2bl w:val="nil"/>
            </w:tcBorders>
            <w:vAlign w:val="center"/>
          </w:tcPr>
          <w:p w14:paraId="18585E56">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下水道阻流</w:t>
            </w:r>
            <w:sdt>
              <w:sdtPr>
                <w:rPr>
                  <w:color w:val="auto"/>
                </w:rPr>
                <w:alias w:val="易错词检查"/>
                <w:tag w:val="auto"/>
                <w:id w:val="2010116"/>
              </w:sdtPr>
              <w:sdtEndPr>
                <w:rPr>
                  <w:color w:val="auto"/>
                </w:rPr>
              </w:sdtEndPr>
              <w:sdtContent>
                <w:bookmarkStart w:id="2189" w:name="bkReivew2010116"/>
                <w:r>
                  <w:rPr>
                    <w:rFonts w:hint="eastAsia" w:ascii="Times New Roman" w:hAnsi="Times New Roman" w:eastAsia="宋体" w:cs="Times New Roman"/>
                    <w:color w:val="auto"/>
                    <w:lang w:val="en-US" w:eastAsia="zh-CN"/>
                  </w:rPr>
                  <w:t>袋</w:t>
                </w:r>
                <w:bookmarkEnd w:id="2189"/>
              </w:sdtContent>
            </w:sdt>
          </w:p>
        </w:tc>
        <w:tc>
          <w:tcPr>
            <w:tcW w:w="1927" w:type="dxa"/>
            <w:tcBorders>
              <w:tl2br w:val="nil"/>
              <w:tr2bl w:val="nil"/>
            </w:tcBorders>
            <w:vAlign w:val="center"/>
          </w:tcPr>
          <w:p w14:paraId="71ABF332">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w:t>
            </w:r>
          </w:p>
        </w:tc>
        <w:tc>
          <w:tcPr>
            <w:tcW w:w="2144" w:type="dxa"/>
            <w:vMerge w:val="continue"/>
            <w:tcBorders>
              <w:tl2br w:val="nil"/>
              <w:tr2bl w:val="nil"/>
            </w:tcBorders>
            <w:vAlign w:val="center"/>
          </w:tcPr>
          <w:p w14:paraId="3D62AEF8">
            <w:pPr>
              <w:widowControl w:val="0"/>
              <w:bidi w:val="0"/>
              <w:jc w:val="center"/>
              <w:rPr>
                <w:rFonts w:hint="default" w:ascii="Times New Roman" w:hAnsi="Times New Roman" w:eastAsia="宋体" w:cs="Times New Roman"/>
                <w:color w:val="auto"/>
                <w:lang w:val="en-US" w:eastAsia="zh-CN"/>
              </w:rPr>
            </w:pPr>
          </w:p>
        </w:tc>
      </w:tr>
      <w:tr w14:paraId="6398AF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vMerge w:val="continue"/>
            <w:tcBorders>
              <w:tl2br w:val="nil"/>
              <w:tr2bl w:val="nil"/>
            </w:tcBorders>
            <w:vAlign w:val="center"/>
          </w:tcPr>
          <w:p w14:paraId="4C089ADD">
            <w:pPr>
              <w:widowControl w:val="0"/>
              <w:bidi w:val="0"/>
              <w:jc w:val="center"/>
              <w:rPr>
                <w:rFonts w:hint="default" w:ascii="Times New Roman" w:hAnsi="Times New Roman" w:eastAsia="宋体" w:cs="Times New Roman"/>
                <w:color w:val="auto"/>
                <w:lang w:val="en-US" w:eastAsia="zh-CN"/>
              </w:rPr>
            </w:pPr>
          </w:p>
        </w:tc>
        <w:tc>
          <w:tcPr>
            <w:tcW w:w="3376" w:type="dxa"/>
            <w:tcBorders>
              <w:tl2br w:val="nil"/>
              <w:tr2bl w:val="nil"/>
            </w:tcBorders>
            <w:vAlign w:val="center"/>
          </w:tcPr>
          <w:p w14:paraId="4DFA8B62">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排水井保护垫</w:t>
            </w:r>
          </w:p>
        </w:tc>
        <w:tc>
          <w:tcPr>
            <w:tcW w:w="1927" w:type="dxa"/>
            <w:tcBorders>
              <w:tl2br w:val="nil"/>
              <w:tr2bl w:val="nil"/>
            </w:tcBorders>
            <w:vAlign w:val="center"/>
          </w:tcPr>
          <w:p w14:paraId="446770D8">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w:t>
            </w:r>
          </w:p>
        </w:tc>
        <w:tc>
          <w:tcPr>
            <w:tcW w:w="2144" w:type="dxa"/>
            <w:vMerge w:val="continue"/>
            <w:tcBorders>
              <w:tl2br w:val="nil"/>
              <w:tr2bl w:val="nil"/>
            </w:tcBorders>
            <w:vAlign w:val="center"/>
          </w:tcPr>
          <w:p w14:paraId="582DCB68">
            <w:pPr>
              <w:widowControl w:val="0"/>
              <w:bidi w:val="0"/>
              <w:jc w:val="center"/>
              <w:rPr>
                <w:rFonts w:hint="default" w:ascii="Times New Roman" w:hAnsi="Times New Roman" w:eastAsia="宋体" w:cs="Times New Roman"/>
                <w:color w:val="auto"/>
                <w:lang w:val="en-US" w:eastAsia="zh-CN"/>
              </w:rPr>
            </w:pPr>
          </w:p>
        </w:tc>
      </w:tr>
      <w:tr w14:paraId="086240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vMerge w:val="continue"/>
            <w:tcBorders>
              <w:tl2br w:val="nil"/>
              <w:tr2bl w:val="nil"/>
            </w:tcBorders>
            <w:vAlign w:val="center"/>
          </w:tcPr>
          <w:p w14:paraId="4C6C3F29">
            <w:pPr>
              <w:widowControl w:val="0"/>
              <w:bidi w:val="0"/>
              <w:jc w:val="center"/>
              <w:rPr>
                <w:rFonts w:hint="default" w:ascii="Times New Roman" w:hAnsi="Times New Roman" w:eastAsia="宋体" w:cs="Times New Roman"/>
                <w:color w:val="auto"/>
                <w:lang w:val="en-US" w:eastAsia="zh-CN"/>
              </w:rPr>
            </w:pPr>
          </w:p>
        </w:tc>
        <w:tc>
          <w:tcPr>
            <w:tcW w:w="3376" w:type="dxa"/>
            <w:tcBorders>
              <w:tl2br w:val="nil"/>
              <w:tr2bl w:val="nil"/>
            </w:tcBorders>
            <w:vAlign w:val="center"/>
          </w:tcPr>
          <w:p w14:paraId="27A8BC93">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沟渠密封袋</w:t>
            </w:r>
          </w:p>
        </w:tc>
        <w:tc>
          <w:tcPr>
            <w:tcW w:w="1927" w:type="dxa"/>
            <w:tcBorders>
              <w:tl2br w:val="nil"/>
              <w:tr2bl w:val="nil"/>
            </w:tcBorders>
            <w:vAlign w:val="center"/>
          </w:tcPr>
          <w:p w14:paraId="663FB8C1">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w:t>
            </w:r>
          </w:p>
        </w:tc>
        <w:tc>
          <w:tcPr>
            <w:tcW w:w="2144" w:type="dxa"/>
            <w:vMerge w:val="continue"/>
            <w:tcBorders>
              <w:tl2br w:val="nil"/>
              <w:tr2bl w:val="nil"/>
            </w:tcBorders>
            <w:vAlign w:val="center"/>
          </w:tcPr>
          <w:p w14:paraId="21C82716">
            <w:pPr>
              <w:widowControl w:val="0"/>
              <w:bidi w:val="0"/>
              <w:jc w:val="center"/>
              <w:rPr>
                <w:rFonts w:hint="default" w:ascii="Times New Roman" w:hAnsi="Times New Roman" w:eastAsia="宋体" w:cs="Times New Roman"/>
                <w:color w:val="auto"/>
                <w:lang w:val="en-US" w:eastAsia="zh-CN"/>
              </w:rPr>
            </w:pPr>
          </w:p>
        </w:tc>
      </w:tr>
      <w:tr w14:paraId="4A1FE4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vMerge w:val="restart"/>
            <w:tcBorders>
              <w:tl2br w:val="nil"/>
              <w:tr2bl w:val="nil"/>
            </w:tcBorders>
            <w:vAlign w:val="center"/>
          </w:tcPr>
          <w:p w14:paraId="3751DB1B">
            <w:pPr>
              <w:widowControl w:val="0"/>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污染物收集/控制</w:t>
            </w:r>
          </w:p>
        </w:tc>
        <w:tc>
          <w:tcPr>
            <w:tcW w:w="3376" w:type="dxa"/>
            <w:tcBorders>
              <w:tl2br w:val="nil"/>
              <w:tr2bl w:val="nil"/>
            </w:tcBorders>
            <w:vAlign w:val="center"/>
          </w:tcPr>
          <w:p w14:paraId="6A17AD7D">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围油栏（常规围油栏、橡胶围油栏、</w:t>
            </w:r>
            <w:r>
              <w:rPr>
                <w:rFonts w:hint="default" w:ascii="Times New Roman" w:hAnsi="Times New Roman" w:eastAsia="宋体" w:cs="Times New Roman"/>
                <w:color w:val="auto"/>
                <w:lang w:val="en-US" w:eastAsia="zh-CN"/>
              </w:rPr>
              <w:t>PVC</w:t>
            </w:r>
            <w:r>
              <w:rPr>
                <w:rFonts w:hint="eastAsia" w:ascii="Times New Roman" w:hAnsi="Times New Roman" w:eastAsia="宋体" w:cs="Times New Roman"/>
                <w:color w:val="auto"/>
                <w:lang w:val="en-US" w:eastAsia="zh-CN"/>
              </w:rPr>
              <w:t>围油栏、防火围油栏）</w:t>
            </w:r>
          </w:p>
        </w:tc>
        <w:tc>
          <w:tcPr>
            <w:tcW w:w="1927" w:type="dxa"/>
            <w:tcBorders>
              <w:tl2br w:val="nil"/>
              <w:tr2bl w:val="nil"/>
            </w:tcBorders>
            <w:vAlign w:val="center"/>
          </w:tcPr>
          <w:p w14:paraId="6A8F32E3">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20</w:t>
            </w:r>
          </w:p>
        </w:tc>
        <w:tc>
          <w:tcPr>
            <w:tcW w:w="2144" w:type="dxa"/>
            <w:vMerge w:val="continue"/>
            <w:tcBorders>
              <w:tl2br w:val="nil"/>
              <w:tr2bl w:val="nil"/>
            </w:tcBorders>
            <w:vAlign w:val="center"/>
          </w:tcPr>
          <w:p w14:paraId="73F8CD3A">
            <w:pPr>
              <w:widowControl w:val="0"/>
              <w:bidi w:val="0"/>
              <w:jc w:val="center"/>
              <w:rPr>
                <w:rFonts w:hint="default" w:ascii="Times New Roman" w:hAnsi="Times New Roman" w:eastAsia="宋体" w:cs="Times New Roman"/>
                <w:color w:val="auto"/>
                <w:lang w:val="en-US" w:eastAsia="zh-CN"/>
              </w:rPr>
            </w:pPr>
          </w:p>
        </w:tc>
      </w:tr>
      <w:tr w14:paraId="3E7051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vMerge w:val="continue"/>
            <w:tcBorders>
              <w:tl2br w:val="nil"/>
              <w:tr2bl w:val="nil"/>
            </w:tcBorders>
            <w:vAlign w:val="center"/>
          </w:tcPr>
          <w:p w14:paraId="5D53E011">
            <w:pPr>
              <w:widowControl w:val="0"/>
              <w:bidi w:val="0"/>
              <w:jc w:val="center"/>
              <w:rPr>
                <w:rFonts w:hint="default" w:ascii="Times New Roman" w:hAnsi="Times New Roman" w:eastAsia="宋体" w:cs="Times New Roman"/>
                <w:color w:val="auto"/>
                <w:lang w:val="en-US" w:eastAsia="zh-CN"/>
              </w:rPr>
            </w:pPr>
          </w:p>
        </w:tc>
        <w:tc>
          <w:tcPr>
            <w:tcW w:w="3376" w:type="dxa"/>
            <w:tcBorders>
              <w:tl2br w:val="nil"/>
              <w:tr2bl w:val="nil"/>
            </w:tcBorders>
            <w:vAlign w:val="center"/>
          </w:tcPr>
          <w:p w14:paraId="727FEBD7">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浮桶（聚乙烯浮桶、拦污浮桶、管道浮桶、泡沫浮桶、警示浮球）</w:t>
            </w:r>
          </w:p>
        </w:tc>
        <w:tc>
          <w:tcPr>
            <w:tcW w:w="1927" w:type="dxa"/>
            <w:tcBorders>
              <w:tl2br w:val="nil"/>
              <w:tr2bl w:val="nil"/>
            </w:tcBorders>
            <w:vAlign w:val="center"/>
          </w:tcPr>
          <w:p w14:paraId="07FBDD28">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w:t>
            </w:r>
          </w:p>
        </w:tc>
        <w:tc>
          <w:tcPr>
            <w:tcW w:w="2144" w:type="dxa"/>
            <w:vMerge w:val="continue"/>
            <w:tcBorders>
              <w:tl2br w:val="nil"/>
              <w:tr2bl w:val="nil"/>
            </w:tcBorders>
            <w:vAlign w:val="center"/>
          </w:tcPr>
          <w:p w14:paraId="10C617B0">
            <w:pPr>
              <w:widowControl w:val="0"/>
              <w:bidi w:val="0"/>
              <w:jc w:val="center"/>
              <w:rPr>
                <w:rFonts w:hint="default" w:ascii="Times New Roman" w:hAnsi="Times New Roman" w:eastAsia="宋体" w:cs="Times New Roman"/>
                <w:color w:val="auto"/>
                <w:lang w:val="en-US" w:eastAsia="zh-CN"/>
              </w:rPr>
            </w:pPr>
          </w:p>
        </w:tc>
      </w:tr>
      <w:tr w14:paraId="1C98FE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36" w:type="dxa"/>
            <w:vMerge w:val="continue"/>
            <w:tcBorders>
              <w:tl2br w:val="nil"/>
              <w:tr2bl w:val="nil"/>
            </w:tcBorders>
            <w:vAlign w:val="center"/>
          </w:tcPr>
          <w:p w14:paraId="527C29C6">
            <w:pPr>
              <w:widowControl w:val="0"/>
              <w:bidi w:val="0"/>
              <w:jc w:val="center"/>
              <w:rPr>
                <w:rFonts w:hint="default" w:ascii="Times New Roman" w:hAnsi="Times New Roman" w:eastAsia="宋体" w:cs="Times New Roman"/>
                <w:color w:val="auto"/>
                <w:lang w:val="en-US" w:eastAsia="zh-CN"/>
              </w:rPr>
            </w:pPr>
          </w:p>
        </w:tc>
        <w:tc>
          <w:tcPr>
            <w:tcW w:w="3376" w:type="dxa"/>
            <w:tcBorders>
              <w:tl2br w:val="nil"/>
              <w:tr2bl w:val="nil"/>
            </w:tcBorders>
            <w:vAlign w:val="center"/>
          </w:tcPr>
          <w:p w14:paraId="5EAA3CE4">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吸油毡</w:t>
            </w:r>
          </w:p>
        </w:tc>
        <w:tc>
          <w:tcPr>
            <w:tcW w:w="1927" w:type="dxa"/>
            <w:tcBorders>
              <w:tl2br w:val="nil"/>
              <w:tr2bl w:val="nil"/>
            </w:tcBorders>
            <w:vAlign w:val="center"/>
          </w:tcPr>
          <w:p w14:paraId="404D9AEB">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w:t>
            </w:r>
          </w:p>
        </w:tc>
        <w:tc>
          <w:tcPr>
            <w:tcW w:w="2144" w:type="dxa"/>
            <w:vMerge w:val="continue"/>
            <w:tcBorders>
              <w:tl2br w:val="nil"/>
              <w:tr2bl w:val="nil"/>
            </w:tcBorders>
            <w:vAlign w:val="center"/>
          </w:tcPr>
          <w:p w14:paraId="2D517760">
            <w:pPr>
              <w:widowControl w:val="0"/>
              <w:bidi w:val="0"/>
              <w:jc w:val="center"/>
              <w:rPr>
                <w:rFonts w:hint="default" w:ascii="Times New Roman" w:hAnsi="Times New Roman" w:eastAsia="宋体" w:cs="Times New Roman"/>
                <w:color w:val="auto"/>
                <w:lang w:val="en-US" w:eastAsia="zh-CN"/>
              </w:rPr>
            </w:pPr>
          </w:p>
        </w:tc>
      </w:tr>
      <w:tr w14:paraId="54C3DA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vMerge w:val="continue"/>
            <w:tcBorders>
              <w:tl2br w:val="nil"/>
              <w:tr2bl w:val="nil"/>
            </w:tcBorders>
            <w:vAlign w:val="center"/>
          </w:tcPr>
          <w:p w14:paraId="0555B7F6">
            <w:pPr>
              <w:widowControl w:val="0"/>
              <w:bidi w:val="0"/>
              <w:jc w:val="center"/>
              <w:rPr>
                <w:rFonts w:hint="default" w:ascii="Times New Roman" w:hAnsi="Times New Roman" w:eastAsia="宋体" w:cs="Times New Roman"/>
                <w:color w:val="auto"/>
                <w:lang w:val="en-US" w:eastAsia="zh-CN"/>
              </w:rPr>
            </w:pPr>
          </w:p>
        </w:tc>
        <w:tc>
          <w:tcPr>
            <w:tcW w:w="3376" w:type="dxa"/>
            <w:tcBorders>
              <w:tl2br w:val="nil"/>
              <w:tr2bl w:val="nil"/>
            </w:tcBorders>
            <w:vAlign w:val="center"/>
          </w:tcPr>
          <w:p w14:paraId="31932EE4">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吸油棉</w:t>
            </w:r>
          </w:p>
        </w:tc>
        <w:tc>
          <w:tcPr>
            <w:tcW w:w="1927" w:type="dxa"/>
            <w:tcBorders>
              <w:tl2br w:val="nil"/>
              <w:tr2bl w:val="nil"/>
            </w:tcBorders>
            <w:vAlign w:val="center"/>
          </w:tcPr>
          <w:p w14:paraId="5E917988">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w:t>
            </w:r>
          </w:p>
        </w:tc>
        <w:tc>
          <w:tcPr>
            <w:tcW w:w="2144" w:type="dxa"/>
            <w:vMerge w:val="continue"/>
            <w:tcBorders>
              <w:tl2br w:val="nil"/>
              <w:tr2bl w:val="nil"/>
            </w:tcBorders>
            <w:vAlign w:val="center"/>
          </w:tcPr>
          <w:p w14:paraId="47B55B0F">
            <w:pPr>
              <w:widowControl w:val="0"/>
              <w:bidi w:val="0"/>
              <w:jc w:val="center"/>
              <w:rPr>
                <w:rFonts w:hint="default" w:ascii="Times New Roman" w:hAnsi="Times New Roman" w:eastAsia="宋体" w:cs="Times New Roman"/>
                <w:color w:val="auto"/>
                <w:lang w:val="en-US" w:eastAsia="zh-CN"/>
              </w:rPr>
            </w:pPr>
          </w:p>
        </w:tc>
      </w:tr>
      <w:tr w14:paraId="2B56C6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vMerge w:val="continue"/>
            <w:tcBorders>
              <w:tl2br w:val="nil"/>
              <w:tr2bl w:val="nil"/>
            </w:tcBorders>
            <w:vAlign w:val="center"/>
          </w:tcPr>
          <w:p w14:paraId="414E366F">
            <w:pPr>
              <w:widowControl w:val="0"/>
              <w:bidi w:val="0"/>
              <w:jc w:val="center"/>
              <w:rPr>
                <w:rFonts w:hint="default" w:ascii="Times New Roman" w:hAnsi="Times New Roman" w:eastAsia="宋体" w:cs="Times New Roman"/>
                <w:color w:val="auto"/>
                <w:lang w:val="en-US" w:eastAsia="zh-CN"/>
              </w:rPr>
            </w:pPr>
          </w:p>
        </w:tc>
        <w:tc>
          <w:tcPr>
            <w:tcW w:w="3376" w:type="dxa"/>
            <w:tcBorders>
              <w:tl2br w:val="nil"/>
              <w:tr2bl w:val="nil"/>
            </w:tcBorders>
            <w:vAlign w:val="center"/>
          </w:tcPr>
          <w:p w14:paraId="09CA5A24">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吸污袋</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卷</w:t>
            </w:r>
          </w:p>
        </w:tc>
        <w:tc>
          <w:tcPr>
            <w:tcW w:w="1927" w:type="dxa"/>
            <w:tcBorders>
              <w:tl2br w:val="nil"/>
              <w:tr2bl w:val="nil"/>
            </w:tcBorders>
            <w:vAlign w:val="center"/>
          </w:tcPr>
          <w:p w14:paraId="6E2F23B4">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w:t>
            </w:r>
          </w:p>
        </w:tc>
        <w:tc>
          <w:tcPr>
            <w:tcW w:w="2144" w:type="dxa"/>
            <w:vMerge w:val="continue"/>
            <w:tcBorders>
              <w:tl2br w:val="nil"/>
              <w:tr2bl w:val="nil"/>
            </w:tcBorders>
            <w:vAlign w:val="center"/>
          </w:tcPr>
          <w:p w14:paraId="27D374D5">
            <w:pPr>
              <w:widowControl w:val="0"/>
              <w:bidi w:val="0"/>
              <w:jc w:val="center"/>
              <w:rPr>
                <w:rFonts w:hint="default" w:ascii="Times New Roman" w:hAnsi="Times New Roman" w:eastAsia="宋体" w:cs="Times New Roman"/>
                <w:color w:val="auto"/>
                <w:lang w:val="en-US" w:eastAsia="zh-CN"/>
              </w:rPr>
            </w:pPr>
          </w:p>
        </w:tc>
      </w:tr>
      <w:tr w14:paraId="5CC198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vMerge w:val="continue"/>
            <w:tcBorders>
              <w:tl2br w:val="nil"/>
              <w:tr2bl w:val="nil"/>
            </w:tcBorders>
            <w:vAlign w:val="center"/>
          </w:tcPr>
          <w:p w14:paraId="291EAE6B">
            <w:pPr>
              <w:widowControl w:val="0"/>
              <w:bidi w:val="0"/>
              <w:jc w:val="center"/>
              <w:rPr>
                <w:rFonts w:hint="default" w:ascii="Times New Roman" w:hAnsi="Times New Roman" w:eastAsia="宋体" w:cs="Times New Roman"/>
                <w:color w:val="auto"/>
                <w:lang w:val="en-US" w:eastAsia="zh-CN"/>
              </w:rPr>
            </w:pPr>
          </w:p>
        </w:tc>
        <w:tc>
          <w:tcPr>
            <w:tcW w:w="3376" w:type="dxa"/>
            <w:tcBorders>
              <w:tl2br w:val="nil"/>
              <w:tr2bl w:val="nil"/>
            </w:tcBorders>
            <w:vAlign w:val="center"/>
          </w:tcPr>
          <w:p w14:paraId="1247BC1A">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吨桶</w:t>
            </w:r>
          </w:p>
        </w:tc>
        <w:tc>
          <w:tcPr>
            <w:tcW w:w="1927" w:type="dxa"/>
            <w:tcBorders>
              <w:tl2br w:val="nil"/>
              <w:tr2bl w:val="nil"/>
            </w:tcBorders>
            <w:vAlign w:val="center"/>
          </w:tcPr>
          <w:p w14:paraId="516E85D0">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w:t>
            </w:r>
          </w:p>
        </w:tc>
        <w:tc>
          <w:tcPr>
            <w:tcW w:w="2144" w:type="dxa"/>
            <w:vMerge w:val="continue"/>
            <w:tcBorders>
              <w:tl2br w:val="nil"/>
              <w:tr2bl w:val="nil"/>
            </w:tcBorders>
            <w:vAlign w:val="center"/>
          </w:tcPr>
          <w:p w14:paraId="49E9A6F9">
            <w:pPr>
              <w:widowControl w:val="0"/>
              <w:bidi w:val="0"/>
              <w:jc w:val="center"/>
              <w:rPr>
                <w:rFonts w:hint="default" w:ascii="Times New Roman" w:hAnsi="Times New Roman" w:eastAsia="宋体" w:cs="Times New Roman"/>
                <w:color w:val="auto"/>
                <w:lang w:val="en-US" w:eastAsia="zh-CN"/>
              </w:rPr>
            </w:pPr>
          </w:p>
        </w:tc>
      </w:tr>
      <w:tr w14:paraId="5A1DA7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vMerge w:val="continue"/>
            <w:tcBorders>
              <w:tl2br w:val="nil"/>
              <w:tr2bl w:val="nil"/>
            </w:tcBorders>
            <w:vAlign w:val="center"/>
          </w:tcPr>
          <w:p w14:paraId="7FCB7754">
            <w:pPr>
              <w:widowControl w:val="0"/>
              <w:bidi w:val="0"/>
              <w:jc w:val="center"/>
              <w:rPr>
                <w:rFonts w:hint="default" w:ascii="Times New Roman" w:hAnsi="Times New Roman" w:eastAsia="宋体" w:cs="Times New Roman"/>
                <w:color w:val="auto"/>
                <w:lang w:val="en-US" w:eastAsia="zh-CN"/>
              </w:rPr>
            </w:pPr>
          </w:p>
        </w:tc>
        <w:tc>
          <w:tcPr>
            <w:tcW w:w="3376" w:type="dxa"/>
            <w:tcBorders>
              <w:tl2br w:val="nil"/>
              <w:tr2bl w:val="nil"/>
            </w:tcBorders>
            <w:vAlign w:val="center"/>
          </w:tcPr>
          <w:p w14:paraId="1CC90D95">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油囊</w:t>
            </w:r>
          </w:p>
        </w:tc>
        <w:tc>
          <w:tcPr>
            <w:tcW w:w="1927" w:type="dxa"/>
            <w:tcBorders>
              <w:tl2br w:val="nil"/>
              <w:tr2bl w:val="nil"/>
            </w:tcBorders>
            <w:vAlign w:val="center"/>
          </w:tcPr>
          <w:p w14:paraId="6C3B44BC">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w:t>
            </w:r>
          </w:p>
        </w:tc>
        <w:tc>
          <w:tcPr>
            <w:tcW w:w="2144" w:type="dxa"/>
            <w:vMerge w:val="continue"/>
            <w:tcBorders>
              <w:tl2br w:val="nil"/>
              <w:tr2bl w:val="nil"/>
            </w:tcBorders>
            <w:vAlign w:val="center"/>
          </w:tcPr>
          <w:p w14:paraId="495E4118">
            <w:pPr>
              <w:widowControl w:val="0"/>
              <w:bidi w:val="0"/>
              <w:jc w:val="center"/>
              <w:rPr>
                <w:rFonts w:hint="default" w:ascii="Times New Roman" w:hAnsi="Times New Roman" w:eastAsia="宋体" w:cs="Times New Roman"/>
                <w:color w:val="auto"/>
                <w:lang w:val="en-US" w:eastAsia="zh-CN"/>
              </w:rPr>
            </w:pPr>
          </w:p>
        </w:tc>
      </w:tr>
      <w:tr w14:paraId="5FBCA5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6" w:type="dxa"/>
            <w:vMerge w:val="continue"/>
            <w:tcBorders>
              <w:tl2br w:val="nil"/>
              <w:tr2bl w:val="nil"/>
            </w:tcBorders>
            <w:vAlign w:val="center"/>
          </w:tcPr>
          <w:p w14:paraId="2664EAE8">
            <w:pPr>
              <w:widowControl w:val="0"/>
              <w:bidi w:val="0"/>
              <w:jc w:val="center"/>
              <w:rPr>
                <w:rFonts w:hint="default" w:ascii="Times New Roman" w:hAnsi="Times New Roman" w:eastAsia="宋体" w:cs="Times New Roman"/>
                <w:color w:val="auto"/>
                <w:lang w:val="en-US" w:eastAsia="zh-CN"/>
              </w:rPr>
            </w:pPr>
          </w:p>
        </w:tc>
        <w:tc>
          <w:tcPr>
            <w:tcW w:w="3376" w:type="dxa"/>
            <w:tcBorders>
              <w:tl2br w:val="nil"/>
              <w:tr2bl w:val="nil"/>
            </w:tcBorders>
            <w:vAlign w:val="center"/>
          </w:tcPr>
          <w:p w14:paraId="27388C32">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储罐</w:t>
            </w:r>
          </w:p>
        </w:tc>
        <w:tc>
          <w:tcPr>
            <w:tcW w:w="1927" w:type="dxa"/>
            <w:tcBorders>
              <w:tl2br w:val="nil"/>
              <w:tr2bl w:val="nil"/>
            </w:tcBorders>
            <w:vAlign w:val="center"/>
          </w:tcPr>
          <w:p w14:paraId="68BC992A">
            <w:pPr>
              <w:widowControl w:val="0"/>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w:t>
            </w:r>
          </w:p>
        </w:tc>
        <w:tc>
          <w:tcPr>
            <w:tcW w:w="2144" w:type="dxa"/>
            <w:vMerge w:val="continue"/>
            <w:tcBorders>
              <w:tl2br w:val="nil"/>
              <w:tr2bl w:val="nil"/>
            </w:tcBorders>
            <w:vAlign w:val="center"/>
          </w:tcPr>
          <w:p w14:paraId="3AF75AAC">
            <w:pPr>
              <w:widowControl w:val="0"/>
              <w:bidi w:val="0"/>
              <w:jc w:val="center"/>
              <w:rPr>
                <w:rFonts w:hint="default" w:ascii="Times New Roman" w:hAnsi="Times New Roman" w:eastAsia="宋体" w:cs="Times New Roman"/>
                <w:color w:val="auto"/>
                <w:lang w:val="en-US" w:eastAsia="zh-CN"/>
              </w:rPr>
            </w:pPr>
          </w:p>
        </w:tc>
      </w:tr>
    </w:tbl>
    <w:p w14:paraId="1C28F0EF">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ascii="宋体" w:hAnsi="宋体" w:eastAsia="宋体" w:cs="宋体"/>
          <w:color w:val="auto"/>
          <w:sz w:val="24"/>
          <w:szCs w:val="24"/>
        </w:rPr>
      </w:pPr>
      <w:r>
        <w:rPr>
          <w:rFonts w:ascii="宋体" w:hAnsi="宋体" w:eastAsia="宋体" w:cs="宋体"/>
          <w:b/>
          <w:bCs/>
          <w:color w:val="auto"/>
          <w:spacing w:val="-2"/>
          <w:sz w:val="24"/>
          <w:szCs w:val="24"/>
          <w:highlight w:val="none"/>
        </w:rPr>
        <w:t>表</w:t>
      </w:r>
      <w:r>
        <w:rPr>
          <w:rFonts w:hint="eastAsia" w:ascii="Times New Roman" w:hAnsi="Times New Roman" w:eastAsia="宋体" w:cs="Times New Roman"/>
          <w:b/>
          <w:bCs/>
          <w:color w:val="auto"/>
          <w:spacing w:val="-2"/>
          <w:sz w:val="24"/>
          <w:szCs w:val="24"/>
          <w:highlight w:val="none"/>
          <w:lang w:val="en-US" w:eastAsia="zh-CN"/>
        </w:rPr>
        <w:t>8</w:t>
      </w:r>
      <w:r>
        <w:rPr>
          <w:rFonts w:ascii="Times New Roman" w:hAnsi="Times New Roman" w:eastAsia="Times New Roman" w:cs="Times New Roman"/>
          <w:b/>
          <w:bCs/>
          <w:color w:val="auto"/>
          <w:spacing w:val="-2"/>
          <w:sz w:val="24"/>
          <w:szCs w:val="24"/>
          <w:highlight w:val="none"/>
        </w:rPr>
        <w:t>.</w:t>
      </w:r>
      <w:r>
        <w:rPr>
          <w:rFonts w:hint="eastAsia" w:ascii="Times New Roman" w:hAnsi="Times New Roman" w:eastAsia="宋体" w:cs="Times New Roman"/>
          <w:b/>
          <w:bCs/>
          <w:color w:val="auto"/>
          <w:spacing w:val="-2"/>
          <w:sz w:val="24"/>
          <w:szCs w:val="24"/>
          <w:highlight w:val="none"/>
          <w:lang w:val="en-US" w:eastAsia="zh-CN"/>
        </w:rPr>
        <w:t>5</w:t>
      </w:r>
      <w:r>
        <w:rPr>
          <w:rFonts w:ascii="Times New Roman" w:hAnsi="Times New Roman" w:eastAsia="Times New Roman" w:cs="Times New Roman"/>
          <w:b/>
          <w:bCs/>
          <w:color w:val="auto"/>
          <w:spacing w:val="-2"/>
          <w:sz w:val="24"/>
          <w:szCs w:val="24"/>
          <w:highlight w:val="none"/>
        </w:rPr>
        <w:t>-</w:t>
      </w:r>
      <w:r>
        <w:rPr>
          <w:rFonts w:hint="eastAsia" w:ascii="Times New Roman" w:hAnsi="Times New Roman" w:eastAsia="宋体" w:cs="Times New Roman"/>
          <w:b/>
          <w:bCs/>
          <w:color w:val="auto"/>
          <w:spacing w:val="-2"/>
          <w:sz w:val="24"/>
          <w:szCs w:val="24"/>
          <w:highlight w:val="none"/>
          <w:lang w:val="en-US" w:eastAsia="zh-CN"/>
        </w:rPr>
        <w:t xml:space="preserve">4  </w:t>
      </w:r>
      <w:r>
        <w:rPr>
          <w:rFonts w:hint="eastAsia" w:ascii="宋体" w:hAnsi="宋体" w:eastAsia="宋体" w:cs="宋体"/>
          <w:b/>
          <w:bCs/>
          <w:color w:val="auto"/>
          <w:spacing w:val="-2"/>
          <w:sz w:val="24"/>
          <w:szCs w:val="24"/>
          <w:highlight w:val="none"/>
          <w:lang w:val="en-US" w:eastAsia="zh-CN"/>
        </w:rPr>
        <w:t>江宁生态环境局应急物资及设备</w:t>
      </w:r>
      <w:bookmarkStart w:id="2190" w:name="pindex14191"/>
      <w:bookmarkEnd w:id="2190"/>
    </w:p>
    <w:tbl>
      <w:tblPr>
        <w:tblStyle w:val="2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1500"/>
        <w:gridCol w:w="3352"/>
        <w:gridCol w:w="1378"/>
        <w:gridCol w:w="1536"/>
      </w:tblGrid>
      <w:tr w14:paraId="335FAE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4" w:type="dxa"/>
            <w:tcBorders>
              <w:tl2br w:val="nil"/>
              <w:tr2bl w:val="nil"/>
            </w:tcBorders>
            <w:vAlign w:val="center"/>
          </w:tcPr>
          <w:p w14:paraId="06084CAF">
            <w:pPr>
              <w:widowControl w:val="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序号</w:t>
            </w:r>
          </w:p>
        </w:tc>
        <w:tc>
          <w:tcPr>
            <w:tcW w:w="1500" w:type="dxa"/>
            <w:tcBorders>
              <w:tl2br w:val="nil"/>
              <w:tr2bl w:val="nil"/>
            </w:tcBorders>
            <w:vAlign w:val="center"/>
          </w:tcPr>
          <w:p w14:paraId="22B1EE4B">
            <w:pPr>
              <w:widowControl w:val="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lang w:val="en-US" w:eastAsia="zh-CN"/>
              </w:rPr>
              <w:t>类型</w:t>
            </w:r>
          </w:p>
        </w:tc>
        <w:tc>
          <w:tcPr>
            <w:tcW w:w="3352" w:type="dxa"/>
            <w:tcBorders>
              <w:tl2br w:val="nil"/>
              <w:tr2bl w:val="nil"/>
            </w:tcBorders>
            <w:vAlign w:val="center"/>
          </w:tcPr>
          <w:p w14:paraId="306768CD">
            <w:pPr>
              <w:widowControl w:val="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名称</w:t>
            </w:r>
          </w:p>
        </w:tc>
        <w:tc>
          <w:tcPr>
            <w:tcW w:w="1378" w:type="dxa"/>
            <w:tcBorders>
              <w:tl2br w:val="nil"/>
              <w:tr2bl w:val="nil"/>
            </w:tcBorders>
            <w:vAlign w:val="center"/>
          </w:tcPr>
          <w:p w14:paraId="4466634E">
            <w:pPr>
              <w:widowControl w:val="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数量</w:t>
            </w:r>
          </w:p>
        </w:tc>
        <w:tc>
          <w:tcPr>
            <w:tcW w:w="1536" w:type="dxa"/>
            <w:tcBorders>
              <w:tl2br w:val="nil"/>
              <w:tr2bl w:val="nil"/>
            </w:tcBorders>
            <w:vAlign w:val="center"/>
          </w:tcPr>
          <w:p w14:paraId="0E0D4A94">
            <w:pPr>
              <w:widowControl w:val="0"/>
              <w:bidi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用途</w:t>
            </w:r>
          </w:p>
        </w:tc>
      </w:tr>
      <w:tr w14:paraId="79218B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4" w:type="dxa"/>
            <w:tcBorders>
              <w:tl2br w:val="nil"/>
              <w:tr2bl w:val="nil"/>
            </w:tcBorders>
            <w:vAlign w:val="center"/>
          </w:tcPr>
          <w:p w14:paraId="274A3BA2">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500" w:type="dxa"/>
            <w:vMerge w:val="restart"/>
            <w:tcBorders>
              <w:tl2br w:val="nil"/>
              <w:tr2bl w:val="nil"/>
            </w:tcBorders>
            <w:vAlign w:val="center"/>
          </w:tcPr>
          <w:p w14:paraId="5EC0C911">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环境监测</w:t>
            </w:r>
          </w:p>
        </w:tc>
        <w:tc>
          <w:tcPr>
            <w:tcW w:w="3352" w:type="dxa"/>
            <w:tcBorders>
              <w:tl2br w:val="nil"/>
              <w:tr2bl w:val="nil"/>
            </w:tcBorders>
            <w:vAlign w:val="center"/>
          </w:tcPr>
          <w:p w14:paraId="5AC5AAC1">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四组分</w:t>
            </w:r>
            <w:r>
              <w:rPr>
                <w:rFonts w:hint="default" w:ascii="Times New Roman" w:hAnsi="Times New Roman" w:eastAsia="宋体" w:cs="Times New Roman"/>
                <w:color w:val="auto"/>
                <w:sz w:val="21"/>
                <w:szCs w:val="21"/>
                <w:lang w:val="en-US" w:eastAsia="zh-CN"/>
              </w:rPr>
              <w:t>气体便携式检测仪（NO</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、HCN、CO、NH</w:t>
            </w:r>
            <w:r>
              <w:rPr>
                <w:rFonts w:hint="default" w:ascii="Times New Roman" w:hAnsi="Times New Roman" w:eastAsia="宋体" w:cs="Times New Roman"/>
                <w:color w:val="auto"/>
                <w:sz w:val="21"/>
                <w:szCs w:val="21"/>
                <w:vertAlign w:val="subscript"/>
                <w:lang w:val="en-US" w:eastAsia="zh-CN"/>
              </w:rPr>
              <w:t>3</w:t>
            </w:r>
            <w:r>
              <w:rPr>
                <w:rFonts w:hint="default" w:ascii="Times New Roman" w:hAnsi="Times New Roman" w:eastAsia="宋体" w:cs="Times New Roman"/>
                <w:color w:val="auto"/>
                <w:sz w:val="21"/>
                <w:szCs w:val="21"/>
                <w:lang w:val="en-US" w:eastAsia="zh-CN"/>
              </w:rPr>
              <w:t>）</w:t>
            </w:r>
          </w:p>
        </w:tc>
        <w:tc>
          <w:tcPr>
            <w:tcW w:w="1378" w:type="dxa"/>
            <w:tcBorders>
              <w:tl2br w:val="nil"/>
              <w:tr2bl w:val="nil"/>
            </w:tcBorders>
            <w:vAlign w:val="center"/>
          </w:tcPr>
          <w:p w14:paraId="275CEB71">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1台</w:t>
            </w:r>
          </w:p>
        </w:tc>
        <w:tc>
          <w:tcPr>
            <w:tcW w:w="1536" w:type="dxa"/>
            <w:tcBorders>
              <w:tl2br w:val="nil"/>
              <w:tr2bl w:val="nil"/>
            </w:tcBorders>
            <w:vAlign w:val="center"/>
          </w:tcPr>
          <w:p w14:paraId="02166928">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气体快速检测</w:t>
            </w:r>
          </w:p>
        </w:tc>
      </w:tr>
      <w:tr w14:paraId="67ACFB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4" w:type="dxa"/>
            <w:tcBorders>
              <w:tl2br w:val="nil"/>
              <w:tr2bl w:val="nil"/>
            </w:tcBorders>
            <w:vAlign w:val="center"/>
          </w:tcPr>
          <w:p w14:paraId="53E84AD2">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1500" w:type="dxa"/>
            <w:vMerge w:val="continue"/>
            <w:tcBorders>
              <w:tl2br w:val="nil"/>
              <w:tr2bl w:val="nil"/>
            </w:tcBorders>
            <w:vAlign w:val="center"/>
          </w:tcPr>
          <w:p w14:paraId="34003A1A">
            <w:pPr>
              <w:widowControl w:val="0"/>
              <w:bidi w:val="0"/>
              <w:jc w:val="center"/>
              <w:rPr>
                <w:rFonts w:hint="default" w:ascii="Times New Roman" w:hAnsi="Times New Roman" w:eastAsia="宋体" w:cs="Times New Roman"/>
                <w:color w:val="auto"/>
                <w:sz w:val="21"/>
                <w:szCs w:val="21"/>
                <w:lang w:val="en-US" w:eastAsia="zh-CN"/>
              </w:rPr>
            </w:pPr>
          </w:p>
        </w:tc>
        <w:tc>
          <w:tcPr>
            <w:tcW w:w="3352" w:type="dxa"/>
            <w:tcBorders>
              <w:tl2br w:val="nil"/>
              <w:tr2bl w:val="nil"/>
            </w:tcBorders>
            <w:vAlign w:val="center"/>
          </w:tcPr>
          <w:p w14:paraId="7162E2F3">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四组分</w:t>
            </w:r>
            <w:r>
              <w:rPr>
                <w:rFonts w:hint="default" w:ascii="Times New Roman" w:hAnsi="Times New Roman" w:eastAsia="宋体" w:cs="Times New Roman"/>
                <w:color w:val="auto"/>
                <w:sz w:val="21"/>
                <w:szCs w:val="21"/>
                <w:lang w:val="en-US" w:eastAsia="zh-CN"/>
              </w:rPr>
              <w:t>气体便携式检测仪（LEL、SO</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S、Cl</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w:t>
            </w:r>
          </w:p>
        </w:tc>
        <w:tc>
          <w:tcPr>
            <w:tcW w:w="1378" w:type="dxa"/>
            <w:tcBorders>
              <w:tl2br w:val="nil"/>
              <w:tr2bl w:val="nil"/>
            </w:tcBorders>
            <w:vAlign w:val="center"/>
          </w:tcPr>
          <w:p w14:paraId="3E1FCFCF">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1台</w:t>
            </w:r>
          </w:p>
        </w:tc>
        <w:tc>
          <w:tcPr>
            <w:tcW w:w="1536" w:type="dxa"/>
            <w:tcBorders>
              <w:tl2br w:val="nil"/>
              <w:tr2bl w:val="nil"/>
            </w:tcBorders>
            <w:vAlign w:val="center"/>
          </w:tcPr>
          <w:p w14:paraId="103642A6">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气体快速检测</w:t>
            </w:r>
          </w:p>
        </w:tc>
      </w:tr>
      <w:tr w14:paraId="3E1F14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4" w:type="dxa"/>
            <w:tcBorders>
              <w:tl2br w:val="nil"/>
              <w:tr2bl w:val="nil"/>
            </w:tcBorders>
            <w:vAlign w:val="center"/>
          </w:tcPr>
          <w:p w14:paraId="1FE2D87A">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500" w:type="dxa"/>
            <w:vMerge w:val="continue"/>
            <w:tcBorders>
              <w:tl2br w:val="nil"/>
              <w:tr2bl w:val="nil"/>
            </w:tcBorders>
            <w:vAlign w:val="center"/>
          </w:tcPr>
          <w:p w14:paraId="09FB9C1D">
            <w:pPr>
              <w:widowControl w:val="0"/>
              <w:bidi w:val="0"/>
              <w:jc w:val="center"/>
              <w:rPr>
                <w:rFonts w:hint="default" w:ascii="Times New Roman" w:hAnsi="Times New Roman" w:eastAsia="宋体" w:cs="Times New Roman"/>
                <w:color w:val="auto"/>
                <w:sz w:val="21"/>
                <w:szCs w:val="21"/>
                <w:lang w:val="en-US" w:eastAsia="zh-CN"/>
              </w:rPr>
            </w:pPr>
          </w:p>
        </w:tc>
        <w:tc>
          <w:tcPr>
            <w:tcW w:w="3352" w:type="dxa"/>
            <w:tcBorders>
              <w:tl2br w:val="nil"/>
              <w:tr2bl w:val="nil"/>
            </w:tcBorders>
            <w:vAlign w:val="center"/>
          </w:tcPr>
          <w:p w14:paraId="50141355">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挥发性有机物便携式检测仪</w:t>
            </w:r>
          </w:p>
        </w:tc>
        <w:tc>
          <w:tcPr>
            <w:tcW w:w="1378" w:type="dxa"/>
            <w:tcBorders>
              <w:tl2br w:val="nil"/>
              <w:tr2bl w:val="nil"/>
            </w:tcBorders>
            <w:vAlign w:val="center"/>
          </w:tcPr>
          <w:p w14:paraId="54A9BF82">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1台</w:t>
            </w:r>
          </w:p>
        </w:tc>
        <w:tc>
          <w:tcPr>
            <w:tcW w:w="1536" w:type="dxa"/>
            <w:tcBorders>
              <w:tl2br w:val="nil"/>
              <w:tr2bl w:val="nil"/>
            </w:tcBorders>
            <w:vAlign w:val="center"/>
          </w:tcPr>
          <w:p w14:paraId="36676976">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气体快速检测</w:t>
            </w:r>
          </w:p>
        </w:tc>
      </w:tr>
      <w:tr w14:paraId="71B615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4" w:type="dxa"/>
            <w:tcBorders>
              <w:tl2br w:val="nil"/>
              <w:tr2bl w:val="nil"/>
            </w:tcBorders>
            <w:vAlign w:val="center"/>
          </w:tcPr>
          <w:p w14:paraId="7DB540DF">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500" w:type="dxa"/>
            <w:vMerge w:val="continue"/>
            <w:tcBorders>
              <w:tl2br w:val="nil"/>
              <w:tr2bl w:val="nil"/>
            </w:tcBorders>
            <w:shd w:val="clear" w:color="auto" w:fill="auto"/>
            <w:vAlign w:val="center"/>
          </w:tcPr>
          <w:p w14:paraId="1407FADD">
            <w:pPr>
              <w:widowControl w:val="0"/>
              <w:bidi w:val="0"/>
              <w:jc w:val="center"/>
              <w:rPr>
                <w:rFonts w:hint="default" w:ascii="Times New Roman" w:hAnsi="Times New Roman" w:eastAsia="宋体" w:cs="Times New Roman"/>
                <w:color w:val="auto"/>
                <w:sz w:val="21"/>
                <w:szCs w:val="21"/>
                <w:lang w:val="en-US" w:eastAsia="zh-CN"/>
              </w:rPr>
            </w:pPr>
          </w:p>
        </w:tc>
        <w:tc>
          <w:tcPr>
            <w:tcW w:w="3352" w:type="dxa"/>
            <w:tcBorders>
              <w:tl2br w:val="nil"/>
              <w:tr2bl w:val="nil"/>
            </w:tcBorders>
            <w:shd w:val="clear" w:color="auto" w:fill="auto"/>
            <w:vAlign w:val="center"/>
          </w:tcPr>
          <w:p w14:paraId="1ACA2B9D">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激光</w:t>
            </w:r>
            <w:r>
              <w:rPr>
                <w:rFonts w:hint="eastAsia" w:ascii="Times New Roman" w:hAnsi="Times New Roman" w:eastAsia="宋体" w:cs="Times New Roman"/>
                <w:color w:val="auto"/>
                <w:sz w:val="21"/>
                <w:szCs w:val="21"/>
                <w:lang w:val="en-US" w:eastAsia="zh-CN"/>
              </w:rPr>
              <w:t>测距</w:t>
            </w:r>
            <w:r>
              <w:rPr>
                <w:rFonts w:hint="default" w:ascii="Times New Roman" w:hAnsi="Times New Roman" w:eastAsia="宋体" w:cs="Times New Roman"/>
                <w:color w:val="auto"/>
                <w:sz w:val="21"/>
                <w:szCs w:val="21"/>
                <w:lang w:val="en-US" w:eastAsia="zh-CN"/>
              </w:rPr>
              <w:t>仪</w:t>
            </w:r>
          </w:p>
        </w:tc>
        <w:tc>
          <w:tcPr>
            <w:tcW w:w="1378" w:type="dxa"/>
            <w:tcBorders>
              <w:tl2br w:val="nil"/>
              <w:tr2bl w:val="nil"/>
            </w:tcBorders>
            <w:shd w:val="clear" w:color="auto" w:fill="auto"/>
            <w:vAlign w:val="center"/>
          </w:tcPr>
          <w:p w14:paraId="65F5A969">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1台</w:t>
            </w:r>
          </w:p>
        </w:tc>
        <w:tc>
          <w:tcPr>
            <w:tcW w:w="1536" w:type="dxa"/>
            <w:tcBorders>
              <w:tl2br w:val="nil"/>
              <w:tr2bl w:val="nil"/>
            </w:tcBorders>
            <w:shd w:val="clear" w:color="auto" w:fill="auto"/>
            <w:vAlign w:val="center"/>
          </w:tcPr>
          <w:p w14:paraId="5657409B">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测距</w:t>
            </w:r>
          </w:p>
        </w:tc>
      </w:tr>
      <w:tr w14:paraId="17AA13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4" w:type="dxa"/>
            <w:tcBorders>
              <w:tl2br w:val="nil"/>
              <w:tr2bl w:val="nil"/>
            </w:tcBorders>
            <w:vAlign w:val="center"/>
          </w:tcPr>
          <w:p w14:paraId="3DD4E2CE">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1500" w:type="dxa"/>
            <w:vMerge w:val="continue"/>
            <w:tcBorders>
              <w:tl2br w:val="nil"/>
              <w:tr2bl w:val="nil"/>
            </w:tcBorders>
            <w:shd w:val="clear" w:color="auto" w:fill="auto"/>
            <w:vAlign w:val="center"/>
          </w:tcPr>
          <w:p w14:paraId="001A9D8B">
            <w:pPr>
              <w:widowControl w:val="0"/>
              <w:bidi w:val="0"/>
              <w:jc w:val="center"/>
              <w:rPr>
                <w:rFonts w:hint="default" w:ascii="Times New Roman" w:hAnsi="Times New Roman" w:eastAsia="宋体" w:cs="Times New Roman"/>
                <w:color w:val="auto"/>
                <w:sz w:val="21"/>
                <w:szCs w:val="21"/>
                <w:lang w:val="en-US" w:eastAsia="zh-CN"/>
              </w:rPr>
            </w:pPr>
          </w:p>
        </w:tc>
        <w:tc>
          <w:tcPr>
            <w:tcW w:w="3352" w:type="dxa"/>
            <w:tcBorders>
              <w:tl2br w:val="nil"/>
              <w:tr2bl w:val="nil"/>
            </w:tcBorders>
            <w:shd w:val="clear" w:color="auto" w:fill="auto"/>
            <w:vAlign w:val="center"/>
          </w:tcPr>
          <w:p w14:paraId="395E3339">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GPS定位仪</w:t>
            </w:r>
          </w:p>
        </w:tc>
        <w:tc>
          <w:tcPr>
            <w:tcW w:w="1378" w:type="dxa"/>
            <w:tcBorders>
              <w:tl2br w:val="nil"/>
              <w:tr2bl w:val="nil"/>
            </w:tcBorders>
            <w:shd w:val="clear" w:color="auto" w:fill="auto"/>
            <w:vAlign w:val="center"/>
          </w:tcPr>
          <w:p w14:paraId="33EC0F0A">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1台</w:t>
            </w:r>
          </w:p>
        </w:tc>
        <w:tc>
          <w:tcPr>
            <w:tcW w:w="1536" w:type="dxa"/>
            <w:tcBorders>
              <w:tl2br w:val="nil"/>
              <w:tr2bl w:val="nil"/>
            </w:tcBorders>
            <w:shd w:val="clear" w:color="auto" w:fill="auto"/>
            <w:vAlign w:val="center"/>
          </w:tcPr>
          <w:p w14:paraId="03FFF82C">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定位</w:t>
            </w:r>
          </w:p>
        </w:tc>
      </w:tr>
      <w:tr w14:paraId="295A44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4" w:type="dxa"/>
            <w:tcBorders>
              <w:tl2br w:val="nil"/>
              <w:tr2bl w:val="nil"/>
            </w:tcBorders>
            <w:vAlign w:val="center"/>
          </w:tcPr>
          <w:p w14:paraId="4C189860">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1500" w:type="dxa"/>
            <w:vMerge w:val="restart"/>
            <w:tcBorders>
              <w:tl2br w:val="nil"/>
              <w:tr2bl w:val="nil"/>
            </w:tcBorders>
            <w:shd w:val="clear" w:color="auto" w:fill="auto"/>
            <w:vAlign w:val="center"/>
          </w:tcPr>
          <w:p w14:paraId="65C19516">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安全防护</w:t>
            </w:r>
          </w:p>
        </w:tc>
        <w:tc>
          <w:tcPr>
            <w:tcW w:w="3352" w:type="dxa"/>
            <w:tcBorders>
              <w:tl2br w:val="nil"/>
              <w:tr2bl w:val="nil"/>
            </w:tcBorders>
            <w:shd w:val="clear" w:color="auto" w:fill="auto"/>
            <w:vAlign w:val="center"/>
          </w:tcPr>
          <w:p w14:paraId="1E8DE801">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自吸式过滤防毒面具（半面罩）</w:t>
            </w:r>
          </w:p>
        </w:tc>
        <w:tc>
          <w:tcPr>
            <w:tcW w:w="1378" w:type="dxa"/>
            <w:tcBorders>
              <w:tl2br w:val="nil"/>
              <w:tr2bl w:val="nil"/>
            </w:tcBorders>
            <w:shd w:val="clear" w:color="auto" w:fill="auto"/>
            <w:vAlign w:val="center"/>
          </w:tcPr>
          <w:p w14:paraId="671D3A08">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10个</w:t>
            </w:r>
          </w:p>
        </w:tc>
        <w:tc>
          <w:tcPr>
            <w:tcW w:w="1536" w:type="dxa"/>
            <w:tcBorders>
              <w:tl2br w:val="nil"/>
              <w:tr2bl w:val="nil"/>
            </w:tcBorders>
            <w:shd w:val="clear" w:color="auto" w:fill="auto"/>
            <w:vAlign w:val="center"/>
          </w:tcPr>
          <w:p w14:paraId="4DB81594">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个人防护</w:t>
            </w:r>
          </w:p>
        </w:tc>
      </w:tr>
      <w:tr w14:paraId="6AC65D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4" w:type="dxa"/>
            <w:tcBorders>
              <w:tl2br w:val="nil"/>
              <w:tr2bl w:val="nil"/>
            </w:tcBorders>
            <w:vAlign w:val="center"/>
          </w:tcPr>
          <w:p w14:paraId="45AEC02C">
            <w:pPr>
              <w:widowControl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1500" w:type="dxa"/>
            <w:vMerge w:val="continue"/>
            <w:tcBorders>
              <w:tl2br w:val="nil"/>
              <w:tr2bl w:val="nil"/>
            </w:tcBorders>
            <w:shd w:val="clear" w:color="auto" w:fill="auto"/>
            <w:vAlign w:val="center"/>
          </w:tcPr>
          <w:p w14:paraId="181DBB11">
            <w:pPr>
              <w:widowControl w:val="0"/>
              <w:bidi w:val="0"/>
              <w:jc w:val="center"/>
              <w:rPr>
                <w:rFonts w:hint="default" w:ascii="Times New Roman" w:hAnsi="Times New Roman" w:eastAsia="宋体" w:cs="Times New Roman"/>
                <w:color w:val="auto"/>
                <w:sz w:val="21"/>
                <w:szCs w:val="21"/>
                <w:lang w:val="en-US" w:eastAsia="zh-CN"/>
              </w:rPr>
            </w:pPr>
          </w:p>
        </w:tc>
        <w:tc>
          <w:tcPr>
            <w:tcW w:w="3352" w:type="dxa"/>
            <w:tcBorders>
              <w:tl2br w:val="nil"/>
              <w:tr2bl w:val="nil"/>
            </w:tcBorders>
            <w:shd w:val="clear" w:color="auto" w:fill="auto"/>
            <w:vAlign w:val="center"/>
          </w:tcPr>
          <w:p w14:paraId="1EA71FB5">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正压式消防空气呼吸器</w:t>
            </w:r>
          </w:p>
        </w:tc>
        <w:tc>
          <w:tcPr>
            <w:tcW w:w="1378" w:type="dxa"/>
            <w:tcBorders>
              <w:tl2br w:val="nil"/>
              <w:tr2bl w:val="nil"/>
            </w:tcBorders>
            <w:shd w:val="clear" w:color="auto" w:fill="auto"/>
            <w:vAlign w:val="center"/>
          </w:tcPr>
          <w:p w14:paraId="156BEE89">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3个</w:t>
            </w:r>
          </w:p>
        </w:tc>
        <w:tc>
          <w:tcPr>
            <w:tcW w:w="1536" w:type="dxa"/>
            <w:tcBorders>
              <w:tl2br w:val="nil"/>
              <w:tr2bl w:val="nil"/>
            </w:tcBorders>
            <w:shd w:val="clear" w:color="auto" w:fill="auto"/>
            <w:vAlign w:val="center"/>
          </w:tcPr>
          <w:p w14:paraId="385E6382">
            <w:pPr>
              <w:widowControl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个人防护</w:t>
            </w:r>
          </w:p>
        </w:tc>
      </w:tr>
    </w:tbl>
    <w:p w14:paraId="16B0FF82">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ascii="宋体" w:hAnsi="宋体" w:eastAsia="宋体" w:cs="宋体"/>
          <w:color w:val="auto"/>
          <w:sz w:val="24"/>
          <w:szCs w:val="24"/>
        </w:rPr>
      </w:pPr>
      <w:r>
        <w:rPr>
          <w:rFonts w:ascii="宋体" w:hAnsi="宋体" w:eastAsia="宋体" w:cs="宋体"/>
          <w:b/>
          <w:bCs/>
          <w:color w:val="auto"/>
          <w:spacing w:val="-2"/>
          <w:sz w:val="24"/>
          <w:szCs w:val="24"/>
        </w:rPr>
        <w:t>表</w:t>
      </w:r>
      <w:r>
        <w:rPr>
          <w:rFonts w:hint="eastAsia" w:ascii="Times New Roman" w:hAnsi="Times New Roman" w:eastAsia="宋体" w:cs="Times New Roman"/>
          <w:b/>
          <w:bCs/>
          <w:color w:val="auto"/>
          <w:spacing w:val="-2"/>
          <w:sz w:val="24"/>
          <w:szCs w:val="24"/>
          <w:lang w:val="en-US" w:eastAsia="zh-CN"/>
        </w:rPr>
        <w:t>8</w:t>
      </w:r>
      <w:r>
        <w:rPr>
          <w:rFonts w:ascii="Times New Roman" w:hAnsi="Times New Roman" w:eastAsia="Times New Roman"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5</w:t>
      </w:r>
      <w:r>
        <w:rPr>
          <w:rFonts w:ascii="Times New Roman" w:hAnsi="Times New Roman" w:eastAsia="Times New Roman"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 xml:space="preserve">5  </w:t>
      </w:r>
      <w:r>
        <w:rPr>
          <w:rFonts w:hint="eastAsia" w:ascii="宋体" w:hAnsi="宋体" w:eastAsia="宋体" w:cs="宋体"/>
          <w:b/>
          <w:bCs/>
          <w:color w:val="auto"/>
          <w:spacing w:val="-2"/>
          <w:sz w:val="24"/>
          <w:szCs w:val="24"/>
          <w:lang w:val="en-US" w:eastAsia="zh-CN"/>
        </w:rPr>
        <w:t>江宁区公安消防大队应急物资及设备</w:t>
      </w:r>
      <w:bookmarkStart w:id="2191" w:name="pindex14232"/>
      <w:bookmarkEnd w:id="2191"/>
    </w:p>
    <w:tbl>
      <w:tblPr>
        <w:tblStyle w:val="20"/>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2420"/>
        <w:gridCol w:w="2420"/>
        <w:gridCol w:w="1384"/>
        <w:gridCol w:w="1540"/>
      </w:tblGrid>
      <w:tr w14:paraId="4FE508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6" w:type="dxa"/>
            <w:tcBorders>
              <w:tl2br w:val="nil"/>
              <w:tr2bl w:val="nil"/>
            </w:tcBorders>
            <w:vAlign w:val="center"/>
          </w:tcPr>
          <w:p w14:paraId="43E817F6">
            <w:pPr>
              <w:widowControl w:val="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序号</w:t>
            </w:r>
          </w:p>
        </w:tc>
        <w:tc>
          <w:tcPr>
            <w:tcW w:w="2420" w:type="dxa"/>
            <w:tcBorders>
              <w:tl2br w:val="nil"/>
              <w:tr2bl w:val="nil"/>
            </w:tcBorders>
            <w:vAlign w:val="center"/>
          </w:tcPr>
          <w:p w14:paraId="455E3AE6">
            <w:pPr>
              <w:widowControl w:val="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lang w:val="en-US" w:eastAsia="zh-CN"/>
              </w:rPr>
              <w:t>类型</w:t>
            </w:r>
          </w:p>
        </w:tc>
        <w:tc>
          <w:tcPr>
            <w:tcW w:w="2420" w:type="dxa"/>
            <w:tcBorders>
              <w:tl2br w:val="nil"/>
              <w:tr2bl w:val="nil"/>
            </w:tcBorders>
            <w:vAlign w:val="center"/>
          </w:tcPr>
          <w:p w14:paraId="298AEA70">
            <w:pPr>
              <w:widowControl w:val="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名称</w:t>
            </w:r>
          </w:p>
        </w:tc>
        <w:tc>
          <w:tcPr>
            <w:tcW w:w="1384" w:type="dxa"/>
            <w:tcBorders>
              <w:tl2br w:val="nil"/>
              <w:tr2bl w:val="nil"/>
            </w:tcBorders>
            <w:vAlign w:val="center"/>
          </w:tcPr>
          <w:p w14:paraId="100C1EA9">
            <w:pPr>
              <w:widowControl w:val="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数量</w:t>
            </w:r>
          </w:p>
        </w:tc>
        <w:tc>
          <w:tcPr>
            <w:tcW w:w="1540" w:type="dxa"/>
            <w:tcBorders>
              <w:tl2br w:val="nil"/>
              <w:tr2bl w:val="nil"/>
            </w:tcBorders>
            <w:vAlign w:val="center"/>
          </w:tcPr>
          <w:p w14:paraId="02440468">
            <w:pPr>
              <w:widowControl w:val="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位置</w:t>
            </w:r>
          </w:p>
        </w:tc>
      </w:tr>
      <w:tr w14:paraId="681BBD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20B87F9A">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2420" w:type="dxa"/>
            <w:vMerge w:val="restart"/>
            <w:tcBorders>
              <w:tl2br w:val="nil"/>
              <w:tr2bl w:val="nil"/>
            </w:tcBorders>
            <w:vAlign w:val="center"/>
          </w:tcPr>
          <w:p w14:paraId="33D2ABD4">
            <w:pPr>
              <w:widowControl w:val="0"/>
              <w:bidi w:val="0"/>
              <w:jc w:val="center"/>
              <w:rPr>
                <w:rFonts w:hint="eastAsia" w:ascii="Times New Roman" w:hAnsi="Times New Roman" w:eastAsia="宋体" w:cs="Times New Roman"/>
                <w:color w:val="auto"/>
                <w:sz w:val="21"/>
                <w:szCs w:val="21"/>
                <w:lang w:val="en-US" w:eastAsia="zh-CN"/>
              </w:rPr>
            </w:pPr>
            <w:r>
              <w:rPr>
                <w:rFonts w:hint="eastAsia"/>
                <w:color w:val="auto"/>
                <w:sz w:val="21"/>
                <w:szCs w:val="21"/>
                <w:highlight w:val="none"/>
                <w:lang w:bidi="ar"/>
              </w:rPr>
              <w:t>污染物控制</w:t>
            </w:r>
          </w:p>
        </w:tc>
        <w:tc>
          <w:tcPr>
            <w:tcW w:w="2420" w:type="dxa"/>
            <w:tcBorders>
              <w:tl2br w:val="nil"/>
              <w:tr2bl w:val="nil"/>
            </w:tcBorders>
            <w:vAlign w:val="center"/>
          </w:tcPr>
          <w:p w14:paraId="7BA7514F">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干粉灭火器</w:t>
            </w:r>
          </w:p>
        </w:tc>
        <w:tc>
          <w:tcPr>
            <w:tcW w:w="1384" w:type="dxa"/>
            <w:tcBorders>
              <w:tl2br w:val="nil"/>
              <w:tr2bl w:val="nil"/>
            </w:tcBorders>
            <w:vAlign w:val="center"/>
          </w:tcPr>
          <w:p w14:paraId="2A827144">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15个</w:t>
            </w:r>
          </w:p>
        </w:tc>
        <w:tc>
          <w:tcPr>
            <w:tcW w:w="1540" w:type="dxa"/>
            <w:vMerge w:val="restart"/>
            <w:tcBorders>
              <w:tl2br w:val="nil"/>
              <w:tr2bl w:val="nil"/>
            </w:tcBorders>
            <w:vAlign w:val="center"/>
          </w:tcPr>
          <w:p w14:paraId="098039E7">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公安消防大队内部仓库</w:t>
            </w:r>
          </w:p>
        </w:tc>
      </w:tr>
      <w:tr w14:paraId="721E93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66E00EB3">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2420" w:type="dxa"/>
            <w:vMerge w:val="continue"/>
            <w:tcBorders>
              <w:tl2br w:val="nil"/>
              <w:tr2bl w:val="nil"/>
            </w:tcBorders>
            <w:vAlign w:val="center"/>
          </w:tcPr>
          <w:p w14:paraId="51CE7B34">
            <w:pPr>
              <w:widowControl w:val="0"/>
              <w:bidi w:val="0"/>
              <w:jc w:val="center"/>
              <w:rPr>
                <w:rFonts w:hint="eastAsia" w:ascii="Times New Roman" w:hAnsi="Times New Roman" w:eastAsia="宋体" w:cs="Times New Roman"/>
                <w:color w:val="auto"/>
                <w:sz w:val="21"/>
                <w:szCs w:val="21"/>
                <w:lang w:val="en-US" w:eastAsia="zh-CN"/>
              </w:rPr>
            </w:pPr>
          </w:p>
        </w:tc>
        <w:tc>
          <w:tcPr>
            <w:tcW w:w="2420" w:type="dxa"/>
            <w:tcBorders>
              <w:tl2br w:val="nil"/>
              <w:tr2bl w:val="nil"/>
            </w:tcBorders>
            <w:vAlign w:val="center"/>
          </w:tcPr>
          <w:p w14:paraId="1135E354">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泡沫灭火器</w:t>
            </w:r>
          </w:p>
        </w:tc>
        <w:tc>
          <w:tcPr>
            <w:tcW w:w="1384" w:type="dxa"/>
            <w:tcBorders>
              <w:tl2br w:val="nil"/>
              <w:tr2bl w:val="nil"/>
            </w:tcBorders>
            <w:vAlign w:val="center"/>
          </w:tcPr>
          <w:p w14:paraId="7ED66C6E">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15个</w:t>
            </w:r>
          </w:p>
        </w:tc>
        <w:tc>
          <w:tcPr>
            <w:tcW w:w="1540" w:type="dxa"/>
            <w:vMerge w:val="continue"/>
            <w:tcBorders>
              <w:tl2br w:val="nil"/>
              <w:tr2bl w:val="nil"/>
            </w:tcBorders>
            <w:vAlign w:val="center"/>
          </w:tcPr>
          <w:p w14:paraId="3D718018">
            <w:pPr>
              <w:widowControl w:val="0"/>
              <w:bidi w:val="0"/>
              <w:jc w:val="center"/>
              <w:rPr>
                <w:rFonts w:hint="default" w:ascii="Times New Roman" w:hAnsi="Times New Roman" w:eastAsia="宋体" w:cs="Times New Roman"/>
                <w:color w:val="auto"/>
                <w:sz w:val="21"/>
                <w:szCs w:val="21"/>
                <w:lang w:val="en-US" w:eastAsia="zh-CN"/>
              </w:rPr>
            </w:pPr>
          </w:p>
        </w:tc>
      </w:tr>
      <w:tr w14:paraId="1AC681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60AC3E01">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2420" w:type="dxa"/>
            <w:vMerge w:val="continue"/>
            <w:tcBorders>
              <w:tl2br w:val="nil"/>
              <w:tr2bl w:val="nil"/>
            </w:tcBorders>
            <w:vAlign w:val="center"/>
          </w:tcPr>
          <w:p w14:paraId="66B0B672">
            <w:pPr>
              <w:widowControl w:val="0"/>
              <w:bidi w:val="0"/>
              <w:jc w:val="center"/>
              <w:rPr>
                <w:rFonts w:hint="eastAsia" w:ascii="Times New Roman" w:hAnsi="Times New Roman" w:eastAsia="宋体" w:cs="Times New Roman"/>
                <w:color w:val="auto"/>
                <w:sz w:val="21"/>
                <w:szCs w:val="21"/>
                <w:lang w:val="en-US" w:eastAsia="zh-CN"/>
              </w:rPr>
            </w:pPr>
          </w:p>
        </w:tc>
        <w:tc>
          <w:tcPr>
            <w:tcW w:w="2420" w:type="dxa"/>
            <w:tcBorders>
              <w:tl2br w:val="nil"/>
              <w:tr2bl w:val="nil"/>
            </w:tcBorders>
            <w:vAlign w:val="center"/>
          </w:tcPr>
          <w:p w14:paraId="73D69547">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二氧化碳灭火器</w:t>
            </w:r>
          </w:p>
        </w:tc>
        <w:tc>
          <w:tcPr>
            <w:tcW w:w="1384" w:type="dxa"/>
            <w:tcBorders>
              <w:tl2br w:val="nil"/>
              <w:tr2bl w:val="nil"/>
            </w:tcBorders>
            <w:vAlign w:val="center"/>
          </w:tcPr>
          <w:p w14:paraId="4969AD10">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15个</w:t>
            </w:r>
          </w:p>
        </w:tc>
        <w:tc>
          <w:tcPr>
            <w:tcW w:w="1540" w:type="dxa"/>
            <w:vMerge w:val="continue"/>
            <w:tcBorders>
              <w:tl2br w:val="nil"/>
              <w:tr2bl w:val="nil"/>
            </w:tcBorders>
            <w:vAlign w:val="center"/>
          </w:tcPr>
          <w:p w14:paraId="48B84128">
            <w:pPr>
              <w:widowControl w:val="0"/>
              <w:bidi w:val="0"/>
              <w:jc w:val="center"/>
              <w:rPr>
                <w:rFonts w:hint="default" w:ascii="Times New Roman" w:hAnsi="Times New Roman" w:eastAsia="宋体" w:cs="Times New Roman"/>
                <w:color w:val="auto"/>
                <w:sz w:val="21"/>
                <w:szCs w:val="21"/>
                <w:lang w:val="en-US" w:eastAsia="zh-CN"/>
              </w:rPr>
            </w:pPr>
          </w:p>
        </w:tc>
      </w:tr>
      <w:tr w14:paraId="6D2882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7FF70862">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2420" w:type="dxa"/>
            <w:vMerge w:val="restart"/>
            <w:tcBorders>
              <w:tl2br w:val="nil"/>
              <w:tr2bl w:val="nil"/>
            </w:tcBorders>
            <w:vAlign w:val="center"/>
          </w:tcPr>
          <w:p w14:paraId="1196CB70">
            <w:pPr>
              <w:widowControl w:val="0"/>
              <w:bidi w:val="0"/>
              <w:jc w:val="center"/>
              <w:rPr>
                <w:rFonts w:hint="eastAsia" w:ascii="Times New Roman" w:hAnsi="Times New Roman" w:eastAsia="宋体" w:cs="Times New Roman"/>
                <w:color w:val="auto"/>
                <w:sz w:val="21"/>
                <w:szCs w:val="21"/>
                <w:lang w:val="en-US" w:eastAsia="zh-CN"/>
              </w:rPr>
            </w:pPr>
            <w:r>
              <w:rPr>
                <w:rFonts w:hint="eastAsia"/>
                <w:color w:val="auto"/>
                <w:sz w:val="21"/>
                <w:szCs w:val="21"/>
                <w:highlight w:val="none"/>
                <w:lang w:bidi="ar"/>
              </w:rPr>
              <w:t>安全防护</w:t>
            </w:r>
          </w:p>
        </w:tc>
        <w:tc>
          <w:tcPr>
            <w:tcW w:w="2420" w:type="dxa"/>
            <w:tcBorders>
              <w:tl2br w:val="nil"/>
              <w:tr2bl w:val="nil"/>
            </w:tcBorders>
            <w:vAlign w:val="center"/>
          </w:tcPr>
          <w:p w14:paraId="3B214B80">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应急</w:t>
            </w:r>
            <w:sdt>
              <w:sdtPr>
                <w:rPr>
                  <w:color w:val="auto"/>
                </w:rPr>
                <w:alias w:val="易错词检查"/>
                <w:tag w:val="auto"/>
                <w:id w:val="2003023"/>
              </w:sdtPr>
              <w:sdtEndPr>
                <w:rPr>
                  <w:color w:val="auto"/>
                </w:rPr>
              </w:sdtEndPr>
              <w:sdtContent>
                <w:bookmarkStart w:id="2192" w:name="bkReivew2003023"/>
                <w:r>
                  <w:rPr>
                    <w:rFonts w:hint="eastAsia" w:ascii="Times New Roman" w:hAnsi="Times New Roman" w:eastAsia="宋体" w:cs="Times New Roman"/>
                    <w:color w:val="auto"/>
                    <w:sz w:val="21"/>
                    <w:szCs w:val="21"/>
                    <w:lang w:val="en-US" w:eastAsia="zh-CN"/>
                  </w:rPr>
                  <w:t>防爆</w:t>
                </w:r>
                <w:bookmarkEnd w:id="2192"/>
              </w:sdtContent>
            </w:sdt>
            <w:r>
              <w:rPr>
                <w:rFonts w:hint="eastAsia" w:ascii="Times New Roman" w:hAnsi="Times New Roman" w:eastAsia="宋体" w:cs="Times New Roman"/>
                <w:color w:val="auto"/>
                <w:sz w:val="21"/>
                <w:szCs w:val="21"/>
                <w:lang w:val="en-US" w:eastAsia="zh-CN"/>
              </w:rPr>
              <w:t>手电筒</w:t>
            </w:r>
          </w:p>
        </w:tc>
        <w:tc>
          <w:tcPr>
            <w:tcW w:w="1384" w:type="dxa"/>
            <w:tcBorders>
              <w:tl2br w:val="nil"/>
              <w:tr2bl w:val="nil"/>
            </w:tcBorders>
            <w:vAlign w:val="center"/>
          </w:tcPr>
          <w:p w14:paraId="52E87536">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50台</w:t>
            </w:r>
          </w:p>
        </w:tc>
        <w:tc>
          <w:tcPr>
            <w:tcW w:w="1540" w:type="dxa"/>
            <w:vMerge w:val="continue"/>
            <w:tcBorders>
              <w:tl2br w:val="nil"/>
              <w:tr2bl w:val="nil"/>
            </w:tcBorders>
            <w:vAlign w:val="center"/>
          </w:tcPr>
          <w:p w14:paraId="01E44FC7">
            <w:pPr>
              <w:widowControl w:val="0"/>
              <w:bidi w:val="0"/>
              <w:jc w:val="center"/>
              <w:rPr>
                <w:rFonts w:hint="default" w:ascii="Times New Roman" w:hAnsi="Times New Roman" w:eastAsia="宋体" w:cs="Times New Roman"/>
                <w:color w:val="auto"/>
                <w:sz w:val="21"/>
                <w:szCs w:val="21"/>
                <w:lang w:val="en-US" w:eastAsia="zh-CN"/>
              </w:rPr>
            </w:pPr>
          </w:p>
        </w:tc>
      </w:tr>
      <w:tr w14:paraId="5B80D7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4DCFCA0A">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2420" w:type="dxa"/>
            <w:vMerge w:val="continue"/>
            <w:tcBorders>
              <w:tl2br w:val="nil"/>
              <w:tr2bl w:val="nil"/>
            </w:tcBorders>
            <w:vAlign w:val="center"/>
          </w:tcPr>
          <w:p w14:paraId="3C61F50E">
            <w:pPr>
              <w:widowControl w:val="0"/>
              <w:bidi w:val="0"/>
              <w:jc w:val="center"/>
              <w:rPr>
                <w:rFonts w:hint="eastAsia" w:ascii="Times New Roman" w:hAnsi="Times New Roman" w:eastAsia="宋体" w:cs="Times New Roman"/>
                <w:color w:val="auto"/>
                <w:sz w:val="21"/>
                <w:szCs w:val="21"/>
                <w:lang w:val="en-US" w:eastAsia="zh-CN"/>
              </w:rPr>
            </w:pPr>
          </w:p>
        </w:tc>
        <w:tc>
          <w:tcPr>
            <w:tcW w:w="2420" w:type="dxa"/>
            <w:tcBorders>
              <w:tl2br w:val="nil"/>
              <w:tr2bl w:val="nil"/>
            </w:tcBorders>
            <w:vAlign w:val="center"/>
          </w:tcPr>
          <w:p w14:paraId="42D6A189">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防毒面具</w:t>
            </w:r>
          </w:p>
        </w:tc>
        <w:tc>
          <w:tcPr>
            <w:tcW w:w="1384" w:type="dxa"/>
            <w:tcBorders>
              <w:tl2br w:val="nil"/>
              <w:tr2bl w:val="nil"/>
            </w:tcBorders>
            <w:vAlign w:val="center"/>
          </w:tcPr>
          <w:p w14:paraId="4928CD2B">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20个</w:t>
            </w:r>
          </w:p>
        </w:tc>
        <w:tc>
          <w:tcPr>
            <w:tcW w:w="1540" w:type="dxa"/>
            <w:vMerge w:val="continue"/>
            <w:tcBorders>
              <w:tl2br w:val="nil"/>
              <w:tr2bl w:val="nil"/>
            </w:tcBorders>
            <w:vAlign w:val="center"/>
          </w:tcPr>
          <w:p w14:paraId="0B4DB639">
            <w:pPr>
              <w:widowControl w:val="0"/>
              <w:bidi w:val="0"/>
              <w:jc w:val="center"/>
              <w:rPr>
                <w:rFonts w:hint="default" w:ascii="Times New Roman" w:hAnsi="Times New Roman" w:eastAsia="宋体" w:cs="Times New Roman"/>
                <w:color w:val="auto"/>
                <w:sz w:val="21"/>
                <w:szCs w:val="21"/>
                <w:lang w:val="en-US" w:eastAsia="zh-CN"/>
              </w:rPr>
            </w:pPr>
          </w:p>
        </w:tc>
      </w:tr>
      <w:tr w14:paraId="4FF62A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5FAB4331">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2420" w:type="dxa"/>
            <w:vMerge w:val="continue"/>
            <w:tcBorders>
              <w:tl2br w:val="nil"/>
              <w:tr2bl w:val="nil"/>
            </w:tcBorders>
            <w:vAlign w:val="center"/>
          </w:tcPr>
          <w:p w14:paraId="004085EB">
            <w:pPr>
              <w:widowControl w:val="0"/>
              <w:bidi w:val="0"/>
              <w:jc w:val="center"/>
              <w:rPr>
                <w:rFonts w:hint="eastAsia" w:ascii="Times New Roman" w:hAnsi="Times New Roman" w:eastAsia="宋体" w:cs="Times New Roman"/>
                <w:color w:val="auto"/>
                <w:sz w:val="21"/>
                <w:szCs w:val="21"/>
                <w:lang w:val="en-US" w:eastAsia="zh-CN"/>
              </w:rPr>
            </w:pPr>
          </w:p>
        </w:tc>
        <w:tc>
          <w:tcPr>
            <w:tcW w:w="2420" w:type="dxa"/>
            <w:tcBorders>
              <w:tl2br w:val="nil"/>
              <w:tr2bl w:val="nil"/>
            </w:tcBorders>
            <w:vAlign w:val="center"/>
          </w:tcPr>
          <w:p w14:paraId="381647AD">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绝缘防火手套</w:t>
            </w:r>
          </w:p>
        </w:tc>
        <w:tc>
          <w:tcPr>
            <w:tcW w:w="1384" w:type="dxa"/>
            <w:tcBorders>
              <w:tl2br w:val="nil"/>
              <w:tr2bl w:val="nil"/>
            </w:tcBorders>
            <w:vAlign w:val="center"/>
          </w:tcPr>
          <w:p w14:paraId="426C16F2">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10副</w:t>
            </w:r>
          </w:p>
        </w:tc>
        <w:tc>
          <w:tcPr>
            <w:tcW w:w="1540" w:type="dxa"/>
            <w:vMerge w:val="continue"/>
            <w:tcBorders>
              <w:tl2br w:val="nil"/>
              <w:tr2bl w:val="nil"/>
            </w:tcBorders>
            <w:vAlign w:val="center"/>
          </w:tcPr>
          <w:p w14:paraId="145255AC">
            <w:pPr>
              <w:widowControl w:val="0"/>
              <w:bidi w:val="0"/>
              <w:jc w:val="center"/>
              <w:rPr>
                <w:rFonts w:hint="default" w:ascii="Times New Roman" w:hAnsi="Times New Roman" w:eastAsia="宋体" w:cs="Times New Roman"/>
                <w:color w:val="auto"/>
                <w:sz w:val="21"/>
                <w:szCs w:val="21"/>
                <w:lang w:val="en-US" w:eastAsia="zh-CN"/>
              </w:rPr>
            </w:pPr>
          </w:p>
        </w:tc>
      </w:tr>
      <w:tr w14:paraId="18E66A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088307AC">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2420" w:type="dxa"/>
            <w:vMerge w:val="continue"/>
            <w:tcBorders>
              <w:tl2br w:val="nil"/>
              <w:tr2bl w:val="nil"/>
            </w:tcBorders>
            <w:vAlign w:val="center"/>
          </w:tcPr>
          <w:p w14:paraId="4DF49306">
            <w:pPr>
              <w:widowControl w:val="0"/>
              <w:bidi w:val="0"/>
              <w:jc w:val="center"/>
              <w:rPr>
                <w:rFonts w:hint="eastAsia" w:ascii="Times New Roman" w:hAnsi="Times New Roman" w:eastAsia="宋体" w:cs="Times New Roman"/>
                <w:color w:val="auto"/>
                <w:sz w:val="21"/>
                <w:szCs w:val="21"/>
                <w:lang w:val="en-US" w:eastAsia="zh-CN"/>
              </w:rPr>
            </w:pPr>
          </w:p>
        </w:tc>
        <w:tc>
          <w:tcPr>
            <w:tcW w:w="2420" w:type="dxa"/>
            <w:tcBorders>
              <w:tl2br w:val="nil"/>
              <w:tr2bl w:val="nil"/>
            </w:tcBorders>
            <w:vAlign w:val="center"/>
          </w:tcPr>
          <w:p w14:paraId="75040F7A">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警戒线警示牌</w:t>
            </w:r>
          </w:p>
        </w:tc>
        <w:tc>
          <w:tcPr>
            <w:tcW w:w="1384" w:type="dxa"/>
            <w:tcBorders>
              <w:tl2br w:val="nil"/>
              <w:tr2bl w:val="nil"/>
            </w:tcBorders>
            <w:vAlign w:val="center"/>
          </w:tcPr>
          <w:p w14:paraId="0143E91A">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1套</w:t>
            </w:r>
          </w:p>
        </w:tc>
        <w:tc>
          <w:tcPr>
            <w:tcW w:w="1540" w:type="dxa"/>
            <w:vMerge w:val="continue"/>
            <w:tcBorders>
              <w:tl2br w:val="nil"/>
              <w:tr2bl w:val="nil"/>
            </w:tcBorders>
            <w:vAlign w:val="center"/>
          </w:tcPr>
          <w:p w14:paraId="6859B946">
            <w:pPr>
              <w:widowControl w:val="0"/>
              <w:bidi w:val="0"/>
              <w:jc w:val="center"/>
              <w:rPr>
                <w:rFonts w:hint="default" w:ascii="Times New Roman" w:hAnsi="Times New Roman" w:eastAsia="宋体" w:cs="Times New Roman"/>
                <w:color w:val="auto"/>
                <w:sz w:val="21"/>
                <w:szCs w:val="21"/>
                <w:lang w:val="en-US" w:eastAsia="zh-CN"/>
              </w:rPr>
            </w:pPr>
          </w:p>
        </w:tc>
      </w:tr>
      <w:tr w14:paraId="3FAF09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177F2013">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2420" w:type="dxa"/>
            <w:vMerge w:val="continue"/>
            <w:tcBorders>
              <w:tl2br w:val="nil"/>
              <w:tr2bl w:val="nil"/>
            </w:tcBorders>
            <w:vAlign w:val="center"/>
          </w:tcPr>
          <w:p w14:paraId="0C4F8CF9">
            <w:pPr>
              <w:widowControl w:val="0"/>
              <w:bidi w:val="0"/>
              <w:jc w:val="center"/>
              <w:rPr>
                <w:rFonts w:hint="eastAsia" w:ascii="Times New Roman" w:hAnsi="Times New Roman" w:eastAsia="宋体" w:cs="Times New Roman"/>
                <w:color w:val="auto"/>
                <w:sz w:val="21"/>
                <w:szCs w:val="21"/>
                <w:lang w:val="en-US" w:eastAsia="zh-CN"/>
              </w:rPr>
            </w:pPr>
          </w:p>
        </w:tc>
        <w:tc>
          <w:tcPr>
            <w:tcW w:w="2420" w:type="dxa"/>
            <w:tcBorders>
              <w:tl2br w:val="nil"/>
              <w:tr2bl w:val="nil"/>
            </w:tcBorders>
            <w:vAlign w:val="center"/>
          </w:tcPr>
          <w:p w14:paraId="2E7CF9D7">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担架</w:t>
            </w:r>
          </w:p>
        </w:tc>
        <w:tc>
          <w:tcPr>
            <w:tcW w:w="1384" w:type="dxa"/>
            <w:tcBorders>
              <w:tl2br w:val="nil"/>
              <w:tr2bl w:val="nil"/>
            </w:tcBorders>
            <w:vAlign w:val="center"/>
          </w:tcPr>
          <w:p w14:paraId="57941BF0">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2副</w:t>
            </w:r>
          </w:p>
        </w:tc>
        <w:tc>
          <w:tcPr>
            <w:tcW w:w="1540" w:type="dxa"/>
            <w:vMerge w:val="continue"/>
            <w:tcBorders>
              <w:tl2br w:val="nil"/>
              <w:tr2bl w:val="nil"/>
            </w:tcBorders>
            <w:vAlign w:val="center"/>
          </w:tcPr>
          <w:p w14:paraId="57ADAA36">
            <w:pPr>
              <w:widowControl w:val="0"/>
              <w:bidi w:val="0"/>
              <w:jc w:val="center"/>
              <w:rPr>
                <w:rFonts w:hint="default" w:ascii="Times New Roman" w:hAnsi="Times New Roman" w:eastAsia="宋体" w:cs="Times New Roman"/>
                <w:color w:val="auto"/>
                <w:sz w:val="21"/>
                <w:szCs w:val="21"/>
                <w:lang w:val="en-US" w:eastAsia="zh-CN"/>
              </w:rPr>
            </w:pPr>
          </w:p>
        </w:tc>
      </w:tr>
      <w:tr w14:paraId="42F326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547CD5F5">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2420" w:type="dxa"/>
            <w:vMerge w:val="continue"/>
            <w:tcBorders>
              <w:tl2br w:val="nil"/>
              <w:tr2bl w:val="nil"/>
            </w:tcBorders>
            <w:vAlign w:val="center"/>
          </w:tcPr>
          <w:p w14:paraId="43450F0B">
            <w:pPr>
              <w:widowControl w:val="0"/>
              <w:bidi w:val="0"/>
              <w:jc w:val="center"/>
              <w:rPr>
                <w:rFonts w:hint="eastAsia" w:ascii="Times New Roman" w:hAnsi="Times New Roman" w:eastAsia="宋体" w:cs="Times New Roman"/>
                <w:color w:val="auto"/>
                <w:sz w:val="21"/>
                <w:szCs w:val="21"/>
                <w:lang w:val="en-US" w:eastAsia="zh-CN"/>
              </w:rPr>
            </w:pPr>
          </w:p>
        </w:tc>
        <w:tc>
          <w:tcPr>
            <w:tcW w:w="2420" w:type="dxa"/>
            <w:tcBorders>
              <w:tl2br w:val="nil"/>
              <w:tr2bl w:val="nil"/>
            </w:tcBorders>
            <w:vAlign w:val="center"/>
          </w:tcPr>
          <w:p w14:paraId="0072AB35">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急救箱</w:t>
            </w:r>
          </w:p>
        </w:tc>
        <w:tc>
          <w:tcPr>
            <w:tcW w:w="1384" w:type="dxa"/>
            <w:tcBorders>
              <w:tl2br w:val="nil"/>
              <w:tr2bl w:val="nil"/>
            </w:tcBorders>
            <w:vAlign w:val="center"/>
          </w:tcPr>
          <w:p w14:paraId="2F71D90C">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2个</w:t>
            </w:r>
          </w:p>
        </w:tc>
        <w:tc>
          <w:tcPr>
            <w:tcW w:w="1540" w:type="dxa"/>
            <w:vMerge w:val="continue"/>
            <w:tcBorders>
              <w:tl2br w:val="nil"/>
              <w:tr2bl w:val="nil"/>
            </w:tcBorders>
            <w:vAlign w:val="center"/>
          </w:tcPr>
          <w:p w14:paraId="52339FE1">
            <w:pPr>
              <w:widowControl w:val="0"/>
              <w:bidi w:val="0"/>
              <w:jc w:val="center"/>
              <w:rPr>
                <w:rFonts w:hint="default" w:ascii="Times New Roman" w:hAnsi="Times New Roman" w:eastAsia="宋体" w:cs="Times New Roman"/>
                <w:color w:val="auto"/>
                <w:sz w:val="21"/>
                <w:szCs w:val="21"/>
                <w:lang w:val="en-US" w:eastAsia="zh-CN"/>
              </w:rPr>
            </w:pPr>
          </w:p>
        </w:tc>
      </w:tr>
      <w:tr w14:paraId="692333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1D1E0DDF">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2420" w:type="dxa"/>
            <w:vMerge w:val="restart"/>
            <w:tcBorders>
              <w:tl2br w:val="nil"/>
              <w:tr2bl w:val="nil"/>
            </w:tcBorders>
            <w:vAlign w:val="center"/>
          </w:tcPr>
          <w:p w14:paraId="062EDA2F">
            <w:pPr>
              <w:widowControl w:val="0"/>
              <w:bidi w:val="0"/>
              <w:jc w:val="center"/>
              <w:rPr>
                <w:rFonts w:hint="eastAsia" w:ascii="Times New Roman" w:hAnsi="Times New Roman" w:eastAsia="宋体" w:cs="Times New Roman"/>
                <w:color w:val="auto"/>
                <w:sz w:val="21"/>
                <w:szCs w:val="21"/>
                <w:lang w:val="en-US" w:eastAsia="zh-CN"/>
              </w:rPr>
            </w:pPr>
            <w:r>
              <w:rPr>
                <w:rFonts w:hint="eastAsia"/>
                <w:color w:val="auto"/>
                <w:sz w:val="21"/>
                <w:szCs w:val="21"/>
                <w:highlight w:val="none"/>
                <w:lang w:bidi="ar"/>
              </w:rPr>
              <w:t>污染源切断</w:t>
            </w:r>
          </w:p>
        </w:tc>
        <w:tc>
          <w:tcPr>
            <w:tcW w:w="2420" w:type="dxa"/>
            <w:tcBorders>
              <w:tl2br w:val="nil"/>
              <w:tr2bl w:val="nil"/>
            </w:tcBorders>
            <w:vAlign w:val="center"/>
          </w:tcPr>
          <w:p w14:paraId="4E11779B">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水泥</w:t>
            </w:r>
          </w:p>
        </w:tc>
        <w:tc>
          <w:tcPr>
            <w:tcW w:w="1384" w:type="dxa"/>
            <w:tcBorders>
              <w:tl2br w:val="nil"/>
              <w:tr2bl w:val="nil"/>
            </w:tcBorders>
            <w:vAlign w:val="center"/>
          </w:tcPr>
          <w:p w14:paraId="75EF9D66">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5吨</w:t>
            </w:r>
          </w:p>
        </w:tc>
        <w:tc>
          <w:tcPr>
            <w:tcW w:w="1540" w:type="dxa"/>
            <w:vMerge w:val="continue"/>
            <w:tcBorders>
              <w:tl2br w:val="nil"/>
              <w:tr2bl w:val="nil"/>
            </w:tcBorders>
            <w:vAlign w:val="center"/>
          </w:tcPr>
          <w:p w14:paraId="0A05D687">
            <w:pPr>
              <w:widowControl w:val="0"/>
              <w:bidi w:val="0"/>
              <w:jc w:val="center"/>
              <w:rPr>
                <w:rFonts w:hint="default" w:ascii="Times New Roman" w:hAnsi="Times New Roman" w:eastAsia="宋体" w:cs="Times New Roman"/>
                <w:color w:val="auto"/>
                <w:sz w:val="21"/>
                <w:szCs w:val="21"/>
                <w:lang w:val="en-US" w:eastAsia="zh-CN"/>
              </w:rPr>
            </w:pPr>
          </w:p>
        </w:tc>
      </w:tr>
      <w:tr w14:paraId="4F0670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315BB250">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w:t>
            </w:r>
          </w:p>
        </w:tc>
        <w:tc>
          <w:tcPr>
            <w:tcW w:w="2420" w:type="dxa"/>
            <w:vMerge w:val="continue"/>
            <w:tcBorders>
              <w:tl2br w:val="nil"/>
              <w:tr2bl w:val="nil"/>
            </w:tcBorders>
            <w:vAlign w:val="center"/>
          </w:tcPr>
          <w:p w14:paraId="5F2C606D">
            <w:pPr>
              <w:widowControl w:val="0"/>
              <w:bidi w:val="0"/>
              <w:jc w:val="center"/>
              <w:rPr>
                <w:rFonts w:hint="eastAsia" w:ascii="Times New Roman" w:hAnsi="Times New Roman" w:eastAsia="宋体" w:cs="Times New Roman"/>
                <w:color w:val="auto"/>
                <w:sz w:val="21"/>
                <w:szCs w:val="21"/>
                <w:lang w:val="en-US" w:eastAsia="zh-CN"/>
              </w:rPr>
            </w:pPr>
          </w:p>
        </w:tc>
        <w:tc>
          <w:tcPr>
            <w:tcW w:w="2420" w:type="dxa"/>
            <w:tcBorders>
              <w:tl2br w:val="nil"/>
              <w:tr2bl w:val="nil"/>
            </w:tcBorders>
            <w:vAlign w:val="center"/>
          </w:tcPr>
          <w:p w14:paraId="2F4B5396">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黄沙</w:t>
            </w:r>
          </w:p>
        </w:tc>
        <w:tc>
          <w:tcPr>
            <w:tcW w:w="1384" w:type="dxa"/>
            <w:tcBorders>
              <w:tl2br w:val="nil"/>
              <w:tr2bl w:val="nil"/>
            </w:tcBorders>
            <w:vAlign w:val="center"/>
          </w:tcPr>
          <w:p w14:paraId="051CAF23">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5吨</w:t>
            </w:r>
          </w:p>
        </w:tc>
        <w:tc>
          <w:tcPr>
            <w:tcW w:w="1540" w:type="dxa"/>
            <w:vMerge w:val="continue"/>
            <w:tcBorders>
              <w:tl2br w:val="nil"/>
              <w:tr2bl w:val="nil"/>
            </w:tcBorders>
            <w:vAlign w:val="center"/>
          </w:tcPr>
          <w:p w14:paraId="19EC8782">
            <w:pPr>
              <w:widowControl w:val="0"/>
              <w:bidi w:val="0"/>
              <w:jc w:val="center"/>
              <w:rPr>
                <w:rFonts w:hint="default" w:ascii="Times New Roman" w:hAnsi="Times New Roman" w:eastAsia="宋体" w:cs="Times New Roman"/>
                <w:color w:val="auto"/>
                <w:sz w:val="21"/>
                <w:szCs w:val="21"/>
                <w:lang w:val="en-US" w:eastAsia="zh-CN"/>
              </w:rPr>
            </w:pPr>
          </w:p>
        </w:tc>
      </w:tr>
      <w:tr w14:paraId="06A2A8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7C5C0C26">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2420" w:type="dxa"/>
            <w:vMerge w:val="restart"/>
            <w:tcBorders>
              <w:tl2br w:val="nil"/>
              <w:tr2bl w:val="nil"/>
            </w:tcBorders>
            <w:vAlign w:val="center"/>
          </w:tcPr>
          <w:p w14:paraId="1E939601">
            <w:pPr>
              <w:widowControl w:val="0"/>
              <w:bidi w:val="0"/>
              <w:jc w:val="center"/>
              <w:rPr>
                <w:rFonts w:hint="eastAsia" w:ascii="Times New Roman" w:hAnsi="Times New Roman" w:eastAsia="宋体" w:cs="Times New Roman"/>
                <w:color w:val="auto"/>
                <w:sz w:val="21"/>
                <w:szCs w:val="21"/>
                <w:lang w:val="en-US" w:eastAsia="zh-CN"/>
              </w:rPr>
            </w:pPr>
            <w:r>
              <w:rPr>
                <w:rFonts w:hint="eastAsia"/>
                <w:color w:val="auto"/>
                <w:sz w:val="21"/>
                <w:szCs w:val="21"/>
                <w:highlight w:val="none"/>
                <w:lang w:bidi="ar"/>
              </w:rPr>
              <w:t>安全防护</w:t>
            </w:r>
          </w:p>
        </w:tc>
        <w:tc>
          <w:tcPr>
            <w:tcW w:w="2420" w:type="dxa"/>
            <w:tcBorders>
              <w:tl2br w:val="nil"/>
              <w:tr2bl w:val="nil"/>
            </w:tcBorders>
            <w:vAlign w:val="center"/>
          </w:tcPr>
          <w:p w14:paraId="483DF441">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麻绳</w:t>
            </w:r>
          </w:p>
        </w:tc>
        <w:tc>
          <w:tcPr>
            <w:tcW w:w="1384" w:type="dxa"/>
            <w:tcBorders>
              <w:tl2br w:val="nil"/>
              <w:tr2bl w:val="nil"/>
            </w:tcBorders>
            <w:vAlign w:val="center"/>
          </w:tcPr>
          <w:p w14:paraId="22021703">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100米</w:t>
            </w:r>
          </w:p>
        </w:tc>
        <w:tc>
          <w:tcPr>
            <w:tcW w:w="1540" w:type="dxa"/>
            <w:vMerge w:val="continue"/>
            <w:tcBorders>
              <w:tl2br w:val="nil"/>
              <w:tr2bl w:val="nil"/>
            </w:tcBorders>
            <w:vAlign w:val="center"/>
          </w:tcPr>
          <w:p w14:paraId="71DCADD1">
            <w:pPr>
              <w:widowControl w:val="0"/>
              <w:bidi w:val="0"/>
              <w:jc w:val="center"/>
              <w:rPr>
                <w:rFonts w:hint="default" w:ascii="Times New Roman" w:hAnsi="Times New Roman" w:eastAsia="宋体" w:cs="Times New Roman"/>
                <w:color w:val="auto"/>
                <w:sz w:val="21"/>
                <w:szCs w:val="21"/>
                <w:lang w:val="en-US" w:eastAsia="zh-CN"/>
              </w:rPr>
            </w:pPr>
          </w:p>
        </w:tc>
      </w:tr>
      <w:tr w14:paraId="77AAFF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27BE943E">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w:t>
            </w:r>
          </w:p>
        </w:tc>
        <w:tc>
          <w:tcPr>
            <w:tcW w:w="2420" w:type="dxa"/>
            <w:vMerge w:val="continue"/>
            <w:tcBorders>
              <w:tl2br w:val="nil"/>
              <w:tr2bl w:val="nil"/>
            </w:tcBorders>
            <w:vAlign w:val="center"/>
          </w:tcPr>
          <w:p w14:paraId="33E827A3">
            <w:pPr>
              <w:widowControl w:val="0"/>
              <w:bidi w:val="0"/>
              <w:jc w:val="center"/>
              <w:rPr>
                <w:rFonts w:hint="eastAsia" w:ascii="Times New Roman" w:hAnsi="Times New Roman" w:eastAsia="宋体" w:cs="Times New Roman"/>
                <w:color w:val="auto"/>
                <w:sz w:val="21"/>
                <w:szCs w:val="21"/>
                <w:lang w:val="en-US" w:eastAsia="zh-CN"/>
              </w:rPr>
            </w:pPr>
          </w:p>
        </w:tc>
        <w:tc>
          <w:tcPr>
            <w:tcW w:w="2420" w:type="dxa"/>
            <w:tcBorders>
              <w:tl2br w:val="nil"/>
              <w:tr2bl w:val="nil"/>
            </w:tcBorders>
            <w:vAlign w:val="center"/>
          </w:tcPr>
          <w:p w14:paraId="5A0E3021">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钢丝绳</w:t>
            </w:r>
          </w:p>
        </w:tc>
        <w:tc>
          <w:tcPr>
            <w:tcW w:w="1384" w:type="dxa"/>
            <w:tcBorders>
              <w:tl2br w:val="nil"/>
              <w:tr2bl w:val="nil"/>
            </w:tcBorders>
            <w:vAlign w:val="center"/>
          </w:tcPr>
          <w:p w14:paraId="3851B9B8">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200米</w:t>
            </w:r>
          </w:p>
        </w:tc>
        <w:tc>
          <w:tcPr>
            <w:tcW w:w="1540" w:type="dxa"/>
            <w:vMerge w:val="continue"/>
            <w:tcBorders>
              <w:tl2br w:val="nil"/>
              <w:tr2bl w:val="nil"/>
            </w:tcBorders>
            <w:vAlign w:val="center"/>
          </w:tcPr>
          <w:p w14:paraId="1CE7014A">
            <w:pPr>
              <w:widowControl w:val="0"/>
              <w:bidi w:val="0"/>
              <w:jc w:val="center"/>
              <w:rPr>
                <w:rFonts w:hint="default" w:ascii="Times New Roman" w:hAnsi="Times New Roman" w:eastAsia="宋体" w:cs="Times New Roman"/>
                <w:color w:val="auto"/>
                <w:sz w:val="21"/>
                <w:szCs w:val="21"/>
                <w:lang w:val="en-US" w:eastAsia="zh-CN"/>
              </w:rPr>
            </w:pPr>
          </w:p>
        </w:tc>
      </w:tr>
      <w:tr w14:paraId="0D0D8E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16" w:type="dxa"/>
            <w:tcBorders>
              <w:tl2br w:val="nil"/>
              <w:tr2bl w:val="nil"/>
            </w:tcBorders>
            <w:vAlign w:val="center"/>
          </w:tcPr>
          <w:p w14:paraId="0562EF32">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w:t>
            </w:r>
          </w:p>
        </w:tc>
        <w:tc>
          <w:tcPr>
            <w:tcW w:w="2420" w:type="dxa"/>
            <w:tcBorders>
              <w:tl2br w:val="nil"/>
              <w:tr2bl w:val="nil"/>
            </w:tcBorders>
            <w:vAlign w:val="center"/>
          </w:tcPr>
          <w:p w14:paraId="52105220">
            <w:pPr>
              <w:widowControl w:val="0"/>
              <w:bidi w:val="0"/>
              <w:jc w:val="center"/>
              <w:rPr>
                <w:rFonts w:hint="eastAsia" w:ascii="Times New Roman" w:hAnsi="Times New Roman" w:eastAsia="宋体" w:cs="Times New Roman"/>
                <w:color w:val="auto"/>
                <w:sz w:val="21"/>
                <w:szCs w:val="21"/>
                <w:lang w:val="en-US" w:eastAsia="zh-CN"/>
              </w:rPr>
            </w:pPr>
            <w:r>
              <w:rPr>
                <w:rFonts w:hint="eastAsia"/>
                <w:color w:val="auto"/>
                <w:sz w:val="21"/>
                <w:szCs w:val="21"/>
                <w:highlight w:val="none"/>
                <w:lang w:bidi="ar"/>
              </w:rPr>
              <w:t>应急通信和指挥</w:t>
            </w:r>
          </w:p>
        </w:tc>
        <w:tc>
          <w:tcPr>
            <w:tcW w:w="2420" w:type="dxa"/>
            <w:tcBorders>
              <w:tl2br w:val="nil"/>
              <w:tr2bl w:val="nil"/>
            </w:tcBorders>
            <w:vAlign w:val="center"/>
          </w:tcPr>
          <w:p w14:paraId="23DE3A5B">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对讲机</w:t>
            </w:r>
          </w:p>
        </w:tc>
        <w:tc>
          <w:tcPr>
            <w:tcW w:w="1384" w:type="dxa"/>
            <w:tcBorders>
              <w:tl2br w:val="nil"/>
              <w:tr2bl w:val="nil"/>
            </w:tcBorders>
            <w:vAlign w:val="center"/>
          </w:tcPr>
          <w:p w14:paraId="2F6B5BC5">
            <w:pPr>
              <w:widowControl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4台</w:t>
            </w:r>
          </w:p>
        </w:tc>
        <w:tc>
          <w:tcPr>
            <w:tcW w:w="1540" w:type="dxa"/>
            <w:vMerge w:val="continue"/>
            <w:tcBorders>
              <w:tl2br w:val="nil"/>
              <w:tr2bl w:val="nil"/>
            </w:tcBorders>
            <w:vAlign w:val="center"/>
          </w:tcPr>
          <w:p w14:paraId="13B02883">
            <w:pPr>
              <w:widowControl w:val="0"/>
              <w:bidi w:val="0"/>
              <w:jc w:val="center"/>
              <w:rPr>
                <w:rFonts w:hint="default" w:ascii="Times New Roman" w:hAnsi="Times New Roman" w:eastAsia="宋体" w:cs="Times New Roman"/>
                <w:color w:val="auto"/>
                <w:sz w:val="21"/>
                <w:szCs w:val="21"/>
                <w:lang w:val="en-US" w:eastAsia="zh-CN"/>
              </w:rPr>
            </w:pPr>
          </w:p>
        </w:tc>
      </w:tr>
    </w:tbl>
    <w:p w14:paraId="06BA3D3C">
      <w:pPr>
        <w:keepNext w:val="0"/>
        <w:keepLines w:val="0"/>
        <w:pageBreakBefore w:val="0"/>
        <w:widowControl/>
        <w:kinsoku w:val="0"/>
        <w:wordWrap/>
        <w:overflowPunct/>
        <w:topLinePunct w:val="0"/>
        <w:autoSpaceDE w:val="0"/>
        <w:autoSpaceDN w:val="0"/>
        <w:bidi w:val="0"/>
        <w:adjustRightInd w:val="0"/>
        <w:snapToGrid w:val="0"/>
        <w:spacing w:before="35" w:line="240" w:lineRule="auto"/>
        <w:jc w:val="center"/>
        <w:textAlignment w:val="baseline"/>
        <w:rPr>
          <w:rFonts w:ascii="宋体" w:hAnsi="宋体" w:eastAsia="宋体" w:cs="宋体"/>
          <w:b w:val="0"/>
          <w:bCs w:val="0"/>
          <w:color w:val="auto"/>
          <w:sz w:val="24"/>
          <w:szCs w:val="24"/>
        </w:rPr>
      </w:pPr>
      <w:r>
        <w:rPr>
          <w:rFonts w:ascii="宋体" w:hAnsi="宋体" w:eastAsia="宋体" w:cs="宋体"/>
          <w:b/>
          <w:bCs/>
          <w:color w:val="auto"/>
          <w:spacing w:val="-2"/>
          <w:sz w:val="24"/>
          <w:szCs w:val="24"/>
        </w:rPr>
        <w:t>表</w:t>
      </w:r>
      <w:r>
        <w:rPr>
          <w:rFonts w:hint="eastAsia" w:ascii="Times New Roman" w:hAnsi="Times New Roman" w:eastAsia="宋体" w:cs="Times New Roman"/>
          <w:b/>
          <w:bCs/>
          <w:color w:val="auto"/>
          <w:spacing w:val="-2"/>
          <w:sz w:val="24"/>
          <w:szCs w:val="24"/>
          <w:lang w:val="en-US" w:eastAsia="zh-CN"/>
        </w:rPr>
        <w:t>8</w:t>
      </w:r>
      <w:r>
        <w:rPr>
          <w:rFonts w:ascii="Times New Roman" w:hAnsi="Times New Roman" w:eastAsia="Times New Roman"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5</w:t>
      </w:r>
      <w:r>
        <w:rPr>
          <w:rFonts w:ascii="Times New Roman" w:hAnsi="Times New Roman" w:eastAsia="Times New Roman" w:cs="Times New Roman"/>
          <w:b/>
          <w:bCs/>
          <w:color w:val="auto"/>
          <w:spacing w:val="-2"/>
          <w:sz w:val="24"/>
          <w:szCs w:val="24"/>
        </w:rPr>
        <w:t>-</w:t>
      </w:r>
      <w:r>
        <w:rPr>
          <w:rFonts w:hint="eastAsia" w:ascii="Times New Roman" w:hAnsi="Times New Roman" w:eastAsia="宋体" w:cs="Times New Roman"/>
          <w:b/>
          <w:bCs/>
          <w:color w:val="auto"/>
          <w:spacing w:val="-2"/>
          <w:sz w:val="24"/>
          <w:szCs w:val="24"/>
          <w:lang w:val="en-US" w:eastAsia="zh-CN"/>
        </w:rPr>
        <w:t>6  江苏省生态环境厅应急物资储备（南京）基地</w:t>
      </w:r>
      <w:r>
        <w:rPr>
          <w:rFonts w:hint="eastAsia" w:ascii="宋体" w:hAnsi="宋体" w:eastAsia="宋体" w:cs="宋体"/>
          <w:b/>
          <w:bCs/>
          <w:color w:val="auto"/>
          <w:spacing w:val="-2"/>
          <w:sz w:val="24"/>
          <w:szCs w:val="24"/>
          <w:lang w:val="en-US" w:eastAsia="zh-CN"/>
        </w:rPr>
        <w:t>应急物资及设备</w:t>
      </w:r>
      <w:bookmarkStart w:id="2193" w:name="pindex14308"/>
      <w:bookmarkEnd w:id="2193"/>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675"/>
        <w:gridCol w:w="2910"/>
        <w:gridCol w:w="885"/>
        <w:gridCol w:w="3014"/>
      </w:tblGrid>
      <w:tr w14:paraId="37C2C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tcBorders>
              <w:tl2br w:val="nil"/>
              <w:tr2bl w:val="nil"/>
            </w:tcBorders>
            <w:vAlign w:val="center"/>
          </w:tcPr>
          <w:p w14:paraId="4FD17629">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b/>
                <w:bCs/>
                <w:color w:val="auto"/>
                <w:spacing w:val="-2"/>
                <w:sz w:val="21"/>
                <w:szCs w:val="21"/>
                <w:vertAlign w:val="baseline"/>
                <w:lang w:val="en-US" w:eastAsia="zh-CN"/>
              </w:rPr>
            </w:pPr>
            <w:r>
              <w:rPr>
                <w:rFonts w:hint="default" w:ascii="Times New Roman" w:hAnsi="Times New Roman" w:eastAsia="宋体" w:cs="Times New Roman"/>
                <w:b/>
                <w:bCs/>
                <w:color w:val="auto"/>
                <w:spacing w:val="-2"/>
                <w:sz w:val="21"/>
                <w:szCs w:val="21"/>
                <w:vertAlign w:val="baseline"/>
                <w:lang w:val="en-US" w:eastAsia="zh-CN"/>
              </w:rPr>
              <w:t>类别</w:t>
            </w:r>
          </w:p>
        </w:tc>
        <w:tc>
          <w:tcPr>
            <w:tcW w:w="675" w:type="dxa"/>
            <w:tcBorders>
              <w:tl2br w:val="nil"/>
              <w:tr2bl w:val="nil"/>
            </w:tcBorders>
            <w:vAlign w:val="center"/>
          </w:tcPr>
          <w:p w14:paraId="7E23A436">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b/>
                <w:bCs/>
                <w:color w:val="auto"/>
                <w:spacing w:val="-2"/>
                <w:sz w:val="21"/>
                <w:szCs w:val="21"/>
                <w:vertAlign w:val="baseline"/>
                <w:lang w:val="en-US" w:eastAsia="zh-CN"/>
              </w:rPr>
            </w:pPr>
            <w:r>
              <w:rPr>
                <w:rFonts w:hint="default" w:ascii="Times New Roman" w:hAnsi="Times New Roman" w:eastAsia="宋体" w:cs="Times New Roman"/>
                <w:b/>
                <w:bCs/>
                <w:color w:val="auto"/>
                <w:spacing w:val="-2"/>
                <w:sz w:val="21"/>
                <w:szCs w:val="21"/>
                <w:vertAlign w:val="baseline"/>
                <w:lang w:val="en-US" w:eastAsia="zh-CN"/>
              </w:rPr>
              <w:t>序号</w:t>
            </w:r>
          </w:p>
        </w:tc>
        <w:tc>
          <w:tcPr>
            <w:tcW w:w="2910" w:type="dxa"/>
            <w:tcBorders>
              <w:tl2br w:val="nil"/>
              <w:tr2bl w:val="nil"/>
            </w:tcBorders>
            <w:vAlign w:val="center"/>
          </w:tcPr>
          <w:p w14:paraId="0CF6265C">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b/>
                <w:bCs/>
                <w:color w:val="auto"/>
                <w:spacing w:val="-2"/>
                <w:sz w:val="21"/>
                <w:szCs w:val="21"/>
                <w:vertAlign w:val="baseline"/>
                <w:lang w:val="en-US" w:eastAsia="zh-CN"/>
              </w:rPr>
            </w:pPr>
            <w:r>
              <w:rPr>
                <w:rFonts w:hint="default" w:ascii="Times New Roman" w:hAnsi="Times New Roman" w:eastAsia="宋体" w:cs="Times New Roman"/>
                <w:b/>
                <w:bCs/>
                <w:color w:val="auto"/>
                <w:spacing w:val="-2"/>
                <w:sz w:val="21"/>
                <w:szCs w:val="21"/>
                <w:vertAlign w:val="baseline"/>
                <w:lang w:val="en-US" w:eastAsia="zh-CN"/>
              </w:rPr>
              <w:t>设备名称</w:t>
            </w:r>
          </w:p>
        </w:tc>
        <w:tc>
          <w:tcPr>
            <w:tcW w:w="885" w:type="dxa"/>
            <w:tcBorders>
              <w:tl2br w:val="nil"/>
              <w:tr2bl w:val="nil"/>
            </w:tcBorders>
            <w:vAlign w:val="center"/>
          </w:tcPr>
          <w:p w14:paraId="13420562">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b/>
                <w:bCs/>
                <w:color w:val="auto"/>
                <w:spacing w:val="-2"/>
                <w:sz w:val="21"/>
                <w:szCs w:val="21"/>
                <w:vertAlign w:val="baseline"/>
                <w:lang w:val="en-US" w:eastAsia="zh-CN"/>
              </w:rPr>
            </w:pPr>
            <w:r>
              <w:rPr>
                <w:rFonts w:hint="default" w:ascii="Times New Roman" w:hAnsi="Times New Roman" w:eastAsia="宋体" w:cs="Times New Roman"/>
                <w:b/>
                <w:bCs/>
                <w:color w:val="auto"/>
                <w:spacing w:val="-2"/>
                <w:sz w:val="21"/>
                <w:szCs w:val="21"/>
                <w:vertAlign w:val="baseline"/>
                <w:lang w:val="en-US" w:eastAsia="zh-CN"/>
              </w:rPr>
              <w:t>数量</w:t>
            </w:r>
          </w:p>
        </w:tc>
        <w:tc>
          <w:tcPr>
            <w:tcW w:w="3014" w:type="dxa"/>
            <w:tcBorders>
              <w:tl2br w:val="nil"/>
              <w:tr2bl w:val="nil"/>
            </w:tcBorders>
            <w:vAlign w:val="center"/>
          </w:tcPr>
          <w:p w14:paraId="2C5C4C69">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b/>
                <w:bCs/>
                <w:color w:val="auto"/>
                <w:spacing w:val="-2"/>
                <w:sz w:val="21"/>
                <w:szCs w:val="21"/>
                <w:vertAlign w:val="baseline"/>
                <w:lang w:val="en-US" w:eastAsia="zh-CN"/>
              </w:rPr>
            </w:pPr>
            <w:r>
              <w:rPr>
                <w:rFonts w:hint="default" w:ascii="Times New Roman" w:hAnsi="Times New Roman" w:eastAsia="宋体" w:cs="Times New Roman"/>
                <w:b/>
                <w:bCs/>
                <w:color w:val="auto"/>
                <w:spacing w:val="-2"/>
                <w:sz w:val="21"/>
                <w:szCs w:val="21"/>
                <w:vertAlign w:val="baseline"/>
                <w:lang w:val="en-US" w:eastAsia="zh-CN"/>
              </w:rPr>
              <w:t>使用环境</w:t>
            </w:r>
          </w:p>
        </w:tc>
      </w:tr>
      <w:tr w14:paraId="198BCA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restart"/>
            <w:tcBorders>
              <w:tl2br w:val="nil"/>
              <w:tr2bl w:val="nil"/>
            </w:tcBorders>
            <w:vAlign w:val="center"/>
          </w:tcPr>
          <w:p w14:paraId="12F8F5BF">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r>
              <w:rPr>
                <w:rFonts w:hint="eastAsia"/>
                <w:color w:val="auto"/>
                <w:sz w:val="21"/>
                <w:szCs w:val="21"/>
                <w:highlight w:val="none"/>
                <w:lang w:bidi="ar"/>
              </w:rPr>
              <w:t>污染物控制</w:t>
            </w:r>
          </w:p>
        </w:tc>
        <w:tc>
          <w:tcPr>
            <w:tcW w:w="675" w:type="dxa"/>
            <w:tcBorders>
              <w:tl2br w:val="nil"/>
              <w:tr2bl w:val="nil"/>
            </w:tcBorders>
            <w:vAlign w:val="center"/>
          </w:tcPr>
          <w:p w14:paraId="273BF08C">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eastAsia"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1</w:t>
            </w:r>
          </w:p>
        </w:tc>
        <w:tc>
          <w:tcPr>
            <w:tcW w:w="2910" w:type="dxa"/>
            <w:tcBorders>
              <w:tl2br w:val="nil"/>
              <w:tr2bl w:val="nil"/>
            </w:tcBorders>
            <w:vAlign w:val="center"/>
          </w:tcPr>
          <w:p w14:paraId="2418CEF9">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eastAsia" w:ascii="Times New Roman" w:hAnsi="Times New Roman" w:eastAsia="宋体" w:cs="Times New Roman"/>
                <w:color w:val="auto"/>
                <w:spacing w:val="-2"/>
                <w:sz w:val="21"/>
                <w:szCs w:val="21"/>
                <w:vertAlign w:val="baseline"/>
                <w:lang w:eastAsia="zh-CN"/>
              </w:rPr>
              <w:t>泄漏</w:t>
            </w:r>
            <w:r>
              <w:rPr>
                <w:rFonts w:hint="default" w:ascii="Times New Roman" w:hAnsi="Times New Roman" w:eastAsia="宋体" w:cs="Times New Roman"/>
                <w:color w:val="auto"/>
                <w:spacing w:val="-2"/>
                <w:sz w:val="21"/>
                <w:szCs w:val="21"/>
                <w:vertAlign w:val="baseline"/>
              </w:rPr>
              <w:t>控制围堤</w:t>
            </w:r>
          </w:p>
        </w:tc>
        <w:tc>
          <w:tcPr>
            <w:tcW w:w="885" w:type="dxa"/>
            <w:tcBorders>
              <w:tl2br w:val="nil"/>
              <w:tr2bl w:val="nil"/>
            </w:tcBorders>
            <w:vAlign w:val="center"/>
          </w:tcPr>
          <w:p w14:paraId="61C47F44">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10</w:t>
            </w:r>
          </w:p>
        </w:tc>
        <w:tc>
          <w:tcPr>
            <w:tcW w:w="3014" w:type="dxa"/>
            <w:tcBorders>
              <w:tl2br w:val="nil"/>
              <w:tr2bl w:val="nil"/>
            </w:tcBorders>
            <w:vAlign w:val="center"/>
          </w:tcPr>
          <w:p w14:paraId="713B6131">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适用于各种油、酸碱、水或未知化学液体</w:t>
            </w:r>
          </w:p>
        </w:tc>
      </w:tr>
      <w:tr w14:paraId="748466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79927B92">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41EFF73A">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eastAsia"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2</w:t>
            </w:r>
          </w:p>
        </w:tc>
        <w:tc>
          <w:tcPr>
            <w:tcW w:w="2910" w:type="dxa"/>
            <w:tcBorders>
              <w:tl2br w:val="nil"/>
              <w:tr2bl w:val="nil"/>
            </w:tcBorders>
            <w:vAlign w:val="center"/>
          </w:tcPr>
          <w:p w14:paraId="3692B930">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排水井防漏保护垫</w:t>
            </w:r>
          </w:p>
        </w:tc>
        <w:tc>
          <w:tcPr>
            <w:tcW w:w="885" w:type="dxa"/>
            <w:tcBorders>
              <w:tl2br w:val="nil"/>
              <w:tr2bl w:val="nil"/>
            </w:tcBorders>
            <w:vAlign w:val="center"/>
          </w:tcPr>
          <w:p w14:paraId="3B68A411">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20</w:t>
            </w:r>
          </w:p>
        </w:tc>
        <w:tc>
          <w:tcPr>
            <w:tcW w:w="3014" w:type="dxa"/>
            <w:tcBorders>
              <w:tl2br w:val="nil"/>
              <w:tr2bl w:val="nil"/>
            </w:tcBorders>
            <w:vAlign w:val="center"/>
          </w:tcPr>
          <w:p w14:paraId="0BA397D8">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适用于各种油、酸碱、水或未知化学液体</w:t>
            </w:r>
          </w:p>
        </w:tc>
      </w:tr>
      <w:tr w14:paraId="685C0A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44093C08">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64032B74">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eastAsia"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3</w:t>
            </w:r>
          </w:p>
        </w:tc>
        <w:tc>
          <w:tcPr>
            <w:tcW w:w="2910" w:type="dxa"/>
            <w:tcBorders>
              <w:tl2br w:val="nil"/>
              <w:tr2bl w:val="nil"/>
            </w:tcBorders>
            <w:vAlign w:val="center"/>
          </w:tcPr>
          <w:p w14:paraId="60D327D4">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围油条状吸附拖栏</w:t>
            </w:r>
          </w:p>
        </w:tc>
        <w:tc>
          <w:tcPr>
            <w:tcW w:w="885" w:type="dxa"/>
            <w:tcBorders>
              <w:tl2br w:val="nil"/>
              <w:tr2bl w:val="nil"/>
            </w:tcBorders>
            <w:vAlign w:val="center"/>
          </w:tcPr>
          <w:p w14:paraId="5F722F1E">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10</w:t>
            </w:r>
          </w:p>
        </w:tc>
        <w:tc>
          <w:tcPr>
            <w:tcW w:w="3014" w:type="dxa"/>
            <w:tcBorders>
              <w:tl2br w:val="nil"/>
              <w:tr2bl w:val="nil"/>
            </w:tcBorders>
            <w:vAlign w:val="center"/>
          </w:tcPr>
          <w:p w14:paraId="5DF70A3B">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适用于各种油、水类液体</w:t>
            </w:r>
          </w:p>
        </w:tc>
      </w:tr>
      <w:tr w14:paraId="6F733C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5E44C49B">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505A98DF">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eastAsia"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4</w:t>
            </w:r>
          </w:p>
        </w:tc>
        <w:tc>
          <w:tcPr>
            <w:tcW w:w="2910" w:type="dxa"/>
            <w:tcBorders>
              <w:tl2br w:val="nil"/>
              <w:tr2bl w:val="nil"/>
            </w:tcBorders>
            <w:vAlign w:val="center"/>
          </w:tcPr>
          <w:p w14:paraId="1D418287">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防化学型条状吸附围栏</w:t>
            </w:r>
          </w:p>
        </w:tc>
        <w:tc>
          <w:tcPr>
            <w:tcW w:w="885" w:type="dxa"/>
            <w:tcBorders>
              <w:tl2br w:val="nil"/>
              <w:tr2bl w:val="nil"/>
            </w:tcBorders>
            <w:vAlign w:val="center"/>
          </w:tcPr>
          <w:p w14:paraId="7D332C9F">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50</w:t>
            </w:r>
          </w:p>
        </w:tc>
        <w:tc>
          <w:tcPr>
            <w:tcW w:w="3014" w:type="dxa"/>
            <w:tcBorders>
              <w:tl2br w:val="nil"/>
              <w:tr2bl w:val="nil"/>
            </w:tcBorders>
            <w:vAlign w:val="center"/>
          </w:tcPr>
          <w:p w14:paraId="6E101EB2">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适用于各种强酸、强碱、水或未知化学液体</w:t>
            </w:r>
          </w:p>
        </w:tc>
      </w:tr>
      <w:tr w14:paraId="72AB17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09F2D9B2">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23E950BD">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eastAsia"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5</w:t>
            </w:r>
          </w:p>
        </w:tc>
        <w:tc>
          <w:tcPr>
            <w:tcW w:w="2910" w:type="dxa"/>
            <w:tcBorders>
              <w:tl2br w:val="nil"/>
              <w:tr2bl w:val="nil"/>
            </w:tcBorders>
            <w:vAlign w:val="center"/>
          </w:tcPr>
          <w:p w14:paraId="73B617EE">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江河型快速布防围油栏</w:t>
            </w:r>
          </w:p>
        </w:tc>
        <w:tc>
          <w:tcPr>
            <w:tcW w:w="885" w:type="dxa"/>
            <w:tcBorders>
              <w:tl2br w:val="nil"/>
              <w:tr2bl w:val="nil"/>
            </w:tcBorders>
            <w:vAlign w:val="center"/>
          </w:tcPr>
          <w:p w14:paraId="498EFA67">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10</w:t>
            </w:r>
          </w:p>
        </w:tc>
        <w:tc>
          <w:tcPr>
            <w:tcW w:w="3014" w:type="dxa"/>
            <w:tcBorders>
              <w:tl2br w:val="nil"/>
              <w:tr2bl w:val="nil"/>
            </w:tcBorders>
            <w:vAlign w:val="center"/>
          </w:tcPr>
          <w:p w14:paraId="1D6D4CA1">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适用于各种油、酸碱、水或未知化学液体</w:t>
            </w:r>
          </w:p>
        </w:tc>
      </w:tr>
      <w:tr w14:paraId="44A18E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restart"/>
            <w:tcBorders>
              <w:tl2br w:val="nil"/>
              <w:tr2bl w:val="nil"/>
            </w:tcBorders>
            <w:vAlign w:val="center"/>
          </w:tcPr>
          <w:p w14:paraId="7B344B2E">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r>
              <w:rPr>
                <w:rFonts w:hint="eastAsia"/>
                <w:color w:val="auto"/>
                <w:sz w:val="21"/>
                <w:szCs w:val="21"/>
                <w:highlight w:val="none"/>
                <w:lang w:bidi="ar"/>
              </w:rPr>
              <w:t>污染物收集</w:t>
            </w:r>
          </w:p>
        </w:tc>
        <w:tc>
          <w:tcPr>
            <w:tcW w:w="675" w:type="dxa"/>
            <w:tcBorders>
              <w:tl2br w:val="nil"/>
              <w:tr2bl w:val="nil"/>
            </w:tcBorders>
            <w:vAlign w:val="center"/>
          </w:tcPr>
          <w:p w14:paraId="21893296">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eastAsia"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6</w:t>
            </w:r>
          </w:p>
        </w:tc>
        <w:tc>
          <w:tcPr>
            <w:tcW w:w="2910" w:type="dxa"/>
            <w:tcBorders>
              <w:tl2br w:val="nil"/>
              <w:tr2bl w:val="nil"/>
            </w:tcBorders>
            <w:vAlign w:val="center"/>
          </w:tcPr>
          <w:p w14:paraId="6F8B28C7">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片式吸油棉</w:t>
            </w:r>
          </w:p>
        </w:tc>
        <w:tc>
          <w:tcPr>
            <w:tcW w:w="885" w:type="dxa"/>
            <w:tcBorders>
              <w:tl2br w:val="nil"/>
              <w:tr2bl w:val="nil"/>
            </w:tcBorders>
            <w:vAlign w:val="center"/>
          </w:tcPr>
          <w:p w14:paraId="0C0A5748">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100</w:t>
            </w:r>
          </w:p>
        </w:tc>
        <w:tc>
          <w:tcPr>
            <w:tcW w:w="3014" w:type="dxa"/>
            <w:tcBorders>
              <w:tl2br w:val="nil"/>
              <w:tr2bl w:val="nil"/>
            </w:tcBorders>
            <w:vAlign w:val="center"/>
          </w:tcPr>
          <w:p w14:paraId="66C88838">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适用于各种油类液体</w:t>
            </w:r>
          </w:p>
        </w:tc>
      </w:tr>
      <w:tr w14:paraId="26D645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476260C8">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5C1747F6">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eastAsia"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7</w:t>
            </w:r>
          </w:p>
        </w:tc>
        <w:tc>
          <w:tcPr>
            <w:tcW w:w="2910" w:type="dxa"/>
            <w:tcBorders>
              <w:tl2br w:val="nil"/>
              <w:tr2bl w:val="nil"/>
            </w:tcBorders>
            <w:vAlign w:val="center"/>
          </w:tcPr>
          <w:p w14:paraId="4C457E13">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卷式吸油棉</w:t>
            </w:r>
          </w:p>
        </w:tc>
        <w:tc>
          <w:tcPr>
            <w:tcW w:w="885" w:type="dxa"/>
            <w:tcBorders>
              <w:tl2br w:val="nil"/>
              <w:tr2bl w:val="nil"/>
            </w:tcBorders>
            <w:vAlign w:val="center"/>
          </w:tcPr>
          <w:p w14:paraId="2A0547FF">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50</w:t>
            </w:r>
          </w:p>
        </w:tc>
        <w:tc>
          <w:tcPr>
            <w:tcW w:w="3014" w:type="dxa"/>
            <w:tcBorders>
              <w:tl2br w:val="nil"/>
              <w:tr2bl w:val="nil"/>
            </w:tcBorders>
            <w:vAlign w:val="center"/>
          </w:tcPr>
          <w:p w14:paraId="022BA447">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适用于各种油类液体</w:t>
            </w:r>
          </w:p>
        </w:tc>
      </w:tr>
      <w:tr w14:paraId="47E2D7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43F0235E">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5C082E7E">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eastAsia"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8</w:t>
            </w:r>
          </w:p>
        </w:tc>
        <w:tc>
          <w:tcPr>
            <w:tcW w:w="2910" w:type="dxa"/>
            <w:tcBorders>
              <w:tl2br w:val="nil"/>
              <w:tr2bl w:val="nil"/>
            </w:tcBorders>
            <w:vAlign w:val="center"/>
          </w:tcPr>
          <w:p w14:paraId="2226D7A4">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条形吸油袋</w:t>
            </w:r>
          </w:p>
        </w:tc>
        <w:tc>
          <w:tcPr>
            <w:tcW w:w="885" w:type="dxa"/>
            <w:tcBorders>
              <w:tl2br w:val="nil"/>
              <w:tr2bl w:val="nil"/>
            </w:tcBorders>
            <w:vAlign w:val="center"/>
          </w:tcPr>
          <w:p w14:paraId="12256696">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100</w:t>
            </w:r>
          </w:p>
        </w:tc>
        <w:tc>
          <w:tcPr>
            <w:tcW w:w="3014" w:type="dxa"/>
            <w:tcBorders>
              <w:tl2br w:val="nil"/>
              <w:tr2bl w:val="nil"/>
            </w:tcBorders>
            <w:vAlign w:val="center"/>
          </w:tcPr>
          <w:p w14:paraId="747F4BDE">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适用于各种油类液体</w:t>
            </w:r>
          </w:p>
        </w:tc>
      </w:tr>
      <w:tr w14:paraId="5452F3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760E0556">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64683089">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eastAsia"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9</w:t>
            </w:r>
          </w:p>
        </w:tc>
        <w:tc>
          <w:tcPr>
            <w:tcW w:w="2910" w:type="dxa"/>
            <w:tcBorders>
              <w:tl2br w:val="nil"/>
              <w:tr2bl w:val="nil"/>
            </w:tcBorders>
            <w:vAlign w:val="center"/>
          </w:tcPr>
          <w:p w14:paraId="6F49D725">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撇油器</w:t>
            </w:r>
          </w:p>
        </w:tc>
        <w:tc>
          <w:tcPr>
            <w:tcW w:w="885" w:type="dxa"/>
            <w:tcBorders>
              <w:tl2br w:val="nil"/>
              <w:tr2bl w:val="nil"/>
            </w:tcBorders>
            <w:vAlign w:val="center"/>
          </w:tcPr>
          <w:p w14:paraId="363EE892">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30</w:t>
            </w:r>
          </w:p>
        </w:tc>
        <w:tc>
          <w:tcPr>
            <w:tcW w:w="3014" w:type="dxa"/>
            <w:tcBorders>
              <w:tl2br w:val="nil"/>
              <w:tr2bl w:val="nil"/>
            </w:tcBorders>
            <w:vAlign w:val="center"/>
          </w:tcPr>
          <w:p w14:paraId="62451644">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适用于各种油类液体</w:t>
            </w:r>
          </w:p>
        </w:tc>
      </w:tr>
      <w:tr w14:paraId="553D6A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39324F69">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3F6932B6">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10</w:t>
            </w:r>
          </w:p>
        </w:tc>
        <w:tc>
          <w:tcPr>
            <w:tcW w:w="2910" w:type="dxa"/>
            <w:tcBorders>
              <w:tl2br w:val="nil"/>
              <w:tr2bl w:val="nil"/>
            </w:tcBorders>
            <w:vAlign w:val="center"/>
          </w:tcPr>
          <w:p w14:paraId="0ED6A94A">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片式防化学吸附垫</w:t>
            </w:r>
          </w:p>
        </w:tc>
        <w:tc>
          <w:tcPr>
            <w:tcW w:w="885" w:type="dxa"/>
            <w:tcBorders>
              <w:tl2br w:val="nil"/>
              <w:tr2bl w:val="nil"/>
            </w:tcBorders>
            <w:vAlign w:val="center"/>
          </w:tcPr>
          <w:p w14:paraId="30B458F3">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100</w:t>
            </w:r>
          </w:p>
        </w:tc>
        <w:tc>
          <w:tcPr>
            <w:tcW w:w="3014" w:type="dxa"/>
            <w:tcBorders>
              <w:tl2br w:val="nil"/>
              <w:tr2bl w:val="nil"/>
            </w:tcBorders>
            <w:vAlign w:val="center"/>
          </w:tcPr>
          <w:p w14:paraId="0411B94B">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适用于各种强酸、强碱、水或未知化学液体</w:t>
            </w:r>
          </w:p>
        </w:tc>
      </w:tr>
      <w:tr w14:paraId="5D3EBE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47D4B200">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3BA8B09F">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11</w:t>
            </w:r>
          </w:p>
        </w:tc>
        <w:tc>
          <w:tcPr>
            <w:tcW w:w="2910" w:type="dxa"/>
            <w:tcBorders>
              <w:tl2br w:val="nil"/>
              <w:tr2bl w:val="nil"/>
            </w:tcBorders>
            <w:vAlign w:val="center"/>
          </w:tcPr>
          <w:p w14:paraId="71E2973C">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卷式防化学吸附垫</w:t>
            </w:r>
          </w:p>
        </w:tc>
        <w:tc>
          <w:tcPr>
            <w:tcW w:w="885" w:type="dxa"/>
            <w:tcBorders>
              <w:tl2br w:val="nil"/>
              <w:tr2bl w:val="nil"/>
            </w:tcBorders>
            <w:vAlign w:val="center"/>
          </w:tcPr>
          <w:p w14:paraId="51062181">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50</w:t>
            </w:r>
          </w:p>
        </w:tc>
        <w:tc>
          <w:tcPr>
            <w:tcW w:w="3014" w:type="dxa"/>
            <w:tcBorders>
              <w:tl2br w:val="nil"/>
              <w:tr2bl w:val="nil"/>
            </w:tcBorders>
            <w:vAlign w:val="center"/>
          </w:tcPr>
          <w:p w14:paraId="69E6A46D">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适用于各种强酸、强碱、水或未知化学液体</w:t>
            </w:r>
          </w:p>
        </w:tc>
      </w:tr>
      <w:tr w14:paraId="2A6CE3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32F99AE3">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4A5670AB">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12</w:t>
            </w:r>
          </w:p>
        </w:tc>
        <w:tc>
          <w:tcPr>
            <w:tcW w:w="2910" w:type="dxa"/>
            <w:tcBorders>
              <w:tl2br w:val="nil"/>
              <w:tr2bl w:val="nil"/>
            </w:tcBorders>
            <w:vAlign w:val="center"/>
          </w:tcPr>
          <w:p w14:paraId="5CC5C9A0">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防化学型吸附枕</w:t>
            </w:r>
          </w:p>
        </w:tc>
        <w:tc>
          <w:tcPr>
            <w:tcW w:w="885" w:type="dxa"/>
            <w:tcBorders>
              <w:tl2br w:val="nil"/>
              <w:tr2bl w:val="nil"/>
            </w:tcBorders>
            <w:vAlign w:val="center"/>
          </w:tcPr>
          <w:p w14:paraId="48398528">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30</w:t>
            </w:r>
          </w:p>
        </w:tc>
        <w:tc>
          <w:tcPr>
            <w:tcW w:w="3014" w:type="dxa"/>
            <w:tcBorders>
              <w:tl2br w:val="nil"/>
              <w:tr2bl w:val="nil"/>
            </w:tcBorders>
            <w:vAlign w:val="center"/>
          </w:tcPr>
          <w:p w14:paraId="618119D7">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适用于各种强酸、强碱、水或未知化学液体</w:t>
            </w:r>
          </w:p>
        </w:tc>
      </w:tr>
      <w:tr w14:paraId="1F4330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69B354C0">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lang w:val="en-US" w:eastAsia="zh-CN"/>
              </w:rPr>
            </w:pPr>
          </w:p>
        </w:tc>
        <w:tc>
          <w:tcPr>
            <w:tcW w:w="675" w:type="dxa"/>
            <w:tcBorders>
              <w:tl2br w:val="nil"/>
              <w:tr2bl w:val="nil"/>
            </w:tcBorders>
            <w:vAlign w:val="center"/>
          </w:tcPr>
          <w:p w14:paraId="6D245E97">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13</w:t>
            </w:r>
          </w:p>
        </w:tc>
        <w:tc>
          <w:tcPr>
            <w:tcW w:w="2910" w:type="dxa"/>
            <w:tcBorders>
              <w:tl2br w:val="nil"/>
              <w:tr2bl w:val="nil"/>
            </w:tcBorders>
            <w:vAlign w:val="center"/>
          </w:tcPr>
          <w:p w14:paraId="03B9E5AB">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防静电吸油棉</w:t>
            </w:r>
          </w:p>
        </w:tc>
        <w:tc>
          <w:tcPr>
            <w:tcW w:w="885" w:type="dxa"/>
            <w:tcBorders>
              <w:tl2br w:val="nil"/>
              <w:tr2bl w:val="nil"/>
            </w:tcBorders>
            <w:vAlign w:val="center"/>
          </w:tcPr>
          <w:p w14:paraId="77113282">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50</w:t>
            </w:r>
          </w:p>
        </w:tc>
        <w:tc>
          <w:tcPr>
            <w:tcW w:w="3014" w:type="dxa"/>
            <w:tcBorders>
              <w:tl2br w:val="nil"/>
              <w:tr2bl w:val="nil"/>
            </w:tcBorders>
            <w:vAlign w:val="center"/>
          </w:tcPr>
          <w:p w14:paraId="57AF4C5C">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color w:val="auto"/>
                <w:spacing w:val="-2"/>
                <w:sz w:val="21"/>
                <w:szCs w:val="21"/>
                <w:vertAlign w:val="baseline"/>
              </w:rPr>
              <w:t>适用于易燃易爆液体或未知化学液体</w:t>
            </w:r>
          </w:p>
        </w:tc>
      </w:tr>
      <w:tr w14:paraId="6AD388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1C54BED9">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0F067636">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14</w:t>
            </w:r>
          </w:p>
        </w:tc>
        <w:tc>
          <w:tcPr>
            <w:tcW w:w="2910" w:type="dxa"/>
            <w:tcBorders>
              <w:tl2br w:val="nil"/>
              <w:tr2bl w:val="nil"/>
            </w:tcBorders>
            <w:vAlign w:val="center"/>
          </w:tcPr>
          <w:p w14:paraId="708CC0AB">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eastAsia" w:ascii="Times New Roman" w:hAnsi="Times New Roman" w:eastAsia="宋体" w:cs="Times New Roman"/>
                <w:snapToGrid w:val="0"/>
                <w:color w:val="auto"/>
                <w:kern w:val="0"/>
                <w:sz w:val="21"/>
                <w:szCs w:val="21"/>
                <w:lang w:val="en-US" w:eastAsia="zh-CN" w:bidi="ar"/>
              </w:rPr>
              <w:t>黏稠</w:t>
            </w:r>
            <w:r>
              <w:rPr>
                <w:rFonts w:hint="default" w:ascii="Times New Roman" w:hAnsi="Times New Roman" w:eastAsia="宋体" w:cs="Times New Roman"/>
                <w:snapToGrid w:val="0"/>
                <w:color w:val="auto"/>
                <w:kern w:val="0"/>
                <w:sz w:val="21"/>
                <w:szCs w:val="21"/>
                <w:lang w:val="en-US" w:eastAsia="zh-CN" w:bidi="ar"/>
              </w:rPr>
              <w:t>液体吸附垫</w:t>
            </w:r>
          </w:p>
        </w:tc>
        <w:tc>
          <w:tcPr>
            <w:tcW w:w="885" w:type="dxa"/>
            <w:tcBorders>
              <w:tl2br w:val="nil"/>
              <w:tr2bl w:val="nil"/>
            </w:tcBorders>
            <w:vAlign w:val="center"/>
          </w:tcPr>
          <w:p w14:paraId="7291EA58">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50</w:t>
            </w:r>
          </w:p>
        </w:tc>
        <w:tc>
          <w:tcPr>
            <w:tcW w:w="3014" w:type="dxa"/>
            <w:tcBorders>
              <w:tl2br w:val="nil"/>
              <w:tr2bl w:val="nil"/>
            </w:tcBorders>
            <w:vAlign w:val="center"/>
          </w:tcPr>
          <w:p w14:paraId="5B575613">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适用于浓稠液体的吸收处置</w:t>
            </w:r>
          </w:p>
        </w:tc>
      </w:tr>
      <w:tr w14:paraId="06F20E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2F49E20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63B24BD0">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15</w:t>
            </w:r>
          </w:p>
        </w:tc>
        <w:tc>
          <w:tcPr>
            <w:tcW w:w="2910" w:type="dxa"/>
            <w:tcBorders>
              <w:tl2br w:val="nil"/>
              <w:tr2bl w:val="nil"/>
            </w:tcBorders>
            <w:vAlign w:val="center"/>
          </w:tcPr>
          <w:p w14:paraId="7C025D21">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活性炭</w:t>
            </w:r>
          </w:p>
        </w:tc>
        <w:tc>
          <w:tcPr>
            <w:tcW w:w="885" w:type="dxa"/>
            <w:tcBorders>
              <w:tl2br w:val="nil"/>
              <w:tr2bl w:val="nil"/>
            </w:tcBorders>
            <w:vAlign w:val="center"/>
          </w:tcPr>
          <w:p w14:paraId="5722B9A2">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10</w:t>
            </w:r>
          </w:p>
        </w:tc>
        <w:tc>
          <w:tcPr>
            <w:tcW w:w="3014" w:type="dxa"/>
            <w:tcBorders>
              <w:tl2br w:val="nil"/>
              <w:tr2bl w:val="nil"/>
            </w:tcBorders>
            <w:vAlign w:val="center"/>
          </w:tcPr>
          <w:p w14:paraId="47D1B4A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用于处置泄漏事故</w:t>
            </w:r>
          </w:p>
        </w:tc>
      </w:tr>
      <w:tr w14:paraId="52B0AD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27EAC930">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7261569D">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16</w:t>
            </w:r>
          </w:p>
        </w:tc>
        <w:tc>
          <w:tcPr>
            <w:tcW w:w="2910" w:type="dxa"/>
            <w:tcBorders>
              <w:tl2br w:val="nil"/>
              <w:tr2bl w:val="nil"/>
            </w:tcBorders>
            <w:vAlign w:val="center"/>
          </w:tcPr>
          <w:p w14:paraId="4A43909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有害废物处理袋</w:t>
            </w:r>
          </w:p>
        </w:tc>
        <w:tc>
          <w:tcPr>
            <w:tcW w:w="885" w:type="dxa"/>
            <w:tcBorders>
              <w:tl2br w:val="nil"/>
              <w:tr2bl w:val="nil"/>
            </w:tcBorders>
            <w:vAlign w:val="center"/>
          </w:tcPr>
          <w:p w14:paraId="592AF4B3">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50</w:t>
            </w:r>
          </w:p>
        </w:tc>
        <w:tc>
          <w:tcPr>
            <w:tcW w:w="3014" w:type="dxa"/>
            <w:tcBorders>
              <w:tl2br w:val="nil"/>
              <w:tr2bl w:val="nil"/>
            </w:tcBorders>
            <w:vAlign w:val="center"/>
          </w:tcPr>
          <w:p w14:paraId="2063D90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适用于各种油、酸、碱、水或未知化学液体</w:t>
            </w:r>
          </w:p>
        </w:tc>
      </w:tr>
      <w:tr w14:paraId="204C7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15EF3F98">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029E8655">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17</w:t>
            </w:r>
          </w:p>
        </w:tc>
        <w:tc>
          <w:tcPr>
            <w:tcW w:w="2910" w:type="dxa"/>
            <w:tcBorders>
              <w:tl2br w:val="nil"/>
              <w:tr2bl w:val="nil"/>
            </w:tcBorders>
            <w:vAlign w:val="center"/>
          </w:tcPr>
          <w:p w14:paraId="1904A3B2">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泄漏应急回收套筒</w:t>
            </w:r>
          </w:p>
        </w:tc>
        <w:tc>
          <w:tcPr>
            <w:tcW w:w="885" w:type="dxa"/>
            <w:tcBorders>
              <w:tl2br w:val="nil"/>
              <w:tr2bl w:val="nil"/>
            </w:tcBorders>
            <w:vAlign w:val="center"/>
          </w:tcPr>
          <w:p w14:paraId="1C7DF9E2">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20</w:t>
            </w:r>
          </w:p>
        </w:tc>
        <w:tc>
          <w:tcPr>
            <w:tcW w:w="3014" w:type="dxa"/>
            <w:tcBorders>
              <w:tl2br w:val="nil"/>
              <w:tr2bl w:val="nil"/>
            </w:tcBorders>
            <w:vAlign w:val="center"/>
          </w:tcPr>
          <w:p w14:paraId="781BB49A">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适用于各种油、酸、碱、水或未知化学液体</w:t>
            </w:r>
          </w:p>
        </w:tc>
      </w:tr>
      <w:tr w14:paraId="616741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restart"/>
            <w:tcBorders>
              <w:tl2br w:val="nil"/>
              <w:tr2bl w:val="nil"/>
            </w:tcBorders>
            <w:vAlign w:val="center"/>
          </w:tcPr>
          <w:p w14:paraId="42159CA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r>
              <w:rPr>
                <w:rFonts w:hint="eastAsia"/>
                <w:color w:val="auto"/>
                <w:sz w:val="21"/>
                <w:szCs w:val="21"/>
                <w:highlight w:val="none"/>
                <w:lang w:bidi="ar"/>
              </w:rPr>
              <w:t>环境监测</w:t>
            </w:r>
          </w:p>
        </w:tc>
        <w:tc>
          <w:tcPr>
            <w:tcW w:w="675" w:type="dxa"/>
            <w:tcBorders>
              <w:tl2br w:val="nil"/>
              <w:tr2bl w:val="nil"/>
            </w:tcBorders>
            <w:vAlign w:val="center"/>
          </w:tcPr>
          <w:p w14:paraId="04B6857C">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18</w:t>
            </w:r>
          </w:p>
        </w:tc>
        <w:tc>
          <w:tcPr>
            <w:tcW w:w="2910" w:type="dxa"/>
            <w:tcBorders>
              <w:tl2br w:val="nil"/>
              <w:tr2bl w:val="nil"/>
            </w:tcBorders>
            <w:vAlign w:val="center"/>
          </w:tcPr>
          <w:p w14:paraId="7E6D036D">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手持式GPS定位仪</w:t>
            </w:r>
          </w:p>
        </w:tc>
        <w:tc>
          <w:tcPr>
            <w:tcW w:w="885" w:type="dxa"/>
            <w:tcBorders>
              <w:tl2br w:val="nil"/>
              <w:tr2bl w:val="nil"/>
            </w:tcBorders>
            <w:vAlign w:val="center"/>
          </w:tcPr>
          <w:p w14:paraId="0391F4B4">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w:t>
            </w:r>
          </w:p>
        </w:tc>
        <w:tc>
          <w:tcPr>
            <w:tcW w:w="3014" w:type="dxa"/>
            <w:tcBorders>
              <w:tl2br w:val="nil"/>
              <w:tr2bl w:val="nil"/>
            </w:tcBorders>
            <w:vAlign w:val="center"/>
          </w:tcPr>
          <w:p w14:paraId="25EE68AB">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w:t>
            </w:r>
          </w:p>
        </w:tc>
      </w:tr>
      <w:tr w14:paraId="3F0E43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56F1A226">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5B5AD440">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19</w:t>
            </w:r>
          </w:p>
        </w:tc>
        <w:tc>
          <w:tcPr>
            <w:tcW w:w="2910" w:type="dxa"/>
            <w:tcBorders>
              <w:tl2br w:val="nil"/>
              <w:tr2bl w:val="nil"/>
            </w:tcBorders>
            <w:vAlign w:val="center"/>
          </w:tcPr>
          <w:p w14:paraId="4F3AC302">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温度测量仪表</w:t>
            </w:r>
          </w:p>
        </w:tc>
        <w:tc>
          <w:tcPr>
            <w:tcW w:w="885" w:type="dxa"/>
            <w:tcBorders>
              <w:tl2br w:val="nil"/>
              <w:tr2bl w:val="nil"/>
            </w:tcBorders>
            <w:vAlign w:val="center"/>
          </w:tcPr>
          <w:p w14:paraId="38C35905">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w:t>
            </w:r>
          </w:p>
        </w:tc>
        <w:tc>
          <w:tcPr>
            <w:tcW w:w="3014" w:type="dxa"/>
            <w:tcBorders>
              <w:tl2br w:val="nil"/>
              <w:tr2bl w:val="nil"/>
            </w:tcBorders>
            <w:vAlign w:val="center"/>
          </w:tcPr>
          <w:p w14:paraId="254A178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可用于测量那些难以触及、高温、旋转，或者</w:t>
            </w:r>
            <w:r>
              <w:rPr>
                <w:rFonts w:hint="eastAsia" w:ascii="Times New Roman" w:hAnsi="Times New Roman" w:eastAsia="宋体" w:cs="Times New Roman"/>
                <w:snapToGrid w:val="0"/>
                <w:color w:val="auto"/>
                <w:kern w:val="0"/>
                <w:sz w:val="21"/>
                <w:szCs w:val="21"/>
                <w:lang w:val="en-US" w:eastAsia="zh-CN" w:bidi="ar"/>
              </w:rPr>
              <w:t>其他比较</w:t>
            </w:r>
            <w:r>
              <w:rPr>
                <w:rFonts w:hint="default" w:ascii="Times New Roman" w:hAnsi="Times New Roman" w:eastAsia="宋体" w:cs="Times New Roman"/>
                <w:snapToGrid w:val="0"/>
                <w:color w:val="auto"/>
                <w:kern w:val="0"/>
                <w:sz w:val="21"/>
                <w:szCs w:val="21"/>
                <w:lang w:val="en-US" w:eastAsia="zh-CN" w:bidi="ar"/>
              </w:rPr>
              <w:t>危险的目标的温度</w:t>
            </w:r>
          </w:p>
        </w:tc>
      </w:tr>
      <w:tr w14:paraId="7B41C8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restart"/>
            <w:tcBorders>
              <w:tl2br w:val="nil"/>
              <w:tr2bl w:val="nil"/>
            </w:tcBorders>
            <w:vAlign w:val="center"/>
          </w:tcPr>
          <w:p w14:paraId="6B27BC8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r>
              <w:rPr>
                <w:rFonts w:hint="eastAsia"/>
                <w:color w:val="auto"/>
                <w:sz w:val="21"/>
                <w:szCs w:val="21"/>
                <w:highlight w:val="none"/>
                <w:lang w:bidi="ar"/>
              </w:rPr>
              <w:t>安全防护</w:t>
            </w:r>
          </w:p>
        </w:tc>
        <w:tc>
          <w:tcPr>
            <w:tcW w:w="675" w:type="dxa"/>
            <w:tcBorders>
              <w:tl2br w:val="nil"/>
              <w:tr2bl w:val="nil"/>
            </w:tcBorders>
            <w:vAlign w:val="center"/>
          </w:tcPr>
          <w:p w14:paraId="46CA3158">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20</w:t>
            </w:r>
          </w:p>
        </w:tc>
        <w:tc>
          <w:tcPr>
            <w:tcW w:w="2910" w:type="dxa"/>
            <w:tcBorders>
              <w:tl2br w:val="nil"/>
              <w:tr2bl w:val="nil"/>
            </w:tcBorders>
            <w:vAlign w:val="center"/>
          </w:tcPr>
          <w:p w14:paraId="03C2AD6C">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安全鞋法国TEC</w:t>
            </w:r>
          </w:p>
        </w:tc>
        <w:tc>
          <w:tcPr>
            <w:tcW w:w="885" w:type="dxa"/>
            <w:tcBorders>
              <w:tl2br w:val="nil"/>
              <w:tr2bl w:val="nil"/>
            </w:tcBorders>
            <w:vAlign w:val="center"/>
          </w:tcPr>
          <w:p w14:paraId="49D22886">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15</w:t>
            </w:r>
          </w:p>
        </w:tc>
        <w:tc>
          <w:tcPr>
            <w:tcW w:w="3014" w:type="dxa"/>
            <w:tcBorders>
              <w:tl2br w:val="nil"/>
              <w:tr2bl w:val="nil"/>
            </w:tcBorders>
            <w:vAlign w:val="center"/>
          </w:tcPr>
          <w:p w14:paraId="174F794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现场应急</w:t>
            </w:r>
          </w:p>
        </w:tc>
      </w:tr>
      <w:tr w14:paraId="28170B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25BF3869">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2CE77663">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21</w:t>
            </w:r>
          </w:p>
        </w:tc>
        <w:tc>
          <w:tcPr>
            <w:tcW w:w="2910" w:type="dxa"/>
            <w:tcBorders>
              <w:tl2br w:val="nil"/>
              <w:tr2bl w:val="nil"/>
            </w:tcBorders>
            <w:vAlign w:val="center"/>
          </w:tcPr>
          <w:p w14:paraId="239C7466">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高可视反光马甲美国PIP</w:t>
            </w:r>
          </w:p>
        </w:tc>
        <w:tc>
          <w:tcPr>
            <w:tcW w:w="885" w:type="dxa"/>
            <w:tcBorders>
              <w:tl2br w:val="nil"/>
              <w:tr2bl w:val="nil"/>
            </w:tcBorders>
            <w:vAlign w:val="center"/>
          </w:tcPr>
          <w:p w14:paraId="1540C2AF">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15</w:t>
            </w:r>
          </w:p>
        </w:tc>
        <w:tc>
          <w:tcPr>
            <w:tcW w:w="3014" w:type="dxa"/>
            <w:tcBorders>
              <w:tl2br w:val="nil"/>
              <w:tr2bl w:val="nil"/>
            </w:tcBorders>
            <w:vAlign w:val="center"/>
          </w:tcPr>
          <w:p w14:paraId="0EB56EDD">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现场应急</w:t>
            </w:r>
          </w:p>
        </w:tc>
      </w:tr>
      <w:tr w14:paraId="611DF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5902944C">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1A6D162B">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22</w:t>
            </w:r>
          </w:p>
        </w:tc>
        <w:tc>
          <w:tcPr>
            <w:tcW w:w="2910" w:type="dxa"/>
            <w:tcBorders>
              <w:tl2br w:val="nil"/>
              <w:tr2bl w:val="nil"/>
            </w:tcBorders>
            <w:vAlign w:val="center"/>
          </w:tcPr>
          <w:p w14:paraId="092ABA6C">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雨衣</w:t>
            </w:r>
          </w:p>
        </w:tc>
        <w:tc>
          <w:tcPr>
            <w:tcW w:w="885" w:type="dxa"/>
            <w:tcBorders>
              <w:tl2br w:val="nil"/>
              <w:tr2bl w:val="nil"/>
            </w:tcBorders>
            <w:vAlign w:val="center"/>
          </w:tcPr>
          <w:p w14:paraId="670023AE">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15</w:t>
            </w:r>
          </w:p>
        </w:tc>
        <w:tc>
          <w:tcPr>
            <w:tcW w:w="3014" w:type="dxa"/>
            <w:tcBorders>
              <w:tl2br w:val="nil"/>
              <w:tr2bl w:val="nil"/>
            </w:tcBorders>
            <w:vAlign w:val="center"/>
          </w:tcPr>
          <w:p w14:paraId="2C92F267">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防水</w:t>
            </w:r>
          </w:p>
        </w:tc>
      </w:tr>
      <w:tr w14:paraId="3F8A33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655B9294">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1AE0F9BF">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23</w:t>
            </w:r>
          </w:p>
        </w:tc>
        <w:tc>
          <w:tcPr>
            <w:tcW w:w="2910" w:type="dxa"/>
            <w:tcBorders>
              <w:tl2br w:val="nil"/>
              <w:tr2bl w:val="nil"/>
            </w:tcBorders>
            <w:vAlign w:val="center"/>
          </w:tcPr>
          <w:p w14:paraId="4AB5A6A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水靴GAONAI</w:t>
            </w:r>
          </w:p>
        </w:tc>
        <w:tc>
          <w:tcPr>
            <w:tcW w:w="885" w:type="dxa"/>
            <w:tcBorders>
              <w:tl2br w:val="nil"/>
              <w:tr2bl w:val="nil"/>
            </w:tcBorders>
            <w:shd w:val="clear" w:color="auto" w:fill="auto"/>
            <w:vAlign w:val="center"/>
          </w:tcPr>
          <w:p w14:paraId="61DC7809">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snapToGrid w:val="0"/>
                <w:color w:val="auto"/>
                <w:spacing w:val="-2"/>
                <w:kern w:val="0"/>
                <w:sz w:val="21"/>
                <w:szCs w:val="21"/>
                <w:vertAlign w:val="baseline"/>
                <w:lang w:val="en-US" w:eastAsia="zh-CN" w:bidi="ar-SA"/>
              </w:rPr>
            </w:pPr>
            <w:r>
              <w:rPr>
                <w:rFonts w:hint="default" w:ascii="Times New Roman" w:hAnsi="Times New Roman" w:eastAsia="宋体" w:cs="Times New Roman"/>
                <w:color w:val="auto"/>
                <w:spacing w:val="-2"/>
                <w:sz w:val="21"/>
                <w:szCs w:val="21"/>
                <w:vertAlign w:val="baseline"/>
                <w:lang w:val="en-US" w:eastAsia="zh-CN"/>
              </w:rPr>
              <w:t>15</w:t>
            </w:r>
          </w:p>
        </w:tc>
        <w:tc>
          <w:tcPr>
            <w:tcW w:w="3014" w:type="dxa"/>
            <w:tcBorders>
              <w:tl2br w:val="nil"/>
              <w:tr2bl w:val="nil"/>
            </w:tcBorders>
            <w:shd w:val="clear" w:color="auto" w:fill="auto"/>
            <w:vAlign w:val="center"/>
          </w:tcPr>
          <w:p w14:paraId="6FC363CB">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snapToGrid w:val="0"/>
                <w:color w:val="auto"/>
                <w:spacing w:val="-2"/>
                <w:kern w:val="0"/>
                <w:sz w:val="21"/>
                <w:szCs w:val="21"/>
                <w:vertAlign w:val="baseline"/>
                <w:lang w:val="en-US" w:eastAsia="zh-CN" w:bidi="ar-SA"/>
              </w:rPr>
            </w:pPr>
            <w:r>
              <w:rPr>
                <w:rFonts w:hint="default" w:ascii="Times New Roman" w:hAnsi="Times New Roman" w:eastAsia="宋体" w:cs="Times New Roman"/>
                <w:color w:val="auto"/>
                <w:spacing w:val="-2"/>
                <w:sz w:val="21"/>
                <w:szCs w:val="21"/>
                <w:vertAlign w:val="baseline"/>
                <w:lang w:val="en-US" w:eastAsia="zh-CN"/>
              </w:rPr>
              <w:t>防水</w:t>
            </w:r>
          </w:p>
        </w:tc>
      </w:tr>
      <w:tr w14:paraId="715408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26760C09">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661F003A">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24</w:t>
            </w:r>
          </w:p>
        </w:tc>
        <w:tc>
          <w:tcPr>
            <w:tcW w:w="2910" w:type="dxa"/>
            <w:tcBorders>
              <w:tl2br w:val="nil"/>
              <w:tr2bl w:val="nil"/>
            </w:tcBorders>
            <w:vAlign w:val="center"/>
          </w:tcPr>
          <w:p w14:paraId="222FAE6C">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轻型防撞帽</w:t>
            </w:r>
          </w:p>
        </w:tc>
        <w:tc>
          <w:tcPr>
            <w:tcW w:w="885" w:type="dxa"/>
            <w:tcBorders>
              <w:tl2br w:val="nil"/>
              <w:tr2bl w:val="nil"/>
            </w:tcBorders>
            <w:vAlign w:val="center"/>
          </w:tcPr>
          <w:p w14:paraId="6D6F3B7F">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15</w:t>
            </w:r>
          </w:p>
        </w:tc>
        <w:tc>
          <w:tcPr>
            <w:tcW w:w="3014" w:type="dxa"/>
            <w:tcBorders>
              <w:tl2br w:val="nil"/>
              <w:tr2bl w:val="nil"/>
            </w:tcBorders>
            <w:vAlign w:val="center"/>
          </w:tcPr>
          <w:p w14:paraId="053F9544">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w:t>
            </w:r>
          </w:p>
        </w:tc>
      </w:tr>
      <w:tr w14:paraId="331952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75E0F73D">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457CF42D">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25</w:t>
            </w:r>
          </w:p>
        </w:tc>
        <w:tc>
          <w:tcPr>
            <w:tcW w:w="2910" w:type="dxa"/>
            <w:tcBorders>
              <w:tl2br w:val="nil"/>
              <w:tr2bl w:val="nil"/>
            </w:tcBorders>
            <w:vAlign w:val="center"/>
          </w:tcPr>
          <w:p w14:paraId="2EC71AE2">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防割安全手套美国PIP</w:t>
            </w:r>
          </w:p>
        </w:tc>
        <w:tc>
          <w:tcPr>
            <w:tcW w:w="885" w:type="dxa"/>
            <w:tcBorders>
              <w:tl2br w:val="nil"/>
              <w:tr2bl w:val="nil"/>
            </w:tcBorders>
            <w:vAlign w:val="center"/>
          </w:tcPr>
          <w:p w14:paraId="3EDA7970">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15</w:t>
            </w:r>
          </w:p>
        </w:tc>
        <w:tc>
          <w:tcPr>
            <w:tcW w:w="3014" w:type="dxa"/>
            <w:tcBorders>
              <w:tl2br w:val="nil"/>
              <w:tr2bl w:val="nil"/>
            </w:tcBorders>
            <w:vAlign w:val="center"/>
          </w:tcPr>
          <w:p w14:paraId="122FDAE6">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现场应急</w:t>
            </w:r>
          </w:p>
        </w:tc>
      </w:tr>
      <w:tr w14:paraId="520E48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5EE7824F">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0EC9D635">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26</w:t>
            </w:r>
          </w:p>
        </w:tc>
        <w:tc>
          <w:tcPr>
            <w:tcW w:w="2910" w:type="dxa"/>
            <w:tcBorders>
              <w:tl2br w:val="nil"/>
              <w:tr2bl w:val="nil"/>
            </w:tcBorders>
            <w:vAlign w:val="center"/>
          </w:tcPr>
          <w:p w14:paraId="539760A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帐篷TOREAD</w:t>
            </w:r>
          </w:p>
        </w:tc>
        <w:tc>
          <w:tcPr>
            <w:tcW w:w="885" w:type="dxa"/>
            <w:tcBorders>
              <w:tl2br w:val="nil"/>
              <w:tr2bl w:val="nil"/>
            </w:tcBorders>
            <w:vAlign w:val="center"/>
          </w:tcPr>
          <w:p w14:paraId="7FE6E768">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2</w:t>
            </w:r>
          </w:p>
        </w:tc>
        <w:tc>
          <w:tcPr>
            <w:tcW w:w="3014" w:type="dxa"/>
            <w:tcBorders>
              <w:tl2br w:val="nil"/>
              <w:tr2bl w:val="nil"/>
            </w:tcBorders>
            <w:vAlign w:val="center"/>
          </w:tcPr>
          <w:p w14:paraId="4A29388F">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w:t>
            </w:r>
          </w:p>
        </w:tc>
      </w:tr>
      <w:tr w14:paraId="4A87EC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0EE17F08">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lang w:val="en-US" w:eastAsia="zh-CN"/>
              </w:rPr>
            </w:pPr>
          </w:p>
        </w:tc>
        <w:tc>
          <w:tcPr>
            <w:tcW w:w="675" w:type="dxa"/>
            <w:tcBorders>
              <w:tl2br w:val="nil"/>
              <w:tr2bl w:val="nil"/>
            </w:tcBorders>
            <w:vAlign w:val="center"/>
          </w:tcPr>
          <w:p w14:paraId="4201CA06">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27</w:t>
            </w:r>
          </w:p>
        </w:tc>
        <w:tc>
          <w:tcPr>
            <w:tcW w:w="2910" w:type="dxa"/>
            <w:tcBorders>
              <w:tl2br w:val="nil"/>
              <w:tr2bl w:val="nil"/>
            </w:tcBorders>
            <w:vAlign w:val="center"/>
          </w:tcPr>
          <w:p w14:paraId="5FDDDEA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睡袋TOREAD</w:t>
            </w:r>
          </w:p>
        </w:tc>
        <w:tc>
          <w:tcPr>
            <w:tcW w:w="885" w:type="dxa"/>
            <w:tcBorders>
              <w:tl2br w:val="nil"/>
              <w:tr2bl w:val="nil"/>
            </w:tcBorders>
            <w:vAlign w:val="center"/>
          </w:tcPr>
          <w:p w14:paraId="1272FC20">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4</w:t>
            </w:r>
          </w:p>
        </w:tc>
        <w:tc>
          <w:tcPr>
            <w:tcW w:w="3014" w:type="dxa"/>
            <w:tcBorders>
              <w:tl2br w:val="nil"/>
              <w:tr2bl w:val="nil"/>
            </w:tcBorders>
            <w:vAlign w:val="center"/>
          </w:tcPr>
          <w:p w14:paraId="385E4CAB">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w:t>
            </w:r>
          </w:p>
        </w:tc>
      </w:tr>
      <w:tr w14:paraId="6BF126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7B5BD0BC">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rPr>
            </w:pPr>
          </w:p>
        </w:tc>
        <w:tc>
          <w:tcPr>
            <w:tcW w:w="675" w:type="dxa"/>
            <w:tcBorders>
              <w:tl2br w:val="nil"/>
              <w:tr2bl w:val="nil"/>
            </w:tcBorders>
            <w:vAlign w:val="center"/>
          </w:tcPr>
          <w:p w14:paraId="5B2CD8F4">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28</w:t>
            </w:r>
          </w:p>
        </w:tc>
        <w:tc>
          <w:tcPr>
            <w:tcW w:w="2910" w:type="dxa"/>
            <w:tcBorders>
              <w:tl2br w:val="nil"/>
              <w:tr2bl w:val="nil"/>
            </w:tcBorders>
            <w:vAlign w:val="center"/>
          </w:tcPr>
          <w:p w14:paraId="1E4529B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安全警戒带</w:t>
            </w:r>
          </w:p>
        </w:tc>
        <w:tc>
          <w:tcPr>
            <w:tcW w:w="885" w:type="dxa"/>
            <w:tcBorders>
              <w:tl2br w:val="nil"/>
              <w:tr2bl w:val="nil"/>
            </w:tcBorders>
            <w:vAlign w:val="center"/>
          </w:tcPr>
          <w:p w14:paraId="18B7BD83">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vertAlign w:val="baseline"/>
                <w:lang w:val="en-US" w:eastAsia="zh-CN"/>
              </w:rPr>
              <w:t>10</w:t>
            </w:r>
          </w:p>
        </w:tc>
        <w:tc>
          <w:tcPr>
            <w:tcW w:w="3014" w:type="dxa"/>
            <w:tcBorders>
              <w:tl2br w:val="nil"/>
              <w:tr2bl w:val="nil"/>
            </w:tcBorders>
            <w:vAlign w:val="center"/>
          </w:tcPr>
          <w:p w14:paraId="22B7F27A">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highlight w:val="none"/>
                <w:lang w:val="en-US" w:eastAsia="zh-CN" w:bidi="ar"/>
              </w:rPr>
              <w:t>用于事故现场的警戒</w:t>
            </w:r>
          </w:p>
        </w:tc>
      </w:tr>
      <w:tr w14:paraId="623A2F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vMerge w:val="continue"/>
            <w:tcBorders>
              <w:tl2br w:val="nil"/>
              <w:tr2bl w:val="nil"/>
            </w:tcBorders>
            <w:vAlign w:val="center"/>
          </w:tcPr>
          <w:p w14:paraId="236E7439">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highlight w:val="yellow"/>
                <w:vertAlign w:val="baseline"/>
                <w:lang w:val="en-US" w:eastAsia="zh-CN"/>
              </w:rPr>
            </w:pPr>
          </w:p>
        </w:tc>
        <w:tc>
          <w:tcPr>
            <w:tcW w:w="675" w:type="dxa"/>
            <w:tcBorders>
              <w:tl2br w:val="nil"/>
              <w:tr2bl w:val="nil"/>
            </w:tcBorders>
            <w:vAlign w:val="center"/>
          </w:tcPr>
          <w:p w14:paraId="37AAD6A0">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eastAsia" w:ascii="Times New Roman" w:hAnsi="Times New Roman" w:eastAsia="宋体" w:cs="Times New Roman"/>
                <w:color w:val="auto"/>
                <w:spacing w:val="-2"/>
                <w:sz w:val="21"/>
                <w:szCs w:val="21"/>
                <w:vertAlign w:val="baseline"/>
                <w:lang w:val="en-US" w:eastAsia="zh-CN"/>
              </w:rPr>
              <w:t>29</w:t>
            </w:r>
          </w:p>
        </w:tc>
        <w:tc>
          <w:tcPr>
            <w:tcW w:w="2910" w:type="dxa"/>
            <w:tcBorders>
              <w:tl2br w:val="nil"/>
              <w:tr2bl w:val="nil"/>
            </w:tcBorders>
            <w:vAlign w:val="center"/>
          </w:tcPr>
          <w:p w14:paraId="51B6FBE1">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警示灯</w:t>
            </w:r>
          </w:p>
        </w:tc>
        <w:tc>
          <w:tcPr>
            <w:tcW w:w="885" w:type="dxa"/>
            <w:tcBorders>
              <w:tl2br w:val="nil"/>
              <w:tr2bl w:val="nil"/>
            </w:tcBorders>
            <w:vAlign w:val="center"/>
          </w:tcPr>
          <w:p w14:paraId="19AC870D">
            <w:pPr>
              <w:keepNext w:val="0"/>
              <w:keepLines w:val="0"/>
              <w:pageBreakBefore w:val="0"/>
              <w:widowControl/>
              <w:kinsoku w:val="0"/>
              <w:wordWrap/>
              <w:overflowPunct/>
              <w:topLinePunct w:val="0"/>
              <w:autoSpaceDE w:val="0"/>
              <w:autoSpaceDN w:val="0"/>
              <w:bidi w:val="0"/>
              <w:adjustRightInd w:val="0"/>
              <w:snapToGrid w:val="0"/>
              <w:spacing w:before="31" w:line="240" w:lineRule="exact"/>
              <w:jc w:val="center"/>
              <w:textAlignment w:val="baseline"/>
              <w:rPr>
                <w:rFonts w:hint="default" w:ascii="Times New Roman" w:hAnsi="Times New Roman" w:eastAsia="宋体" w:cs="Times New Roman"/>
                <w:color w:val="auto"/>
                <w:spacing w:val="-2"/>
                <w:sz w:val="21"/>
                <w:szCs w:val="21"/>
                <w:vertAlign w:val="baseline"/>
                <w:lang w:val="en-US" w:eastAsia="zh-CN"/>
              </w:rPr>
            </w:pPr>
            <w:r>
              <w:rPr>
                <w:rFonts w:hint="default" w:ascii="Times New Roman" w:hAnsi="Times New Roman" w:eastAsia="宋体" w:cs="Times New Roman"/>
                <w:color w:val="auto"/>
                <w:spacing w:val="-2"/>
                <w:sz w:val="21"/>
                <w:szCs w:val="21"/>
                <w:highlight w:val="none"/>
                <w:vertAlign w:val="baseline"/>
                <w:lang w:val="en-US" w:eastAsia="zh-CN"/>
              </w:rPr>
              <w:t>10</w:t>
            </w:r>
          </w:p>
        </w:tc>
        <w:tc>
          <w:tcPr>
            <w:tcW w:w="3014" w:type="dxa"/>
            <w:tcBorders>
              <w:tl2br w:val="nil"/>
              <w:tr2bl w:val="nil"/>
            </w:tcBorders>
            <w:vAlign w:val="center"/>
          </w:tcPr>
          <w:p w14:paraId="6EFC9C27">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exact"/>
              <w:jc w:val="center"/>
              <w:textAlignment w:val="baseline"/>
              <w:rPr>
                <w:rFonts w:hint="default" w:ascii="Times New Roman" w:hAnsi="Times New Roman" w:eastAsia="宋体" w:cs="Times New Roman"/>
                <w:color w:val="auto"/>
                <w:spacing w:val="-2"/>
                <w:sz w:val="21"/>
                <w:szCs w:val="21"/>
                <w:vertAlign w:val="baseline"/>
              </w:rPr>
            </w:pPr>
            <w:r>
              <w:rPr>
                <w:rFonts w:hint="default" w:ascii="Times New Roman" w:hAnsi="Times New Roman" w:eastAsia="宋体" w:cs="Times New Roman"/>
                <w:snapToGrid w:val="0"/>
                <w:color w:val="auto"/>
                <w:kern w:val="0"/>
                <w:sz w:val="21"/>
                <w:szCs w:val="21"/>
                <w:lang w:val="en-US" w:eastAsia="zh-CN" w:bidi="ar"/>
              </w:rPr>
              <w:t>用于事故现场的警戒</w:t>
            </w:r>
          </w:p>
        </w:tc>
      </w:tr>
    </w:tbl>
    <w:p w14:paraId="2DE4AA7A">
      <w:pPr>
        <w:keepNext w:val="0"/>
        <w:keepLines w:val="0"/>
        <w:pageBreakBefore w:val="0"/>
        <w:widowControl/>
        <w:kinsoku w:val="0"/>
        <w:wordWrap/>
        <w:overflowPunct/>
        <w:topLinePunct w:val="0"/>
        <w:autoSpaceDE w:val="0"/>
        <w:autoSpaceDN w:val="0"/>
        <w:bidi w:val="0"/>
        <w:adjustRightInd w:val="0"/>
        <w:snapToGrid w:val="0"/>
        <w:spacing w:before="31" w:line="360" w:lineRule="auto"/>
        <w:ind w:left="522"/>
        <w:textAlignment w:val="baseline"/>
        <w:rPr>
          <w:rFonts w:ascii="宋体" w:hAnsi="宋体" w:eastAsia="宋体" w:cs="宋体"/>
          <w:color w:val="auto"/>
          <w:sz w:val="24"/>
          <w:szCs w:val="24"/>
        </w:rPr>
      </w:pPr>
      <w:r>
        <w:rPr>
          <w:rFonts w:ascii="宋体" w:hAnsi="宋体" w:eastAsia="宋体" w:cs="宋体"/>
          <w:color w:val="auto"/>
          <w:spacing w:val="-2"/>
          <w:sz w:val="24"/>
          <w:szCs w:val="24"/>
        </w:rPr>
        <w:t>（</w:t>
      </w:r>
      <w:r>
        <w:rPr>
          <w:rFonts w:ascii="Times New Roman" w:hAnsi="Times New Roman" w:eastAsia="Times New Roman" w:cs="Times New Roman"/>
          <w:color w:val="auto"/>
          <w:spacing w:val="-2"/>
          <w:sz w:val="24"/>
          <w:szCs w:val="24"/>
        </w:rPr>
        <w:t>3</w:t>
      </w:r>
      <w:r>
        <w:rPr>
          <w:rFonts w:ascii="宋体" w:hAnsi="宋体" w:eastAsia="宋体" w:cs="宋体"/>
          <w:color w:val="auto"/>
          <w:spacing w:val="-2"/>
          <w:sz w:val="24"/>
          <w:szCs w:val="24"/>
        </w:rPr>
        <w:t>）</w:t>
      </w:r>
      <w:r>
        <w:rPr>
          <w:rFonts w:ascii="宋体" w:hAnsi="宋体" w:eastAsia="宋体" w:cs="宋体"/>
          <w:color w:val="auto"/>
          <w:spacing w:val="-4"/>
          <w:sz w:val="24"/>
          <w:szCs w:val="24"/>
        </w:rPr>
        <w:t>环境应急联动机制</w:t>
      </w:r>
      <w:bookmarkStart w:id="2194" w:name="pindex14459"/>
      <w:bookmarkEnd w:id="2194"/>
    </w:p>
    <w:p w14:paraId="02F8DD0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环境应急队伍的组建以江宁经济技术开发区管理机构</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江宁经济技术开发区管委会为主体，整合开发区生态环境、规划资源与建设、组织人事、应急管理、城市管理、消防支队和派出所等相关部门，同时加强开发区重大环境突发事件应急的硬件设施建设，实现对重大环境突发事件快速应对和高效处置的目的</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提升开发区对环境突发事件的防范和应急处置能力，减轻环境突发事件的影响，避免环境污染事故的发生。</w:t>
      </w:r>
    </w:p>
    <w:p w14:paraId="178F4B9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江宁经济技术开发区管委会组织成立专业应急小组，加强开发区重大环境突发事件应急处置及应急硬件设施建设。组织体系详见图8.</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-1所示。</w:t>
      </w:r>
    </w:p>
    <w:p w14:paraId="573FDEC3">
      <w:pPr>
        <w:spacing w:before="182" w:line="353" w:lineRule="auto"/>
        <w:ind w:right="209"/>
        <w:rPr>
          <w:color w:val="auto"/>
        </w:rPr>
      </w:pPr>
      <w:r>
        <w:rPr>
          <w:color w:val="auto"/>
        </w:rPr>
        <w:drawing>
          <wp:inline distT="0" distB="0" distL="114300" distR="114300">
            <wp:extent cx="5307965" cy="3797300"/>
            <wp:effectExtent l="0" t="0" r="6985" b="1270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71"/>
                    <a:stretch>
                      <a:fillRect/>
                    </a:stretch>
                  </pic:blipFill>
                  <pic:spPr>
                    <a:xfrm>
                      <a:off x="0" y="0"/>
                      <a:ext cx="5307965" cy="3797300"/>
                    </a:xfrm>
                    <a:prstGeom prst="rect">
                      <a:avLst/>
                    </a:prstGeom>
                    <a:noFill/>
                    <a:ln>
                      <a:noFill/>
                    </a:ln>
                  </pic:spPr>
                </pic:pic>
              </a:graphicData>
            </a:graphic>
          </wp:inline>
        </w:drawing>
      </w:r>
    </w:p>
    <w:p w14:paraId="7220269B">
      <w:pPr>
        <w:keepNext w:val="0"/>
        <w:keepLines w:val="0"/>
        <w:pageBreakBefore w:val="0"/>
        <w:widowControl/>
        <w:kinsoku w:val="0"/>
        <w:wordWrap/>
        <w:overflowPunct/>
        <w:topLinePunct w:val="0"/>
        <w:autoSpaceDE w:val="0"/>
        <w:autoSpaceDN w:val="0"/>
        <w:bidi w:val="0"/>
        <w:adjustRightInd w:val="0"/>
        <w:snapToGrid w:val="0"/>
        <w:spacing w:before="182" w:line="240" w:lineRule="auto"/>
        <w:ind w:right="210"/>
        <w:jc w:val="center"/>
        <w:textAlignment w:val="baseline"/>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图</w:t>
      </w:r>
      <w:r>
        <w:rPr>
          <w:rFonts w:hint="eastAsia"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bCs/>
          <w:color w:val="auto"/>
          <w:sz w:val="24"/>
          <w:szCs w:val="24"/>
          <w:lang w:val="en-US" w:eastAsia="zh-CN"/>
        </w:rPr>
        <w:t>.</w:t>
      </w:r>
      <w:r>
        <w:rPr>
          <w:rFonts w:hint="eastAsia"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lang w:val="en-US" w:eastAsia="zh-CN"/>
        </w:rPr>
        <w:t>-</w:t>
      </w:r>
      <w:r>
        <w:rPr>
          <w:rFonts w:hint="eastAsia"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lang w:val="en-US" w:eastAsia="zh-CN"/>
        </w:rPr>
        <w:t xml:space="preserve">  开发区突发环境事件应急救援组织体系</w:t>
      </w:r>
      <w:bookmarkStart w:id="2195" w:name="pindex14463"/>
      <w:bookmarkEnd w:id="2195"/>
    </w:p>
    <w:p w14:paraId="74CC5A1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此外，开发区内各风险企业均设置有突发环境应急事件专业应急队伍，队伍主要由应急指挥部及其办事机构、成员单位组成，成立有综合协调组、现场处置组、应急监测组、应急保障组、信息宣传组和专家组等工作组。部分企业应急组织机构人员不包括各相关部门、区内可供支援的企事业单位。</w:t>
      </w:r>
    </w:p>
    <w:p w14:paraId="0F2F8B3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发生突发环境事件时，各企业均按照规定成立环境应急现场指挥部，环境应急现场指挥部的组成、责任部门及职责由应急总指挥确定</w:t>
      </w:r>
      <w:r>
        <w:rPr>
          <w:rFonts w:hint="default" w:ascii="Times New Roman" w:hAnsi="Times New Roman" w:eastAsia="宋体" w:cs="Times New Roman"/>
          <w:color w:val="auto"/>
          <w:sz w:val="24"/>
          <w:szCs w:val="24"/>
          <w:lang w:eastAsia="zh-CN"/>
        </w:rPr>
        <w:t>。</w:t>
      </w:r>
      <w:bookmarkStart w:id="2196" w:name="OLE_LINK606"/>
    </w:p>
    <w:p w14:paraId="52149C38">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9"/>
        <w:rPr>
          <w:rFonts w:hint="default" w:ascii="Times New Roman" w:hAnsi="Times New Roman" w:eastAsia="宋体" w:cs="Times New Roman"/>
          <w:color w:val="auto"/>
          <w:sz w:val="24"/>
          <w:szCs w:val="24"/>
          <w:highlight w:val="none"/>
          <w:lang w:val="en-US" w:eastAsia="zh-CN"/>
        </w:rPr>
      </w:pPr>
      <w:bookmarkStart w:id="2197" w:name="OLE_LINK703"/>
      <w:r>
        <w:rPr>
          <w:rFonts w:hint="default" w:ascii="Times New Roman" w:hAnsi="Times New Roman" w:eastAsia="宋体" w:cs="Times New Roman"/>
          <w:b/>
          <w:bCs/>
          <w:color w:val="auto"/>
          <w:spacing w:val="-2"/>
          <w:sz w:val="24"/>
          <w:szCs w:val="24"/>
          <w:highlight w:val="none"/>
          <w:lang w:val="en-US" w:eastAsia="zh-CN"/>
        </w:rPr>
        <w:t>8</w:t>
      </w:r>
      <w:r>
        <w:rPr>
          <w:rFonts w:hint="default" w:ascii="Times New Roman" w:hAnsi="Times New Roman" w:eastAsia="Times New Roman" w:cs="Times New Roman"/>
          <w:b/>
          <w:bCs/>
          <w:color w:val="auto"/>
          <w:spacing w:val="-2"/>
          <w:sz w:val="24"/>
          <w:szCs w:val="24"/>
          <w:highlight w:val="none"/>
        </w:rPr>
        <w:t>.</w:t>
      </w:r>
      <w:r>
        <w:rPr>
          <w:rFonts w:hint="eastAsia" w:ascii="Times New Roman" w:hAnsi="Times New Roman" w:eastAsia="宋体" w:cs="Times New Roman"/>
          <w:b/>
          <w:bCs/>
          <w:color w:val="auto"/>
          <w:spacing w:val="-2"/>
          <w:sz w:val="24"/>
          <w:szCs w:val="24"/>
          <w:highlight w:val="none"/>
          <w:lang w:val="en-US" w:eastAsia="zh-CN"/>
        </w:rPr>
        <w:t>5.5</w:t>
      </w:r>
      <w:r>
        <w:rPr>
          <w:rFonts w:hint="default" w:ascii="Times New Roman" w:hAnsi="Times New Roman" w:eastAsia="Times New Roman" w:cs="Times New Roman"/>
          <w:b/>
          <w:bCs/>
          <w:color w:val="auto"/>
          <w:spacing w:val="-2"/>
          <w:sz w:val="24"/>
          <w:szCs w:val="24"/>
          <w:highlight w:val="none"/>
        </w:rPr>
        <w:t>.</w:t>
      </w:r>
      <w:r>
        <w:rPr>
          <w:rFonts w:hint="eastAsia" w:ascii="Times New Roman" w:hAnsi="Times New Roman" w:eastAsia="宋体" w:cs="Times New Roman"/>
          <w:b/>
          <w:bCs/>
          <w:color w:val="auto"/>
          <w:spacing w:val="-2"/>
          <w:sz w:val="24"/>
          <w:szCs w:val="24"/>
          <w:highlight w:val="none"/>
          <w:lang w:val="en-US" w:eastAsia="zh-CN"/>
        </w:rPr>
        <w:t>5</w:t>
      </w:r>
      <w:r>
        <w:rPr>
          <w:rFonts w:hint="default" w:ascii="Times New Roman" w:hAnsi="Times New Roman" w:eastAsia="宋体" w:cs="Times New Roman"/>
          <w:b/>
          <w:bCs/>
          <w:color w:val="auto"/>
          <w:spacing w:val="-2"/>
          <w:sz w:val="24"/>
          <w:szCs w:val="24"/>
          <w:highlight w:val="none"/>
          <w:lang w:val="en-US" w:eastAsia="zh-CN"/>
        </w:rPr>
        <w:t>近2年环境问题及解决方案</w:t>
      </w:r>
      <w:bookmarkStart w:id="2198" w:name="pindex14466"/>
      <w:bookmarkEnd w:id="2198"/>
    </w:p>
    <w:bookmarkEnd w:id="2196"/>
    <w:bookmarkEnd w:id="2197"/>
    <w:p w14:paraId="74559AE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江宁开发区内环境风险企业近五年来，未发</w:t>
      </w:r>
      <w:r>
        <w:rPr>
          <w:rFonts w:hint="eastAsia" w:ascii="Times New Roman" w:hAnsi="Times New Roman" w:eastAsia="宋体" w:cs="Times New Roman"/>
          <w:color w:val="auto"/>
          <w:sz w:val="24"/>
          <w:szCs w:val="24"/>
          <w:lang w:val="en-US" w:eastAsia="zh-CN"/>
        </w:rPr>
        <w:t>生过</w:t>
      </w:r>
      <w:r>
        <w:rPr>
          <w:rFonts w:hint="default" w:ascii="Times New Roman" w:hAnsi="Times New Roman" w:eastAsia="宋体" w:cs="Times New Roman"/>
          <w:color w:val="auto"/>
          <w:sz w:val="24"/>
          <w:szCs w:val="24"/>
          <w:lang w:val="en-US" w:eastAsia="zh-CN"/>
        </w:rPr>
        <w:t>突发环境事件。</w:t>
      </w:r>
      <w:bookmarkStart w:id="2199" w:name="_Toc27051"/>
    </w:p>
    <w:p w14:paraId="13C21DB2">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pacing w:val="-2"/>
          <w:sz w:val="24"/>
          <w:szCs w:val="24"/>
          <w:highlight w:val="none"/>
          <w:lang w:val="en-US" w:eastAsia="zh-CN"/>
        </w:rPr>
        <w:t>8</w:t>
      </w:r>
      <w:r>
        <w:rPr>
          <w:rFonts w:hint="default" w:ascii="Times New Roman" w:hAnsi="Times New Roman" w:eastAsia="Times New Roman" w:cs="Times New Roman"/>
          <w:b/>
          <w:bCs/>
          <w:color w:val="auto"/>
          <w:spacing w:val="-2"/>
          <w:sz w:val="24"/>
          <w:szCs w:val="24"/>
          <w:highlight w:val="none"/>
        </w:rPr>
        <w:t>.</w:t>
      </w:r>
      <w:r>
        <w:rPr>
          <w:rFonts w:hint="eastAsia" w:ascii="Times New Roman" w:hAnsi="Times New Roman" w:eastAsia="宋体" w:cs="Times New Roman"/>
          <w:b/>
          <w:bCs/>
          <w:color w:val="auto"/>
          <w:spacing w:val="-2"/>
          <w:sz w:val="24"/>
          <w:szCs w:val="24"/>
          <w:highlight w:val="none"/>
          <w:lang w:val="en-US" w:eastAsia="zh-CN"/>
        </w:rPr>
        <w:t>5.5</w:t>
      </w:r>
      <w:r>
        <w:rPr>
          <w:rFonts w:hint="default" w:ascii="Times New Roman" w:hAnsi="Times New Roman" w:eastAsia="Times New Roman" w:cs="Times New Roman"/>
          <w:b/>
          <w:bCs/>
          <w:color w:val="auto"/>
          <w:spacing w:val="-2"/>
          <w:sz w:val="24"/>
          <w:szCs w:val="24"/>
          <w:highlight w:val="none"/>
        </w:rPr>
        <w:t>.</w:t>
      </w:r>
      <w:r>
        <w:rPr>
          <w:rFonts w:hint="eastAsia" w:ascii="Times New Roman" w:hAnsi="Times New Roman" w:eastAsia="宋体" w:cs="Times New Roman"/>
          <w:b/>
          <w:bCs/>
          <w:color w:val="auto"/>
          <w:spacing w:val="-2"/>
          <w:sz w:val="24"/>
          <w:szCs w:val="24"/>
          <w:highlight w:val="none"/>
          <w:lang w:val="en-US" w:eastAsia="zh-CN"/>
        </w:rPr>
        <w:t>6</w:t>
      </w:r>
      <w:r>
        <w:rPr>
          <w:rFonts w:hint="default" w:ascii="Times New Roman" w:hAnsi="Times New Roman" w:eastAsia="宋体" w:cs="Times New Roman"/>
          <w:b/>
          <w:bCs/>
          <w:color w:val="auto"/>
          <w:sz w:val="24"/>
          <w:szCs w:val="24"/>
        </w:rPr>
        <w:t>环境应急培训与演练情况</w:t>
      </w:r>
      <w:bookmarkEnd w:id="2199"/>
      <w:bookmarkStart w:id="2200" w:name="pindex14468"/>
      <w:bookmarkEnd w:id="2200"/>
      <w:bookmarkStart w:id="2201" w:name="_Toc23580"/>
    </w:p>
    <w:p w14:paraId="4EBCD527">
      <w:pPr>
        <w:keepNext w:val="0"/>
        <w:keepLines w:val="0"/>
        <w:pageBreakBefore w:val="0"/>
        <w:widowControl/>
        <w:numPr>
          <w:ilvl w:val="0"/>
          <w:numId w:val="10"/>
        </w:numPr>
        <w:kinsoku w:val="0"/>
        <w:wordWrap/>
        <w:overflowPunct/>
        <w:topLinePunct w:val="0"/>
        <w:autoSpaceDE w:val="0"/>
        <w:autoSpaceDN w:val="0"/>
        <w:bidi w:val="0"/>
        <w:adjustRightInd w:val="0"/>
        <w:snapToGrid w:val="0"/>
        <w:spacing w:line="360" w:lineRule="auto"/>
        <w:ind w:firstLine="452" w:firstLineChars="200"/>
        <w:textAlignment w:val="baseline"/>
        <w:rPr>
          <w:rFonts w:ascii="宋体" w:hAnsi="宋体" w:eastAsia="宋体" w:cs="宋体"/>
          <w:b w:val="0"/>
          <w:bCs w:val="0"/>
          <w:color w:val="auto"/>
          <w:spacing w:val="-7"/>
          <w:sz w:val="24"/>
          <w:szCs w:val="24"/>
        </w:rPr>
      </w:pPr>
      <w:r>
        <w:rPr>
          <w:rFonts w:ascii="宋体" w:hAnsi="宋体" w:eastAsia="宋体" w:cs="宋体"/>
          <w:b w:val="0"/>
          <w:bCs w:val="0"/>
          <w:color w:val="auto"/>
          <w:spacing w:val="-7"/>
          <w:sz w:val="24"/>
          <w:szCs w:val="24"/>
          <w:highlight w:val="none"/>
        </w:rPr>
        <w:t>培训</w:t>
      </w:r>
      <w:bookmarkEnd w:id="2201"/>
      <w:bookmarkStart w:id="2202" w:name="pindex14469"/>
      <w:bookmarkEnd w:id="2202"/>
    </w:p>
    <w:p w14:paraId="5D2B9B5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4" w:firstLineChars="200"/>
        <w:textAlignment w:val="baseline"/>
        <w:rPr>
          <w:rFonts w:ascii="宋体" w:hAnsi="宋体" w:eastAsia="宋体" w:cs="宋体"/>
          <w:color w:val="auto"/>
          <w:sz w:val="24"/>
          <w:szCs w:val="24"/>
        </w:rPr>
      </w:pPr>
      <w:r>
        <w:rPr>
          <w:rFonts w:ascii="宋体" w:hAnsi="宋体" w:eastAsia="宋体" w:cs="宋体"/>
          <w:color w:val="auto"/>
          <w:spacing w:val="-4"/>
          <w:sz w:val="24"/>
          <w:szCs w:val="24"/>
        </w:rPr>
        <w:t>园区已聘请第三方专家对园区各企业环保管理方面进行培训授课，培训课程分多期举办</w:t>
      </w:r>
      <w:r>
        <w:rPr>
          <w:rFonts w:ascii="宋体" w:hAnsi="宋体" w:eastAsia="宋体" w:cs="宋体"/>
          <w:color w:val="auto"/>
          <w:spacing w:val="-4"/>
          <w:sz w:val="24"/>
          <w:szCs w:val="24"/>
          <w:highlight w:val="none"/>
        </w:rPr>
        <w:t>。</w:t>
      </w:r>
    </w:p>
    <w:p w14:paraId="064ABFC3">
      <w:pPr>
        <w:keepNext w:val="0"/>
        <w:keepLines w:val="0"/>
        <w:pageBreakBefore w:val="0"/>
        <w:widowControl/>
        <w:kinsoku w:val="0"/>
        <w:wordWrap/>
        <w:overflowPunct/>
        <w:topLinePunct w:val="0"/>
        <w:autoSpaceDE w:val="0"/>
        <w:autoSpaceDN w:val="0"/>
        <w:bidi w:val="0"/>
        <w:adjustRightInd w:val="0"/>
        <w:snapToGrid w:val="0"/>
        <w:spacing w:before="36" w:line="360" w:lineRule="auto"/>
        <w:ind w:left="524"/>
        <w:textAlignment w:val="baseline"/>
        <w:outlineLvl w:val="9"/>
        <w:rPr>
          <w:rFonts w:ascii="宋体" w:hAnsi="宋体" w:eastAsia="宋体" w:cs="宋体"/>
          <w:color w:val="auto"/>
          <w:sz w:val="24"/>
          <w:szCs w:val="24"/>
        </w:rPr>
      </w:pPr>
      <w:bookmarkStart w:id="2203" w:name="_Toc28079"/>
      <w:r>
        <w:rPr>
          <w:rFonts w:ascii="宋体" w:hAnsi="宋体" w:eastAsia="宋体" w:cs="宋体"/>
          <w:color w:val="auto"/>
          <w:spacing w:val="-5"/>
          <w:sz w:val="24"/>
          <w:szCs w:val="24"/>
        </w:rPr>
        <w:t>（</w:t>
      </w:r>
      <w:r>
        <w:rPr>
          <w:rFonts w:ascii="Times New Roman" w:hAnsi="Times New Roman" w:eastAsia="Times New Roman" w:cs="Times New Roman"/>
          <w:color w:val="auto"/>
          <w:spacing w:val="-5"/>
          <w:sz w:val="24"/>
          <w:szCs w:val="24"/>
        </w:rPr>
        <w:t>2</w:t>
      </w:r>
      <w:r>
        <w:rPr>
          <w:rFonts w:ascii="宋体" w:hAnsi="宋体" w:eastAsia="宋体" w:cs="宋体"/>
          <w:color w:val="auto"/>
          <w:spacing w:val="-5"/>
          <w:sz w:val="24"/>
          <w:szCs w:val="24"/>
        </w:rPr>
        <w:t>）演练</w:t>
      </w:r>
      <w:bookmarkEnd w:id="2203"/>
      <w:bookmarkStart w:id="2204" w:name="pindex14471"/>
      <w:bookmarkEnd w:id="2204"/>
    </w:p>
    <w:p w14:paraId="2FE5A1E8">
      <w:pPr>
        <w:keepNext w:val="0"/>
        <w:keepLines w:val="0"/>
        <w:pageBreakBefore w:val="0"/>
        <w:widowControl/>
        <w:kinsoku w:val="0"/>
        <w:wordWrap/>
        <w:overflowPunct/>
        <w:topLinePunct w:val="0"/>
        <w:autoSpaceDE w:val="0"/>
        <w:autoSpaceDN w:val="0"/>
        <w:bidi w:val="0"/>
        <w:adjustRightInd w:val="0"/>
        <w:snapToGrid w:val="0"/>
        <w:spacing w:before="33" w:line="360" w:lineRule="auto"/>
        <w:ind w:firstLine="468" w:firstLineChars="200"/>
        <w:textAlignment w:val="baseline"/>
        <w:rPr>
          <w:rFonts w:hint="eastAsia" w:ascii="Times New Roman" w:hAnsi="Times New Roman" w:eastAsia="Times New Roman" w:cs="Times New Roman"/>
          <w:b w:val="0"/>
          <w:bCs w:val="0"/>
          <w:color w:val="auto"/>
          <w:spacing w:val="-3"/>
          <w:sz w:val="24"/>
          <w:szCs w:val="24"/>
          <w:highlight w:val="none"/>
        </w:rPr>
      </w:pPr>
      <w:r>
        <w:rPr>
          <w:rFonts w:hint="eastAsia" w:ascii="Times New Roman" w:hAnsi="Times New Roman" w:eastAsia="Times New Roman" w:cs="Times New Roman"/>
          <w:b w:val="0"/>
          <w:bCs w:val="0"/>
          <w:color w:val="auto"/>
          <w:spacing w:val="-3"/>
          <w:sz w:val="24"/>
          <w:szCs w:val="24"/>
          <w:highlight w:val="none"/>
          <w:lang w:val="en-US" w:eastAsia="zh-CN"/>
        </w:rPr>
        <w:t>为提高突发环境事件应急处置能力，开发区管委会不断开展突发环境事件应急演练工作，一方面要求重点污染源企业自身开展突发环境污染事件应急演练，另一方还组织多部门联合开展综合演练，2022年与菲尼克斯开展油品泄漏综合应急演练，2023年与长安马自达发动机开展焙烧炉燃气泄漏的应急救援演练。</w:t>
      </w:r>
    </w:p>
    <w:p w14:paraId="4A2514D8">
      <w:pPr>
        <w:keepNext w:val="0"/>
        <w:keepLines w:val="0"/>
        <w:pageBreakBefore w:val="0"/>
        <w:widowControl/>
        <w:kinsoku w:val="0"/>
        <w:wordWrap/>
        <w:overflowPunct/>
        <w:topLinePunct w:val="0"/>
        <w:autoSpaceDE w:val="0"/>
        <w:autoSpaceDN w:val="0"/>
        <w:bidi w:val="0"/>
        <w:adjustRightInd w:val="0"/>
        <w:snapToGrid w:val="0"/>
        <w:spacing w:before="33" w:line="360" w:lineRule="auto"/>
        <w:ind w:firstLine="468" w:firstLineChars="200"/>
        <w:textAlignment w:val="baseline"/>
        <w:rPr>
          <w:rFonts w:hint="eastAsia" w:ascii="Times New Roman" w:hAnsi="Times New Roman" w:eastAsia="Times New Roman" w:cs="Times New Roman"/>
          <w:b w:val="0"/>
          <w:bCs w:val="0"/>
          <w:color w:val="auto"/>
          <w:spacing w:val="-3"/>
          <w:sz w:val="24"/>
          <w:szCs w:val="24"/>
          <w:highlight w:val="none"/>
          <w:lang w:val="en-US" w:eastAsia="zh-CN"/>
        </w:rPr>
      </w:pPr>
      <w:r>
        <w:rPr>
          <w:rFonts w:hint="eastAsia" w:ascii="Times New Roman" w:hAnsi="Times New Roman" w:eastAsia="Times New Roman" w:cs="Times New Roman"/>
          <w:b w:val="0"/>
          <w:bCs w:val="0"/>
          <w:color w:val="auto"/>
          <w:spacing w:val="-3"/>
          <w:sz w:val="24"/>
          <w:szCs w:val="24"/>
          <w:highlight w:val="none"/>
          <w:lang w:val="en-US" w:eastAsia="zh-CN"/>
        </w:rPr>
        <w:t>油品泄漏综合应急演练从发生油品泄漏到灭火搜救人员，再到处置进入雨水管网消防废水，总体效果良好，组织有序、方案具体、流程清晰，通过此次演练，提高了开发区及企业的应急处置能力，为今后成功处置可能发生的突发事故应急救援工作奠定了坚实基础。</w:t>
      </w:r>
    </w:p>
    <w:p w14:paraId="4B04EA07">
      <w:pPr>
        <w:keepNext w:val="0"/>
        <w:keepLines w:val="0"/>
        <w:pageBreakBefore w:val="0"/>
        <w:widowControl/>
        <w:kinsoku w:val="0"/>
        <w:wordWrap/>
        <w:overflowPunct/>
        <w:topLinePunct w:val="0"/>
        <w:autoSpaceDE w:val="0"/>
        <w:autoSpaceDN w:val="0"/>
        <w:bidi w:val="0"/>
        <w:adjustRightInd w:val="0"/>
        <w:snapToGrid w:val="0"/>
        <w:spacing w:before="33" w:line="360" w:lineRule="auto"/>
        <w:ind w:firstLine="468" w:firstLineChars="200"/>
        <w:textAlignment w:val="baseline"/>
        <w:rPr>
          <w:rFonts w:hint="eastAsia" w:ascii="Times New Roman" w:hAnsi="Times New Roman" w:eastAsia="Times New Roman" w:cs="Times New Roman"/>
          <w:b w:val="0"/>
          <w:bCs w:val="0"/>
          <w:color w:val="auto"/>
          <w:spacing w:val="-3"/>
          <w:sz w:val="24"/>
          <w:szCs w:val="24"/>
          <w:highlight w:val="none"/>
          <w:lang w:val="en-US" w:eastAsia="zh-CN"/>
        </w:rPr>
      </w:pPr>
      <w:r>
        <w:rPr>
          <w:rFonts w:hint="eastAsia" w:ascii="Times New Roman" w:hAnsi="Times New Roman" w:eastAsia="Times New Roman" w:cs="Times New Roman"/>
          <w:b w:val="0"/>
          <w:bCs w:val="0"/>
          <w:color w:val="auto"/>
          <w:spacing w:val="-3"/>
          <w:sz w:val="24"/>
          <w:szCs w:val="24"/>
          <w:highlight w:val="none"/>
          <w:lang w:val="en-US" w:eastAsia="zh-CN"/>
        </w:rPr>
        <w:t>长安马自达发动机焙烧炉燃气泄漏的应急救援演练通过真实操作的演练，提升全体员工避免事故、防止事故、抵抗事故的应急处置能力，提高了各部门的综合应急处理能力，强化了开发区管委会及一线员工应对突发事故的应急救援技能。</w:t>
      </w:r>
    </w:p>
    <w:p w14:paraId="53DCDA94">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2024年，江宁开发区成功举办突发环境事件应急演练，该演练以法雷奥公</w:t>
      </w:r>
      <w:r>
        <w:rPr>
          <w:rFonts w:hint="eastAsia" w:ascii="宋体" w:hAnsi="宋体" w:eastAsia="宋体" w:cs="宋体"/>
          <w:color w:val="auto"/>
          <w:sz w:val="24"/>
          <w:szCs w:val="24"/>
        </w:rPr>
        <w:t>司甲醇</w:t>
      </w:r>
      <w:r>
        <w:rPr>
          <w:rFonts w:hint="eastAsia" w:ascii="宋体" w:hAnsi="宋体" w:eastAsia="宋体" w:cs="宋体"/>
          <w:color w:val="auto"/>
          <w:sz w:val="24"/>
          <w:szCs w:val="24"/>
          <w:lang w:eastAsia="zh-CN"/>
        </w:rPr>
        <w:t>储</w:t>
      </w:r>
      <w:r>
        <w:rPr>
          <w:rFonts w:hint="eastAsia" w:ascii="宋体" w:hAnsi="宋体" w:eastAsia="宋体" w:cs="宋体"/>
          <w:color w:val="auto"/>
          <w:sz w:val="24"/>
          <w:szCs w:val="24"/>
        </w:rPr>
        <w:t>罐</w:t>
      </w:r>
      <w:r>
        <w:rPr>
          <w:rFonts w:hint="eastAsia" w:ascii="宋体" w:hAnsi="宋体" w:eastAsia="宋体" w:cs="宋体"/>
          <w:color w:val="auto"/>
          <w:sz w:val="24"/>
          <w:szCs w:val="24"/>
          <w:lang w:eastAsia="zh-CN"/>
        </w:rPr>
        <w:t>泄漏</w:t>
      </w:r>
      <w:r>
        <w:rPr>
          <w:rFonts w:hint="eastAsia" w:ascii="宋体" w:hAnsi="宋体" w:eastAsia="宋体" w:cs="宋体"/>
          <w:color w:val="auto"/>
          <w:sz w:val="24"/>
          <w:szCs w:val="24"/>
        </w:rPr>
        <w:t>为</w:t>
      </w:r>
      <w:r>
        <w:rPr>
          <w:rFonts w:hint="default" w:ascii="Times New Roman" w:hAnsi="Times New Roman" w:cs="Times New Roman"/>
          <w:color w:val="auto"/>
          <w:sz w:val="24"/>
          <w:szCs w:val="24"/>
        </w:rPr>
        <w:t>模拟场景，</w:t>
      </w:r>
      <w:r>
        <w:rPr>
          <w:rFonts w:hint="eastAsia" w:ascii="Times New Roman" w:hAnsi="Times New Roman" w:eastAsia="宋体" w:cs="Times New Roman"/>
          <w:color w:val="auto"/>
          <w:sz w:val="24"/>
          <w:szCs w:val="24"/>
          <w:lang w:eastAsia="zh-CN"/>
        </w:rPr>
        <w:t>涵盖</w:t>
      </w:r>
      <w:r>
        <w:rPr>
          <w:rFonts w:hint="default" w:ascii="Times New Roman" w:hAnsi="Times New Roman" w:cs="Times New Roman"/>
          <w:color w:val="auto"/>
          <w:sz w:val="24"/>
          <w:szCs w:val="24"/>
        </w:rPr>
        <w:t>信息报告、指挥调度、医疗救治、污染处置、舆情管控等关键科目，重点开展水污染事件三级防控演练。通过企业自控、片区联防及园区防控的三级联动体系，确保了事故废水不出园区，保障了区域水生态环境安全。此次演练不仅检验了应急响应速度与精准度，提升了各有关部门协同作战能力，还为完善预案、提升管理水平积累经验。江宁开发区将以此为契机，强化生态保护措施，为持续深入打好蓝天、碧水、净土保卫战夯实基础。</w:t>
      </w:r>
    </w:p>
    <w:p w14:paraId="5475D11B">
      <w:pPr>
        <w:rPr>
          <w:color w:val="auto"/>
        </w:rPr>
        <w:sectPr>
          <w:pgSz w:w="11907" w:h="16839"/>
          <w:pgMar w:top="1175" w:right="1769" w:bottom="1622" w:left="1771" w:header="862" w:footer="1445" w:gutter="0"/>
          <w:pgBorders>
            <w:top w:val="none" w:sz="0" w:space="0"/>
            <w:left w:val="none" w:sz="0" w:space="0"/>
            <w:bottom w:val="none" w:sz="0" w:space="0"/>
            <w:right w:val="none" w:sz="0" w:space="0"/>
          </w:pgBorders>
          <w:pgNumType w:fmt="decimal"/>
          <w:cols w:space="720" w:num="1"/>
        </w:sectPr>
      </w:pPr>
    </w:p>
    <w:p w14:paraId="0F1F5DBF">
      <w:pPr>
        <w:keepNext w:val="0"/>
        <w:keepLines w:val="0"/>
        <w:pageBreakBefore w:val="0"/>
        <w:widowControl/>
        <w:kinsoku w:val="0"/>
        <w:wordWrap/>
        <w:overflowPunct/>
        <w:topLinePunct w:val="0"/>
        <w:autoSpaceDE w:val="0"/>
        <w:autoSpaceDN w:val="0"/>
        <w:bidi w:val="0"/>
        <w:adjustRightInd w:val="0"/>
        <w:snapToGrid w:val="0"/>
        <w:spacing w:before="91" w:line="360" w:lineRule="auto"/>
        <w:textAlignment w:val="baseline"/>
        <w:outlineLvl w:val="0"/>
        <w:rPr>
          <w:rFonts w:hint="eastAsia" w:ascii="Times New Roman" w:hAnsi="Times New Roman" w:eastAsia="Times New Roman" w:cs="Times New Roman"/>
          <w:b/>
          <w:bCs/>
          <w:color w:val="auto"/>
          <w:spacing w:val="-2"/>
          <w:sz w:val="28"/>
          <w:szCs w:val="28"/>
          <w:lang w:val="en-US" w:eastAsia="zh-CN"/>
        </w:rPr>
      </w:pPr>
      <w:bookmarkStart w:id="2205" w:name="bookmark71"/>
      <w:bookmarkEnd w:id="2205"/>
      <w:bookmarkStart w:id="2206" w:name="bookmark65"/>
      <w:bookmarkEnd w:id="2206"/>
      <w:bookmarkStart w:id="2207" w:name="bookmark69"/>
      <w:bookmarkEnd w:id="2207"/>
      <w:bookmarkStart w:id="2208" w:name="bookmark63"/>
      <w:bookmarkEnd w:id="2208"/>
      <w:bookmarkStart w:id="2209" w:name="_Toc22591"/>
      <w:r>
        <w:rPr>
          <w:rFonts w:hint="eastAsia" w:ascii="Times New Roman" w:hAnsi="Times New Roman" w:eastAsia="Times New Roman" w:cs="Times New Roman"/>
          <w:b/>
          <w:bCs/>
          <w:color w:val="auto"/>
          <w:spacing w:val="-2"/>
          <w:sz w:val="28"/>
          <w:szCs w:val="28"/>
          <w:lang w:val="en-US" w:eastAsia="zh-CN"/>
        </w:rPr>
        <w:t>9环境监测计划</w:t>
      </w:r>
      <w:bookmarkEnd w:id="2209"/>
      <w:bookmarkStart w:id="2210" w:name="pindex14477"/>
      <w:bookmarkEnd w:id="2210"/>
    </w:p>
    <w:p w14:paraId="7E5E5ED0">
      <w:pPr>
        <w:keepNext w:val="0"/>
        <w:keepLines w:val="0"/>
        <w:pageBreakBefore w:val="0"/>
        <w:widowControl/>
        <w:kinsoku w:val="0"/>
        <w:wordWrap/>
        <w:overflowPunct/>
        <w:topLinePunct w:val="0"/>
        <w:autoSpaceDE w:val="0"/>
        <w:autoSpaceDN w:val="0"/>
        <w:bidi w:val="0"/>
        <w:adjustRightInd w:val="0"/>
        <w:snapToGrid w:val="0"/>
        <w:spacing w:before="91" w:line="360" w:lineRule="auto"/>
        <w:ind w:firstLine="468" w:firstLineChars="200"/>
        <w:textAlignment w:val="baseline"/>
        <w:outlineLvl w:val="9"/>
        <w:rPr>
          <w:rFonts w:ascii="宋体" w:hAnsi="宋体" w:eastAsia="宋体" w:cs="宋体"/>
          <w:color w:val="auto"/>
          <w:spacing w:val="-3"/>
          <w:sz w:val="24"/>
          <w:szCs w:val="24"/>
          <w:highlight w:val="none"/>
        </w:rPr>
      </w:pPr>
      <w:r>
        <w:rPr>
          <w:rFonts w:ascii="宋体" w:hAnsi="宋体" w:eastAsia="宋体" w:cs="宋体"/>
          <w:color w:val="auto"/>
          <w:spacing w:val="-3"/>
          <w:sz w:val="24"/>
          <w:szCs w:val="24"/>
          <w:highlight w:val="none"/>
        </w:rPr>
        <w:t>本次监测数据有效期过后，按照动态更新监测方案的要求及时</w:t>
      </w:r>
      <w:r>
        <w:rPr>
          <w:rFonts w:ascii="宋体" w:hAnsi="宋体" w:eastAsia="宋体" w:cs="宋体"/>
          <w:color w:val="auto"/>
          <w:spacing w:val="-4"/>
          <w:sz w:val="24"/>
          <w:szCs w:val="24"/>
          <w:highlight w:val="none"/>
        </w:rPr>
        <w:t>开展环境质量</w:t>
      </w:r>
      <w:r>
        <w:rPr>
          <w:rFonts w:ascii="宋体" w:hAnsi="宋体" w:eastAsia="宋体" w:cs="宋体"/>
          <w:color w:val="auto"/>
          <w:spacing w:val="-3"/>
          <w:sz w:val="24"/>
          <w:szCs w:val="24"/>
          <w:highlight w:val="none"/>
        </w:rPr>
        <w:t>现状跟踪监测，同时保持区域污染源动态更新，区内新入驻企业或现有</w:t>
      </w:r>
      <w:r>
        <w:rPr>
          <w:rFonts w:ascii="宋体" w:hAnsi="宋体" w:eastAsia="宋体" w:cs="宋体"/>
          <w:color w:val="auto"/>
          <w:spacing w:val="-4"/>
          <w:sz w:val="24"/>
          <w:szCs w:val="24"/>
          <w:highlight w:val="none"/>
        </w:rPr>
        <w:t>企业新建</w:t>
      </w:r>
      <w:r>
        <w:rPr>
          <w:rFonts w:ascii="宋体" w:hAnsi="宋体" w:eastAsia="宋体" w:cs="宋体"/>
          <w:color w:val="auto"/>
          <w:spacing w:val="-3"/>
          <w:sz w:val="24"/>
          <w:szCs w:val="24"/>
          <w:highlight w:val="none"/>
        </w:rPr>
        <w:t>项目时，动态更新区域污染源情况。</w:t>
      </w:r>
    </w:p>
    <w:p w14:paraId="5E55DF41">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hint="eastAsia" w:ascii="宋体" w:hAnsi="宋体" w:eastAsia="宋体" w:cs="宋体"/>
          <w:snapToGrid w:val="0"/>
          <w:color w:val="auto"/>
          <w:spacing w:val="-3"/>
          <w:kern w:val="0"/>
          <w:sz w:val="24"/>
          <w:szCs w:val="24"/>
          <w:highlight w:val="none"/>
          <w:lang w:val="en-US" w:eastAsia="zh-CN" w:bidi="ar-SA"/>
        </w:rPr>
      </w:pPr>
      <w:r>
        <w:rPr>
          <w:rFonts w:hint="eastAsia" w:ascii="宋体" w:hAnsi="宋体" w:eastAsia="宋体" w:cs="宋体"/>
          <w:snapToGrid w:val="0"/>
          <w:color w:val="auto"/>
          <w:spacing w:val="-3"/>
          <w:kern w:val="0"/>
          <w:sz w:val="24"/>
          <w:szCs w:val="24"/>
          <w:highlight w:val="none"/>
          <w:lang w:val="en-US" w:eastAsia="zh-CN" w:bidi="ar-SA"/>
        </w:rPr>
        <w:t>评估范围内设置自动检测站情况如下：</w:t>
      </w:r>
    </w:p>
    <w:p w14:paraId="1AA48846">
      <w:pPr>
        <w:jc w:val="center"/>
        <w:rPr>
          <w:rFonts w:hint="default" w:ascii="Times New Roman" w:hAnsi="Times New Roman" w:eastAsia="宋体" w:cs="Times New Roman"/>
          <w:b/>
          <w:bCs/>
          <w:snapToGrid w:val="0"/>
          <w:color w:val="auto"/>
          <w:spacing w:val="-3"/>
          <w:kern w:val="0"/>
          <w:sz w:val="24"/>
          <w:szCs w:val="24"/>
          <w:highlight w:val="none"/>
          <w:lang w:val="en-US" w:eastAsia="zh-CN" w:bidi="ar-SA"/>
        </w:rPr>
      </w:pPr>
      <w:r>
        <w:rPr>
          <w:rFonts w:hint="default" w:ascii="Times New Roman" w:hAnsi="Times New Roman" w:eastAsia="宋体" w:cs="Times New Roman"/>
          <w:b/>
          <w:bCs/>
          <w:snapToGrid w:val="0"/>
          <w:color w:val="auto"/>
          <w:spacing w:val="-3"/>
          <w:kern w:val="0"/>
          <w:sz w:val="24"/>
          <w:szCs w:val="24"/>
          <w:highlight w:val="none"/>
          <w:lang w:val="en-US" w:eastAsia="zh-CN" w:bidi="ar-SA"/>
        </w:rPr>
        <w:t>表9-1  评估范围内自</w:t>
      </w:r>
      <w:sdt>
        <w:sdtPr>
          <w:rPr>
            <w:color w:val="auto"/>
            <w:highlight w:val="none"/>
          </w:rPr>
          <w:alias w:val="易错词检查"/>
          <w:tag w:val="auto"/>
          <w:id w:val="2121124"/>
        </w:sdtPr>
        <w:sdtEndPr>
          <w:rPr>
            <w:color w:val="auto"/>
            <w:highlight w:val="none"/>
          </w:rPr>
        </w:sdtEndPr>
        <w:sdtContent>
          <w:bookmarkStart w:id="2211" w:name="bkReivew2121124"/>
          <w:r>
            <w:rPr>
              <w:rFonts w:hint="default" w:ascii="Times New Roman" w:hAnsi="Times New Roman" w:eastAsia="宋体" w:cs="Times New Roman"/>
              <w:b/>
              <w:bCs/>
              <w:snapToGrid w:val="0"/>
              <w:color w:val="auto"/>
              <w:spacing w:val="-3"/>
              <w:kern w:val="0"/>
              <w:sz w:val="24"/>
              <w:szCs w:val="24"/>
              <w:highlight w:val="none"/>
              <w:lang w:val="en-US" w:eastAsia="zh-CN" w:bidi="ar-SA"/>
            </w:rPr>
            <w:t>动</w:t>
          </w:r>
          <w:r>
            <w:rPr>
              <w:rFonts w:hint="eastAsia" w:ascii="Times New Roman" w:hAnsi="Times New Roman" w:eastAsia="宋体" w:cs="Times New Roman"/>
              <w:b/>
              <w:bCs/>
              <w:snapToGrid w:val="0"/>
              <w:color w:val="auto"/>
              <w:spacing w:val="-3"/>
              <w:kern w:val="0"/>
              <w:sz w:val="24"/>
              <w:szCs w:val="24"/>
              <w:highlight w:val="none"/>
              <w:lang w:val="en-US" w:eastAsia="zh-CN" w:bidi="ar-SA"/>
            </w:rPr>
            <w:t>监</w:t>
          </w:r>
          <w:bookmarkEnd w:id="2211"/>
        </w:sdtContent>
      </w:sdt>
      <w:r>
        <w:rPr>
          <w:rFonts w:hint="eastAsia" w:ascii="Times New Roman" w:hAnsi="Times New Roman" w:eastAsia="宋体" w:cs="Times New Roman"/>
          <w:b/>
          <w:bCs/>
          <w:snapToGrid w:val="0"/>
          <w:color w:val="auto"/>
          <w:spacing w:val="-3"/>
          <w:kern w:val="0"/>
          <w:sz w:val="24"/>
          <w:szCs w:val="24"/>
          <w:highlight w:val="none"/>
          <w:lang w:val="en-US" w:eastAsia="zh-CN" w:bidi="ar-SA"/>
        </w:rPr>
        <w:t>测</w:t>
      </w:r>
      <w:r>
        <w:rPr>
          <w:rFonts w:hint="default" w:ascii="Times New Roman" w:hAnsi="Times New Roman" w:eastAsia="宋体" w:cs="Times New Roman"/>
          <w:b/>
          <w:bCs/>
          <w:snapToGrid w:val="0"/>
          <w:color w:val="auto"/>
          <w:spacing w:val="-3"/>
          <w:kern w:val="0"/>
          <w:sz w:val="24"/>
          <w:szCs w:val="24"/>
          <w:highlight w:val="none"/>
          <w:lang w:val="en-US" w:eastAsia="zh-CN" w:bidi="ar-SA"/>
        </w:rPr>
        <w:t>站基本信息</w:t>
      </w:r>
      <w:bookmarkStart w:id="2212" w:name="pindex14480"/>
      <w:bookmarkEnd w:id="2212"/>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2329"/>
        <w:gridCol w:w="1650"/>
        <w:gridCol w:w="1462"/>
        <w:gridCol w:w="3057"/>
      </w:tblGrid>
      <w:tr w14:paraId="27689E7D">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02" w:hRule="atLeast"/>
        </w:trPr>
        <w:tc>
          <w:tcPr>
            <w:tcW w:w="2329" w:type="dxa"/>
            <w:vMerge w:val="restart"/>
            <w:tcBorders>
              <w:tl2br w:val="nil"/>
              <w:tr2bl w:val="nil"/>
            </w:tcBorders>
            <w:vAlign w:val="center"/>
          </w:tcPr>
          <w:p w14:paraId="5F6A1A14">
            <w:pPr>
              <w:pStyle w:val="8"/>
              <w:widowControl w:val="0"/>
              <w:jc w:val="center"/>
              <w:rPr>
                <w:rFonts w:hint="default" w:ascii="Times New Roman" w:hAnsi="Times New Roman" w:eastAsia="宋体" w:cs="Times New Roman"/>
                <w:b/>
                <w:bCs/>
                <w:color w:val="auto"/>
                <w:sz w:val="21"/>
                <w:szCs w:val="21"/>
                <w:highlight w:val="none"/>
                <w:vertAlign w:val="baseline"/>
                <w:lang w:val="en-US" w:eastAsia="zh-CN"/>
              </w:rPr>
            </w:pPr>
            <w:sdt>
              <w:sdtPr>
                <w:rPr>
                  <w:color w:val="auto"/>
                  <w:highlight w:val="none"/>
                </w:rPr>
                <w:alias w:val="易错词检查"/>
                <w:id w:val="3041146"/>
              </w:sdtPr>
              <w:sdtEndPr>
                <w:rPr>
                  <w:color w:val="auto"/>
                  <w:highlight w:val="none"/>
                </w:rPr>
              </w:sdtEndPr>
              <w:sdtContent>
                <w:bookmarkStart w:id="2213" w:name="bkReivew3041146"/>
                <w:r>
                  <w:rPr>
                    <w:rFonts w:hint="eastAsia" w:ascii="Times New Roman" w:hAnsi="Times New Roman" w:eastAsia="宋体" w:cs="Times New Roman"/>
                    <w:b/>
                    <w:bCs/>
                    <w:color w:val="auto"/>
                    <w:sz w:val="21"/>
                    <w:szCs w:val="21"/>
                    <w:highlight w:val="none"/>
                    <w:vertAlign w:val="baseline"/>
                    <w:lang w:val="en-US" w:eastAsia="zh-CN"/>
                  </w:rPr>
                  <w:t>监</w:t>
                </w:r>
                <w:bookmarkEnd w:id="2213"/>
              </w:sdtContent>
            </w:sdt>
            <w:r>
              <w:rPr>
                <w:rFonts w:hint="eastAsia" w:ascii="Times New Roman" w:hAnsi="Times New Roman" w:eastAsia="宋体" w:cs="Times New Roman"/>
                <w:b/>
                <w:bCs/>
                <w:color w:val="auto"/>
                <w:sz w:val="21"/>
                <w:szCs w:val="21"/>
                <w:highlight w:val="none"/>
                <w:vertAlign w:val="baseline"/>
                <w:lang w:val="en-US" w:eastAsia="zh-CN"/>
              </w:rPr>
              <w:t>测站名称</w:t>
            </w:r>
          </w:p>
        </w:tc>
        <w:tc>
          <w:tcPr>
            <w:tcW w:w="3112" w:type="dxa"/>
            <w:gridSpan w:val="2"/>
            <w:tcBorders>
              <w:tl2br w:val="nil"/>
              <w:tr2bl w:val="nil"/>
            </w:tcBorders>
            <w:vAlign w:val="center"/>
          </w:tcPr>
          <w:p w14:paraId="49ABC518">
            <w:pPr>
              <w:pStyle w:val="8"/>
              <w:widowControl w:val="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监测点位坐标/m（UTM坐标）</w:t>
            </w:r>
          </w:p>
        </w:tc>
        <w:tc>
          <w:tcPr>
            <w:tcW w:w="3057" w:type="dxa"/>
            <w:vMerge w:val="restart"/>
            <w:tcBorders>
              <w:tl2br w:val="nil"/>
              <w:tr2bl w:val="nil"/>
            </w:tcBorders>
            <w:vAlign w:val="center"/>
          </w:tcPr>
          <w:p w14:paraId="7C36877B">
            <w:pPr>
              <w:pStyle w:val="8"/>
              <w:widowControl w:val="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监测因子</w:t>
            </w:r>
          </w:p>
        </w:tc>
      </w:tr>
      <w:tr w14:paraId="411913A0">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22" w:hRule="atLeast"/>
        </w:trPr>
        <w:tc>
          <w:tcPr>
            <w:tcW w:w="2329" w:type="dxa"/>
            <w:vMerge w:val="continue"/>
            <w:tcBorders>
              <w:tl2br w:val="nil"/>
              <w:tr2bl w:val="nil"/>
            </w:tcBorders>
            <w:vAlign w:val="center"/>
          </w:tcPr>
          <w:p w14:paraId="78337BA7">
            <w:pPr>
              <w:pStyle w:val="8"/>
              <w:widowControl w:val="0"/>
              <w:jc w:val="center"/>
              <w:rPr>
                <w:rFonts w:hint="eastAsia" w:ascii="Times New Roman" w:hAnsi="Times New Roman" w:eastAsia="宋体" w:cs="Times New Roman"/>
                <w:b/>
                <w:bCs/>
                <w:color w:val="auto"/>
                <w:sz w:val="21"/>
                <w:szCs w:val="21"/>
                <w:highlight w:val="none"/>
                <w:vertAlign w:val="baseline"/>
                <w:lang w:val="en-US" w:eastAsia="zh-CN"/>
              </w:rPr>
            </w:pPr>
          </w:p>
        </w:tc>
        <w:tc>
          <w:tcPr>
            <w:tcW w:w="1650" w:type="dxa"/>
            <w:tcBorders>
              <w:tl2br w:val="nil"/>
              <w:tr2bl w:val="nil"/>
            </w:tcBorders>
            <w:vAlign w:val="center"/>
          </w:tcPr>
          <w:p w14:paraId="7775F37A">
            <w:pPr>
              <w:pStyle w:val="8"/>
              <w:widowControl w:val="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X</w:t>
            </w:r>
          </w:p>
        </w:tc>
        <w:tc>
          <w:tcPr>
            <w:tcW w:w="1462" w:type="dxa"/>
            <w:tcBorders>
              <w:tl2br w:val="nil"/>
              <w:tr2bl w:val="nil"/>
            </w:tcBorders>
            <w:vAlign w:val="center"/>
          </w:tcPr>
          <w:p w14:paraId="62023508">
            <w:pPr>
              <w:pStyle w:val="8"/>
              <w:widowControl w:val="0"/>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Y</w:t>
            </w:r>
          </w:p>
        </w:tc>
        <w:tc>
          <w:tcPr>
            <w:tcW w:w="3057" w:type="dxa"/>
            <w:vMerge w:val="continue"/>
            <w:tcBorders>
              <w:tl2br w:val="nil"/>
              <w:tr2bl w:val="nil"/>
            </w:tcBorders>
            <w:vAlign w:val="center"/>
          </w:tcPr>
          <w:p w14:paraId="512699D0">
            <w:pPr>
              <w:pStyle w:val="8"/>
              <w:widowControl w:val="0"/>
              <w:jc w:val="center"/>
              <w:rPr>
                <w:rFonts w:hint="eastAsia" w:ascii="Times New Roman" w:hAnsi="Times New Roman" w:eastAsia="宋体" w:cs="Times New Roman"/>
                <w:b/>
                <w:bCs/>
                <w:color w:val="auto"/>
                <w:sz w:val="21"/>
                <w:szCs w:val="21"/>
                <w:highlight w:val="none"/>
                <w:vertAlign w:val="baseline"/>
                <w:lang w:val="en-US" w:eastAsia="zh-CN"/>
              </w:rPr>
            </w:pPr>
          </w:p>
        </w:tc>
      </w:tr>
      <w:tr w14:paraId="484BC826">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489" w:hRule="atLeast"/>
        </w:trPr>
        <w:tc>
          <w:tcPr>
            <w:tcW w:w="2329" w:type="dxa"/>
            <w:tcBorders>
              <w:tl2br w:val="nil"/>
              <w:tr2bl w:val="nil"/>
            </w:tcBorders>
            <w:vAlign w:val="center"/>
          </w:tcPr>
          <w:p w14:paraId="4A2188E9">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九龙湖大气自动监测站</w:t>
            </w:r>
          </w:p>
        </w:tc>
        <w:tc>
          <w:tcPr>
            <w:tcW w:w="1650" w:type="dxa"/>
            <w:tcBorders>
              <w:tl2br w:val="nil"/>
              <w:tr2bl w:val="nil"/>
            </w:tcBorders>
            <w:vAlign w:val="center"/>
          </w:tcPr>
          <w:p w14:paraId="47D34E67">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671303</w:t>
            </w:r>
          </w:p>
        </w:tc>
        <w:tc>
          <w:tcPr>
            <w:tcW w:w="1462" w:type="dxa"/>
            <w:tcBorders>
              <w:tl2br w:val="nil"/>
              <w:tr2bl w:val="nil"/>
            </w:tcBorders>
            <w:vAlign w:val="center"/>
          </w:tcPr>
          <w:p w14:paraId="1A41F847">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3531958</w:t>
            </w:r>
          </w:p>
        </w:tc>
        <w:tc>
          <w:tcPr>
            <w:tcW w:w="3057" w:type="dxa"/>
            <w:tcBorders>
              <w:tl2br w:val="nil"/>
              <w:tr2bl w:val="nil"/>
            </w:tcBorders>
            <w:vAlign w:val="center"/>
          </w:tcPr>
          <w:p w14:paraId="141591C5">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SO</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vertAlign w:val="baseline"/>
                <w:lang w:val="en-US" w:eastAsia="zh-CN"/>
              </w:rPr>
              <w:t>、NO</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vertAlign w:val="baseline"/>
                <w:lang w:val="en-US" w:eastAsia="zh-CN"/>
              </w:rPr>
              <w:t>、CO、O</w:t>
            </w:r>
            <w:r>
              <w:rPr>
                <w:rFonts w:hint="eastAsia" w:ascii="Times New Roman" w:hAnsi="Times New Roman" w:eastAsia="宋体" w:cs="Times New Roman"/>
                <w:color w:val="auto"/>
                <w:sz w:val="21"/>
                <w:szCs w:val="21"/>
                <w:highlight w:val="none"/>
                <w:vertAlign w:val="subscript"/>
                <w:lang w:val="en-US" w:eastAsia="zh-CN"/>
              </w:rPr>
              <w:t>3</w:t>
            </w:r>
            <w:r>
              <w:rPr>
                <w:rFonts w:hint="eastAsia" w:ascii="Times New Roman" w:hAnsi="Times New Roman" w:eastAsia="宋体" w:cs="Times New Roman"/>
                <w:color w:val="auto"/>
                <w:sz w:val="21"/>
                <w:szCs w:val="21"/>
                <w:highlight w:val="none"/>
                <w:vertAlign w:val="baseline"/>
                <w:lang w:val="en-US" w:eastAsia="zh-CN"/>
              </w:rPr>
              <w:t>、PM</w:t>
            </w:r>
            <w:r>
              <w:rPr>
                <w:rFonts w:hint="eastAsia" w:ascii="Times New Roman" w:hAnsi="Times New Roman" w:eastAsia="宋体" w:cs="Times New Roman"/>
                <w:color w:val="auto"/>
                <w:sz w:val="21"/>
                <w:szCs w:val="21"/>
                <w:highlight w:val="none"/>
                <w:vertAlign w:val="subscript"/>
                <w:lang w:val="en-US" w:eastAsia="zh-CN"/>
              </w:rPr>
              <w:t>2.5</w:t>
            </w:r>
            <w:r>
              <w:rPr>
                <w:rFonts w:hint="eastAsia" w:ascii="Times New Roman" w:hAnsi="Times New Roman" w:eastAsia="宋体" w:cs="Times New Roman"/>
                <w:color w:val="auto"/>
                <w:sz w:val="21"/>
                <w:szCs w:val="21"/>
                <w:highlight w:val="none"/>
                <w:vertAlign w:val="baseline"/>
                <w:lang w:val="en-US" w:eastAsia="zh-CN"/>
              </w:rPr>
              <w:t>、PM</w:t>
            </w:r>
            <w:r>
              <w:rPr>
                <w:rFonts w:hint="eastAsia" w:ascii="Times New Roman" w:hAnsi="Times New Roman" w:eastAsia="宋体" w:cs="Times New Roman"/>
                <w:color w:val="auto"/>
                <w:sz w:val="21"/>
                <w:szCs w:val="21"/>
                <w:highlight w:val="none"/>
                <w:vertAlign w:val="subscript"/>
                <w:lang w:val="en-US" w:eastAsia="zh-CN"/>
              </w:rPr>
              <w:t>10</w:t>
            </w:r>
          </w:p>
        </w:tc>
      </w:tr>
      <w:tr w14:paraId="05A0F854">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142" w:hRule="atLeast"/>
        </w:trPr>
        <w:tc>
          <w:tcPr>
            <w:tcW w:w="2329" w:type="dxa"/>
            <w:tcBorders>
              <w:tl2br w:val="nil"/>
              <w:tr2bl w:val="nil"/>
            </w:tcBorders>
            <w:vAlign w:val="center"/>
          </w:tcPr>
          <w:p w14:paraId="736A38C4">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水月秦淮水自动监测站</w:t>
            </w:r>
          </w:p>
        </w:tc>
        <w:tc>
          <w:tcPr>
            <w:tcW w:w="1650" w:type="dxa"/>
            <w:tcBorders>
              <w:tl2br w:val="nil"/>
              <w:tr2bl w:val="nil"/>
            </w:tcBorders>
            <w:vAlign w:val="center"/>
          </w:tcPr>
          <w:p w14:paraId="158B5C96">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670170</w:t>
            </w:r>
          </w:p>
        </w:tc>
        <w:tc>
          <w:tcPr>
            <w:tcW w:w="1462" w:type="dxa"/>
            <w:tcBorders>
              <w:tl2br w:val="nil"/>
              <w:tr2bl w:val="nil"/>
            </w:tcBorders>
            <w:vAlign w:val="center"/>
          </w:tcPr>
          <w:p w14:paraId="1086E596">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3536940</w:t>
            </w:r>
          </w:p>
        </w:tc>
        <w:tc>
          <w:tcPr>
            <w:tcW w:w="3057" w:type="dxa"/>
            <w:tcBorders>
              <w:tl2br w:val="nil"/>
              <w:tr2bl w:val="nil"/>
            </w:tcBorders>
            <w:vAlign w:val="center"/>
          </w:tcPr>
          <w:p w14:paraId="52A6D44A">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bookmarkStart w:id="2214" w:name="sys14495032"/>
            <w:r>
              <w:rPr>
                <w:rFonts w:hint="eastAsia" w:ascii="Times New Roman" w:hAnsi="Times New Roman" w:eastAsia="宋体" w:cs="Times New Roman"/>
                <w:color w:val="auto"/>
                <w:sz w:val="21"/>
                <w:szCs w:val="21"/>
                <w:highlight w:val="none"/>
                <w:vertAlign w:val="baseline"/>
                <w:lang w:val="en-US" w:eastAsia="zh-CN"/>
              </w:rPr>
              <w:t>水温、pH、溶解氧、总氮、高锰酸盐指数、氨氮、TP、电导率、浊度</w:t>
            </w:r>
            <w:bookmarkEnd w:id="2214"/>
          </w:p>
        </w:tc>
      </w:tr>
      <w:tr w14:paraId="37308CC6">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91" w:hRule="atLeast"/>
        </w:trPr>
        <w:tc>
          <w:tcPr>
            <w:tcW w:w="2329" w:type="dxa"/>
            <w:tcBorders>
              <w:tl2br w:val="nil"/>
              <w:tr2bl w:val="nil"/>
            </w:tcBorders>
            <w:vAlign w:val="center"/>
          </w:tcPr>
          <w:p w14:paraId="1C291E3D">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石马新寓水自动监测站</w:t>
            </w:r>
          </w:p>
        </w:tc>
        <w:tc>
          <w:tcPr>
            <w:tcW w:w="1650" w:type="dxa"/>
            <w:tcBorders>
              <w:tl2br w:val="nil"/>
              <w:tr2bl w:val="nil"/>
            </w:tcBorders>
            <w:vAlign w:val="center"/>
          </w:tcPr>
          <w:p w14:paraId="72663A78">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671212</w:t>
            </w:r>
          </w:p>
        </w:tc>
        <w:tc>
          <w:tcPr>
            <w:tcW w:w="1462" w:type="dxa"/>
            <w:tcBorders>
              <w:tl2br w:val="nil"/>
              <w:tr2bl w:val="nil"/>
            </w:tcBorders>
            <w:vAlign w:val="center"/>
          </w:tcPr>
          <w:p w14:paraId="50A8126B">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3536981</w:t>
            </w:r>
          </w:p>
        </w:tc>
        <w:tc>
          <w:tcPr>
            <w:tcW w:w="3057" w:type="dxa"/>
            <w:tcBorders>
              <w:tl2br w:val="nil"/>
              <w:tr2bl w:val="nil"/>
            </w:tcBorders>
            <w:vAlign w:val="center"/>
          </w:tcPr>
          <w:p w14:paraId="38701553">
            <w:pPr>
              <w:pStyle w:val="8"/>
              <w:widowControl w:val="0"/>
              <w:jc w:val="center"/>
              <w:rPr>
                <w:rFonts w:hint="default" w:ascii="Times New Roman" w:hAnsi="Times New Roman" w:eastAsia="宋体" w:cs="Times New Roman"/>
                <w:color w:val="auto"/>
                <w:sz w:val="21"/>
                <w:szCs w:val="21"/>
                <w:highlight w:val="none"/>
                <w:vertAlign w:val="baseline"/>
                <w:lang w:val="en-US" w:eastAsia="zh-CN"/>
              </w:rPr>
            </w:pPr>
            <w:bookmarkStart w:id="2215" w:name="sys14499043"/>
            <w:r>
              <w:rPr>
                <w:rFonts w:hint="eastAsia" w:ascii="Times New Roman" w:hAnsi="Times New Roman" w:eastAsia="宋体" w:cs="Times New Roman"/>
                <w:color w:val="auto"/>
                <w:sz w:val="21"/>
                <w:szCs w:val="21"/>
                <w:highlight w:val="none"/>
                <w:vertAlign w:val="baseline"/>
                <w:lang w:val="en-US" w:eastAsia="zh-CN"/>
              </w:rPr>
              <w:t>水温、pH、溶解氧、总氮、高锰酸盐指数、氨氮、TP、电导率、浊度、水位、流速、瞬时流量</w:t>
            </w:r>
            <w:bookmarkEnd w:id="2215"/>
          </w:p>
        </w:tc>
      </w:tr>
    </w:tbl>
    <w:p w14:paraId="6255F63A">
      <w:pPr>
        <w:keepNext w:val="0"/>
        <w:keepLines w:val="0"/>
        <w:pageBreakBefore w:val="0"/>
        <w:widowControl/>
        <w:kinsoku w:val="0"/>
        <w:wordWrap/>
        <w:overflowPunct/>
        <w:topLinePunct w:val="0"/>
        <w:autoSpaceDE w:val="0"/>
        <w:autoSpaceDN w:val="0"/>
        <w:bidi w:val="0"/>
        <w:adjustRightInd w:val="0"/>
        <w:snapToGrid w:val="0"/>
        <w:spacing w:before="78" w:line="360" w:lineRule="auto"/>
        <w:ind w:left="34"/>
        <w:textAlignment w:val="baseline"/>
        <w:outlineLvl w:val="1"/>
        <w:rPr>
          <w:rFonts w:ascii="宋体" w:hAnsi="宋体" w:eastAsia="宋体" w:cs="宋体"/>
          <w:b/>
          <w:bCs/>
          <w:color w:val="auto"/>
          <w:spacing w:val="-2"/>
          <w:sz w:val="24"/>
          <w:szCs w:val="24"/>
          <w:highlight w:val="none"/>
        </w:rPr>
      </w:pPr>
      <w:bookmarkStart w:id="2216" w:name="bookmark73"/>
      <w:bookmarkEnd w:id="2216"/>
      <w:bookmarkStart w:id="2217" w:name="_Toc28850"/>
      <w:r>
        <w:rPr>
          <w:rFonts w:hint="eastAsia" w:ascii="Times New Roman" w:hAnsi="Times New Roman" w:eastAsia="宋体" w:cs="Times New Roman"/>
          <w:b/>
          <w:bCs/>
          <w:color w:val="auto"/>
          <w:spacing w:val="-2"/>
          <w:sz w:val="24"/>
          <w:szCs w:val="24"/>
          <w:highlight w:val="none"/>
          <w:lang w:val="en-US" w:eastAsia="zh-CN"/>
        </w:rPr>
        <w:t>9</w:t>
      </w:r>
      <w:r>
        <w:rPr>
          <w:rFonts w:ascii="Times New Roman" w:hAnsi="Times New Roman" w:eastAsia="Times New Roman" w:cs="Times New Roman"/>
          <w:b/>
          <w:bCs/>
          <w:color w:val="auto"/>
          <w:spacing w:val="-2"/>
          <w:sz w:val="24"/>
          <w:szCs w:val="24"/>
          <w:highlight w:val="none"/>
        </w:rPr>
        <w:t>.1</w:t>
      </w:r>
      <w:r>
        <w:rPr>
          <w:rFonts w:ascii="宋体" w:hAnsi="宋体" w:eastAsia="宋体" w:cs="宋体"/>
          <w:b/>
          <w:bCs/>
          <w:color w:val="auto"/>
          <w:spacing w:val="-2"/>
          <w:sz w:val="24"/>
          <w:szCs w:val="24"/>
          <w:highlight w:val="none"/>
        </w:rPr>
        <w:t>大气环境质量监测计划</w:t>
      </w:r>
      <w:bookmarkEnd w:id="2217"/>
      <w:bookmarkStart w:id="2218" w:name="pindex14500"/>
      <w:bookmarkEnd w:id="2218"/>
    </w:p>
    <w:p w14:paraId="7306278F">
      <w:pPr>
        <w:spacing w:before="107" w:line="220" w:lineRule="auto"/>
        <w:ind w:left="524"/>
        <w:outlineLvl w:val="9"/>
        <w:rPr>
          <w:rFonts w:ascii="宋体" w:hAnsi="宋体" w:eastAsia="宋体" w:cs="宋体"/>
          <w:color w:val="auto"/>
          <w:spacing w:val="-8"/>
          <w:sz w:val="24"/>
          <w:szCs w:val="24"/>
          <w:highlight w:val="none"/>
        </w:rPr>
      </w:pPr>
      <w:r>
        <w:rPr>
          <w:rFonts w:hint="eastAsia" w:ascii="Times New Roman" w:hAnsi="Times New Roman" w:eastAsia="宋体" w:cs="Times New Roman"/>
          <w:color w:val="auto"/>
          <w:spacing w:val="-8"/>
          <w:sz w:val="24"/>
          <w:szCs w:val="24"/>
          <w:highlight w:val="none"/>
          <w:lang w:val="en-US" w:eastAsia="zh-CN"/>
        </w:rPr>
        <w:t>（1）</w:t>
      </w:r>
      <w:sdt>
        <w:sdtPr>
          <w:rPr>
            <w:color w:val="auto"/>
            <w:highlight w:val="none"/>
          </w:rPr>
          <w:alias w:val="易错词检查"/>
          <w:tag w:val="auto"/>
          <w:id w:val="2061414"/>
        </w:sdtPr>
        <w:sdtEndPr>
          <w:rPr>
            <w:color w:val="auto"/>
            <w:highlight w:val="none"/>
          </w:rPr>
        </w:sdtEndPr>
        <w:sdtContent>
          <w:bookmarkStart w:id="2219" w:name="bkReivew2061414"/>
          <w:r>
            <w:rPr>
              <w:rFonts w:hint="default" w:ascii="Times New Roman" w:hAnsi="Times New Roman" w:eastAsia="宋体" w:cs="Times New Roman"/>
              <w:color w:val="auto"/>
              <w:spacing w:val="-8"/>
              <w:sz w:val="24"/>
              <w:szCs w:val="24"/>
              <w:highlight w:val="none"/>
            </w:rPr>
            <w:t>监</w:t>
          </w:r>
          <w:bookmarkEnd w:id="2219"/>
        </w:sdtContent>
      </w:sdt>
      <w:r>
        <w:rPr>
          <w:rFonts w:hint="default" w:ascii="Times New Roman" w:hAnsi="Times New Roman" w:eastAsia="宋体" w:cs="Times New Roman"/>
          <w:color w:val="auto"/>
          <w:spacing w:val="-8"/>
          <w:sz w:val="24"/>
          <w:szCs w:val="24"/>
          <w:highlight w:val="none"/>
        </w:rPr>
        <w:t>测点设置</w:t>
      </w:r>
      <w:bookmarkStart w:id="2220" w:name="pindex14501"/>
      <w:bookmarkEnd w:id="2220"/>
    </w:p>
    <w:p w14:paraId="7008BD5C">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78" w:line="360" w:lineRule="auto"/>
        <w:ind w:firstLine="468" w:firstLineChars="200"/>
        <w:textAlignment w:val="baseline"/>
        <w:outlineLvl w:val="9"/>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大气监测点共设</w:t>
      </w:r>
      <w:r>
        <w:rPr>
          <w:rFonts w:hint="default" w:ascii="Times New Roman" w:hAnsi="Times New Roman" w:eastAsia="宋体" w:cs="Times New Roman"/>
          <w:color w:val="auto"/>
          <w:spacing w:val="-3"/>
          <w:sz w:val="24"/>
          <w:szCs w:val="24"/>
          <w:highlight w:val="none"/>
          <w:lang w:val="en-US" w:eastAsia="zh-CN"/>
        </w:rPr>
        <w:t>8</w:t>
      </w:r>
      <w:r>
        <w:rPr>
          <w:rFonts w:ascii="宋体" w:hAnsi="宋体" w:eastAsia="宋体" w:cs="宋体"/>
          <w:color w:val="auto"/>
          <w:spacing w:val="-3"/>
          <w:sz w:val="24"/>
          <w:szCs w:val="24"/>
          <w:highlight w:val="none"/>
        </w:rPr>
        <w:t>个点位。监测点位详见</w:t>
      </w:r>
      <w:r>
        <w:rPr>
          <w:rFonts w:hint="default" w:ascii="Times New Roman" w:hAnsi="Times New Roman" w:eastAsia="宋体" w:cs="Times New Roman"/>
          <w:color w:val="auto"/>
          <w:spacing w:val="-4"/>
          <w:sz w:val="24"/>
          <w:szCs w:val="24"/>
          <w:highlight w:val="none"/>
        </w:rPr>
        <w:t>表</w:t>
      </w:r>
      <w:r>
        <w:rPr>
          <w:rFonts w:hint="eastAsia" w:ascii="Times New Roman" w:hAnsi="Times New Roman" w:eastAsia="宋体" w:cs="Times New Roman"/>
          <w:color w:val="auto"/>
          <w:spacing w:val="-4"/>
          <w:sz w:val="24"/>
          <w:szCs w:val="24"/>
          <w:highlight w:val="none"/>
          <w:lang w:val="en-US" w:eastAsia="zh-CN"/>
        </w:rPr>
        <w:t>9</w:t>
      </w:r>
      <w:r>
        <w:rPr>
          <w:rFonts w:hint="default" w:ascii="Times New Roman" w:hAnsi="Times New Roman" w:eastAsia="Times New Roman" w:cs="Times New Roman"/>
          <w:color w:val="auto"/>
          <w:spacing w:val="-4"/>
          <w:sz w:val="24"/>
          <w:szCs w:val="24"/>
          <w:highlight w:val="none"/>
        </w:rPr>
        <w:t>.1-1</w:t>
      </w:r>
      <w:r>
        <w:rPr>
          <w:rFonts w:hint="default" w:ascii="Times New Roman" w:hAnsi="Times New Roman" w:eastAsia="宋体" w:cs="Times New Roman"/>
          <w:color w:val="auto"/>
          <w:spacing w:val="-4"/>
          <w:sz w:val="24"/>
          <w:szCs w:val="24"/>
          <w:highlight w:val="none"/>
        </w:rPr>
        <w:t>、</w:t>
      </w:r>
      <w:r>
        <w:rPr>
          <w:rFonts w:ascii="宋体" w:hAnsi="宋体" w:eastAsia="宋体" w:cs="宋体"/>
          <w:color w:val="auto"/>
          <w:spacing w:val="-4"/>
          <w:sz w:val="24"/>
          <w:szCs w:val="24"/>
          <w:highlight w:val="none"/>
        </w:rPr>
        <w:t>附图</w:t>
      </w:r>
      <w:r>
        <w:rPr>
          <w:rFonts w:hint="eastAsia" w:ascii="Times New Roman" w:hAnsi="Times New Roman" w:eastAsia="宋体" w:cs="Times New Roman"/>
          <w:color w:val="auto"/>
          <w:spacing w:val="-4"/>
          <w:sz w:val="24"/>
          <w:szCs w:val="24"/>
          <w:highlight w:val="none"/>
          <w:lang w:val="en-US" w:eastAsia="zh-CN"/>
        </w:rPr>
        <w:t>5</w:t>
      </w:r>
      <w:r>
        <w:rPr>
          <w:rFonts w:ascii="宋体" w:hAnsi="宋体" w:eastAsia="宋体" w:cs="宋体"/>
          <w:color w:val="auto"/>
          <w:spacing w:val="-4"/>
          <w:sz w:val="24"/>
          <w:szCs w:val="24"/>
          <w:highlight w:val="none"/>
        </w:rPr>
        <w:t>。</w:t>
      </w:r>
    </w:p>
    <w:p w14:paraId="39CFEB89">
      <w:pPr>
        <w:keepNext w:val="0"/>
        <w:keepLines w:val="0"/>
        <w:pageBreakBefore w:val="0"/>
        <w:widowControl/>
        <w:kinsoku w:val="0"/>
        <w:wordWrap/>
        <w:overflowPunct/>
        <w:topLinePunct w:val="0"/>
        <w:autoSpaceDE w:val="0"/>
        <w:autoSpaceDN w:val="0"/>
        <w:bidi w:val="0"/>
        <w:adjustRightInd w:val="0"/>
        <w:snapToGrid w:val="0"/>
        <w:spacing w:before="104" w:line="240" w:lineRule="auto"/>
        <w:ind w:left="2523"/>
        <w:textAlignment w:val="baseline"/>
        <w:rPr>
          <w:color w:val="auto"/>
          <w:highlight w:val="none"/>
        </w:rPr>
      </w:pPr>
      <w:r>
        <w:rPr>
          <w:rFonts w:ascii="宋体" w:hAnsi="宋体" w:eastAsia="宋体" w:cs="宋体"/>
          <w:b/>
          <w:bCs/>
          <w:color w:val="auto"/>
          <w:spacing w:val="-2"/>
          <w:sz w:val="24"/>
          <w:szCs w:val="24"/>
          <w:highlight w:val="none"/>
        </w:rPr>
        <w:t>表</w:t>
      </w:r>
      <w:r>
        <w:rPr>
          <w:rFonts w:hint="eastAsia" w:ascii="Times New Roman" w:hAnsi="Times New Roman" w:eastAsia="宋体" w:cs="Times New Roman"/>
          <w:b/>
          <w:bCs/>
          <w:color w:val="auto"/>
          <w:spacing w:val="-2"/>
          <w:sz w:val="24"/>
          <w:szCs w:val="24"/>
          <w:highlight w:val="none"/>
          <w:lang w:val="en-US" w:eastAsia="zh-CN"/>
        </w:rPr>
        <w:t>9</w:t>
      </w:r>
      <w:r>
        <w:rPr>
          <w:rFonts w:ascii="Times New Roman" w:hAnsi="Times New Roman" w:eastAsia="Times New Roman" w:cs="Times New Roman"/>
          <w:b/>
          <w:bCs/>
          <w:color w:val="auto"/>
          <w:spacing w:val="-2"/>
          <w:sz w:val="24"/>
          <w:szCs w:val="24"/>
          <w:highlight w:val="none"/>
        </w:rPr>
        <w:t>.1-1</w:t>
      </w:r>
      <w:r>
        <w:rPr>
          <w:rFonts w:hint="eastAsia" w:ascii="Times New Roman" w:hAnsi="Times New Roman" w:eastAsia="宋体" w:cs="Times New Roman"/>
          <w:b/>
          <w:bCs/>
          <w:color w:val="auto"/>
          <w:spacing w:val="-2"/>
          <w:sz w:val="24"/>
          <w:szCs w:val="24"/>
          <w:highlight w:val="none"/>
          <w:lang w:val="en-US" w:eastAsia="zh-CN"/>
        </w:rPr>
        <w:t xml:space="preserve">  </w:t>
      </w:r>
      <w:r>
        <w:rPr>
          <w:rFonts w:ascii="宋体" w:hAnsi="宋体" w:eastAsia="宋体" w:cs="宋体"/>
          <w:b/>
          <w:bCs/>
          <w:color w:val="auto"/>
          <w:spacing w:val="-2"/>
          <w:sz w:val="24"/>
          <w:szCs w:val="24"/>
          <w:highlight w:val="none"/>
        </w:rPr>
        <w:t>项目大气现状监测点位</w:t>
      </w:r>
      <w:bookmarkStart w:id="2221" w:name="pindex14503"/>
      <w:bookmarkEnd w:id="2221"/>
    </w:p>
    <w:tbl>
      <w:tblPr>
        <w:tblStyle w:val="26"/>
        <w:tblW w:w="8297" w:type="dxa"/>
        <w:tblInd w:w="28"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979"/>
        <w:gridCol w:w="2126"/>
        <w:gridCol w:w="2556"/>
        <w:gridCol w:w="1318"/>
        <w:gridCol w:w="1318"/>
      </w:tblGrid>
      <w:tr w14:paraId="7854532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trHeight w:val="316" w:hRule="atLeast"/>
        </w:trPr>
        <w:tc>
          <w:tcPr>
            <w:tcW w:w="979" w:type="dxa"/>
            <w:tcBorders>
              <w:tl2br w:val="nil"/>
              <w:tr2bl w:val="nil"/>
            </w:tcBorders>
            <w:vAlign w:val="center"/>
          </w:tcPr>
          <w:p w14:paraId="4DEAAA36">
            <w:pPr>
              <w:bidi w:val="0"/>
              <w:jc w:val="center"/>
              <w:rPr>
                <w:rFonts w:hint="default" w:ascii="Times New Roman" w:hAnsi="Times New Roman" w:eastAsia="宋体" w:cs="Times New Roman"/>
                <w:b/>
                <w:bCs/>
                <w:color w:val="auto"/>
                <w:sz w:val="21"/>
                <w:szCs w:val="21"/>
                <w:highlight w:val="none"/>
              </w:rPr>
            </w:pPr>
            <w:bookmarkStart w:id="2222" w:name="OLE_LINK601" w:colFirst="0" w:colLast="4"/>
            <w:r>
              <w:rPr>
                <w:rFonts w:hint="default" w:ascii="Times New Roman" w:hAnsi="Times New Roman" w:eastAsia="宋体" w:cs="Times New Roman"/>
                <w:b/>
                <w:bCs/>
                <w:color w:val="auto"/>
                <w:sz w:val="21"/>
                <w:szCs w:val="21"/>
                <w:highlight w:val="none"/>
              </w:rPr>
              <w:t>序号</w:t>
            </w:r>
          </w:p>
        </w:tc>
        <w:tc>
          <w:tcPr>
            <w:tcW w:w="2126" w:type="dxa"/>
            <w:tcBorders>
              <w:tl2br w:val="nil"/>
              <w:tr2bl w:val="nil"/>
            </w:tcBorders>
            <w:vAlign w:val="center"/>
          </w:tcPr>
          <w:p w14:paraId="7971C6C6">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点位</w:t>
            </w:r>
          </w:p>
        </w:tc>
        <w:tc>
          <w:tcPr>
            <w:tcW w:w="2556" w:type="dxa"/>
            <w:tcBorders>
              <w:tl2br w:val="nil"/>
              <w:tr2bl w:val="nil"/>
            </w:tcBorders>
            <w:vAlign w:val="center"/>
          </w:tcPr>
          <w:p w14:paraId="062AC092">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监测项目</w:t>
            </w:r>
          </w:p>
        </w:tc>
        <w:tc>
          <w:tcPr>
            <w:tcW w:w="1318" w:type="dxa"/>
            <w:tcBorders>
              <w:tl2br w:val="nil"/>
              <w:tr2bl w:val="nil"/>
            </w:tcBorders>
            <w:vAlign w:val="center"/>
          </w:tcPr>
          <w:p w14:paraId="25B44246">
            <w:pPr>
              <w:bidi w:val="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监测频次</w:t>
            </w:r>
          </w:p>
        </w:tc>
        <w:tc>
          <w:tcPr>
            <w:tcW w:w="1318" w:type="dxa"/>
            <w:tcBorders>
              <w:tl2br w:val="nil"/>
              <w:tr2bl w:val="nil"/>
            </w:tcBorders>
            <w:vAlign w:val="center"/>
          </w:tcPr>
          <w:p w14:paraId="2B78EA08">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bookmarkEnd w:id="2222"/>
      <w:tr w14:paraId="697EE5B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979" w:type="dxa"/>
            <w:tcBorders>
              <w:tl2br w:val="nil"/>
              <w:tr2bl w:val="nil"/>
            </w:tcBorders>
            <w:vAlign w:val="center"/>
          </w:tcPr>
          <w:p w14:paraId="27992424">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G1</w:t>
            </w:r>
          </w:p>
        </w:tc>
        <w:tc>
          <w:tcPr>
            <w:tcW w:w="2126" w:type="dxa"/>
            <w:tcBorders>
              <w:tl2br w:val="nil"/>
              <w:tr2bl w:val="nil"/>
            </w:tcBorders>
            <w:vAlign w:val="center"/>
          </w:tcPr>
          <w:p w14:paraId="596CED13">
            <w:pPr>
              <w:bidi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Cs w:val="21"/>
                <w:highlight w:val="none"/>
                <w:lang w:val="en-US" w:eastAsia="zh-CN"/>
              </w:rPr>
              <w:t>大众汽车</w:t>
            </w:r>
          </w:p>
        </w:tc>
        <w:tc>
          <w:tcPr>
            <w:tcW w:w="2556" w:type="dxa"/>
            <w:vMerge w:val="restart"/>
            <w:tcBorders>
              <w:tl2br w:val="nil"/>
              <w:tr2bl w:val="nil"/>
            </w:tcBorders>
            <w:vAlign w:val="center"/>
          </w:tcPr>
          <w:p w14:paraId="6A4E49E8">
            <w:pPr>
              <w:bidi w:val="0"/>
              <w:jc w:val="center"/>
              <w:rPr>
                <w:rFonts w:hint="default" w:ascii="Times New Roman" w:hAnsi="Times New Roman" w:eastAsia="宋体" w:cs="Times New Roman"/>
                <w:color w:val="auto"/>
                <w:sz w:val="21"/>
                <w:szCs w:val="21"/>
                <w:highlight w:val="none"/>
              </w:rPr>
            </w:pPr>
            <w:bookmarkStart w:id="2223" w:name="sys14511035"/>
            <w:r>
              <w:rPr>
                <w:rFonts w:hint="default" w:ascii="Times New Roman" w:hAnsi="Times New Roman" w:cs="Times New Roman"/>
                <w:color w:val="auto"/>
                <w:sz w:val="21"/>
                <w:highlight w:val="none"/>
                <w:lang w:val="en-US" w:eastAsia="zh-CN"/>
              </w:rPr>
              <w:t>TSP</w:t>
            </w:r>
            <w:r>
              <w:rPr>
                <w:rFonts w:hint="default" w:ascii="Times New Roman" w:hAnsi="Times New Roman" w:eastAsia="宋体" w:cs="Times New Roman"/>
                <w:color w:val="auto"/>
                <w:sz w:val="21"/>
                <w:highlight w:val="none"/>
                <w:lang w:val="de-DE"/>
              </w:rPr>
              <w:t>、NO</w:t>
            </w:r>
            <w:r>
              <w:rPr>
                <w:rFonts w:hint="default" w:ascii="Times New Roman" w:hAnsi="Times New Roman" w:eastAsia="宋体" w:cs="Times New Roman"/>
                <w:color w:val="auto"/>
                <w:sz w:val="21"/>
                <w:highlight w:val="none"/>
                <w:vertAlign w:val="subscript"/>
                <w:lang w:val="de-DE"/>
              </w:rPr>
              <w:t>X</w:t>
            </w:r>
            <w:r>
              <w:rPr>
                <w:rFonts w:hint="default" w:ascii="Times New Roman" w:hAnsi="Times New Roman" w:eastAsia="宋体" w:cs="Times New Roman"/>
                <w:color w:val="auto"/>
                <w:sz w:val="21"/>
                <w:highlight w:val="none"/>
                <w:lang w:val="de-DE"/>
              </w:rPr>
              <w:t>、HCl、H</w:t>
            </w:r>
            <w:r>
              <w:rPr>
                <w:rFonts w:hint="default" w:ascii="Times New Roman" w:hAnsi="Times New Roman" w:eastAsia="宋体" w:cs="Times New Roman"/>
                <w:color w:val="auto"/>
                <w:sz w:val="21"/>
                <w:highlight w:val="none"/>
                <w:vertAlign w:val="subscript"/>
                <w:lang w:val="de-DE"/>
              </w:rPr>
              <w:t>2</w:t>
            </w:r>
            <w:r>
              <w:rPr>
                <w:rFonts w:hint="default" w:ascii="Times New Roman" w:hAnsi="Times New Roman" w:eastAsia="宋体" w:cs="Times New Roman"/>
                <w:color w:val="auto"/>
                <w:sz w:val="21"/>
                <w:highlight w:val="none"/>
                <w:lang w:val="de-DE"/>
              </w:rPr>
              <w:t>S、NH</w:t>
            </w:r>
            <w:r>
              <w:rPr>
                <w:rFonts w:hint="default" w:ascii="Times New Roman" w:hAnsi="Times New Roman" w:eastAsia="宋体" w:cs="Times New Roman"/>
                <w:color w:val="auto"/>
                <w:sz w:val="21"/>
                <w:highlight w:val="none"/>
                <w:vertAlign w:val="subscript"/>
                <w:lang w:val="de-DE"/>
              </w:rPr>
              <w:t>3</w:t>
            </w:r>
            <w:r>
              <w:rPr>
                <w:rFonts w:hint="default" w:ascii="Times New Roman" w:hAnsi="Times New Roman" w:eastAsia="宋体" w:cs="Times New Roman"/>
                <w:color w:val="auto"/>
                <w:sz w:val="21"/>
                <w:highlight w:val="none"/>
                <w:lang w:val="de-DE"/>
              </w:rPr>
              <w:t>、氟化物、硫酸</w:t>
            </w:r>
            <w:sdt>
              <w:sdtPr>
                <w:rPr>
                  <w:color w:val="auto"/>
                  <w:highlight w:val="none"/>
                </w:rPr>
                <w:alias w:val="易错词检查"/>
                <w:tag w:val="auto"/>
                <w:id w:val="132515"/>
              </w:sdtPr>
              <w:sdtEndPr>
                <w:rPr>
                  <w:color w:val="auto"/>
                  <w:highlight w:val="none"/>
                </w:rPr>
              </w:sdtEndPr>
              <w:sdtContent>
                <w:bookmarkStart w:id="2224" w:name="bkReivew132515"/>
                <w:r>
                  <w:rPr>
                    <w:rFonts w:hint="default" w:ascii="Times New Roman" w:hAnsi="Times New Roman" w:eastAsia="宋体" w:cs="Times New Roman"/>
                    <w:color w:val="auto"/>
                    <w:sz w:val="21"/>
                    <w:highlight w:val="none"/>
                    <w:lang w:val="de-DE"/>
                  </w:rPr>
                  <w:t>雾</w:t>
                </w:r>
                <w:bookmarkEnd w:id="2224"/>
              </w:sdtContent>
            </w:sdt>
            <w:r>
              <w:rPr>
                <w:rFonts w:hint="default" w:ascii="Times New Roman" w:hAnsi="Times New Roman" w:eastAsia="宋体" w:cs="Times New Roman"/>
                <w:color w:val="auto"/>
                <w:sz w:val="21"/>
                <w:highlight w:val="none"/>
                <w:lang w:val="de-DE"/>
              </w:rPr>
              <w:t>、苯、非甲烷总烃</w:t>
            </w:r>
            <w:bookmarkEnd w:id="2223"/>
          </w:p>
        </w:tc>
        <w:tc>
          <w:tcPr>
            <w:tcW w:w="1318" w:type="dxa"/>
            <w:vMerge w:val="restart"/>
            <w:tcBorders>
              <w:tl2br w:val="nil"/>
              <w:tr2bl w:val="nil"/>
            </w:tcBorders>
            <w:vAlign w:val="center"/>
          </w:tcPr>
          <w:p w14:paraId="563A40C8">
            <w:pPr>
              <w:bidi w:val="0"/>
              <w:jc w:val="center"/>
              <w:rPr>
                <w:rFonts w:hint="default" w:ascii="Times New Roman" w:hAnsi="Times New Roman" w:eastAsia="宋体" w:cs="Times New Roman"/>
                <w:color w:val="auto"/>
                <w:sz w:val="21"/>
                <w:szCs w:val="21"/>
                <w:highlight w:val="none"/>
                <w:lang w:val="en-US" w:eastAsia="zh-CN"/>
              </w:rPr>
            </w:pPr>
            <w:bookmarkStart w:id="2225" w:name="OLE_LINK717"/>
            <w:r>
              <w:rPr>
                <w:rFonts w:hint="eastAsia" w:ascii="Times New Roman" w:hAnsi="Times New Roman" w:eastAsia="宋体" w:cs="Times New Roman"/>
                <w:color w:val="auto"/>
                <w:sz w:val="21"/>
                <w:szCs w:val="21"/>
                <w:highlight w:val="none"/>
                <w:lang w:val="en-US" w:eastAsia="zh-CN"/>
              </w:rPr>
              <w:t>三年一次</w:t>
            </w:r>
            <w:bookmarkEnd w:id="2225"/>
          </w:p>
        </w:tc>
        <w:tc>
          <w:tcPr>
            <w:tcW w:w="1318" w:type="dxa"/>
            <w:vMerge w:val="restart"/>
            <w:tcBorders>
              <w:tl2br w:val="nil"/>
              <w:tr2bl w:val="nil"/>
            </w:tcBorders>
            <w:vAlign w:val="center"/>
          </w:tcPr>
          <w:p w14:paraId="492CAE2D">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同时记录风向、风速、温度、气压等气象参数</w:t>
            </w:r>
          </w:p>
        </w:tc>
      </w:tr>
      <w:tr w14:paraId="64AAF53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9" w:hRule="atLeast"/>
        </w:trPr>
        <w:tc>
          <w:tcPr>
            <w:tcW w:w="979" w:type="dxa"/>
            <w:tcBorders>
              <w:tl2br w:val="nil"/>
              <w:tr2bl w:val="nil"/>
            </w:tcBorders>
            <w:vAlign w:val="center"/>
          </w:tcPr>
          <w:p w14:paraId="61ED0A9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G2</w:t>
            </w:r>
          </w:p>
        </w:tc>
        <w:tc>
          <w:tcPr>
            <w:tcW w:w="2126" w:type="dxa"/>
            <w:tcBorders>
              <w:tl2br w:val="nil"/>
              <w:tr2bl w:val="nil"/>
            </w:tcBorders>
            <w:vAlign w:val="center"/>
          </w:tcPr>
          <w:p w14:paraId="67444295">
            <w:pPr>
              <w:bidi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Cs w:val="21"/>
                <w:highlight w:val="none"/>
                <w:lang w:val="en-US" w:eastAsia="zh-CN"/>
              </w:rPr>
              <w:t>奥联</w:t>
            </w:r>
          </w:p>
        </w:tc>
        <w:tc>
          <w:tcPr>
            <w:tcW w:w="2556" w:type="dxa"/>
            <w:vMerge w:val="continue"/>
            <w:tcBorders>
              <w:tl2br w:val="nil"/>
              <w:tr2bl w:val="nil"/>
            </w:tcBorders>
            <w:vAlign w:val="center"/>
          </w:tcPr>
          <w:p w14:paraId="48794496">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26A5722B">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51ABC7E7">
            <w:pPr>
              <w:bidi w:val="0"/>
              <w:jc w:val="center"/>
              <w:rPr>
                <w:rFonts w:hint="default" w:ascii="Times New Roman" w:hAnsi="Times New Roman" w:eastAsia="宋体" w:cs="Times New Roman"/>
                <w:color w:val="auto"/>
                <w:sz w:val="21"/>
                <w:szCs w:val="21"/>
                <w:highlight w:val="none"/>
              </w:rPr>
            </w:pPr>
          </w:p>
        </w:tc>
      </w:tr>
      <w:tr w14:paraId="2BB639D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trHeight w:val="311" w:hRule="atLeast"/>
        </w:trPr>
        <w:tc>
          <w:tcPr>
            <w:tcW w:w="979" w:type="dxa"/>
            <w:tcBorders>
              <w:tl2br w:val="nil"/>
              <w:tr2bl w:val="nil"/>
            </w:tcBorders>
            <w:vAlign w:val="center"/>
          </w:tcPr>
          <w:p w14:paraId="055C278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G3</w:t>
            </w:r>
          </w:p>
        </w:tc>
        <w:tc>
          <w:tcPr>
            <w:tcW w:w="2126" w:type="dxa"/>
            <w:tcBorders>
              <w:tl2br w:val="nil"/>
              <w:tr2bl w:val="nil"/>
            </w:tcBorders>
            <w:vAlign w:val="center"/>
          </w:tcPr>
          <w:p w14:paraId="4E8790A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Cs w:val="21"/>
                <w:highlight w:val="none"/>
                <w:lang w:val="en-US" w:eastAsia="zh-CN"/>
              </w:rPr>
              <w:t>空地</w:t>
            </w:r>
          </w:p>
        </w:tc>
        <w:tc>
          <w:tcPr>
            <w:tcW w:w="2556" w:type="dxa"/>
            <w:vMerge w:val="continue"/>
            <w:tcBorders>
              <w:tl2br w:val="nil"/>
              <w:tr2bl w:val="nil"/>
            </w:tcBorders>
            <w:vAlign w:val="center"/>
          </w:tcPr>
          <w:p w14:paraId="763F26A1">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315AD084">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307D0557">
            <w:pPr>
              <w:bidi w:val="0"/>
              <w:jc w:val="center"/>
              <w:rPr>
                <w:rFonts w:hint="default" w:ascii="Times New Roman" w:hAnsi="Times New Roman" w:eastAsia="宋体" w:cs="Times New Roman"/>
                <w:color w:val="auto"/>
                <w:sz w:val="21"/>
                <w:szCs w:val="21"/>
                <w:highlight w:val="none"/>
              </w:rPr>
            </w:pPr>
          </w:p>
        </w:tc>
      </w:tr>
      <w:tr w14:paraId="360BFDA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trHeight w:val="309" w:hRule="atLeast"/>
        </w:trPr>
        <w:tc>
          <w:tcPr>
            <w:tcW w:w="979" w:type="dxa"/>
            <w:tcBorders>
              <w:tl2br w:val="nil"/>
              <w:tr2bl w:val="nil"/>
            </w:tcBorders>
            <w:vAlign w:val="center"/>
          </w:tcPr>
          <w:p w14:paraId="10F0BB49">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G4</w:t>
            </w:r>
          </w:p>
        </w:tc>
        <w:tc>
          <w:tcPr>
            <w:tcW w:w="2126" w:type="dxa"/>
            <w:tcBorders>
              <w:tl2br w:val="nil"/>
              <w:tr2bl w:val="nil"/>
            </w:tcBorders>
            <w:vAlign w:val="center"/>
          </w:tcPr>
          <w:p w14:paraId="2BBC9A9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Cs w:val="21"/>
                <w:highlight w:val="none"/>
                <w:lang w:val="en-US" w:eastAsia="zh-CN"/>
              </w:rPr>
              <w:t>南京北方慧华光电有限公司旁空地</w:t>
            </w:r>
          </w:p>
        </w:tc>
        <w:tc>
          <w:tcPr>
            <w:tcW w:w="2556" w:type="dxa"/>
            <w:vMerge w:val="continue"/>
            <w:tcBorders>
              <w:tl2br w:val="nil"/>
              <w:tr2bl w:val="nil"/>
            </w:tcBorders>
            <w:vAlign w:val="center"/>
          </w:tcPr>
          <w:p w14:paraId="5E600F60">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69B46223">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05A09003">
            <w:pPr>
              <w:bidi w:val="0"/>
              <w:jc w:val="center"/>
              <w:rPr>
                <w:rFonts w:hint="default" w:ascii="Times New Roman" w:hAnsi="Times New Roman" w:eastAsia="宋体" w:cs="Times New Roman"/>
                <w:color w:val="auto"/>
                <w:sz w:val="21"/>
                <w:szCs w:val="21"/>
                <w:highlight w:val="none"/>
              </w:rPr>
            </w:pPr>
          </w:p>
        </w:tc>
      </w:tr>
      <w:tr w14:paraId="2F2D075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9" w:hRule="atLeast"/>
        </w:trPr>
        <w:tc>
          <w:tcPr>
            <w:tcW w:w="979" w:type="dxa"/>
            <w:tcBorders>
              <w:tl2br w:val="nil"/>
              <w:tr2bl w:val="nil"/>
            </w:tcBorders>
            <w:vAlign w:val="center"/>
          </w:tcPr>
          <w:p w14:paraId="738C6525">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G5</w:t>
            </w:r>
          </w:p>
        </w:tc>
        <w:tc>
          <w:tcPr>
            <w:tcW w:w="2126" w:type="dxa"/>
            <w:tcBorders>
              <w:tl2br w:val="nil"/>
              <w:tr2bl w:val="nil"/>
            </w:tcBorders>
            <w:vAlign w:val="center"/>
          </w:tcPr>
          <w:p w14:paraId="4149AA3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Cs w:val="21"/>
                <w:highlight w:val="none"/>
                <w:lang w:val="en-US" w:eastAsia="zh-CN"/>
              </w:rPr>
              <w:t>秣陵中学</w:t>
            </w:r>
          </w:p>
        </w:tc>
        <w:tc>
          <w:tcPr>
            <w:tcW w:w="2556" w:type="dxa"/>
            <w:vMerge w:val="continue"/>
            <w:tcBorders>
              <w:tl2br w:val="nil"/>
              <w:tr2bl w:val="nil"/>
            </w:tcBorders>
            <w:vAlign w:val="center"/>
          </w:tcPr>
          <w:p w14:paraId="7F683CED">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156EB467">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7EEE4E60">
            <w:pPr>
              <w:bidi w:val="0"/>
              <w:jc w:val="center"/>
              <w:rPr>
                <w:rFonts w:hint="default" w:ascii="Times New Roman" w:hAnsi="Times New Roman" w:eastAsia="宋体" w:cs="Times New Roman"/>
                <w:color w:val="auto"/>
                <w:sz w:val="21"/>
                <w:szCs w:val="21"/>
                <w:highlight w:val="none"/>
              </w:rPr>
            </w:pPr>
          </w:p>
        </w:tc>
      </w:tr>
      <w:tr w14:paraId="507C2EA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9" w:hRule="atLeast"/>
        </w:trPr>
        <w:tc>
          <w:tcPr>
            <w:tcW w:w="979" w:type="dxa"/>
            <w:tcBorders>
              <w:tl2br w:val="nil"/>
              <w:tr2bl w:val="nil"/>
            </w:tcBorders>
            <w:vAlign w:val="center"/>
          </w:tcPr>
          <w:p w14:paraId="477CBA4B">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G6</w:t>
            </w:r>
          </w:p>
        </w:tc>
        <w:tc>
          <w:tcPr>
            <w:tcW w:w="2126" w:type="dxa"/>
            <w:tcBorders>
              <w:tl2br w:val="nil"/>
              <w:tr2bl w:val="nil"/>
            </w:tcBorders>
            <w:vAlign w:val="center"/>
          </w:tcPr>
          <w:p w14:paraId="766FCA87">
            <w:pPr>
              <w:bidi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Cs w:val="21"/>
                <w:highlight w:val="none"/>
                <w:lang w:val="en-US" w:eastAsia="zh-CN"/>
              </w:rPr>
              <w:t>荣盛隽峰</w:t>
            </w:r>
          </w:p>
        </w:tc>
        <w:tc>
          <w:tcPr>
            <w:tcW w:w="2556" w:type="dxa"/>
            <w:vMerge w:val="continue"/>
            <w:tcBorders>
              <w:tl2br w:val="nil"/>
              <w:tr2bl w:val="nil"/>
            </w:tcBorders>
            <w:vAlign w:val="center"/>
          </w:tcPr>
          <w:p w14:paraId="1313E9E7">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7D4D36B9">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24E5E877">
            <w:pPr>
              <w:bidi w:val="0"/>
              <w:jc w:val="center"/>
              <w:rPr>
                <w:rFonts w:hint="default" w:ascii="Times New Roman" w:hAnsi="Times New Roman" w:eastAsia="宋体" w:cs="Times New Roman"/>
                <w:color w:val="auto"/>
                <w:sz w:val="21"/>
                <w:szCs w:val="21"/>
                <w:highlight w:val="none"/>
              </w:rPr>
            </w:pPr>
          </w:p>
        </w:tc>
      </w:tr>
      <w:tr w14:paraId="5D83B73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9" w:hRule="atLeast"/>
        </w:trPr>
        <w:tc>
          <w:tcPr>
            <w:tcW w:w="979" w:type="dxa"/>
            <w:tcBorders>
              <w:tl2br w:val="nil"/>
              <w:tr2bl w:val="nil"/>
            </w:tcBorders>
            <w:vAlign w:val="center"/>
          </w:tcPr>
          <w:p w14:paraId="6B2FC46A">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G7</w:t>
            </w:r>
          </w:p>
        </w:tc>
        <w:tc>
          <w:tcPr>
            <w:tcW w:w="2126" w:type="dxa"/>
            <w:tcBorders>
              <w:tl2br w:val="nil"/>
              <w:tr2bl w:val="nil"/>
            </w:tcBorders>
            <w:vAlign w:val="center"/>
          </w:tcPr>
          <w:p w14:paraId="78DE15F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九龙湖</w:t>
            </w:r>
          </w:p>
        </w:tc>
        <w:tc>
          <w:tcPr>
            <w:tcW w:w="2556" w:type="dxa"/>
            <w:vMerge w:val="continue"/>
            <w:tcBorders>
              <w:tl2br w:val="nil"/>
              <w:tr2bl w:val="nil"/>
            </w:tcBorders>
            <w:vAlign w:val="center"/>
          </w:tcPr>
          <w:p w14:paraId="02C32536">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4C02A726">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38CD587F">
            <w:pPr>
              <w:bidi w:val="0"/>
              <w:jc w:val="center"/>
              <w:rPr>
                <w:rFonts w:hint="default" w:ascii="Times New Roman" w:hAnsi="Times New Roman" w:eastAsia="宋体" w:cs="Times New Roman"/>
                <w:color w:val="auto"/>
                <w:sz w:val="21"/>
                <w:szCs w:val="21"/>
                <w:highlight w:val="none"/>
              </w:rPr>
            </w:pPr>
          </w:p>
        </w:tc>
      </w:tr>
      <w:tr w14:paraId="4CCCB44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979" w:type="dxa"/>
            <w:tcBorders>
              <w:tl2br w:val="nil"/>
              <w:tr2bl w:val="nil"/>
            </w:tcBorders>
            <w:vAlign w:val="center"/>
          </w:tcPr>
          <w:p w14:paraId="34C02134">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G8</w:t>
            </w:r>
          </w:p>
        </w:tc>
        <w:tc>
          <w:tcPr>
            <w:tcW w:w="2126" w:type="dxa"/>
            <w:tcBorders>
              <w:tl2br w:val="nil"/>
              <w:tr2bl w:val="nil"/>
            </w:tcBorders>
            <w:vAlign w:val="center"/>
          </w:tcPr>
          <w:p w14:paraId="57B9C817">
            <w:pPr>
              <w:bidi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彩虹桥</w:t>
            </w:r>
          </w:p>
        </w:tc>
        <w:tc>
          <w:tcPr>
            <w:tcW w:w="2556" w:type="dxa"/>
            <w:vMerge w:val="continue"/>
            <w:tcBorders>
              <w:tl2br w:val="nil"/>
              <w:tr2bl w:val="nil"/>
            </w:tcBorders>
            <w:vAlign w:val="center"/>
          </w:tcPr>
          <w:p w14:paraId="437C24BD">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3F004329">
            <w:pPr>
              <w:bidi w:val="0"/>
              <w:jc w:val="center"/>
              <w:rPr>
                <w:rFonts w:hint="default" w:ascii="Times New Roman" w:hAnsi="Times New Roman" w:eastAsia="宋体" w:cs="Times New Roman"/>
                <w:color w:val="auto"/>
                <w:sz w:val="21"/>
                <w:szCs w:val="21"/>
                <w:highlight w:val="none"/>
              </w:rPr>
            </w:pPr>
          </w:p>
        </w:tc>
        <w:tc>
          <w:tcPr>
            <w:tcW w:w="1318" w:type="dxa"/>
            <w:vMerge w:val="continue"/>
            <w:tcBorders>
              <w:tl2br w:val="nil"/>
              <w:tr2bl w:val="nil"/>
            </w:tcBorders>
            <w:vAlign w:val="center"/>
          </w:tcPr>
          <w:p w14:paraId="0293EE57">
            <w:pPr>
              <w:bidi w:val="0"/>
              <w:jc w:val="center"/>
              <w:rPr>
                <w:rFonts w:hint="default" w:ascii="Times New Roman" w:hAnsi="Times New Roman" w:eastAsia="宋体" w:cs="Times New Roman"/>
                <w:color w:val="auto"/>
                <w:sz w:val="21"/>
                <w:szCs w:val="21"/>
                <w:highlight w:val="none"/>
              </w:rPr>
            </w:pPr>
          </w:p>
        </w:tc>
      </w:tr>
    </w:tbl>
    <w:p w14:paraId="09C021C5">
      <w:pPr>
        <w:spacing w:before="30" w:line="220" w:lineRule="auto"/>
        <w:ind w:left="456"/>
        <w:rPr>
          <w:rFonts w:ascii="宋体" w:hAnsi="宋体" w:eastAsia="宋体" w:cs="宋体"/>
          <w:color w:val="auto"/>
          <w:sz w:val="21"/>
          <w:szCs w:val="21"/>
          <w:highlight w:val="none"/>
        </w:rPr>
      </w:pPr>
      <w:r>
        <w:rPr>
          <w:rFonts w:ascii="宋体" w:hAnsi="宋体" w:eastAsia="宋体" w:cs="宋体"/>
          <w:color w:val="auto"/>
          <w:spacing w:val="-1"/>
          <w:sz w:val="21"/>
          <w:szCs w:val="21"/>
          <w:highlight w:val="none"/>
        </w:rPr>
        <w:t>注：给出现场各监测点位具体坐标和采样照片</w:t>
      </w:r>
    </w:p>
    <w:p w14:paraId="18D8F863">
      <w:pPr>
        <w:spacing w:before="107" w:line="220" w:lineRule="auto"/>
        <w:ind w:left="524"/>
        <w:outlineLvl w:val="9"/>
        <w:rPr>
          <w:rFonts w:ascii="宋体" w:hAnsi="宋体" w:eastAsia="宋体" w:cs="宋体"/>
          <w:color w:val="auto"/>
          <w:sz w:val="24"/>
          <w:szCs w:val="24"/>
          <w:highlight w:val="none"/>
        </w:rPr>
      </w:pPr>
      <w:r>
        <w:rPr>
          <w:rFonts w:ascii="宋体" w:hAnsi="宋体" w:eastAsia="宋体" w:cs="宋体"/>
          <w:color w:val="auto"/>
          <w:spacing w:val="-8"/>
          <w:sz w:val="24"/>
          <w:szCs w:val="24"/>
          <w:highlight w:val="none"/>
        </w:rPr>
        <w:t>（</w:t>
      </w:r>
      <w:r>
        <w:rPr>
          <w:rFonts w:ascii="Times New Roman" w:hAnsi="Times New Roman" w:eastAsia="Times New Roman" w:cs="Times New Roman"/>
          <w:color w:val="auto"/>
          <w:spacing w:val="-8"/>
          <w:sz w:val="24"/>
          <w:szCs w:val="24"/>
          <w:highlight w:val="none"/>
        </w:rPr>
        <w:t>2</w:t>
      </w:r>
      <w:r>
        <w:rPr>
          <w:rFonts w:ascii="宋体" w:hAnsi="宋体" w:eastAsia="宋体" w:cs="宋体"/>
          <w:color w:val="auto"/>
          <w:spacing w:val="-8"/>
          <w:sz w:val="24"/>
          <w:szCs w:val="24"/>
          <w:highlight w:val="none"/>
        </w:rPr>
        <w:t>）监测项目</w:t>
      </w:r>
      <w:bookmarkStart w:id="2226" w:name="pindex14550"/>
      <w:bookmarkEnd w:id="2226"/>
    </w:p>
    <w:p w14:paraId="291834F4">
      <w:pPr>
        <w:spacing w:before="182" w:line="347" w:lineRule="auto"/>
        <w:ind w:left="38" w:right="44" w:firstLine="510"/>
        <w:rPr>
          <w:rFonts w:ascii="宋体" w:hAnsi="宋体" w:eastAsia="宋体" w:cs="宋体"/>
          <w:color w:val="auto"/>
          <w:sz w:val="24"/>
          <w:szCs w:val="24"/>
          <w:highlight w:val="none"/>
        </w:rPr>
      </w:pPr>
      <w:bookmarkStart w:id="2227" w:name="sys14551036"/>
      <w:r>
        <w:rPr>
          <w:rFonts w:hint="default" w:ascii="Times New Roman" w:hAnsi="Times New Roman" w:eastAsia="宋体" w:cs="Times New Roman"/>
          <w:color w:val="auto"/>
          <w:spacing w:val="-10"/>
          <w:sz w:val="24"/>
          <w:szCs w:val="24"/>
          <w:highlight w:val="none"/>
          <w:lang w:val="en-US" w:eastAsia="zh-CN"/>
        </w:rPr>
        <w:t>TSP</w:t>
      </w:r>
      <w:r>
        <w:rPr>
          <w:rFonts w:hint="default" w:ascii="Times New Roman" w:hAnsi="Times New Roman" w:eastAsia="宋体" w:cs="Times New Roman"/>
          <w:color w:val="auto"/>
          <w:spacing w:val="-10"/>
          <w:sz w:val="24"/>
          <w:szCs w:val="24"/>
          <w:highlight w:val="none"/>
          <w:lang w:val="de-DE"/>
        </w:rPr>
        <w:t>、NO</w:t>
      </w:r>
      <w:r>
        <w:rPr>
          <w:rFonts w:hint="default" w:ascii="Times New Roman" w:hAnsi="Times New Roman" w:eastAsia="宋体" w:cs="Times New Roman"/>
          <w:color w:val="auto"/>
          <w:spacing w:val="-10"/>
          <w:sz w:val="24"/>
          <w:szCs w:val="24"/>
          <w:highlight w:val="none"/>
          <w:vertAlign w:val="subscript"/>
          <w:lang w:val="de-DE"/>
        </w:rPr>
        <w:t>X</w:t>
      </w:r>
      <w:r>
        <w:rPr>
          <w:rFonts w:hint="default" w:ascii="Times New Roman" w:hAnsi="Times New Roman" w:eastAsia="宋体" w:cs="Times New Roman"/>
          <w:color w:val="auto"/>
          <w:spacing w:val="-10"/>
          <w:sz w:val="24"/>
          <w:szCs w:val="24"/>
          <w:highlight w:val="none"/>
          <w:lang w:val="de-DE"/>
        </w:rPr>
        <w:t>、HCl、H</w:t>
      </w:r>
      <w:r>
        <w:rPr>
          <w:rFonts w:hint="default" w:ascii="Times New Roman" w:hAnsi="Times New Roman" w:eastAsia="宋体" w:cs="Times New Roman"/>
          <w:color w:val="auto"/>
          <w:spacing w:val="-10"/>
          <w:sz w:val="24"/>
          <w:szCs w:val="24"/>
          <w:highlight w:val="none"/>
          <w:vertAlign w:val="subscript"/>
          <w:lang w:val="de-DE"/>
        </w:rPr>
        <w:t>2</w:t>
      </w:r>
      <w:r>
        <w:rPr>
          <w:rFonts w:hint="default" w:ascii="Times New Roman" w:hAnsi="Times New Roman" w:eastAsia="宋体" w:cs="Times New Roman"/>
          <w:color w:val="auto"/>
          <w:spacing w:val="-10"/>
          <w:sz w:val="24"/>
          <w:szCs w:val="24"/>
          <w:highlight w:val="none"/>
          <w:lang w:val="de-DE"/>
        </w:rPr>
        <w:t>S、NH</w:t>
      </w:r>
      <w:r>
        <w:rPr>
          <w:rFonts w:hint="default" w:ascii="Times New Roman" w:hAnsi="Times New Roman" w:eastAsia="宋体" w:cs="Times New Roman"/>
          <w:color w:val="auto"/>
          <w:spacing w:val="-10"/>
          <w:sz w:val="24"/>
          <w:szCs w:val="24"/>
          <w:highlight w:val="none"/>
          <w:vertAlign w:val="subscript"/>
          <w:lang w:val="de-DE"/>
        </w:rPr>
        <w:t>3</w:t>
      </w:r>
      <w:r>
        <w:rPr>
          <w:rFonts w:hint="default" w:ascii="Times New Roman" w:hAnsi="Times New Roman" w:eastAsia="宋体" w:cs="Times New Roman"/>
          <w:color w:val="auto"/>
          <w:spacing w:val="-10"/>
          <w:sz w:val="24"/>
          <w:szCs w:val="24"/>
          <w:highlight w:val="none"/>
          <w:lang w:val="de-DE"/>
        </w:rPr>
        <w:t>、氟化物、硫酸</w:t>
      </w:r>
      <w:sdt>
        <w:sdtPr>
          <w:rPr>
            <w:color w:val="auto"/>
            <w:highlight w:val="none"/>
          </w:rPr>
          <w:alias w:val="易错词检查"/>
          <w:tag w:val="auto"/>
          <w:id w:val="2163503"/>
        </w:sdtPr>
        <w:sdtEndPr>
          <w:rPr>
            <w:color w:val="auto"/>
            <w:highlight w:val="none"/>
          </w:rPr>
        </w:sdtEndPr>
        <w:sdtContent>
          <w:bookmarkStart w:id="2228" w:name="bkReivew2163503"/>
          <w:r>
            <w:rPr>
              <w:rFonts w:hint="default" w:ascii="Times New Roman" w:hAnsi="Times New Roman" w:eastAsia="宋体" w:cs="Times New Roman"/>
              <w:color w:val="auto"/>
              <w:spacing w:val="-10"/>
              <w:sz w:val="24"/>
              <w:szCs w:val="24"/>
              <w:highlight w:val="none"/>
              <w:lang w:val="de-DE"/>
            </w:rPr>
            <w:t>雾</w:t>
          </w:r>
          <w:bookmarkEnd w:id="2228"/>
        </w:sdtContent>
      </w:sdt>
      <w:r>
        <w:rPr>
          <w:rFonts w:hint="default" w:ascii="Times New Roman" w:hAnsi="Times New Roman" w:eastAsia="宋体" w:cs="Times New Roman"/>
          <w:color w:val="auto"/>
          <w:spacing w:val="-10"/>
          <w:sz w:val="24"/>
          <w:szCs w:val="24"/>
          <w:highlight w:val="none"/>
          <w:lang w:val="de-DE"/>
        </w:rPr>
        <w:t>、苯、非甲烷总烃</w:t>
      </w:r>
      <w:r>
        <w:rPr>
          <w:rFonts w:ascii="宋体" w:hAnsi="宋体" w:eastAsia="宋体" w:cs="宋体"/>
          <w:color w:val="auto"/>
          <w:spacing w:val="-10"/>
          <w:sz w:val="24"/>
          <w:szCs w:val="24"/>
          <w:highlight w:val="none"/>
        </w:rPr>
        <w:t>。</w:t>
      </w:r>
      <w:bookmarkEnd w:id="2227"/>
    </w:p>
    <w:p w14:paraId="5AC40B95">
      <w:pPr>
        <w:spacing w:before="33" w:line="220" w:lineRule="auto"/>
        <w:ind w:left="524"/>
        <w:outlineLvl w:val="9"/>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w:t>
      </w:r>
      <w:r>
        <w:rPr>
          <w:rFonts w:ascii="Times New Roman" w:hAnsi="Times New Roman" w:eastAsia="Times New Roman" w:cs="Times New Roman"/>
          <w:color w:val="auto"/>
          <w:spacing w:val="-3"/>
          <w:sz w:val="24"/>
          <w:szCs w:val="24"/>
          <w:highlight w:val="none"/>
        </w:rPr>
        <w:t>3</w:t>
      </w:r>
      <w:r>
        <w:rPr>
          <w:rFonts w:ascii="宋体" w:hAnsi="宋体" w:eastAsia="宋体" w:cs="宋体"/>
          <w:color w:val="auto"/>
          <w:spacing w:val="-3"/>
          <w:sz w:val="24"/>
          <w:szCs w:val="24"/>
          <w:highlight w:val="none"/>
        </w:rPr>
        <w:t>）</w:t>
      </w:r>
      <w:sdt>
        <w:sdtPr>
          <w:rPr>
            <w:color w:val="auto"/>
            <w:highlight w:val="none"/>
          </w:rPr>
          <w:alias w:val="易错词检查"/>
          <w:tag w:val="auto"/>
          <w:id w:val="1122846"/>
        </w:sdtPr>
        <w:sdtEndPr>
          <w:rPr>
            <w:color w:val="auto"/>
            <w:highlight w:val="none"/>
          </w:rPr>
        </w:sdtEndPr>
        <w:sdtContent>
          <w:bookmarkStart w:id="2229" w:name="bkReivew1122846"/>
          <w:r>
            <w:rPr>
              <w:rFonts w:ascii="宋体" w:hAnsi="宋体" w:eastAsia="宋体" w:cs="宋体"/>
              <w:color w:val="auto"/>
              <w:spacing w:val="-3"/>
              <w:sz w:val="24"/>
              <w:szCs w:val="24"/>
              <w:highlight w:val="none"/>
            </w:rPr>
            <w:t>监测</w:t>
          </w:r>
          <w:bookmarkEnd w:id="2229"/>
        </w:sdtContent>
      </w:sdt>
      <w:r>
        <w:rPr>
          <w:rFonts w:ascii="宋体" w:hAnsi="宋体" w:eastAsia="宋体" w:cs="宋体"/>
          <w:color w:val="auto"/>
          <w:spacing w:val="-3"/>
          <w:sz w:val="24"/>
          <w:szCs w:val="24"/>
          <w:highlight w:val="none"/>
        </w:rPr>
        <w:t>时间</w:t>
      </w:r>
      <w:bookmarkStart w:id="2230" w:name="OLE_LINK599"/>
      <w:r>
        <w:rPr>
          <w:rFonts w:ascii="宋体" w:hAnsi="宋体" w:eastAsia="宋体" w:cs="宋体"/>
          <w:color w:val="auto"/>
          <w:spacing w:val="-3"/>
          <w:sz w:val="24"/>
          <w:szCs w:val="24"/>
          <w:highlight w:val="none"/>
        </w:rPr>
        <w:t>和频次</w:t>
      </w:r>
      <w:bookmarkEnd w:id="2230"/>
      <w:bookmarkStart w:id="2231" w:name="pindex14552"/>
      <w:bookmarkEnd w:id="2231"/>
    </w:p>
    <w:p w14:paraId="1F446F66">
      <w:pPr>
        <w:spacing w:before="182" w:line="351" w:lineRule="auto"/>
        <w:ind w:left="38" w:right="28" w:firstLine="510"/>
        <w:rPr>
          <w:rFonts w:hint="eastAsia" w:ascii="Times New Roman" w:hAnsi="Times New Roman" w:eastAsia="Times New Roman" w:cs="Times New Roman"/>
          <w:b/>
          <w:bCs/>
          <w:color w:val="auto"/>
          <w:spacing w:val="-3"/>
          <w:sz w:val="24"/>
          <w:szCs w:val="24"/>
          <w:highlight w:val="none"/>
        </w:rPr>
      </w:pPr>
      <w:bookmarkStart w:id="2232" w:name="sys14553096"/>
      <w:r>
        <w:rPr>
          <w:rFonts w:hint="default" w:ascii="Times New Roman" w:hAnsi="Times New Roman" w:eastAsia="宋体" w:cs="Times New Roman"/>
          <w:color w:val="auto"/>
          <w:spacing w:val="-10"/>
          <w:sz w:val="24"/>
          <w:szCs w:val="24"/>
          <w:highlight w:val="none"/>
          <w:lang w:val="en-US" w:eastAsia="zh-CN"/>
        </w:rPr>
        <w:t>TSP</w:t>
      </w:r>
      <w:r>
        <w:rPr>
          <w:rFonts w:hint="default" w:ascii="Times New Roman" w:hAnsi="Times New Roman" w:eastAsia="宋体" w:cs="Times New Roman"/>
          <w:color w:val="auto"/>
          <w:spacing w:val="-10"/>
          <w:sz w:val="24"/>
          <w:szCs w:val="24"/>
          <w:highlight w:val="none"/>
          <w:lang w:val="de-DE"/>
        </w:rPr>
        <w:t>、NO</w:t>
      </w:r>
      <w:r>
        <w:rPr>
          <w:rFonts w:hint="default" w:ascii="Times New Roman" w:hAnsi="Times New Roman" w:eastAsia="宋体" w:cs="Times New Roman"/>
          <w:color w:val="auto"/>
          <w:spacing w:val="-10"/>
          <w:sz w:val="24"/>
          <w:szCs w:val="24"/>
          <w:highlight w:val="none"/>
          <w:vertAlign w:val="subscript"/>
          <w:lang w:val="de-DE"/>
        </w:rPr>
        <w:t>X</w:t>
      </w:r>
      <w:r>
        <w:rPr>
          <w:rFonts w:hint="default" w:ascii="Times New Roman" w:hAnsi="Times New Roman" w:eastAsia="宋体" w:cs="Times New Roman"/>
          <w:color w:val="auto"/>
          <w:spacing w:val="-10"/>
          <w:sz w:val="24"/>
          <w:szCs w:val="24"/>
          <w:highlight w:val="none"/>
          <w:lang w:val="de-DE"/>
        </w:rPr>
        <w:t>、HCl、H</w:t>
      </w:r>
      <w:r>
        <w:rPr>
          <w:rFonts w:hint="default" w:ascii="Times New Roman" w:hAnsi="Times New Roman" w:eastAsia="宋体" w:cs="Times New Roman"/>
          <w:color w:val="auto"/>
          <w:spacing w:val="-10"/>
          <w:sz w:val="24"/>
          <w:szCs w:val="24"/>
          <w:highlight w:val="none"/>
          <w:vertAlign w:val="subscript"/>
          <w:lang w:val="de-DE"/>
        </w:rPr>
        <w:t>2</w:t>
      </w:r>
      <w:r>
        <w:rPr>
          <w:rFonts w:hint="default" w:ascii="Times New Roman" w:hAnsi="Times New Roman" w:eastAsia="宋体" w:cs="Times New Roman"/>
          <w:color w:val="auto"/>
          <w:spacing w:val="-10"/>
          <w:sz w:val="24"/>
          <w:szCs w:val="24"/>
          <w:highlight w:val="none"/>
          <w:lang w:val="de-DE"/>
        </w:rPr>
        <w:t>S、NH</w:t>
      </w:r>
      <w:r>
        <w:rPr>
          <w:rFonts w:hint="default" w:ascii="Times New Roman" w:hAnsi="Times New Roman" w:eastAsia="宋体" w:cs="Times New Roman"/>
          <w:color w:val="auto"/>
          <w:spacing w:val="-10"/>
          <w:sz w:val="24"/>
          <w:szCs w:val="24"/>
          <w:highlight w:val="none"/>
          <w:vertAlign w:val="subscript"/>
          <w:lang w:val="de-DE"/>
        </w:rPr>
        <w:t>3</w:t>
      </w:r>
      <w:r>
        <w:rPr>
          <w:rFonts w:hint="default" w:ascii="Times New Roman" w:hAnsi="Times New Roman" w:eastAsia="宋体" w:cs="Times New Roman"/>
          <w:color w:val="auto"/>
          <w:spacing w:val="-10"/>
          <w:sz w:val="24"/>
          <w:szCs w:val="24"/>
          <w:highlight w:val="none"/>
          <w:lang w:val="de-DE"/>
        </w:rPr>
        <w:t>、氟化物、硫酸</w:t>
      </w:r>
      <w:sdt>
        <w:sdtPr>
          <w:rPr>
            <w:color w:val="auto"/>
            <w:highlight w:val="none"/>
          </w:rPr>
          <w:alias w:val="易错词检查"/>
          <w:tag w:val="auto"/>
          <w:id w:val="2172222"/>
        </w:sdtPr>
        <w:sdtEndPr>
          <w:rPr>
            <w:color w:val="auto"/>
            <w:highlight w:val="none"/>
          </w:rPr>
        </w:sdtEndPr>
        <w:sdtContent>
          <w:bookmarkStart w:id="2233" w:name="bkReivew2172222"/>
          <w:r>
            <w:rPr>
              <w:rFonts w:hint="default" w:ascii="Times New Roman" w:hAnsi="Times New Roman" w:eastAsia="宋体" w:cs="Times New Roman"/>
              <w:color w:val="auto"/>
              <w:spacing w:val="-10"/>
              <w:sz w:val="24"/>
              <w:szCs w:val="24"/>
              <w:highlight w:val="none"/>
              <w:lang w:val="de-DE"/>
            </w:rPr>
            <w:t>雾</w:t>
          </w:r>
          <w:bookmarkEnd w:id="2233"/>
        </w:sdtContent>
      </w:sdt>
      <w:r>
        <w:rPr>
          <w:rFonts w:hint="default" w:ascii="Times New Roman" w:hAnsi="Times New Roman" w:eastAsia="宋体" w:cs="Times New Roman"/>
          <w:color w:val="auto"/>
          <w:spacing w:val="-10"/>
          <w:sz w:val="24"/>
          <w:szCs w:val="24"/>
          <w:highlight w:val="none"/>
          <w:lang w:val="de-DE"/>
        </w:rPr>
        <w:t>、苯、非甲烷总烃</w:t>
      </w:r>
      <w:r>
        <w:rPr>
          <w:rFonts w:ascii="宋体" w:hAnsi="宋体" w:eastAsia="宋体" w:cs="宋体"/>
          <w:color w:val="auto"/>
          <w:spacing w:val="-5"/>
          <w:sz w:val="24"/>
          <w:szCs w:val="24"/>
          <w:highlight w:val="none"/>
        </w:rPr>
        <w:t>连续</w:t>
      </w:r>
      <w:r>
        <w:rPr>
          <w:rFonts w:ascii="Times New Roman" w:hAnsi="Times New Roman" w:eastAsia="Times New Roman" w:cs="Times New Roman"/>
          <w:color w:val="auto"/>
          <w:spacing w:val="-5"/>
          <w:sz w:val="24"/>
          <w:szCs w:val="24"/>
          <w:highlight w:val="none"/>
        </w:rPr>
        <w:t>7</w:t>
      </w:r>
      <w:r>
        <w:rPr>
          <w:rFonts w:ascii="宋体" w:hAnsi="宋体" w:eastAsia="宋体" w:cs="宋体"/>
          <w:color w:val="auto"/>
          <w:spacing w:val="-5"/>
          <w:sz w:val="24"/>
          <w:szCs w:val="24"/>
          <w:highlight w:val="none"/>
        </w:rPr>
        <w:t>天，其</w:t>
      </w:r>
      <w:r>
        <w:rPr>
          <w:rFonts w:ascii="Times New Roman" w:hAnsi="Times New Roman" w:eastAsia="Times New Roman" w:cs="Times New Roman"/>
          <w:color w:val="auto"/>
          <w:spacing w:val="-5"/>
          <w:sz w:val="24"/>
          <w:szCs w:val="24"/>
          <w:highlight w:val="none"/>
        </w:rPr>
        <w:t>1</w:t>
      </w:r>
      <w:r>
        <w:rPr>
          <w:rFonts w:ascii="宋体" w:hAnsi="宋体" w:eastAsia="宋体" w:cs="宋体"/>
          <w:color w:val="auto"/>
          <w:spacing w:val="-5"/>
          <w:sz w:val="24"/>
          <w:szCs w:val="24"/>
          <w:highlight w:val="none"/>
        </w:rPr>
        <w:t>小时浓度值每天监测</w:t>
      </w:r>
      <w:r>
        <w:rPr>
          <w:rFonts w:ascii="Times New Roman" w:hAnsi="Times New Roman" w:eastAsia="Times New Roman" w:cs="Times New Roman"/>
          <w:color w:val="auto"/>
          <w:spacing w:val="-5"/>
          <w:sz w:val="24"/>
          <w:szCs w:val="24"/>
          <w:highlight w:val="none"/>
        </w:rPr>
        <w:t>4</w:t>
      </w:r>
      <w:r>
        <w:rPr>
          <w:rFonts w:ascii="宋体" w:hAnsi="宋体" w:eastAsia="宋体" w:cs="宋体"/>
          <w:color w:val="auto"/>
          <w:spacing w:val="-5"/>
          <w:sz w:val="24"/>
          <w:szCs w:val="24"/>
          <w:highlight w:val="none"/>
        </w:rPr>
        <w:t>次，获取当地时间</w:t>
      </w:r>
      <w:r>
        <w:rPr>
          <w:rFonts w:ascii="Times New Roman" w:hAnsi="Times New Roman" w:eastAsia="Times New Roman" w:cs="Times New Roman"/>
          <w:color w:val="auto"/>
          <w:spacing w:val="-5"/>
          <w:sz w:val="24"/>
          <w:szCs w:val="24"/>
          <w:highlight w:val="none"/>
        </w:rPr>
        <w:t>02</w:t>
      </w:r>
      <w:r>
        <w:rPr>
          <w:rFonts w:ascii="宋体" w:hAnsi="宋体" w:eastAsia="宋体" w:cs="宋体"/>
          <w:color w:val="auto"/>
          <w:spacing w:val="-5"/>
          <w:sz w:val="24"/>
          <w:szCs w:val="24"/>
          <w:highlight w:val="none"/>
        </w:rPr>
        <w:t>、</w:t>
      </w:r>
      <w:r>
        <w:rPr>
          <w:rFonts w:ascii="Times New Roman" w:hAnsi="Times New Roman" w:eastAsia="Times New Roman" w:cs="Times New Roman"/>
          <w:color w:val="auto"/>
          <w:spacing w:val="-5"/>
          <w:sz w:val="24"/>
          <w:szCs w:val="24"/>
          <w:highlight w:val="none"/>
        </w:rPr>
        <w:t>0</w:t>
      </w:r>
      <w:r>
        <w:rPr>
          <w:rFonts w:ascii="Times New Roman" w:hAnsi="Times New Roman" w:eastAsia="Times New Roman" w:cs="Times New Roman"/>
          <w:color w:val="auto"/>
          <w:spacing w:val="-6"/>
          <w:sz w:val="24"/>
          <w:szCs w:val="24"/>
          <w:highlight w:val="none"/>
        </w:rPr>
        <w:t>8</w:t>
      </w:r>
      <w:r>
        <w:rPr>
          <w:rFonts w:ascii="宋体" w:hAnsi="宋体" w:eastAsia="宋体" w:cs="宋体"/>
          <w:color w:val="auto"/>
          <w:spacing w:val="-6"/>
          <w:sz w:val="24"/>
          <w:szCs w:val="24"/>
          <w:highlight w:val="none"/>
        </w:rPr>
        <w:t>、</w:t>
      </w:r>
      <w:r>
        <w:rPr>
          <w:rFonts w:ascii="Times New Roman" w:hAnsi="Times New Roman" w:eastAsia="Times New Roman" w:cs="Times New Roman"/>
          <w:color w:val="auto"/>
          <w:spacing w:val="-6"/>
          <w:sz w:val="24"/>
          <w:szCs w:val="24"/>
          <w:highlight w:val="none"/>
        </w:rPr>
        <w:t>14</w:t>
      </w:r>
      <w:r>
        <w:rPr>
          <w:rFonts w:ascii="宋体" w:hAnsi="宋体" w:eastAsia="宋体" w:cs="宋体"/>
          <w:color w:val="auto"/>
          <w:spacing w:val="-6"/>
          <w:sz w:val="24"/>
          <w:szCs w:val="24"/>
          <w:highlight w:val="none"/>
        </w:rPr>
        <w:t>、</w:t>
      </w:r>
      <w:r>
        <w:rPr>
          <w:rFonts w:ascii="Times New Roman" w:hAnsi="Times New Roman" w:eastAsia="Times New Roman" w:cs="Times New Roman"/>
          <w:color w:val="auto"/>
          <w:spacing w:val="-6"/>
          <w:sz w:val="24"/>
          <w:szCs w:val="24"/>
          <w:highlight w:val="none"/>
        </w:rPr>
        <w:t>20</w:t>
      </w:r>
      <w:r>
        <w:rPr>
          <w:rFonts w:ascii="宋体" w:hAnsi="宋体" w:eastAsia="宋体" w:cs="宋体"/>
          <w:color w:val="auto"/>
          <w:spacing w:val="-2"/>
          <w:sz w:val="24"/>
          <w:szCs w:val="24"/>
          <w:highlight w:val="none"/>
        </w:rPr>
        <w:t>时</w:t>
      </w:r>
      <w:r>
        <w:rPr>
          <w:rFonts w:ascii="Times New Roman" w:hAnsi="Times New Roman" w:eastAsia="Times New Roman" w:cs="Times New Roman"/>
          <w:color w:val="auto"/>
          <w:spacing w:val="-2"/>
          <w:sz w:val="24"/>
          <w:szCs w:val="24"/>
          <w:highlight w:val="none"/>
        </w:rPr>
        <w:t>4</w:t>
      </w:r>
      <w:r>
        <w:rPr>
          <w:rFonts w:ascii="宋体" w:hAnsi="宋体" w:eastAsia="宋体" w:cs="宋体"/>
          <w:color w:val="auto"/>
          <w:spacing w:val="-2"/>
          <w:sz w:val="24"/>
          <w:szCs w:val="24"/>
          <w:highlight w:val="none"/>
        </w:rPr>
        <w:t>个小时浓度值（每小时至少有</w:t>
      </w:r>
      <w:r>
        <w:rPr>
          <w:rFonts w:ascii="Times New Roman" w:hAnsi="Times New Roman" w:eastAsia="Times New Roman" w:cs="Times New Roman"/>
          <w:color w:val="auto"/>
          <w:spacing w:val="-2"/>
          <w:sz w:val="24"/>
          <w:szCs w:val="24"/>
          <w:highlight w:val="none"/>
        </w:rPr>
        <w:t>45</w:t>
      </w:r>
      <w:r>
        <w:rPr>
          <w:rFonts w:ascii="宋体" w:hAnsi="宋体" w:eastAsia="宋体" w:cs="宋体"/>
          <w:color w:val="auto"/>
          <w:spacing w:val="-2"/>
          <w:sz w:val="24"/>
          <w:szCs w:val="24"/>
          <w:highlight w:val="none"/>
        </w:rPr>
        <w:t>分钟采样时间）。</w:t>
      </w:r>
      <w:bookmarkEnd w:id="2232"/>
      <w:r>
        <w:rPr>
          <w:rFonts w:ascii="宋体" w:hAnsi="宋体" w:eastAsia="宋体" w:cs="宋体"/>
          <w:color w:val="auto"/>
          <w:spacing w:val="-2"/>
          <w:sz w:val="24"/>
          <w:szCs w:val="24"/>
          <w:highlight w:val="none"/>
        </w:rPr>
        <w:t>采样监测同时记录风向、风速、气压、气温等常规气象要素。</w:t>
      </w:r>
      <w:bookmarkStart w:id="2234" w:name="bookmark75"/>
      <w:bookmarkEnd w:id="2234"/>
      <w:bookmarkStart w:id="2235" w:name="OLE_LINK716"/>
    </w:p>
    <w:bookmarkEnd w:id="2235"/>
    <w:p w14:paraId="15B0FD1E">
      <w:pPr>
        <w:keepNext w:val="0"/>
        <w:keepLines w:val="0"/>
        <w:pageBreakBefore w:val="0"/>
        <w:widowControl/>
        <w:kinsoku w:val="0"/>
        <w:wordWrap/>
        <w:overflowPunct/>
        <w:topLinePunct w:val="0"/>
        <w:autoSpaceDE w:val="0"/>
        <w:autoSpaceDN w:val="0"/>
        <w:bidi w:val="0"/>
        <w:adjustRightInd w:val="0"/>
        <w:snapToGrid w:val="0"/>
        <w:spacing w:before="78" w:line="360" w:lineRule="auto"/>
        <w:ind w:left="34"/>
        <w:textAlignment w:val="baseline"/>
        <w:outlineLvl w:val="1"/>
        <w:rPr>
          <w:rFonts w:hint="eastAsia" w:ascii="Times New Roman" w:hAnsi="Times New Roman" w:eastAsia="宋体" w:cs="Times New Roman"/>
          <w:b/>
          <w:bCs/>
          <w:color w:val="auto"/>
          <w:spacing w:val="-2"/>
          <w:sz w:val="24"/>
          <w:szCs w:val="24"/>
          <w:highlight w:val="none"/>
          <w:lang w:val="en-US" w:eastAsia="zh-CN"/>
        </w:rPr>
      </w:pPr>
      <w:bookmarkStart w:id="2236" w:name="_Toc11574"/>
      <w:r>
        <w:rPr>
          <w:rFonts w:hint="eastAsia" w:ascii="Times New Roman" w:hAnsi="Times New Roman" w:eastAsia="宋体" w:cs="Times New Roman"/>
          <w:b/>
          <w:bCs/>
          <w:color w:val="auto"/>
          <w:spacing w:val="-2"/>
          <w:sz w:val="24"/>
          <w:szCs w:val="24"/>
          <w:highlight w:val="none"/>
          <w:lang w:val="en-US" w:eastAsia="zh-CN"/>
        </w:rPr>
        <w:t>9.2地表水环境质量现状监测</w:t>
      </w:r>
      <w:bookmarkEnd w:id="2236"/>
      <w:bookmarkStart w:id="2237" w:name="pindex14554"/>
      <w:bookmarkEnd w:id="2237"/>
    </w:p>
    <w:p w14:paraId="44452617">
      <w:pPr>
        <w:keepNext w:val="0"/>
        <w:keepLines w:val="0"/>
        <w:pageBreakBefore w:val="0"/>
        <w:widowControl/>
        <w:numPr>
          <w:ilvl w:val="0"/>
          <w:numId w:val="11"/>
        </w:numPr>
        <w:kinsoku w:val="0"/>
        <w:wordWrap/>
        <w:overflowPunct/>
        <w:topLinePunct w:val="0"/>
        <w:autoSpaceDE w:val="0"/>
        <w:autoSpaceDN w:val="0"/>
        <w:bidi w:val="0"/>
        <w:adjustRightInd w:val="0"/>
        <w:snapToGrid w:val="0"/>
        <w:spacing w:before="78" w:line="360" w:lineRule="auto"/>
        <w:ind w:left="34" w:firstLine="420" w:firstLineChars="200"/>
        <w:textAlignment w:val="baseline"/>
        <w:outlineLvl w:val="9"/>
        <w:rPr>
          <w:rFonts w:ascii="宋体" w:hAnsi="宋体" w:eastAsia="宋体" w:cs="宋体"/>
          <w:color w:val="auto"/>
          <w:spacing w:val="-2"/>
          <w:sz w:val="24"/>
          <w:szCs w:val="24"/>
          <w:highlight w:val="none"/>
        </w:rPr>
      </w:pPr>
      <w:sdt>
        <w:sdtPr>
          <w:rPr>
            <w:color w:val="auto"/>
            <w:highlight w:val="none"/>
          </w:rPr>
          <w:alias w:val="易错词检查"/>
          <w:tag w:val="auto"/>
          <w:id w:val="1030642"/>
        </w:sdtPr>
        <w:sdtEndPr>
          <w:rPr>
            <w:color w:val="auto"/>
            <w:highlight w:val="none"/>
          </w:rPr>
        </w:sdtEndPr>
        <w:sdtContent>
          <w:bookmarkStart w:id="2238" w:name="bkReivew1030642"/>
          <w:r>
            <w:rPr>
              <w:rFonts w:ascii="宋体" w:hAnsi="宋体" w:eastAsia="宋体" w:cs="宋体"/>
              <w:color w:val="auto"/>
              <w:spacing w:val="-2"/>
              <w:sz w:val="24"/>
              <w:szCs w:val="24"/>
              <w:highlight w:val="none"/>
            </w:rPr>
            <w:t>监</w:t>
          </w:r>
          <w:bookmarkEnd w:id="2238"/>
        </w:sdtContent>
      </w:sdt>
      <w:r>
        <w:rPr>
          <w:rFonts w:ascii="宋体" w:hAnsi="宋体" w:eastAsia="宋体" w:cs="宋体"/>
          <w:color w:val="auto"/>
          <w:spacing w:val="-2"/>
          <w:sz w:val="24"/>
          <w:szCs w:val="24"/>
          <w:highlight w:val="none"/>
        </w:rPr>
        <w:t>测点设置</w:t>
      </w:r>
      <w:bookmarkStart w:id="2239" w:name="pindex14555"/>
      <w:bookmarkEnd w:id="2239"/>
    </w:p>
    <w:p w14:paraId="432CD15B">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78" w:line="360" w:lineRule="auto"/>
        <w:ind w:firstLine="468" w:firstLineChars="200"/>
        <w:textAlignment w:val="baseline"/>
        <w:outlineLvl w:val="9"/>
        <w:rPr>
          <w:rFonts w:ascii="宋体" w:hAnsi="宋体" w:eastAsia="宋体" w:cs="宋体"/>
          <w:color w:val="auto"/>
          <w:spacing w:val="-4"/>
          <w:sz w:val="24"/>
          <w:szCs w:val="24"/>
          <w:highlight w:val="none"/>
        </w:rPr>
      </w:pPr>
      <w:r>
        <w:rPr>
          <w:rFonts w:ascii="宋体" w:hAnsi="宋体" w:eastAsia="宋体" w:cs="宋体"/>
          <w:color w:val="auto"/>
          <w:spacing w:val="-3"/>
          <w:sz w:val="24"/>
          <w:szCs w:val="24"/>
          <w:highlight w:val="none"/>
        </w:rPr>
        <w:t>地表水监测点共设</w:t>
      </w:r>
      <w:r>
        <w:rPr>
          <w:rFonts w:ascii="Times New Roman" w:hAnsi="Times New Roman" w:eastAsia="Times New Roman" w:cs="Times New Roman"/>
          <w:color w:val="auto"/>
          <w:spacing w:val="-3"/>
          <w:sz w:val="24"/>
          <w:szCs w:val="24"/>
          <w:highlight w:val="none"/>
        </w:rPr>
        <w:t>1</w:t>
      </w:r>
      <w:r>
        <w:rPr>
          <w:rFonts w:hint="eastAsia" w:ascii="Times New Roman" w:hAnsi="Times New Roman" w:eastAsia="宋体" w:cs="Times New Roman"/>
          <w:color w:val="auto"/>
          <w:spacing w:val="-3"/>
          <w:sz w:val="24"/>
          <w:szCs w:val="24"/>
          <w:highlight w:val="none"/>
          <w:lang w:val="en-US" w:eastAsia="zh-CN"/>
        </w:rPr>
        <w:t>5</w:t>
      </w:r>
      <w:r>
        <w:rPr>
          <w:rFonts w:ascii="宋体" w:hAnsi="宋体" w:eastAsia="宋体" w:cs="宋体"/>
          <w:color w:val="auto"/>
          <w:spacing w:val="-3"/>
          <w:sz w:val="24"/>
          <w:szCs w:val="24"/>
          <w:highlight w:val="none"/>
        </w:rPr>
        <w:t>个点位，详</w:t>
      </w:r>
      <w:bookmarkStart w:id="2240" w:name="OLE_LINK600"/>
      <w:r>
        <w:rPr>
          <w:rFonts w:hint="default" w:ascii="Times New Roman" w:hAnsi="Times New Roman" w:eastAsia="宋体" w:cs="Times New Roman"/>
          <w:color w:val="auto"/>
          <w:spacing w:val="-3"/>
          <w:sz w:val="24"/>
          <w:szCs w:val="24"/>
          <w:highlight w:val="none"/>
        </w:rPr>
        <w:t>见表</w:t>
      </w:r>
      <w:r>
        <w:rPr>
          <w:rFonts w:hint="default" w:ascii="Times New Roman" w:hAnsi="Times New Roman" w:eastAsia="宋体" w:cs="Times New Roman"/>
          <w:color w:val="auto"/>
          <w:spacing w:val="-3"/>
          <w:sz w:val="24"/>
          <w:szCs w:val="24"/>
          <w:highlight w:val="none"/>
          <w:lang w:val="en-US" w:eastAsia="zh-CN"/>
        </w:rPr>
        <w:t>9</w:t>
      </w:r>
      <w:r>
        <w:rPr>
          <w:rFonts w:hint="default" w:ascii="Times New Roman" w:hAnsi="Times New Roman" w:eastAsia="Times New Roman" w:cs="Times New Roman"/>
          <w:color w:val="auto"/>
          <w:spacing w:val="-3"/>
          <w:sz w:val="24"/>
          <w:szCs w:val="24"/>
          <w:highlight w:val="none"/>
        </w:rPr>
        <w:t>.2-1</w:t>
      </w:r>
      <w:bookmarkEnd w:id="2240"/>
      <w:r>
        <w:rPr>
          <w:rFonts w:ascii="宋体" w:hAnsi="宋体" w:eastAsia="宋体" w:cs="宋体"/>
          <w:color w:val="auto"/>
          <w:spacing w:val="-4"/>
          <w:sz w:val="24"/>
          <w:szCs w:val="24"/>
          <w:highlight w:val="none"/>
        </w:rPr>
        <w:t>、</w:t>
      </w:r>
      <w:r>
        <w:rPr>
          <w:rFonts w:hint="eastAsia" w:ascii="宋体" w:hAnsi="宋体" w:eastAsia="宋体" w:cs="宋体"/>
          <w:color w:val="auto"/>
          <w:spacing w:val="-4"/>
          <w:sz w:val="24"/>
          <w:szCs w:val="24"/>
          <w:highlight w:val="none"/>
          <w:lang w:val="en-US" w:eastAsia="zh-CN"/>
        </w:rPr>
        <w:t>附图</w:t>
      </w:r>
      <w:r>
        <w:rPr>
          <w:rFonts w:hint="eastAsia" w:ascii="Times New Roman" w:hAnsi="Times New Roman" w:eastAsia="宋体" w:cs="Times New Roman"/>
          <w:color w:val="auto"/>
          <w:spacing w:val="-4"/>
          <w:sz w:val="24"/>
          <w:szCs w:val="24"/>
          <w:highlight w:val="none"/>
          <w:lang w:val="en-US" w:eastAsia="zh-CN"/>
        </w:rPr>
        <w:t>5</w:t>
      </w:r>
      <w:r>
        <w:rPr>
          <w:rFonts w:ascii="宋体" w:hAnsi="宋体" w:eastAsia="宋体" w:cs="宋体"/>
          <w:color w:val="auto"/>
          <w:spacing w:val="-4"/>
          <w:sz w:val="24"/>
          <w:szCs w:val="24"/>
          <w:highlight w:val="none"/>
        </w:rPr>
        <w:t>。</w:t>
      </w:r>
    </w:p>
    <w:p w14:paraId="3448F8AF">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78" w:line="240" w:lineRule="auto"/>
        <w:jc w:val="center"/>
        <w:textAlignment w:val="baseline"/>
        <w:outlineLvl w:val="9"/>
        <w:rPr>
          <w:color w:val="auto"/>
          <w:highlight w:val="none"/>
        </w:rPr>
      </w:pPr>
      <w:r>
        <w:rPr>
          <w:rFonts w:ascii="宋体" w:hAnsi="宋体" w:eastAsia="宋体" w:cs="宋体"/>
          <w:b/>
          <w:bCs/>
          <w:color w:val="auto"/>
          <w:spacing w:val="-2"/>
          <w:sz w:val="24"/>
          <w:szCs w:val="24"/>
          <w:highlight w:val="none"/>
        </w:rPr>
        <w:t>表</w:t>
      </w:r>
      <w:r>
        <w:rPr>
          <w:rFonts w:hint="default" w:ascii="Times New Roman" w:hAnsi="Times New Roman" w:eastAsia="宋体" w:cs="Times New Roman"/>
          <w:b/>
          <w:bCs/>
          <w:color w:val="auto"/>
          <w:spacing w:val="-2"/>
          <w:sz w:val="24"/>
          <w:szCs w:val="24"/>
          <w:highlight w:val="none"/>
          <w:lang w:val="en-US" w:eastAsia="zh-CN"/>
        </w:rPr>
        <w:t>9</w:t>
      </w:r>
      <w:r>
        <w:rPr>
          <w:rFonts w:ascii="Times New Roman" w:hAnsi="Times New Roman" w:eastAsia="Times New Roman" w:cs="Times New Roman"/>
          <w:b/>
          <w:bCs/>
          <w:color w:val="auto"/>
          <w:spacing w:val="-2"/>
          <w:sz w:val="24"/>
          <w:szCs w:val="24"/>
          <w:highlight w:val="none"/>
        </w:rPr>
        <w:t>.2-1</w:t>
      </w:r>
      <w:r>
        <w:rPr>
          <w:rFonts w:hint="eastAsia" w:ascii="Times New Roman" w:hAnsi="Times New Roman" w:eastAsia="宋体" w:cs="Times New Roman"/>
          <w:b/>
          <w:bCs/>
          <w:color w:val="auto"/>
          <w:spacing w:val="-2"/>
          <w:sz w:val="24"/>
          <w:szCs w:val="24"/>
          <w:highlight w:val="none"/>
          <w:lang w:val="en-US" w:eastAsia="zh-CN"/>
        </w:rPr>
        <w:t xml:space="preserve">  </w:t>
      </w:r>
      <w:r>
        <w:rPr>
          <w:rFonts w:ascii="宋体" w:hAnsi="宋体" w:eastAsia="宋体" w:cs="宋体"/>
          <w:b/>
          <w:bCs/>
          <w:color w:val="auto"/>
          <w:spacing w:val="-2"/>
          <w:sz w:val="24"/>
          <w:szCs w:val="24"/>
          <w:highlight w:val="none"/>
        </w:rPr>
        <w:t>地表水水质监测断面</w:t>
      </w:r>
      <w:bookmarkStart w:id="2241" w:name="pindex14557"/>
      <w:bookmarkEnd w:id="2241"/>
    </w:p>
    <w:tbl>
      <w:tblPr>
        <w:tblStyle w:val="26"/>
        <w:tblW w:w="8478" w:type="dxa"/>
        <w:tblInd w:w="136"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870"/>
        <w:gridCol w:w="736"/>
        <w:gridCol w:w="2882"/>
        <w:gridCol w:w="2721"/>
        <w:gridCol w:w="1269"/>
      </w:tblGrid>
      <w:tr w14:paraId="691DFB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tcBorders>
              <w:tl2br w:val="nil"/>
              <w:tr2bl w:val="nil"/>
            </w:tcBorders>
            <w:vAlign w:val="center"/>
          </w:tcPr>
          <w:p w14:paraId="4731AB5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bookmarkStart w:id="2242" w:name="OLE_LINK602" w:colFirst="0" w:colLast="3"/>
            <w:r>
              <w:rPr>
                <w:rFonts w:hint="default" w:ascii="Times New Roman" w:hAnsi="Times New Roman" w:eastAsia="宋体" w:cs="Times New Roman"/>
                <w:b/>
                <w:bCs/>
                <w:color w:val="auto"/>
                <w:sz w:val="21"/>
                <w:szCs w:val="21"/>
                <w:highlight w:val="none"/>
              </w:rPr>
              <w:t>水体名称</w:t>
            </w:r>
          </w:p>
        </w:tc>
        <w:tc>
          <w:tcPr>
            <w:tcW w:w="736" w:type="dxa"/>
            <w:tcBorders>
              <w:tl2br w:val="nil"/>
              <w:tr2bl w:val="nil"/>
            </w:tcBorders>
            <w:vAlign w:val="center"/>
          </w:tcPr>
          <w:p w14:paraId="241282BF">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编号</w:t>
            </w:r>
          </w:p>
        </w:tc>
        <w:tc>
          <w:tcPr>
            <w:tcW w:w="2882" w:type="dxa"/>
            <w:tcBorders>
              <w:tl2br w:val="nil"/>
              <w:tr2bl w:val="nil"/>
            </w:tcBorders>
            <w:vAlign w:val="center"/>
          </w:tcPr>
          <w:p w14:paraId="243AFDB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断面名称</w:t>
            </w:r>
          </w:p>
        </w:tc>
        <w:tc>
          <w:tcPr>
            <w:tcW w:w="2721" w:type="dxa"/>
            <w:tcBorders>
              <w:tl2br w:val="nil"/>
              <w:tr2bl w:val="nil"/>
            </w:tcBorders>
            <w:vAlign w:val="center"/>
          </w:tcPr>
          <w:p w14:paraId="4404E802">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监测项目</w:t>
            </w:r>
          </w:p>
        </w:tc>
        <w:tc>
          <w:tcPr>
            <w:tcW w:w="1269" w:type="dxa"/>
            <w:tcBorders>
              <w:tl2br w:val="nil"/>
              <w:tr2bl w:val="nil"/>
            </w:tcBorders>
            <w:vAlign w:val="center"/>
          </w:tcPr>
          <w:p w14:paraId="392A4AEB">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lang w:val="en-US" w:eastAsia="zh-CN"/>
              </w:rPr>
            </w:pPr>
            <w:bookmarkStart w:id="2243" w:name="OLE_LINK718"/>
            <w:r>
              <w:rPr>
                <w:rFonts w:hint="eastAsia" w:ascii="Times New Roman" w:hAnsi="Times New Roman" w:eastAsia="宋体" w:cs="Times New Roman"/>
                <w:b/>
                <w:bCs/>
                <w:color w:val="auto"/>
                <w:sz w:val="21"/>
                <w:szCs w:val="21"/>
                <w:highlight w:val="none"/>
                <w:lang w:val="en-US" w:eastAsia="zh-CN"/>
              </w:rPr>
              <w:t>监测频次</w:t>
            </w:r>
            <w:bookmarkEnd w:id="2243"/>
          </w:p>
        </w:tc>
      </w:tr>
      <w:bookmarkEnd w:id="2242"/>
      <w:tr w14:paraId="789D30B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vMerge w:val="restart"/>
            <w:tcBorders>
              <w:tl2br w:val="nil"/>
              <w:tr2bl w:val="nil"/>
            </w:tcBorders>
            <w:vAlign w:val="center"/>
          </w:tcPr>
          <w:p w14:paraId="0C87C6E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秦淮新河</w:t>
            </w:r>
          </w:p>
        </w:tc>
        <w:tc>
          <w:tcPr>
            <w:tcW w:w="736" w:type="dxa"/>
            <w:tcBorders>
              <w:tl2br w:val="nil"/>
              <w:tr2bl w:val="nil"/>
            </w:tcBorders>
            <w:vAlign w:val="center"/>
          </w:tcPr>
          <w:p w14:paraId="7BA9EDC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W1-1</w:t>
            </w:r>
          </w:p>
        </w:tc>
        <w:tc>
          <w:tcPr>
            <w:tcW w:w="2882" w:type="dxa"/>
            <w:tcBorders>
              <w:tl2br w:val="nil"/>
              <w:tr2bl w:val="nil"/>
            </w:tcBorders>
            <w:vAlign w:val="center"/>
          </w:tcPr>
          <w:p w14:paraId="6F6386F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Cs w:val="21"/>
                <w:highlight w:val="none"/>
                <w:lang w:val="en-US" w:eastAsia="zh-CN"/>
              </w:rPr>
              <w:t>开发区污水处理厂上游</w:t>
            </w:r>
            <w:r>
              <w:rPr>
                <w:rFonts w:hint="eastAsia" w:ascii="Times New Roman" w:hAnsi="Times New Roman" w:eastAsia="宋体" w:cs="Times New Roman"/>
                <w:color w:val="auto"/>
                <w:szCs w:val="21"/>
                <w:highlight w:val="none"/>
                <w:lang w:val="en-US" w:eastAsia="zh-CN"/>
              </w:rPr>
              <w:t>5</w:t>
            </w:r>
            <w:r>
              <w:rPr>
                <w:rFonts w:hint="default" w:ascii="Times New Roman" w:hAnsi="Times New Roman" w:eastAsia="宋体" w:cs="Times New Roman"/>
                <w:color w:val="auto"/>
                <w:szCs w:val="21"/>
                <w:highlight w:val="none"/>
                <w:lang w:val="en-US" w:eastAsia="zh-CN"/>
              </w:rPr>
              <w:t>00m</w:t>
            </w:r>
          </w:p>
        </w:tc>
        <w:tc>
          <w:tcPr>
            <w:tcW w:w="2721" w:type="dxa"/>
            <w:vMerge w:val="restart"/>
            <w:tcBorders>
              <w:tl2br w:val="nil"/>
              <w:tr2bl w:val="nil"/>
            </w:tcBorders>
            <w:vAlign w:val="center"/>
          </w:tcPr>
          <w:p w14:paraId="20D104BB">
            <w:pPr>
              <w:pStyle w:val="30"/>
              <w:keepNext w:val="0"/>
              <w:keepLines w:val="0"/>
              <w:suppressLineNumbers w:val="0"/>
              <w:spacing w:before="0" w:beforeAutospacing="0" w:after="0" w:afterAutospacing="0"/>
              <w:ind w:left="0" w:right="0"/>
              <w:jc w:val="left"/>
              <w:rPr>
                <w:rFonts w:hint="default" w:ascii="Times New Roman" w:hAnsi="Times New Roman" w:cs="Times New Roman"/>
                <w:color w:val="auto"/>
                <w:highlight w:val="none"/>
                <w:lang w:val="en-US" w:eastAsia="zh-CN"/>
              </w:rPr>
            </w:pPr>
            <w:bookmarkStart w:id="2244" w:name="sys14566090"/>
            <w:r>
              <w:rPr>
                <w:rFonts w:hint="default" w:ascii="Times New Roman" w:hAnsi="Times New Roman" w:cs="Times New Roman"/>
                <w:b/>
                <w:bCs/>
                <w:color w:val="auto"/>
                <w:highlight w:val="none"/>
                <w:lang w:val="en-US" w:eastAsia="zh-CN"/>
              </w:rPr>
              <w:t>基本项目因子：</w:t>
            </w:r>
            <w:r>
              <w:rPr>
                <w:rFonts w:hint="default" w:ascii="Times New Roman" w:hAnsi="Times New Roman" w:cs="Times New Roman"/>
                <w:color w:val="auto"/>
                <w:highlight w:val="none"/>
              </w:rPr>
              <w:t>水温、pH、DO、氨氮、总磷、SS、COD、COD</w:t>
            </w:r>
            <w:r>
              <w:rPr>
                <w:rFonts w:hint="default" w:ascii="Times New Roman" w:hAnsi="Times New Roman" w:cs="Times New Roman"/>
                <w:color w:val="auto"/>
                <w:highlight w:val="none"/>
                <w:vertAlign w:val="subscript"/>
              </w:rPr>
              <w:t>Mn</w:t>
            </w: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lang w:val="en-US" w:eastAsia="zh-CN"/>
              </w:rPr>
              <w:t>5</w:t>
            </w:r>
            <w:r>
              <w:rPr>
                <w:rFonts w:hint="default" w:ascii="Times New Roman" w:hAnsi="Times New Roman" w:cs="Times New Roman"/>
                <w:color w:val="auto"/>
                <w:highlight w:val="none"/>
              </w:rPr>
              <w:t>、TN、石油类、硫化物、氰化物、挥发酚、镉、六价铬、铬、锌、锰、LAS</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总铜、氟化物、铅、汞、硒和砷；</w:t>
            </w:r>
            <w:bookmarkEnd w:id="2244"/>
          </w:p>
          <w:p w14:paraId="2062C069">
            <w:pPr>
              <w:keepNext w:val="0"/>
              <w:keepLines w:val="0"/>
              <w:suppressLineNumbers w:val="0"/>
              <w:adjustRightInd w:val="0"/>
              <w:snapToGrid w:val="0"/>
              <w:spacing w:before="0" w:beforeAutospacing="0" w:after="0" w:afterAutospacing="0"/>
              <w:ind w:left="0" w:right="0"/>
              <w:jc w:val="left"/>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lang w:val="en-US" w:eastAsia="zh-CN"/>
              </w:rPr>
              <w:t>特定项目因子：</w:t>
            </w:r>
            <w:r>
              <w:rPr>
                <w:rFonts w:hint="default" w:ascii="Times New Roman" w:hAnsi="Times New Roman" w:cs="Times New Roman"/>
                <w:color w:val="auto"/>
                <w:highlight w:val="none"/>
                <w:lang w:val="en-US" w:eastAsia="zh-CN"/>
              </w:rPr>
              <w:t>镍；</w:t>
            </w:r>
          </w:p>
          <w:p w14:paraId="754B1AC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bookmarkStart w:id="2245" w:name="sys14568030"/>
            <w:r>
              <w:rPr>
                <w:rFonts w:hint="default" w:ascii="Times New Roman" w:hAnsi="Times New Roman" w:cs="Times New Roman"/>
                <w:b/>
                <w:bCs/>
                <w:color w:val="auto"/>
                <w:highlight w:val="none"/>
                <w:lang w:val="en-US" w:eastAsia="zh-CN"/>
              </w:rPr>
              <w:t>其他：</w:t>
            </w:r>
            <w:r>
              <w:rPr>
                <w:rFonts w:hint="default" w:ascii="Times New Roman" w:hAnsi="Times New Roman" w:cs="Times New Roman"/>
                <w:color w:val="auto"/>
                <w:highlight w:val="none"/>
              </w:rPr>
              <w:t>同时监测水温、流向、流量、河宽、水深、流速等水文参数。</w:t>
            </w:r>
            <w:bookmarkEnd w:id="2245"/>
          </w:p>
        </w:tc>
        <w:tc>
          <w:tcPr>
            <w:tcW w:w="1269" w:type="dxa"/>
            <w:vMerge w:val="restart"/>
            <w:tcBorders>
              <w:tl2br w:val="nil"/>
              <w:tr2bl w:val="nil"/>
            </w:tcBorders>
            <w:vAlign w:val="center"/>
          </w:tcPr>
          <w:p w14:paraId="6BDE925B">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三年一次</w:t>
            </w:r>
          </w:p>
        </w:tc>
      </w:tr>
      <w:tr w14:paraId="792DA1D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vMerge w:val="continue"/>
            <w:tcBorders>
              <w:tl2br w:val="nil"/>
              <w:tr2bl w:val="nil"/>
            </w:tcBorders>
            <w:vAlign w:val="center"/>
          </w:tcPr>
          <w:p w14:paraId="6795AF1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736" w:type="dxa"/>
            <w:tcBorders>
              <w:tl2br w:val="nil"/>
              <w:tr2bl w:val="nil"/>
            </w:tcBorders>
            <w:vAlign w:val="center"/>
          </w:tcPr>
          <w:p w14:paraId="769FE59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W1-</w:t>
            </w:r>
            <w:r>
              <w:rPr>
                <w:rFonts w:hint="eastAsia" w:ascii="Times New Roman" w:hAnsi="Times New Roman" w:cs="Times New Roman"/>
                <w:color w:val="auto"/>
                <w:szCs w:val="21"/>
                <w:highlight w:val="none"/>
                <w:lang w:val="en-US" w:eastAsia="zh-CN"/>
              </w:rPr>
              <w:t>2</w:t>
            </w:r>
          </w:p>
        </w:tc>
        <w:tc>
          <w:tcPr>
            <w:tcW w:w="2882" w:type="dxa"/>
            <w:tcBorders>
              <w:tl2br w:val="nil"/>
              <w:tr2bl w:val="nil"/>
            </w:tcBorders>
            <w:vAlign w:val="center"/>
          </w:tcPr>
          <w:p w14:paraId="00544D6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Cs w:val="21"/>
                <w:highlight w:val="none"/>
                <w:lang w:val="en-US" w:eastAsia="zh-CN"/>
              </w:rPr>
              <w:t>开发区污水处理厂</w:t>
            </w:r>
            <w:r>
              <w:rPr>
                <w:rFonts w:hint="eastAsia" w:ascii="Times New Roman" w:hAnsi="Times New Roman" w:eastAsia="宋体" w:cs="Times New Roman"/>
                <w:color w:val="auto"/>
                <w:szCs w:val="21"/>
                <w:highlight w:val="none"/>
                <w:lang w:val="en-US" w:eastAsia="zh-CN"/>
              </w:rPr>
              <w:t>下</w:t>
            </w:r>
            <w:r>
              <w:rPr>
                <w:rFonts w:hint="default" w:ascii="Times New Roman" w:hAnsi="Times New Roman" w:eastAsia="宋体" w:cs="Times New Roman"/>
                <w:color w:val="auto"/>
                <w:szCs w:val="21"/>
                <w:highlight w:val="none"/>
                <w:lang w:val="en-US" w:eastAsia="zh-CN"/>
              </w:rPr>
              <w:t>游</w:t>
            </w:r>
            <w:r>
              <w:rPr>
                <w:rFonts w:hint="eastAsia" w:ascii="Times New Roman" w:hAnsi="Times New Roman" w:eastAsia="宋体" w:cs="Times New Roman"/>
                <w:color w:val="auto"/>
                <w:szCs w:val="21"/>
                <w:highlight w:val="none"/>
                <w:lang w:val="en-US" w:eastAsia="zh-CN"/>
              </w:rPr>
              <w:t>1</w:t>
            </w:r>
            <w:r>
              <w:rPr>
                <w:rFonts w:hint="default" w:ascii="Times New Roman" w:hAnsi="Times New Roman" w:eastAsia="宋体" w:cs="Times New Roman"/>
                <w:color w:val="auto"/>
                <w:szCs w:val="21"/>
                <w:highlight w:val="none"/>
                <w:lang w:val="en-US" w:eastAsia="zh-CN"/>
              </w:rPr>
              <w:t>0</w:t>
            </w:r>
            <w:r>
              <w:rPr>
                <w:rFonts w:hint="eastAsia"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lang w:val="en-US" w:eastAsia="zh-CN"/>
              </w:rPr>
              <w:t>0m</w:t>
            </w:r>
          </w:p>
        </w:tc>
        <w:tc>
          <w:tcPr>
            <w:tcW w:w="2721" w:type="dxa"/>
            <w:vMerge w:val="continue"/>
            <w:tcBorders>
              <w:tl2br w:val="nil"/>
              <w:tr2bl w:val="nil"/>
            </w:tcBorders>
            <w:vAlign w:val="center"/>
          </w:tcPr>
          <w:p w14:paraId="2630F50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48B70E3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r w14:paraId="1A06088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vMerge w:val="restart"/>
            <w:tcBorders>
              <w:tl2br w:val="nil"/>
              <w:tr2bl w:val="nil"/>
            </w:tcBorders>
            <w:vAlign w:val="center"/>
          </w:tcPr>
          <w:p w14:paraId="6A23A17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秦淮河</w:t>
            </w:r>
          </w:p>
        </w:tc>
        <w:tc>
          <w:tcPr>
            <w:tcW w:w="736" w:type="dxa"/>
            <w:tcBorders>
              <w:tl2br w:val="nil"/>
              <w:tr2bl w:val="nil"/>
            </w:tcBorders>
            <w:vAlign w:val="center"/>
          </w:tcPr>
          <w:p w14:paraId="17C877F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Cs w:val="21"/>
                <w:highlight w:val="none"/>
                <w:lang w:val="en-US" w:eastAsia="zh-CN"/>
              </w:rPr>
              <w:t>W2-</w:t>
            </w:r>
            <w:r>
              <w:rPr>
                <w:rFonts w:hint="eastAsia" w:ascii="Times New Roman" w:hAnsi="Times New Roman" w:eastAsia="宋体" w:cs="Times New Roman"/>
                <w:color w:val="auto"/>
                <w:szCs w:val="21"/>
                <w:highlight w:val="none"/>
                <w:lang w:val="en-US" w:eastAsia="zh-CN"/>
              </w:rPr>
              <w:t>1</w:t>
            </w:r>
          </w:p>
        </w:tc>
        <w:tc>
          <w:tcPr>
            <w:tcW w:w="2882" w:type="dxa"/>
            <w:tcBorders>
              <w:tl2br w:val="nil"/>
              <w:tr2bl w:val="nil"/>
            </w:tcBorders>
            <w:vAlign w:val="center"/>
          </w:tcPr>
          <w:p w14:paraId="456D0B9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科学园污水处理厂上游500m</w:t>
            </w:r>
          </w:p>
        </w:tc>
        <w:tc>
          <w:tcPr>
            <w:tcW w:w="2721" w:type="dxa"/>
            <w:vMerge w:val="continue"/>
            <w:tcBorders>
              <w:tl2br w:val="nil"/>
              <w:tr2bl w:val="nil"/>
            </w:tcBorders>
            <w:vAlign w:val="center"/>
          </w:tcPr>
          <w:p w14:paraId="55CBF29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2CD40E2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r w14:paraId="3EEC800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vMerge w:val="continue"/>
            <w:tcBorders>
              <w:tl2br w:val="nil"/>
              <w:tr2bl w:val="nil"/>
            </w:tcBorders>
            <w:vAlign w:val="center"/>
          </w:tcPr>
          <w:p w14:paraId="3B2DCC8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736" w:type="dxa"/>
            <w:tcBorders>
              <w:tl2br w:val="nil"/>
              <w:tr2bl w:val="nil"/>
            </w:tcBorders>
            <w:vAlign w:val="center"/>
          </w:tcPr>
          <w:p w14:paraId="6EDA5B3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W2-</w:t>
            </w:r>
            <w:r>
              <w:rPr>
                <w:rFonts w:hint="eastAsia" w:ascii="Times New Roman" w:hAnsi="Times New Roman" w:cs="Times New Roman"/>
                <w:color w:val="auto"/>
                <w:szCs w:val="21"/>
                <w:highlight w:val="none"/>
                <w:lang w:val="en-US" w:eastAsia="zh-CN"/>
              </w:rPr>
              <w:t>2</w:t>
            </w:r>
          </w:p>
        </w:tc>
        <w:tc>
          <w:tcPr>
            <w:tcW w:w="2882" w:type="dxa"/>
            <w:tcBorders>
              <w:tl2br w:val="nil"/>
              <w:tr2bl w:val="nil"/>
            </w:tcBorders>
            <w:vAlign w:val="center"/>
          </w:tcPr>
          <w:p w14:paraId="250378F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科学园污水处理厂排口下游1000m</w:t>
            </w:r>
          </w:p>
        </w:tc>
        <w:tc>
          <w:tcPr>
            <w:tcW w:w="2721" w:type="dxa"/>
            <w:vMerge w:val="continue"/>
            <w:tcBorders>
              <w:tl2br w:val="nil"/>
              <w:tr2bl w:val="nil"/>
            </w:tcBorders>
            <w:vAlign w:val="center"/>
          </w:tcPr>
          <w:p w14:paraId="1377B34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7351FE7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r w14:paraId="57CB5DC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tcBorders>
              <w:tl2br w:val="nil"/>
              <w:tr2bl w:val="nil"/>
            </w:tcBorders>
            <w:vAlign w:val="center"/>
          </w:tcPr>
          <w:p w14:paraId="74091E1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牛首山河</w:t>
            </w:r>
          </w:p>
        </w:tc>
        <w:tc>
          <w:tcPr>
            <w:tcW w:w="736" w:type="dxa"/>
            <w:tcBorders>
              <w:tl2br w:val="nil"/>
              <w:tr2bl w:val="nil"/>
            </w:tcBorders>
            <w:vAlign w:val="center"/>
          </w:tcPr>
          <w:p w14:paraId="355C6FF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Cs w:val="21"/>
                <w:highlight w:val="none"/>
                <w:lang w:val="en-US" w:eastAsia="zh-CN"/>
              </w:rPr>
              <w:t>W3-1</w:t>
            </w:r>
          </w:p>
        </w:tc>
        <w:tc>
          <w:tcPr>
            <w:tcW w:w="2882" w:type="dxa"/>
            <w:tcBorders>
              <w:tl2br w:val="nil"/>
              <w:tr2bl w:val="nil"/>
            </w:tcBorders>
            <w:vAlign w:val="center"/>
          </w:tcPr>
          <w:p w14:paraId="51B67C9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Cs w:val="21"/>
                <w:highlight w:val="none"/>
                <w:lang w:val="en-US" w:eastAsia="zh-CN"/>
              </w:rPr>
              <w:t>距</w:t>
            </w:r>
            <w:sdt>
              <w:sdtPr>
                <w:rPr>
                  <w:color w:val="auto"/>
                  <w:highlight w:val="none"/>
                </w:rPr>
                <w:alias w:val="易错词检查"/>
                <w:tag w:val="auto"/>
                <w:id w:val="2033411"/>
              </w:sdtPr>
              <w:sdtEndPr>
                <w:rPr>
                  <w:color w:val="auto"/>
                  <w:highlight w:val="none"/>
                </w:rPr>
              </w:sdtEndPr>
              <w:sdtContent>
                <w:bookmarkStart w:id="2246" w:name="bkReivew2033411"/>
                <w:r>
                  <w:rPr>
                    <w:rFonts w:hint="default" w:ascii="Times New Roman" w:hAnsi="Times New Roman" w:cs="Times New Roman"/>
                    <w:color w:val="auto"/>
                    <w:szCs w:val="21"/>
                    <w:highlight w:val="none"/>
                    <w:lang w:val="en-US" w:eastAsia="zh-CN"/>
                  </w:rPr>
                  <w:t>与</w:t>
                </w:r>
                <w:bookmarkEnd w:id="2246"/>
              </w:sdtContent>
            </w:sdt>
            <w:r>
              <w:rPr>
                <w:rFonts w:hint="eastAsia" w:ascii="Times New Roman" w:hAnsi="Times New Roman" w:cs="Times New Roman"/>
                <w:color w:val="auto"/>
                <w:szCs w:val="21"/>
                <w:highlight w:val="none"/>
                <w:lang w:val="en-US" w:eastAsia="zh-CN"/>
              </w:rPr>
              <w:t>秦淮河交界处1000m</w:t>
            </w:r>
          </w:p>
        </w:tc>
        <w:tc>
          <w:tcPr>
            <w:tcW w:w="2721" w:type="dxa"/>
            <w:vMerge w:val="continue"/>
            <w:tcBorders>
              <w:tl2br w:val="nil"/>
              <w:tr2bl w:val="nil"/>
            </w:tcBorders>
            <w:vAlign w:val="center"/>
          </w:tcPr>
          <w:p w14:paraId="4C72A40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5A56B1A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r w14:paraId="10A5CF3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vMerge w:val="restart"/>
            <w:tcBorders>
              <w:tl2br w:val="nil"/>
              <w:tr2bl w:val="nil"/>
            </w:tcBorders>
            <w:vAlign w:val="center"/>
          </w:tcPr>
          <w:p w14:paraId="3B9C814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云台山河</w:t>
            </w:r>
          </w:p>
        </w:tc>
        <w:tc>
          <w:tcPr>
            <w:tcW w:w="736" w:type="dxa"/>
            <w:tcBorders>
              <w:tl2br w:val="nil"/>
              <w:tr2bl w:val="nil"/>
            </w:tcBorders>
            <w:vAlign w:val="center"/>
          </w:tcPr>
          <w:p w14:paraId="77C7ED8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W4-1</w:t>
            </w:r>
          </w:p>
        </w:tc>
        <w:tc>
          <w:tcPr>
            <w:tcW w:w="2882" w:type="dxa"/>
            <w:tcBorders>
              <w:tl2br w:val="nil"/>
              <w:tr2bl w:val="nil"/>
            </w:tcBorders>
            <w:vAlign w:val="center"/>
          </w:tcPr>
          <w:p w14:paraId="55264DF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空港污水处理厂排口上游500m</w:t>
            </w:r>
          </w:p>
        </w:tc>
        <w:tc>
          <w:tcPr>
            <w:tcW w:w="2721" w:type="dxa"/>
            <w:vMerge w:val="continue"/>
            <w:tcBorders>
              <w:tl2br w:val="nil"/>
              <w:tr2bl w:val="nil"/>
            </w:tcBorders>
            <w:vAlign w:val="center"/>
          </w:tcPr>
          <w:p w14:paraId="682D37D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3789B3B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r w14:paraId="5DF18AC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vMerge w:val="continue"/>
            <w:tcBorders>
              <w:tl2br w:val="nil"/>
              <w:tr2bl w:val="nil"/>
            </w:tcBorders>
            <w:vAlign w:val="center"/>
          </w:tcPr>
          <w:p w14:paraId="3345F51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736" w:type="dxa"/>
            <w:tcBorders>
              <w:tl2br w:val="nil"/>
              <w:tr2bl w:val="nil"/>
            </w:tcBorders>
            <w:vAlign w:val="center"/>
          </w:tcPr>
          <w:p w14:paraId="1ACC434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W4-2</w:t>
            </w:r>
          </w:p>
        </w:tc>
        <w:tc>
          <w:tcPr>
            <w:tcW w:w="2882" w:type="dxa"/>
            <w:tcBorders>
              <w:tl2br w:val="nil"/>
              <w:tr2bl w:val="nil"/>
            </w:tcBorders>
            <w:vAlign w:val="center"/>
          </w:tcPr>
          <w:p w14:paraId="156DAF5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南区污水处理厂</w:t>
            </w:r>
            <w:r>
              <w:rPr>
                <w:rFonts w:hint="eastAsia" w:ascii="Times New Roman" w:hAnsi="Times New Roman" w:cs="Times New Roman"/>
                <w:color w:val="auto"/>
                <w:szCs w:val="21"/>
                <w:highlight w:val="none"/>
                <w:lang w:val="en-US" w:eastAsia="zh-CN"/>
              </w:rPr>
              <w:t>上</w:t>
            </w:r>
            <w:r>
              <w:rPr>
                <w:rFonts w:hint="default" w:ascii="Times New Roman" w:hAnsi="Times New Roman" w:cs="Times New Roman"/>
                <w:color w:val="auto"/>
                <w:szCs w:val="21"/>
                <w:highlight w:val="none"/>
                <w:lang w:val="en-US" w:eastAsia="zh-CN"/>
              </w:rPr>
              <w:t>游约</w:t>
            </w:r>
            <w:r>
              <w:rPr>
                <w:rFonts w:hint="eastAsia" w:ascii="Times New Roman" w:hAnsi="Times New Roman" w:cs="Times New Roman"/>
                <w:color w:val="auto"/>
                <w:szCs w:val="21"/>
                <w:highlight w:val="none"/>
                <w:lang w:val="en-US" w:eastAsia="zh-CN"/>
              </w:rPr>
              <w:t>500</w:t>
            </w:r>
            <w:r>
              <w:rPr>
                <w:rFonts w:hint="default" w:ascii="Times New Roman" w:hAnsi="Times New Roman" w:cs="Times New Roman"/>
                <w:color w:val="auto"/>
                <w:szCs w:val="21"/>
                <w:highlight w:val="none"/>
                <w:lang w:val="en-US" w:eastAsia="zh-CN"/>
              </w:rPr>
              <w:t>米</w:t>
            </w:r>
          </w:p>
        </w:tc>
        <w:tc>
          <w:tcPr>
            <w:tcW w:w="2721" w:type="dxa"/>
            <w:vMerge w:val="continue"/>
            <w:tcBorders>
              <w:tl2br w:val="nil"/>
              <w:tr2bl w:val="nil"/>
            </w:tcBorders>
            <w:vAlign w:val="center"/>
          </w:tcPr>
          <w:p w14:paraId="6C62A64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28B2B59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r w14:paraId="5EC31C7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vMerge w:val="continue"/>
            <w:tcBorders>
              <w:tl2br w:val="nil"/>
              <w:tr2bl w:val="nil"/>
            </w:tcBorders>
            <w:vAlign w:val="center"/>
          </w:tcPr>
          <w:p w14:paraId="17130BB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736" w:type="dxa"/>
            <w:tcBorders>
              <w:tl2br w:val="nil"/>
              <w:tr2bl w:val="nil"/>
            </w:tcBorders>
            <w:vAlign w:val="center"/>
          </w:tcPr>
          <w:p w14:paraId="2B8447E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W4-</w:t>
            </w:r>
            <w:r>
              <w:rPr>
                <w:rFonts w:hint="eastAsia" w:ascii="Times New Roman" w:hAnsi="Times New Roman" w:cs="Times New Roman"/>
                <w:color w:val="auto"/>
                <w:szCs w:val="21"/>
                <w:highlight w:val="none"/>
                <w:lang w:val="en-US" w:eastAsia="zh-CN"/>
              </w:rPr>
              <w:t>3</w:t>
            </w:r>
          </w:p>
        </w:tc>
        <w:tc>
          <w:tcPr>
            <w:tcW w:w="2882" w:type="dxa"/>
            <w:tcBorders>
              <w:tl2br w:val="nil"/>
              <w:tr2bl w:val="nil"/>
            </w:tcBorders>
            <w:vAlign w:val="center"/>
          </w:tcPr>
          <w:p w14:paraId="613D335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南区污水处理厂下游约</w:t>
            </w:r>
            <w:r>
              <w:rPr>
                <w:rFonts w:hint="eastAsia" w:ascii="Times New Roman" w:hAnsi="Times New Roman" w:cs="Times New Roman"/>
                <w:color w:val="auto"/>
                <w:szCs w:val="21"/>
                <w:highlight w:val="none"/>
                <w:lang w:val="en-US" w:eastAsia="zh-CN"/>
              </w:rPr>
              <w:t>1000</w:t>
            </w:r>
            <w:r>
              <w:rPr>
                <w:rFonts w:hint="default" w:ascii="Times New Roman" w:hAnsi="Times New Roman" w:cs="Times New Roman"/>
                <w:color w:val="auto"/>
                <w:szCs w:val="21"/>
                <w:highlight w:val="none"/>
                <w:lang w:val="en-US" w:eastAsia="zh-CN"/>
              </w:rPr>
              <w:t>米</w:t>
            </w:r>
          </w:p>
        </w:tc>
        <w:tc>
          <w:tcPr>
            <w:tcW w:w="2721" w:type="dxa"/>
            <w:vMerge w:val="continue"/>
            <w:tcBorders>
              <w:tl2br w:val="nil"/>
              <w:tr2bl w:val="nil"/>
            </w:tcBorders>
            <w:vAlign w:val="center"/>
          </w:tcPr>
          <w:p w14:paraId="4B65679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1655FFC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r w14:paraId="6F076B4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vMerge w:val="restart"/>
            <w:tcBorders>
              <w:tl2br w:val="nil"/>
              <w:tr2bl w:val="nil"/>
            </w:tcBorders>
            <w:vAlign w:val="center"/>
          </w:tcPr>
          <w:p w14:paraId="5CCEDAC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句容河</w:t>
            </w:r>
          </w:p>
        </w:tc>
        <w:tc>
          <w:tcPr>
            <w:tcW w:w="736" w:type="dxa"/>
            <w:tcBorders>
              <w:tl2br w:val="nil"/>
              <w:tr2bl w:val="nil"/>
            </w:tcBorders>
            <w:vAlign w:val="center"/>
          </w:tcPr>
          <w:p w14:paraId="517AF44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W5-1</w:t>
            </w:r>
          </w:p>
        </w:tc>
        <w:tc>
          <w:tcPr>
            <w:tcW w:w="2882" w:type="dxa"/>
            <w:tcBorders>
              <w:tl2br w:val="nil"/>
              <w:tr2bl w:val="nil"/>
            </w:tcBorders>
            <w:vAlign w:val="center"/>
          </w:tcPr>
          <w:p w14:paraId="038E5FD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与秦淮新河</w:t>
            </w:r>
            <w:sdt>
              <w:sdtPr>
                <w:rPr>
                  <w:color w:val="auto"/>
                  <w:highlight w:val="none"/>
                </w:rPr>
                <w:alias w:val="易错词检查"/>
                <w:tag w:val="auto"/>
                <w:id w:val="2140141"/>
              </w:sdtPr>
              <w:sdtEndPr>
                <w:rPr>
                  <w:color w:val="auto"/>
                  <w:highlight w:val="none"/>
                </w:rPr>
              </w:sdtEndPr>
              <w:sdtContent>
                <w:bookmarkStart w:id="2247" w:name="bkReivew2140141"/>
                <w:r>
                  <w:rPr>
                    <w:rFonts w:hint="default" w:ascii="Times New Roman" w:hAnsi="Times New Roman" w:cs="Times New Roman"/>
                    <w:color w:val="auto"/>
                    <w:szCs w:val="21"/>
                    <w:highlight w:val="none"/>
                    <w:lang w:val="en-US" w:eastAsia="zh-CN"/>
                  </w:rPr>
                  <w:t>交汇</w:t>
                </w:r>
                <w:bookmarkEnd w:id="2247"/>
              </w:sdtContent>
            </w:sdt>
            <w:r>
              <w:rPr>
                <w:rFonts w:hint="default" w:ascii="Times New Roman" w:hAnsi="Times New Roman" w:cs="Times New Roman"/>
                <w:color w:val="auto"/>
                <w:szCs w:val="21"/>
                <w:highlight w:val="none"/>
                <w:lang w:val="en-US" w:eastAsia="zh-CN"/>
              </w:rPr>
              <w:t>处上游300米</w:t>
            </w:r>
          </w:p>
        </w:tc>
        <w:tc>
          <w:tcPr>
            <w:tcW w:w="2721" w:type="dxa"/>
            <w:vMerge w:val="continue"/>
            <w:tcBorders>
              <w:tl2br w:val="nil"/>
              <w:tr2bl w:val="nil"/>
            </w:tcBorders>
            <w:vAlign w:val="center"/>
          </w:tcPr>
          <w:p w14:paraId="39FC29A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29D2E65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r w14:paraId="6703C01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vMerge w:val="continue"/>
            <w:tcBorders>
              <w:tl2br w:val="nil"/>
              <w:tr2bl w:val="nil"/>
            </w:tcBorders>
            <w:vAlign w:val="center"/>
          </w:tcPr>
          <w:p w14:paraId="05378DE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736" w:type="dxa"/>
            <w:tcBorders>
              <w:tl2br w:val="nil"/>
              <w:tr2bl w:val="nil"/>
            </w:tcBorders>
            <w:vAlign w:val="center"/>
          </w:tcPr>
          <w:p w14:paraId="2C5C28F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W5-2</w:t>
            </w:r>
          </w:p>
        </w:tc>
        <w:tc>
          <w:tcPr>
            <w:tcW w:w="2882" w:type="dxa"/>
            <w:tcBorders>
              <w:tl2br w:val="nil"/>
              <w:tr2bl w:val="nil"/>
            </w:tcBorders>
            <w:vAlign w:val="center"/>
          </w:tcPr>
          <w:p w14:paraId="5D7B3D0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与南京三环线</w:t>
            </w:r>
            <w:sdt>
              <w:sdtPr>
                <w:rPr>
                  <w:color w:val="auto"/>
                  <w:highlight w:val="none"/>
                </w:rPr>
                <w:alias w:val="易错词检查"/>
                <w:tag w:val="auto"/>
                <w:id w:val="2081332"/>
              </w:sdtPr>
              <w:sdtEndPr>
                <w:rPr>
                  <w:color w:val="auto"/>
                  <w:highlight w:val="none"/>
                </w:rPr>
              </w:sdtEndPr>
              <w:sdtContent>
                <w:bookmarkStart w:id="2248" w:name="bkReivew2081332"/>
                <w:r>
                  <w:rPr>
                    <w:rFonts w:hint="default" w:ascii="Times New Roman" w:hAnsi="Times New Roman" w:cs="Times New Roman"/>
                    <w:color w:val="auto"/>
                    <w:szCs w:val="21"/>
                    <w:highlight w:val="none"/>
                    <w:lang w:val="en-US" w:eastAsia="zh-CN"/>
                  </w:rPr>
                  <w:t>交汇</w:t>
                </w:r>
                <w:bookmarkEnd w:id="2248"/>
              </w:sdtContent>
            </w:sdt>
            <w:r>
              <w:rPr>
                <w:rFonts w:hint="default" w:ascii="Times New Roman" w:hAnsi="Times New Roman" w:cs="Times New Roman"/>
                <w:color w:val="auto"/>
                <w:szCs w:val="21"/>
                <w:highlight w:val="none"/>
                <w:lang w:val="en-US" w:eastAsia="zh-CN"/>
              </w:rPr>
              <w:t>处</w:t>
            </w:r>
          </w:p>
        </w:tc>
        <w:tc>
          <w:tcPr>
            <w:tcW w:w="2721" w:type="dxa"/>
            <w:vMerge w:val="continue"/>
            <w:tcBorders>
              <w:tl2br w:val="nil"/>
              <w:tr2bl w:val="nil"/>
            </w:tcBorders>
            <w:vAlign w:val="center"/>
          </w:tcPr>
          <w:p w14:paraId="3CA0FD2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5347BC8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r w14:paraId="065D928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tcBorders>
              <w:tl2br w:val="nil"/>
              <w:tr2bl w:val="nil"/>
            </w:tcBorders>
            <w:vAlign w:val="center"/>
          </w:tcPr>
          <w:p w14:paraId="1E488DC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胜利河</w:t>
            </w:r>
          </w:p>
        </w:tc>
        <w:tc>
          <w:tcPr>
            <w:tcW w:w="736" w:type="dxa"/>
            <w:tcBorders>
              <w:tl2br w:val="nil"/>
              <w:tr2bl w:val="nil"/>
            </w:tcBorders>
            <w:vAlign w:val="center"/>
          </w:tcPr>
          <w:p w14:paraId="7156202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W6-1</w:t>
            </w:r>
          </w:p>
        </w:tc>
        <w:tc>
          <w:tcPr>
            <w:tcW w:w="2882" w:type="dxa"/>
            <w:tcBorders>
              <w:tl2br w:val="nil"/>
              <w:tr2bl w:val="nil"/>
            </w:tcBorders>
            <w:vAlign w:val="center"/>
          </w:tcPr>
          <w:p w14:paraId="6A4F9F2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与云龙</w:t>
            </w:r>
            <w:r>
              <w:rPr>
                <w:rFonts w:hint="eastAsia" w:ascii="Times New Roman" w:hAnsi="Times New Roman" w:cs="Times New Roman"/>
                <w:color w:val="auto"/>
                <w:szCs w:val="21"/>
                <w:highlight w:val="none"/>
                <w:lang w:val="en-US" w:eastAsia="zh-CN"/>
              </w:rPr>
              <w:t>路交会处</w:t>
            </w:r>
          </w:p>
        </w:tc>
        <w:tc>
          <w:tcPr>
            <w:tcW w:w="2721" w:type="dxa"/>
            <w:vMerge w:val="continue"/>
            <w:tcBorders>
              <w:tl2br w:val="nil"/>
              <w:tr2bl w:val="nil"/>
            </w:tcBorders>
            <w:vAlign w:val="center"/>
          </w:tcPr>
          <w:p w14:paraId="23F36B3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7C9CC0C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r w14:paraId="1ADB867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trHeight w:val="375" w:hRule="atLeast"/>
        </w:trPr>
        <w:tc>
          <w:tcPr>
            <w:tcW w:w="870" w:type="dxa"/>
            <w:tcBorders>
              <w:tl2br w:val="nil"/>
              <w:tr2bl w:val="nil"/>
            </w:tcBorders>
            <w:vAlign w:val="center"/>
          </w:tcPr>
          <w:p w14:paraId="2F38A2E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风波坟水库</w:t>
            </w:r>
          </w:p>
        </w:tc>
        <w:tc>
          <w:tcPr>
            <w:tcW w:w="736" w:type="dxa"/>
            <w:tcBorders>
              <w:tl2br w:val="nil"/>
              <w:tr2bl w:val="nil"/>
            </w:tcBorders>
            <w:vAlign w:val="center"/>
          </w:tcPr>
          <w:p w14:paraId="3E78567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H1</w:t>
            </w:r>
          </w:p>
        </w:tc>
        <w:tc>
          <w:tcPr>
            <w:tcW w:w="2882" w:type="dxa"/>
            <w:tcBorders>
              <w:tl2br w:val="nil"/>
              <w:tr2bl w:val="nil"/>
            </w:tcBorders>
            <w:vAlign w:val="center"/>
          </w:tcPr>
          <w:p w14:paraId="37A7764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w:t>
            </w:r>
          </w:p>
        </w:tc>
        <w:tc>
          <w:tcPr>
            <w:tcW w:w="2721" w:type="dxa"/>
            <w:vMerge w:val="continue"/>
            <w:tcBorders>
              <w:tl2br w:val="nil"/>
              <w:tr2bl w:val="nil"/>
            </w:tcBorders>
            <w:vAlign w:val="center"/>
          </w:tcPr>
          <w:p w14:paraId="5ECCD1E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5A572E9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r w14:paraId="56E135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tcBorders>
              <w:tl2br w:val="nil"/>
              <w:tr2bl w:val="nil"/>
            </w:tcBorders>
            <w:vAlign w:val="center"/>
          </w:tcPr>
          <w:p w14:paraId="17D0EE3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谷里水库</w:t>
            </w:r>
          </w:p>
        </w:tc>
        <w:tc>
          <w:tcPr>
            <w:tcW w:w="736" w:type="dxa"/>
            <w:tcBorders>
              <w:tl2br w:val="nil"/>
              <w:tr2bl w:val="nil"/>
            </w:tcBorders>
            <w:vAlign w:val="center"/>
          </w:tcPr>
          <w:p w14:paraId="4756858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H2</w:t>
            </w:r>
          </w:p>
        </w:tc>
        <w:tc>
          <w:tcPr>
            <w:tcW w:w="2882" w:type="dxa"/>
            <w:tcBorders>
              <w:tl2br w:val="nil"/>
              <w:tr2bl w:val="nil"/>
            </w:tcBorders>
            <w:vAlign w:val="center"/>
          </w:tcPr>
          <w:p w14:paraId="2847F9C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highlight w:val="none"/>
                <w:lang w:val="en-US" w:eastAsia="zh-CN"/>
              </w:rPr>
              <w:t>/</w:t>
            </w:r>
          </w:p>
        </w:tc>
        <w:tc>
          <w:tcPr>
            <w:tcW w:w="2721" w:type="dxa"/>
            <w:vMerge w:val="continue"/>
            <w:tcBorders>
              <w:tl2br w:val="nil"/>
              <w:tr2bl w:val="nil"/>
            </w:tcBorders>
            <w:vAlign w:val="center"/>
          </w:tcPr>
          <w:p w14:paraId="186C52A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445F21E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r w14:paraId="54675BB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tcBorders>
              <w:tl2br w:val="nil"/>
              <w:tr2bl w:val="nil"/>
            </w:tcBorders>
            <w:vAlign w:val="center"/>
          </w:tcPr>
          <w:p w14:paraId="08269FD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Cs w:val="21"/>
                <w:highlight w:val="none"/>
                <w:lang w:val="en-US" w:eastAsia="zh-CN"/>
              </w:rPr>
              <w:t>百家湖</w:t>
            </w:r>
          </w:p>
        </w:tc>
        <w:tc>
          <w:tcPr>
            <w:tcW w:w="736" w:type="dxa"/>
            <w:tcBorders>
              <w:tl2br w:val="nil"/>
              <w:tr2bl w:val="nil"/>
            </w:tcBorders>
            <w:vAlign w:val="center"/>
          </w:tcPr>
          <w:p w14:paraId="1B698A1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Cs w:val="21"/>
                <w:highlight w:val="none"/>
                <w:lang w:val="en-US" w:eastAsia="zh-CN"/>
              </w:rPr>
              <w:t>H3</w:t>
            </w:r>
          </w:p>
        </w:tc>
        <w:tc>
          <w:tcPr>
            <w:tcW w:w="2882" w:type="dxa"/>
            <w:tcBorders>
              <w:tl2br w:val="nil"/>
              <w:tr2bl w:val="nil"/>
            </w:tcBorders>
            <w:vAlign w:val="center"/>
          </w:tcPr>
          <w:p w14:paraId="40704DD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Cs w:val="21"/>
                <w:highlight w:val="none"/>
                <w:lang w:val="en-US" w:eastAsia="zh-CN"/>
              </w:rPr>
              <w:t>百家湖（白龙桥）W1</w:t>
            </w:r>
          </w:p>
        </w:tc>
        <w:tc>
          <w:tcPr>
            <w:tcW w:w="2721" w:type="dxa"/>
            <w:vMerge w:val="continue"/>
            <w:tcBorders>
              <w:tl2br w:val="nil"/>
              <w:tr2bl w:val="nil"/>
            </w:tcBorders>
            <w:vAlign w:val="center"/>
          </w:tcPr>
          <w:p w14:paraId="5A35E4D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54C001A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r w14:paraId="04608FF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870" w:type="dxa"/>
            <w:tcBorders>
              <w:tl2br w:val="nil"/>
              <w:tr2bl w:val="nil"/>
            </w:tcBorders>
            <w:vAlign w:val="center"/>
          </w:tcPr>
          <w:p w14:paraId="6E920D0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Cs w:val="21"/>
                <w:highlight w:val="none"/>
                <w:lang w:val="en-US" w:eastAsia="zh-CN"/>
              </w:rPr>
              <w:t>九龙湖</w:t>
            </w:r>
          </w:p>
        </w:tc>
        <w:tc>
          <w:tcPr>
            <w:tcW w:w="736" w:type="dxa"/>
            <w:tcBorders>
              <w:tl2br w:val="nil"/>
              <w:tr2bl w:val="nil"/>
            </w:tcBorders>
            <w:vAlign w:val="center"/>
          </w:tcPr>
          <w:p w14:paraId="7BB0947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Cs w:val="21"/>
                <w:highlight w:val="none"/>
                <w:lang w:val="en-US" w:eastAsia="zh-CN"/>
              </w:rPr>
              <w:t>H4</w:t>
            </w:r>
          </w:p>
        </w:tc>
        <w:tc>
          <w:tcPr>
            <w:tcW w:w="2882" w:type="dxa"/>
            <w:tcBorders>
              <w:tl2br w:val="nil"/>
              <w:tr2bl w:val="nil"/>
            </w:tcBorders>
            <w:vAlign w:val="center"/>
          </w:tcPr>
          <w:p w14:paraId="12FF2A1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Cs w:val="21"/>
                <w:highlight w:val="none"/>
                <w:lang w:val="en-US" w:eastAsia="zh-CN"/>
              </w:rPr>
              <w:t>九龙湖（五库桥）W2</w:t>
            </w:r>
          </w:p>
        </w:tc>
        <w:tc>
          <w:tcPr>
            <w:tcW w:w="2721" w:type="dxa"/>
            <w:vMerge w:val="continue"/>
            <w:tcBorders>
              <w:tl2br w:val="nil"/>
              <w:tr2bl w:val="nil"/>
            </w:tcBorders>
            <w:vAlign w:val="center"/>
          </w:tcPr>
          <w:p w14:paraId="1875BB8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c>
          <w:tcPr>
            <w:tcW w:w="1269" w:type="dxa"/>
            <w:vMerge w:val="continue"/>
            <w:tcBorders>
              <w:tl2br w:val="nil"/>
              <w:tr2bl w:val="nil"/>
            </w:tcBorders>
            <w:vAlign w:val="center"/>
          </w:tcPr>
          <w:p w14:paraId="607801D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p>
        </w:tc>
      </w:tr>
    </w:tbl>
    <w:p w14:paraId="020B8453">
      <w:pPr>
        <w:spacing w:before="29" w:line="220" w:lineRule="auto"/>
        <w:ind w:left="456"/>
        <w:rPr>
          <w:rFonts w:ascii="宋体" w:hAnsi="宋体" w:eastAsia="宋体" w:cs="宋体"/>
          <w:color w:val="auto"/>
          <w:spacing w:val="-1"/>
          <w:sz w:val="21"/>
          <w:szCs w:val="21"/>
          <w:highlight w:val="none"/>
        </w:rPr>
      </w:pPr>
      <w:r>
        <w:rPr>
          <w:rFonts w:ascii="宋体" w:hAnsi="宋体" w:eastAsia="宋体" w:cs="宋体"/>
          <w:color w:val="auto"/>
          <w:spacing w:val="-1"/>
          <w:sz w:val="21"/>
          <w:szCs w:val="21"/>
          <w:highlight w:val="none"/>
        </w:rPr>
        <w:t>注：给出现场各监测点位具体坐标和采样照片</w:t>
      </w:r>
    </w:p>
    <w:p w14:paraId="43A82EB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）监测项目。</w:t>
      </w:r>
      <w:bookmarkStart w:id="2249" w:name="pindex14641"/>
      <w:bookmarkEnd w:id="2249"/>
    </w:p>
    <w:p w14:paraId="529F378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2250" w:name="sys14642085"/>
      <w:r>
        <w:rPr>
          <w:rFonts w:hint="default" w:ascii="Times New Roman" w:hAnsi="Times New Roman" w:eastAsia="宋体" w:cs="Times New Roman"/>
          <w:color w:val="auto"/>
          <w:sz w:val="24"/>
          <w:szCs w:val="24"/>
          <w:highlight w:val="none"/>
        </w:rPr>
        <w:t>水温、pH、DO、氨氮、总磷、SS、COD、COD</w:t>
      </w:r>
      <w:r>
        <w:rPr>
          <w:rFonts w:hint="default" w:ascii="Times New Roman" w:hAnsi="Times New Roman" w:eastAsia="宋体" w:cs="Times New Roman"/>
          <w:color w:val="auto"/>
          <w:sz w:val="24"/>
          <w:szCs w:val="24"/>
          <w:highlight w:val="none"/>
          <w:vertAlign w:val="subscript"/>
        </w:rPr>
        <w:t>Mn</w:t>
      </w:r>
      <w:r>
        <w:rPr>
          <w:rFonts w:hint="default" w:ascii="Times New Roman" w:hAnsi="Times New Roman" w:eastAsia="宋体" w:cs="Times New Roman"/>
          <w:color w:val="auto"/>
          <w:sz w:val="24"/>
          <w:szCs w:val="24"/>
          <w:highlight w:val="none"/>
        </w:rPr>
        <w:t>、BOD</w:t>
      </w:r>
      <w:r>
        <w:rPr>
          <w:rFonts w:hint="default" w:ascii="Times New Roman" w:hAnsi="Times New Roman" w:eastAsia="宋体" w:cs="Times New Roman"/>
          <w:color w:val="auto"/>
          <w:sz w:val="24"/>
          <w:szCs w:val="24"/>
          <w:highlight w:val="none"/>
          <w:vertAlign w:val="subscript"/>
          <w:lang w:val="en-US" w:eastAsia="zh-CN"/>
        </w:rPr>
        <w:t>5</w:t>
      </w:r>
      <w:r>
        <w:rPr>
          <w:rFonts w:hint="default" w:ascii="Times New Roman" w:hAnsi="Times New Roman" w:eastAsia="宋体" w:cs="Times New Roman"/>
          <w:color w:val="auto"/>
          <w:sz w:val="24"/>
          <w:szCs w:val="24"/>
          <w:highlight w:val="none"/>
        </w:rPr>
        <w:t>、TN、石油类、硫化物、氰化物、挥发酚、镉、六价铬、铬、锌、锰、LAS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总铜、氟化物、铅、汞、硒</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砷和</w:t>
      </w:r>
      <w:r>
        <w:rPr>
          <w:rFonts w:hint="eastAsia" w:ascii="Times New Roman" w:hAnsi="Times New Roman" w:eastAsia="宋体" w:cs="Times New Roman"/>
          <w:color w:val="auto"/>
          <w:sz w:val="24"/>
          <w:szCs w:val="24"/>
          <w:highlight w:val="none"/>
          <w:lang w:val="en-US" w:eastAsia="zh-CN"/>
        </w:rPr>
        <w:t>镍</w:t>
      </w:r>
      <w:r>
        <w:rPr>
          <w:rFonts w:hint="default" w:ascii="Times New Roman" w:hAnsi="Times New Roman" w:eastAsia="宋体" w:cs="Times New Roman"/>
          <w:color w:val="auto"/>
          <w:sz w:val="24"/>
          <w:szCs w:val="24"/>
          <w:highlight w:val="none"/>
        </w:rPr>
        <w:t>。</w:t>
      </w:r>
      <w:bookmarkEnd w:id="2250"/>
    </w:p>
    <w:p w14:paraId="3CB3327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监测同时记录流向、流速、流量等水文参数。</w:t>
      </w:r>
    </w:p>
    <w:p w14:paraId="223FB80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w:t>
      </w:r>
      <w:sdt>
        <w:sdtPr>
          <w:rPr>
            <w:color w:val="auto"/>
            <w:highlight w:val="none"/>
          </w:rPr>
          <w:alias w:val="易错词检查"/>
          <w:tag w:val="auto"/>
          <w:id w:val="3132350"/>
        </w:sdtPr>
        <w:sdtEndPr>
          <w:rPr>
            <w:color w:val="auto"/>
            <w:highlight w:val="none"/>
          </w:rPr>
        </w:sdtEndPr>
        <w:sdtContent>
          <w:bookmarkStart w:id="2251" w:name="bkReivew3132350"/>
          <w:r>
            <w:rPr>
              <w:rFonts w:hint="default" w:ascii="Times New Roman" w:hAnsi="Times New Roman" w:eastAsia="宋体" w:cs="Times New Roman"/>
              <w:color w:val="auto"/>
              <w:sz w:val="24"/>
              <w:szCs w:val="24"/>
              <w:highlight w:val="none"/>
            </w:rPr>
            <w:t>监测</w:t>
          </w:r>
          <w:bookmarkEnd w:id="2251"/>
        </w:sdtContent>
      </w:sdt>
      <w:r>
        <w:rPr>
          <w:rFonts w:hint="default" w:ascii="Times New Roman" w:hAnsi="Times New Roman" w:eastAsia="宋体" w:cs="Times New Roman"/>
          <w:color w:val="auto"/>
          <w:sz w:val="24"/>
          <w:szCs w:val="24"/>
          <w:highlight w:val="none"/>
        </w:rPr>
        <w:t>时间和频次</w:t>
      </w:r>
      <w:bookmarkStart w:id="2252" w:name="pindex14644"/>
      <w:bookmarkEnd w:id="2252"/>
    </w:p>
    <w:p w14:paraId="7490541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每天监测两次，上下午各一次，监测3天。</w:t>
      </w:r>
      <w:bookmarkStart w:id="2253" w:name="bookmark77"/>
      <w:bookmarkEnd w:id="2253"/>
    </w:p>
    <w:p w14:paraId="5FE9E532">
      <w:pPr>
        <w:keepNext w:val="0"/>
        <w:keepLines w:val="0"/>
        <w:pageBreakBefore w:val="0"/>
        <w:widowControl/>
        <w:kinsoku w:val="0"/>
        <w:wordWrap/>
        <w:overflowPunct/>
        <w:topLinePunct w:val="0"/>
        <w:autoSpaceDE w:val="0"/>
        <w:autoSpaceDN w:val="0"/>
        <w:bidi w:val="0"/>
        <w:adjustRightInd w:val="0"/>
        <w:snapToGrid w:val="0"/>
        <w:spacing w:before="78" w:line="360" w:lineRule="auto"/>
        <w:ind w:left="34"/>
        <w:textAlignment w:val="baseline"/>
        <w:outlineLvl w:val="1"/>
        <w:rPr>
          <w:rFonts w:hint="eastAsia" w:ascii="Times New Roman" w:hAnsi="Times New Roman" w:eastAsia="宋体" w:cs="Times New Roman"/>
          <w:b/>
          <w:bCs/>
          <w:color w:val="auto"/>
          <w:spacing w:val="-2"/>
          <w:sz w:val="24"/>
          <w:szCs w:val="24"/>
          <w:highlight w:val="none"/>
          <w:lang w:val="en-US" w:eastAsia="zh-CN"/>
        </w:rPr>
      </w:pPr>
      <w:bookmarkStart w:id="2254" w:name="_Toc24066"/>
      <w:r>
        <w:rPr>
          <w:rFonts w:hint="eastAsia" w:ascii="Times New Roman" w:hAnsi="Times New Roman" w:eastAsia="宋体" w:cs="Times New Roman"/>
          <w:b/>
          <w:bCs/>
          <w:color w:val="auto"/>
          <w:spacing w:val="-2"/>
          <w:sz w:val="24"/>
          <w:szCs w:val="24"/>
          <w:highlight w:val="none"/>
          <w:lang w:val="en-US" w:eastAsia="zh-CN"/>
        </w:rPr>
        <w:t>9.3声环境质量现状监测</w:t>
      </w:r>
      <w:bookmarkEnd w:id="2254"/>
      <w:bookmarkStart w:id="2255" w:name="pindex14646"/>
      <w:bookmarkEnd w:id="2255"/>
    </w:p>
    <w:p w14:paraId="588F974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8" w:firstLineChars="200"/>
        <w:textAlignment w:val="baseline"/>
        <w:outlineLvl w:val="9"/>
        <w:rPr>
          <w:rFonts w:ascii="宋体" w:hAnsi="宋体" w:eastAsia="宋体" w:cs="宋体"/>
          <w:color w:val="auto"/>
          <w:spacing w:val="-3"/>
          <w:sz w:val="24"/>
          <w:szCs w:val="24"/>
          <w:highlight w:val="none"/>
        </w:rPr>
      </w:pPr>
      <w:r>
        <w:rPr>
          <w:rFonts w:ascii="宋体" w:hAnsi="宋体" w:eastAsia="宋体" w:cs="宋体"/>
          <w:snapToGrid w:val="0"/>
          <w:color w:val="auto"/>
          <w:spacing w:val="-3"/>
          <w:kern w:val="0"/>
          <w:sz w:val="24"/>
          <w:szCs w:val="24"/>
          <w:highlight w:val="none"/>
          <w:lang w:val="en-US" w:eastAsia="en-US" w:bidi="ar-SA"/>
        </w:rPr>
        <w:t>（1）</w:t>
      </w:r>
      <w:sdt>
        <w:sdtPr>
          <w:rPr>
            <w:color w:val="auto"/>
            <w:highlight w:val="none"/>
          </w:rPr>
          <w:alias w:val="易错词检查"/>
          <w:tag w:val="auto"/>
          <w:id w:val="1111716"/>
        </w:sdtPr>
        <w:sdtEndPr>
          <w:rPr>
            <w:color w:val="auto"/>
            <w:highlight w:val="none"/>
          </w:rPr>
        </w:sdtEndPr>
        <w:sdtContent>
          <w:bookmarkStart w:id="2256" w:name="bkReivew1111716"/>
          <w:r>
            <w:rPr>
              <w:rFonts w:ascii="宋体" w:hAnsi="宋体" w:eastAsia="宋体" w:cs="宋体"/>
              <w:color w:val="auto"/>
              <w:spacing w:val="-3"/>
              <w:sz w:val="24"/>
              <w:szCs w:val="24"/>
              <w:highlight w:val="none"/>
            </w:rPr>
            <w:t>监</w:t>
          </w:r>
          <w:bookmarkEnd w:id="2256"/>
        </w:sdtContent>
      </w:sdt>
      <w:r>
        <w:rPr>
          <w:rFonts w:ascii="宋体" w:hAnsi="宋体" w:eastAsia="宋体" w:cs="宋体"/>
          <w:color w:val="auto"/>
          <w:spacing w:val="-3"/>
          <w:sz w:val="24"/>
          <w:szCs w:val="24"/>
          <w:highlight w:val="none"/>
        </w:rPr>
        <w:t>测点位置</w:t>
      </w:r>
      <w:bookmarkStart w:id="2257" w:name="pindex14647"/>
      <w:bookmarkEnd w:id="2257"/>
    </w:p>
    <w:p w14:paraId="31100D6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8" w:firstLineChars="200"/>
        <w:textAlignment w:val="baseline"/>
        <w:rPr>
          <w:rFonts w:ascii="宋体" w:hAnsi="宋体" w:eastAsia="宋体" w:cs="宋体"/>
          <w:color w:val="auto"/>
          <w:spacing w:val="-2"/>
          <w:sz w:val="24"/>
          <w:szCs w:val="24"/>
          <w:highlight w:val="none"/>
        </w:rPr>
      </w:pPr>
      <w:r>
        <w:rPr>
          <w:rFonts w:ascii="宋体" w:hAnsi="宋体" w:eastAsia="宋体" w:cs="宋体"/>
          <w:color w:val="auto"/>
          <w:spacing w:val="-3"/>
          <w:sz w:val="24"/>
          <w:szCs w:val="24"/>
          <w:highlight w:val="none"/>
        </w:rPr>
        <w:t>根据</w:t>
      </w:r>
      <w:r>
        <w:rPr>
          <w:rFonts w:hint="eastAsia" w:ascii="宋体" w:hAnsi="宋体" w:eastAsia="宋体" w:cs="宋体"/>
          <w:color w:val="auto"/>
          <w:spacing w:val="-3"/>
          <w:sz w:val="24"/>
          <w:szCs w:val="24"/>
          <w:highlight w:val="none"/>
          <w:lang w:eastAsia="zh-CN"/>
        </w:rPr>
        <w:t>规划区域</w:t>
      </w:r>
      <w:r>
        <w:rPr>
          <w:rFonts w:ascii="宋体" w:hAnsi="宋体" w:eastAsia="宋体" w:cs="宋体"/>
          <w:color w:val="auto"/>
          <w:spacing w:val="-3"/>
          <w:sz w:val="24"/>
          <w:szCs w:val="24"/>
          <w:highlight w:val="none"/>
        </w:rPr>
        <w:t>声学环境敏感点（区）特征，按照网格布点与功能</w:t>
      </w:r>
      <w:r>
        <w:rPr>
          <w:rFonts w:ascii="宋体" w:hAnsi="宋体" w:eastAsia="宋体" w:cs="宋体"/>
          <w:color w:val="auto"/>
          <w:spacing w:val="-4"/>
          <w:sz w:val="24"/>
          <w:szCs w:val="24"/>
          <w:highlight w:val="none"/>
        </w:rPr>
        <w:t>区布点相结</w:t>
      </w:r>
      <w:r>
        <w:rPr>
          <w:rFonts w:ascii="宋体" w:hAnsi="宋体" w:eastAsia="宋体" w:cs="宋体"/>
          <w:color w:val="auto"/>
          <w:spacing w:val="-2"/>
          <w:sz w:val="24"/>
          <w:szCs w:val="24"/>
          <w:highlight w:val="none"/>
        </w:rPr>
        <w:t>合的方法，共设</w:t>
      </w:r>
      <w:r>
        <w:rPr>
          <w:rFonts w:ascii="Times New Roman" w:hAnsi="Times New Roman" w:eastAsia="Times New Roman" w:cs="Times New Roman"/>
          <w:color w:val="auto"/>
          <w:spacing w:val="-2"/>
          <w:sz w:val="24"/>
          <w:szCs w:val="24"/>
          <w:highlight w:val="none"/>
        </w:rPr>
        <w:t>2</w:t>
      </w:r>
      <w:r>
        <w:rPr>
          <w:rFonts w:hint="eastAsia" w:ascii="Times New Roman" w:hAnsi="Times New Roman" w:eastAsia="宋体" w:cs="Times New Roman"/>
          <w:color w:val="auto"/>
          <w:spacing w:val="-2"/>
          <w:sz w:val="24"/>
          <w:szCs w:val="24"/>
          <w:highlight w:val="none"/>
          <w:lang w:val="en-US" w:eastAsia="zh-CN"/>
        </w:rPr>
        <w:t>8</w:t>
      </w:r>
      <w:r>
        <w:rPr>
          <w:rFonts w:ascii="宋体" w:hAnsi="宋体" w:eastAsia="宋体" w:cs="宋体"/>
          <w:color w:val="auto"/>
          <w:spacing w:val="-2"/>
          <w:sz w:val="24"/>
          <w:szCs w:val="24"/>
          <w:highlight w:val="none"/>
        </w:rPr>
        <w:t>个监测点。具体监测点位及要求见表</w:t>
      </w:r>
      <w:r>
        <w:rPr>
          <w:rFonts w:hint="eastAsia" w:ascii="Times New Roman" w:hAnsi="Times New Roman" w:eastAsia="宋体" w:cs="Times New Roman"/>
          <w:color w:val="auto"/>
          <w:spacing w:val="-2"/>
          <w:sz w:val="24"/>
          <w:szCs w:val="24"/>
          <w:highlight w:val="none"/>
          <w:lang w:val="en-US" w:eastAsia="zh-CN"/>
        </w:rPr>
        <w:t>9</w:t>
      </w:r>
      <w:r>
        <w:rPr>
          <w:rFonts w:ascii="Times New Roman" w:hAnsi="Times New Roman" w:eastAsia="Times New Roman" w:cs="Times New Roman"/>
          <w:color w:val="auto"/>
          <w:spacing w:val="-2"/>
          <w:sz w:val="24"/>
          <w:szCs w:val="24"/>
          <w:highlight w:val="none"/>
        </w:rPr>
        <w:t>.3-1</w:t>
      </w:r>
      <w:r>
        <w:rPr>
          <w:rFonts w:ascii="宋体" w:hAnsi="宋体" w:eastAsia="宋体" w:cs="宋体"/>
          <w:color w:val="auto"/>
          <w:spacing w:val="-2"/>
          <w:sz w:val="24"/>
          <w:szCs w:val="24"/>
          <w:highlight w:val="none"/>
        </w:rPr>
        <w:t>、</w:t>
      </w:r>
      <w:r>
        <w:rPr>
          <w:rFonts w:hint="eastAsia" w:ascii="宋体" w:hAnsi="宋体" w:eastAsia="宋体" w:cs="宋体"/>
          <w:color w:val="auto"/>
          <w:spacing w:val="-2"/>
          <w:sz w:val="24"/>
          <w:szCs w:val="24"/>
          <w:highlight w:val="none"/>
          <w:lang w:val="en-US" w:eastAsia="zh-CN"/>
        </w:rPr>
        <w:t>附</w:t>
      </w:r>
      <w:r>
        <w:rPr>
          <w:rFonts w:ascii="宋体" w:hAnsi="宋体" w:eastAsia="宋体" w:cs="宋体"/>
          <w:color w:val="auto"/>
          <w:spacing w:val="-2"/>
          <w:sz w:val="24"/>
          <w:szCs w:val="24"/>
          <w:highlight w:val="none"/>
        </w:rPr>
        <w:t>图</w:t>
      </w:r>
      <w:r>
        <w:rPr>
          <w:rFonts w:hint="eastAsia" w:ascii="Times New Roman" w:hAnsi="Times New Roman" w:eastAsia="宋体" w:cs="Times New Roman"/>
          <w:color w:val="auto"/>
          <w:spacing w:val="-2"/>
          <w:sz w:val="24"/>
          <w:szCs w:val="24"/>
          <w:highlight w:val="none"/>
          <w:lang w:val="en-US" w:eastAsia="zh-CN"/>
        </w:rPr>
        <w:t>5</w:t>
      </w:r>
      <w:r>
        <w:rPr>
          <w:rFonts w:ascii="宋体" w:hAnsi="宋体" w:eastAsia="宋体" w:cs="宋体"/>
          <w:color w:val="auto"/>
          <w:spacing w:val="-2"/>
          <w:sz w:val="24"/>
          <w:szCs w:val="24"/>
          <w:highlight w:val="none"/>
        </w:rPr>
        <w:t>。</w:t>
      </w:r>
    </w:p>
    <w:p w14:paraId="10E4FB6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240" w:lineRule="auto"/>
        <w:jc w:val="center"/>
        <w:textAlignment w:val="baseline"/>
        <w:rPr>
          <w:b/>
          <w:bCs/>
          <w:color w:val="auto"/>
          <w:highlight w:val="none"/>
        </w:rPr>
      </w:pPr>
      <w:r>
        <w:rPr>
          <w:rFonts w:ascii="宋体" w:hAnsi="宋体" w:eastAsia="宋体" w:cs="宋体"/>
          <w:b/>
          <w:bCs/>
          <w:color w:val="auto"/>
          <w:spacing w:val="-2"/>
          <w:sz w:val="24"/>
          <w:szCs w:val="24"/>
          <w:highlight w:val="none"/>
        </w:rPr>
        <w:t>表</w:t>
      </w:r>
      <w:r>
        <w:rPr>
          <w:rFonts w:hint="eastAsia" w:ascii="Times New Roman" w:hAnsi="Times New Roman" w:eastAsia="宋体" w:cs="Times New Roman"/>
          <w:b/>
          <w:bCs/>
          <w:color w:val="auto"/>
          <w:spacing w:val="-2"/>
          <w:sz w:val="24"/>
          <w:szCs w:val="24"/>
          <w:highlight w:val="none"/>
          <w:lang w:val="en-US" w:eastAsia="zh-CN"/>
        </w:rPr>
        <w:t>9</w:t>
      </w:r>
      <w:r>
        <w:rPr>
          <w:rFonts w:ascii="Times New Roman" w:hAnsi="Times New Roman" w:eastAsia="Times New Roman" w:cs="Times New Roman"/>
          <w:b/>
          <w:bCs/>
          <w:color w:val="auto"/>
          <w:spacing w:val="-2"/>
          <w:sz w:val="24"/>
          <w:szCs w:val="24"/>
          <w:highlight w:val="none"/>
        </w:rPr>
        <w:t>.3-1</w:t>
      </w:r>
      <w:r>
        <w:rPr>
          <w:rFonts w:hint="eastAsia" w:ascii="Times New Roman" w:hAnsi="Times New Roman" w:eastAsia="宋体" w:cs="Times New Roman"/>
          <w:b/>
          <w:bCs/>
          <w:color w:val="auto"/>
          <w:spacing w:val="-2"/>
          <w:sz w:val="24"/>
          <w:szCs w:val="24"/>
          <w:highlight w:val="none"/>
          <w:lang w:val="en-US" w:eastAsia="zh-CN"/>
        </w:rPr>
        <w:t xml:space="preserve">  </w:t>
      </w:r>
      <w:r>
        <w:rPr>
          <w:rFonts w:ascii="宋体" w:hAnsi="宋体" w:eastAsia="宋体" w:cs="宋体"/>
          <w:b/>
          <w:bCs/>
          <w:color w:val="auto"/>
          <w:spacing w:val="-2"/>
          <w:sz w:val="24"/>
          <w:szCs w:val="24"/>
          <w:highlight w:val="none"/>
        </w:rPr>
        <w:t>声环境监测点位</w:t>
      </w:r>
      <w:bookmarkStart w:id="2258" w:name="pindex14649"/>
      <w:bookmarkEnd w:id="2258"/>
    </w:p>
    <w:tbl>
      <w:tblPr>
        <w:tblStyle w:val="26"/>
        <w:tblW w:w="8318" w:type="dxa"/>
        <w:tblInd w:w="11"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086"/>
        <w:gridCol w:w="1069"/>
        <w:gridCol w:w="1004"/>
        <w:gridCol w:w="1863"/>
        <w:gridCol w:w="1262"/>
        <w:gridCol w:w="1114"/>
        <w:gridCol w:w="920"/>
      </w:tblGrid>
      <w:tr w14:paraId="666E401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5" w:hRule="atLeast"/>
        </w:trPr>
        <w:tc>
          <w:tcPr>
            <w:tcW w:w="1086" w:type="dxa"/>
            <w:tcBorders>
              <w:tl2br w:val="nil"/>
              <w:tr2bl w:val="nil"/>
            </w:tcBorders>
            <w:vAlign w:val="center"/>
          </w:tcPr>
          <w:p w14:paraId="2BA625C4">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测点编号</w:t>
            </w:r>
          </w:p>
        </w:tc>
        <w:tc>
          <w:tcPr>
            <w:tcW w:w="1069" w:type="dxa"/>
            <w:tcBorders>
              <w:tl2br w:val="nil"/>
              <w:tr2bl w:val="nil"/>
            </w:tcBorders>
            <w:vAlign w:val="center"/>
          </w:tcPr>
          <w:p w14:paraId="6EAD8901">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监测项目</w:t>
            </w:r>
          </w:p>
        </w:tc>
        <w:tc>
          <w:tcPr>
            <w:tcW w:w="1004" w:type="dxa"/>
            <w:tcBorders>
              <w:tl2br w:val="nil"/>
              <w:tr2bl w:val="nil"/>
            </w:tcBorders>
            <w:vAlign w:val="center"/>
          </w:tcPr>
          <w:p w14:paraId="24BA0B27">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功能类别</w:t>
            </w:r>
          </w:p>
        </w:tc>
        <w:tc>
          <w:tcPr>
            <w:tcW w:w="1863" w:type="dxa"/>
            <w:tcBorders>
              <w:tl2br w:val="nil"/>
              <w:tr2bl w:val="nil"/>
            </w:tcBorders>
            <w:vAlign w:val="center"/>
          </w:tcPr>
          <w:p w14:paraId="7DDD6F61">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标准来源</w:t>
            </w:r>
          </w:p>
        </w:tc>
        <w:tc>
          <w:tcPr>
            <w:tcW w:w="1262" w:type="dxa"/>
            <w:tcBorders>
              <w:tl2br w:val="nil"/>
              <w:tr2bl w:val="nil"/>
            </w:tcBorders>
            <w:vAlign w:val="center"/>
          </w:tcPr>
          <w:p w14:paraId="749CF641">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监测频次</w:t>
            </w:r>
          </w:p>
        </w:tc>
        <w:tc>
          <w:tcPr>
            <w:tcW w:w="1114" w:type="dxa"/>
            <w:tcBorders>
              <w:tl2br w:val="nil"/>
              <w:tr2bl w:val="nil"/>
            </w:tcBorders>
            <w:vAlign w:val="center"/>
          </w:tcPr>
          <w:p w14:paraId="7E1CC8E2">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监测时间</w:t>
            </w:r>
          </w:p>
        </w:tc>
        <w:tc>
          <w:tcPr>
            <w:tcW w:w="920" w:type="dxa"/>
            <w:tcBorders>
              <w:tl2br w:val="nil"/>
              <w:tr2bl w:val="nil"/>
            </w:tcBorders>
            <w:vAlign w:val="center"/>
          </w:tcPr>
          <w:p w14:paraId="3ADE6B84">
            <w:pPr>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tr w14:paraId="57B3967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086" w:type="dxa"/>
            <w:tcBorders>
              <w:tl2br w:val="nil"/>
              <w:tr2bl w:val="nil"/>
            </w:tcBorders>
            <w:vAlign w:val="center"/>
          </w:tcPr>
          <w:p w14:paraId="359A9700">
            <w:pPr>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N1</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N</w:t>
            </w:r>
            <w:r>
              <w:rPr>
                <w:rFonts w:hint="default" w:ascii="Times New Roman" w:hAnsi="Times New Roman" w:eastAsia="宋体" w:cs="Times New Roman"/>
                <w:color w:val="auto"/>
                <w:sz w:val="21"/>
                <w:szCs w:val="21"/>
                <w:highlight w:val="none"/>
                <w:lang w:val="en-US" w:eastAsia="zh-CN"/>
              </w:rPr>
              <w:t>28</w:t>
            </w:r>
          </w:p>
        </w:tc>
        <w:tc>
          <w:tcPr>
            <w:tcW w:w="1069" w:type="dxa"/>
            <w:tcBorders>
              <w:tl2br w:val="nil"/>
              <w:tr2bl w:val="nil"/>
            </w:tcBorders>
            <w:vAlign w:val="center"/>
          </w:tcPr>
          <w:p w14:paraId="52D14834">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连续等效A</w:t>
            </w:r>
            <w:sdt>
              <w:sdtPr>
                <w:rPr>
                  <w:color w:val="auto"/>
                  <w:highlight w:val="none"/>
                </w:rPr>
                <w:alias w:val="易错词检查"/>
                <w:tag w:val="auto"/>
                <w:id w:val="150424"/>
              </w:sdtPr>
              <w:sdtEndPr>
                <w:rPr>
                  <w:color w:val="auto"/>
                  <w:highlight w:val="none"/>
                </w:rPr>
              </w:sdtEndPr>
              <w:sdtContent>
                <w:bookmarkStart w:id="2259" w:name="bkReivew150424"/>
                <w:r>
                  <w:rPr>
                    <w:rFonts w:hint="default" w:ascii="Times New Roman" w:hAnsi="Times New Roman" w:eastAsia="宋体" w:cs="Times New Roman"/>
                    <w:color w:val="auto"/>
                    <w:sz w:val="21"/>
                    <w:szCs w:val="21"/>
                    <w:highlight w:val="none"/>
                  </w:rPr>
                  <w:t>声级</w:t>
                </w:r>
                <w:bookmarkEnd w:id="2259"/>
              </w:sdtContent>
            </w:sdt>
          </w:p>
        </w:tc>
        <w:tc>
          <w:tcPr>
            <w:tcW w:w="1004" w:type="dxa"/>
            <w:tcBorders>
              <w:tl2br w:val="nil"/>
              <w:tr2bl w:val="nil"/>
            </w:tcBorders>
            <w:vAlign w:val="center"/>
          </w:tcPr>
          <w:p w14:paraId="43CD09FC">
            <w:pPr>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1类、</w:t>
            </w:r>
            <w:r>
              <w:rPr>
                <w:rFonts w:hint="default" w:ascii="Times New Roman" w:hAnsi="Times New Roman" w:eastAsia="宋体" w:cs="Times New Roman"/>
                <w:color w:val="auto"/>
                <w:sz w:val="21"/>
                <w:szCs w:val="21"/>
                <w:highlight w:val="none"/>
              </w:rPr>
              <w:t>2</w:t>
            </w:r>
            <w:bookmarkStart w:id="2260" w:name="OLE_LINK719"/>
            <w:r>
              <w:rPr>
                <w:rFonts w:hint="default" w:ascii="Times New Roman" w:hAnsi="Times New Roman" w:eastAsia="宋体" w:cs="Times New Roman"/>
                <w:color w:val="auto"/>
                <w:sz w:val="21"/>
                <w:szCs w:val="21"/>
                <w:highlight w:val="none"/>
              </w:rPr>
              <w:t>类</w:t>
            </w:r>
            <w:bookmarkEnd w:id="2260"/>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4a类</w:t>
            </w:r>
          </w:p>
        </w:tc>
        <w:tc>
          <w:tcPr>
            <w:tcW w:w="1863" w:type="dxa"/>
            <w:tcBorders>
              <w:tl2br w:val="nil"/>
              <w:tr2bl w:val="nil"/>
            </w:tcBorders>
            <w:vAlign w:val="center"/>
          </w:tcPr>
          <w:p w14:paraId="674FD9FF">
            <w:pPr>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《声环境质量标准》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GB3096-2008</w:t>
            </w:r>
            <w:r>
              <w:rPr>
                <w:rFonts w:hint="default" w:ascii="Times New Roman" w:hAnsi="Times New Roman" w:eastAsia="宋体" w:cs="Times New Roman"/>
                <w:color w:val="auto"/>
                <w:sz w:val="21"/>
                <w:szCs w:val="21"/>
                <w:highlight w:val="none"/>
                <w:lang w:eastAsia="zh-CN"/>
              </w:rPr>
              <w:t>）</w:t>
            </w:r>
          </w:p>
        </w:tc>
        <w:tc>
          <w:tcPr>
            <w:tcW w:w="1262" w:type="dxa"/>
            <w:tcBorders>
              <w:tl2br w:val="nil"/>
              <w:tr2bl w:val="nil"/>
            </w:tcBorders>
            <w:vAlign w:val="center"/>
          </w:tcPr>
          <w:p w14:paraId="7FE6691A">
            <w:pPr>
              <w:bidi w:val="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连续监测2天</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三年一次</w:t>
            </w:r>
          </w:p>
        </w:tc>
        <w:tc>
          <w:tcPr>
            <w:tcW w:w="1114" w:type="dxa"/>
            <w:tcBorders>
              <w:tl2br w:val="nil"/>
              <w:tr2bl w:val="nil"/>
            </w:tcBorders>
            <w:vAlign w:val="center"/>
          </w:tcPr>
          <w:p w14:paraId="0AFBE397">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昼夜各一次</w:t>
            </w:r>
          </w:p>
        </w:tc>
        <w:tc>
          <w:tcPr>
            <w:tcW w:w="920" w:type="dxa"/>
            <w:tcBorders>
              <w:tl2br w:val="nil"/>
              <w:tr2bl w:val="nil"/>
            </w:tcBorders>
            <w:vAlign w:val="center"/>
          </w:tcPr>
          <w:p w14:paraId="5411FE7D">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14:paraId="0783E6EF">
      <w:pPr>
        <w:keepNext w:val="0"/>
        <w:keepLines w:val="0"/>
        <w:pageBreakBefore w:val="0"/>
        <w:widowControl/>
        <w:kinsoku w:val="0"/>
        <w:wordWrap/>
        <w:overflowPunct/>
        <w:topLinePunct w:val="0"/>
        <w:autoSpaceDE w:val="0"/>
        <w:autoSpaceDN w:val="0"/>
        <w:bidi w:val="0"/>
        <w:adjustRightInd w:val="0"/>
        <w:snapToGrid w:val="0"/>
        <w:spacing w:before="64" w:line="240" w:lineRule="exact"/>
        <w:ind w:left="34" w:right="215" w:firstLine="357"/>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1"/>
          <w:sz w:val="18"/>
          <w:szCs w:val="18"/>
          <w:highlight w:val="none"/>
        </w:rPr>
        <w:t>注：根据《南京市声环境功能区划分调整方案》（宁政发〔</w:t>
      </w:r>
      <w:r>
        <w:rPr>
          <w:rFonts w:hint="default" w:ascii="Times New Roman" w:hAnsi="Times New Roman" w:eastAsia="Times New Roman" w:cs="Times New Roman"/>
          <w:color w:val="auto"/>
          <w:spacing w:val="-1"/>
          <w:sz w:val="18"/>
          <w:szCs w:val="18"/>
          <w:highlight w:val="none"/>
        </w:rPr>
        <w:t>2014</w:t>
      </w:r>
      <w:r>
        <w:rPr>
          <w:rFonts w:hint="default" w:ascii="Times New Roman" w:hAnsi="Times New Roman" w:eastAsia="宋体" w:cs="Times New Roman"/>
          <w:color w:val="auto"/>
          <w:spacing w:val="-1"/>
          <w:sz w:val="18"/>
          <w:szCs w:val="18"/>
          <w:highlight w:val="none"/>
        </w:rPr>
        <w:t>〕</w:t>
      </w:r>
      <w:r>
        <w:rPr>
          <w:rFonts w:hint="default" w:ascii="Times New Roman" w:hAnsi="Times New Roman" w:eastAsia="Times New Roman" w:cs="Times New Roman"/>
          <w:color w:val="auto"/>
          <w:spacing w:val="-1"/>
          <w:sz w:val="18"/>
          <w:szCs w:val="18"/>
          <w:highlight w:val="none"/>
        </w:rPr>
        <w:t>34</w:t>
      </w:r>
      <w:r>
        <w:rPr>
          <w:rFonts w:hint="default" w:ascii="Times New Roman" w:hAnsi="Times New Roman" w:eastAsia="宋体" w:cs="Times New Roman"/>
          <w:color w:val="auto"/>
          <w:spacing w:val="-1"/>
          <w:sz w:val="18"/>
          <w:szCs w:val="18"/>
          <w:highlight w:val="none"/>
        </w:rPr>
        <w:t>号</w:t>
      </w:r>
      <w:r>
        <w:rPr>
          <w:rFonts w:hint="default" w:ascii="Times New Roman" w:hAnsi="Times New Roman" w:eastAsia="宋体" w:cs="Times New Roman"/>
          <w:color w:val="auto"/>
          <w:spacing w:val="3"/>
          <w:sz w:val="18"/>
          <w:szCs w:val="18"/>
          <w:highlight w:val="none"/>
        </w:rPr>
        <w:t>），</w:t>
      </w:r>
      <w:r>
        <w:rPr>
          <w:rFonts w:hint="default" w:ascii="Times New Roman" w:hAnsi="Times New Roman" w:eastAsia="宋体" w:cs="Times New Roman"/>
          <w:color w:val="auto"/>
          <w:spacing w:val="-1"/>
          <w:sz w:val="18"/>
          <w:szCs w:val="18"/>
          <w:highlight w:val="none"/>
        </w:rPr>
        <w:t>规划区域范围内，道路交通干线两侧区域执行《声环境质量标准》（</w:t>
      </w:r>
      <w:r>
        <w:rPr>
          <w:rFonts w:hint="default" w:ascii="Times New Roman" w:hAnsi="Times New Roman" w:eastAsia="Times New Roman" w:cs="Times New Roman"/>
          <w:color w:val="auto"/>
          <w:spacing w:val="-1"/>
          <w:sz w:val="18"/>
          <w:szCs w:val="18"/>
          <w:highlight w:val="none"/>
        </w:rPr>
        <w:t>GB3096-2008</w:t>
      </w:r>
      <w:r>
        <w:rPr>
          <w:rFonts w:hint="default" w:ascii="Times New Roman" w:hAnsi="Times New Roman" w:eastAsia="宋体" w:cs="Times New Roman"/>
          <w:color w:val="auto"/>
          <w:spacing w:val="-1"/>
          <w:sz w:val="18"/>
          <w:szCs w:val="18"/>
          <w:highlight w:val="none"/>
        </w:rPr>
        <w:t>）中</w:t>
      </w:r>
      <w:r>
        <w:rPr>
          <w:rFonts w:hint="default" w:ascii="Times New Roman" w:hAnsi="Times New Roman" w:eastAsia="Times New Roman" w:cs="Times New Roman"/>
          <w:color w:val="auto"/>
          <w:spacing w:val="-1"/>
          <w:sz w:val="18"/>
          <w:szCs w:val="18"/>
          <w:highlight w:val="none"/>
        </w:rPr>
        <w:t>4a</w:t>
      </w:r>
      <w:r>
        <w:rPr>
          <w:rFonts w:hint="default" w:ascii="Times New Roman" w:hAnsi="Times New Roman" w:eastAsia="宋体" w:cs="Times New Roman"/>
          <w:color w:val="auto"/>
          <w:spacing w:val="-1"/>
          <w:sz w:val="18"/>
          <w:szCs w:val="18"/>
          <w:highlight w:val="none"/>
        </w:rPr>
        <w:t>类标准，铁路干线两侧区域执行</w:t>
      </w:r>
      <w:r>
        <w:rPr>
          <w:rFonts w:hint="default" w:ascii="Times New Roman" w:hAnsi="Times New Roman" w:eastAsia="Times New Roman" w:cs="Times New Roman"/>
          <w:color w:val="auto"/>
          <w:spacing w:val="-1"/>
          <w:sz w:val="18"/>
          <w:szCs w:val="18"/>
          <w:highlight w:val="none"/>
        </w:rPr>
        <w:t>4b</w:t>
      </w:r>
      <w:r>
        <w:rPr>
          <w:rFonts w:hint="default" w:ascii="Times New Roman" w:hAnsi="Times New Roman" w:eastAsia="宋体" w:cs="Times New Roman"/>
          <w:color w:val="auto"/>
          <w:spacing w:val="-1"/>
          <w:sz w:val="18"/>
          <w:szCs w:val="18"/>
          <w:highlight w:val="none"/>
        </w:rPr>
        <w:t>类标准，机场路以南执行</w:t>
      </w:r>
      <w:r>
        <w:rPr>
          <w:rFonts w:hint="default" w:ascii="Times New Roman" w:hAnsi="Times New Roman" w:eastAsia="Times New Roman" w:cs="Times New Roman"/>
          <w:color w:val="auto"/>
          <w:spacing w:val="-1"/>
          <w:sz w:val="18"/>
          <w:szCs w:val="18"/>
          <w:highlight w:val="none"/>
        </w:rPr>
        <w:t>2</w:t>
      </w:r>
      <w:r>
        <w:rPr>
          <w:rFonts w:hint="default" w:ascii="Times New Roman" w:hAnsi="Times New Roman" w:eastAsia="宋体" w:cs="Times New Roman"/>
          <w:color w:val="auto"/>
          <w:spacing w:val="-1"/>
          <w:sz w:val="18"/>
          <w:szCs w:val="18"/>
          <w:highlight w:val="none"/>
        </w:rPr>
        <w:t>类标准，机场路以北总体上执行</w:t>
      </w:r>
      <w:r>
        <w:rPr>
          <w:rFonts w:hint="default" w:ascii="Times New Roman" w:hAnsi="Times New Roman" w:eastAsia="Times New Roman" w:cs="Times New Roman"/>
          <w:color w:val="auto"/>
          <w:spacing w:val="-1"/>
          <w:sz w:val="18"/>
          <w:szCs w:val="18"/>
          <w:highlight w:val="none"/>
        </w:rPr>
        <w:t>3</w:t>
      </w:r>
      <w:r>
        <w:rPr>
          <w:rFonts w:hint="default" w:ascii="Times New Roman" w:hAnsi="Times New Roman" w:eastAsia="宋体" w:cs="Times New Roman"/>
          <w:color w:val="auto"/>
          <w:spacing w:val="-1"/>
          <w:sz w:val="18"/>
          <w:szCs w:val="18"/>
          <w:highlight w:val="none"/>
        </w:rPr>
        <w:t>类标准，有以下情况</w:t>
      </w:r>
      <w:r>
        <w:rPr>
          <w:rFonts w:hint="default" w:ascii="Times New Roman" w:hAnsi="Times New Roman" w:eastAsia="宋体" w:cs="Times New Roman"/>
          <w:color w:val="auto"/>
          <w:spacing w:val="-2"/>
          <w:sz w:val="18"/>
          <w:szCs w:val="18"/>
          <w:highlight w:val="none"/>
        </w:rPr>
        <w:t>的区域执行</w:t>
      </w:r>
      <w:r>
        <w:rPr>
          <w:rFonts w:hint="default" w:ascii="Times New Roman" w:hAnsi="Times New Roman" w:eastAsia="Times New Roman" w:cs="Times New Roman"/>
          <w:color w:val="auto"/>
          <w:spacing w:val="-2"/>
          <w:sz w:val="18"/>
          <w:szCs w:val="18"/>
          <w:highlight w:val="none"/>
        </w:rPr>
        <w:t>2</w:t>
      </w:r>
      <w:r>
        <w:rPr>
          <w:rFonts w:hint="default" w:ascii="Times New Roman" w:hAnsi="Times New Roman" w:eastAsia="宋体" w:cs="Times New Roman"/>
          <w:color w:val="auto"/>
          <w:spacing w:val="-2"/>
          <w:sz w:val="18"/>
          <w:szCs w:val="18"/>
          <w:highlight w:val="none"/>
        </w:rPr>
        <w:t>类区标准：①</w:t>
      </w:r>
      <w:r>
        <w:rPr>
          <w:rFonts w:hint="default" w:ascii="Times New Roman" w:hAnsi="Times New Roman" w:eastAsia="宋体" w:cs="Times New Roman"/>
          <w:color w:val="auto"/>
          <w:sz w:val="18"/>
          <w:szCs w:val="18"/>
          <w:highlight w:val="none"/>
        </w:rPr>
        <w:t>规划为工业用地，但尚未开发建设，且仍有敏感目标的区域；②现状为学校</w:t>
      </w:r>
      <w:r>
        <w:rPr>
          <w:rFonts w:hint="default" w:ascii="Times New Roman" w:hAnsi="Times New Roman" w:eastAsia="宋体" w:cs="Times New Roman"/>
          <w:color w:val="auto"/>
          <w:spacing w:val="-1"/>
          <w:sz w:val="18"/>
          <w:szCs w:val="18"/>
          <w:highlight w:val="none"/>
        </w:rPr>
        <w:t>、医院、住宅、机关、公园、</w:t>
      </w:r>
      <w:r>
        <w:rPr>
          <w:rFonts w:hint="default" w:ascii="Times New Roman" w:hAnsi="Times New Roman" w:eastAsia="宋体" w:cs="Times New Roman"/>
          <w:color w:val="auto"/>
          <w:sz w:val="18"/>
          <w:szCs w:val="18"/>
          <w:highlight w:val="none"/>
        </w:rPr>
        <w:t>宾馆、会所等噪声敏感区域；③开发区详规确定为非工业用地的区域；④以商务办公、软件研发等为主的</w:t>
      </w:r>
      <w:r>
        <w:rPr>
          <w:rFonts w:hint="default" w:ascii="Times New Roman" w:hAnsi="Times New Roman" w:eastAsia="宋体" w:cs="Times New Roman"/>
          <w:color w:val="auto"/>
          <w:spacing w:val="-5"/>
          <w:sz w:val="18"/>
          <w:szCs w:val="18"/>
          <w:highlight w:val="none"/>
        </w:rPr>
        <w:t>非生产区域。</w:t>
      </w:r>
    </w:p>
    <w:p w14:paraId="1BF79EF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64" w:firstLineChars="200"/>
        <w:textAlignment w:val="baseline"/>
        <w:outlineLvl w:val="9"/>
        <w:rPr>
          <w:rFonts w:ascii="宋体" w:hAnsi="宋体" w:eastAsia="宋体" w:cs="宋体"/>
          <w:color w:val="auto"/>
          <w:spacing w:val="-4"/>
          <w:sz w:val="24"/>
          <w:szCs w:val="24"/>
          <w:highlight w:val="none"/>
        </w:rPr>
      </w:pPr>
      <w:r>
        <w:rPr>
          <w:rFonts w:hint="default" w:ascii="Times New Roman" w:hAnsi="Times New Roman" w:eastAsia="宋体" w:cs="Times New Roman"/>
          <w:snapToGrid w:val="0"/>
          <w:color w:val="auto"/>
          <w:spacing w:val="-4"/>
          <w:kern w:val="0"/>
          <w:sz w:val="24"/>
          <w:szCs w:val="24"/>
          <w:highlight w:val="none"/>
          <w:lang w:val="en-US" w:eastAsia="en-US" w:bidi="ar-SA"/>
        </w:rPr>
        <w:t>（2）</w:t>
      </w:r>
      <w:sdt>
        <w:sdtPr>
          <w:rPr>
            <w:color w:val="auto"/>
            <w:highlight w:val="none"/>
          </w:rPr>
          <w:alias w:val="易错词检查"/>
          <w:tag w:val="auto"/>
          <w:id w:val="51532"/>
        </w:sdtPr>
        <w:sdtEndPr>
          <w:rPr>
            <w:color w:val="auto"/>
            <w:highlight w:val="none"/>
          </w:rPr>
        </w:sdtEndPr>
        <w:sdtContent>
          <w:bookmarkStart w:id="2261" w:name="bkReivew51532"/>
          <w:r>
            <w:rPr>
              <w:rFonts w:hint="default" w:ascii="Times New Roman" w:hAnsi="Times New Roman" w:eastAsia="宋体" w:cs="Times New Roman"/>
              <w:color w:val="auto"/>
              <w:spacing w:val="-4"/>
              <w:sz w:val="24"/>
              <w:szCs w:val="24"/>
              <w:highlight w:val="none"/>
            </w:rPr>
            <w:t>监</w:t>
          </w:r>
          <w:r>
            <w:rPr>
              <w:rFonts w:ascii="宋体" w:hAnsi="宋体" w:eastAsia="宋体" w:cs="宋体"/>
              <w:color w:val="auto"/>
              <w:spacing w:val="-4"/>
              <w:sz w:val="24"/>
              <w:szCs w:val="24"/>
              <w:highlight w:val="none"/>
            </w:rPr>
            <w:t>测</w:t>
          </w:r>
          <w:bookmarkEnd w:id="2261"/>
        </w:sdtContent>
      </w:sdt>
      <w:r>
        <w:rPr>
          <w:rFonts w:ascii="宋体" w:hAnsi="宋体" w:eastAsia="宋体" w:cs="宋体"/>
          <w:color w:val="auto"/>
          <w:spacing w:val="-4"/>
          <w:sz w:val="24"/>
          <w:szCs w:val="24"/>
          <w:highlight w:val="none"/>
        </w:rPr>
        <w:t>因子</w:t>
      </w:r>
      <w:bookmarkStart w:id="2262" w:name="pindex14665"/>
      <w:bookmarkEnd w:id="2262"/>
    </w:p>
    <w:p w14:paraId="4B1AF0A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76" w:firstLineChars="200"/>
        <w:textAlignment w:val="baseline"/>
        <w:rPr>
          <w:color w:val="auto"/>
          <w:highlight w:val="none"/>
        </w:rPr>
      </w:pPr>
      <w:r>
        <w:rPr>
          <w:rFonts w:ascii="宋体" w:hAnsi="宋体" w:eastAsia="宋体" w:cs="宋体"/>
          <w:color w:val="auto"/>
          <w:spacing w:val="-1"/>
          <w:sz w:val="24"/>
          <w:szCs w:val="24"/>
          <w:highlight w:val="none"/>
        </w:rPr>
        <w:t>连续等效</w:t>
      </w:r>
      <w:r>
        <w:rPr>
          <w:rFonts w:ascii="Times New Roman" w:hAnsi="Times New Roman" w:eastAsia="Times New Roman" w:cs="Times New Roman"/>
          <w:color w:val="auto"/>
          <w:spacing w:val="-1"/>
          <w:sz w:val="24"/>
          <w:szCs w:val="24"/>
          <w:highlight w:val="none"/>
        </w:rPr>
        <w:t>A</w:t>
      </w:r>
      <w:sdt>
        <w:sdtPr>
          <w:rPr>
            <w:color w:val="auto"/>
            <w:highlight w:val="none"/>
          </w:rPr>
          <w:alias w:val="易错词检查"/>
          <w:tag w:val="auto"/>
          <w:id w:val="3072156"/>
        </w:sdtPr>
        <w:sdtEndPr>
          <w:rPr>
            <w:color w:val="auto"/>
            <w:highlight w:val="none"/>
          </w:rPr>
        </w:sdtEndPr>
        <w:sdtContent>
          <w:bookmarkStart w:id="2263" w:name="bkReivew3072156"/>
          <w:r>
            <w:rPr>
              <w:rFonts w:ascii="宋体" w:hAnsi="宋体" w:eastAsia="宋体" w:cs="宋体"/>
              <w:color w:val="auto"/>
              <w:spacing w:val="-1"/>
              <w:sz w:val="24"/>
              <w:szCs w:val="24"/>
              <w:highlight w:val="none"/>
            </w:rPr>
            <w:t>声级</w:t>
          </w:r>
          <w:bookmarkEnd w:id="2263"/>
        </w:sdtContent>
      </w:sdt>
    </w:p>
    <w:p w14:paraId="1CAF3F6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4" w:firstLineChars="200"/>
        <w:textAlignment w:val="baseline"/>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w:t>
      </w:r>
      <w:r>
        <w:rPr>
          <w:rFonts w:ascii="Times New Roman" w:hAnsi="Times New Roman" w:eastAsia="Times New Roman" w:cs="Times New Roman"/>
          <w:color w:val="auto"/>
          <w:spacing w:val="-4"/>
          <w:sz w:val="24"/>
          <w:szCs w:val="24"/>
          <w:highlight w:val="none"/>
        </w:rPr>
        <w:t>3</w:t>
      </w:r>
      <w:r>
        <w:rPr>
          <w:rFonts w:ascii="宋体" w:hAnsi="宋体" w:eastAsia="宋体" w:cs="宋体"/>
          <w:color w:val="auto"/>
          <w:spacing w:val="-4"/>
          <w:sz w:val="24"/>
          <w:szCs w:val="24"/>
          <w:highlight w:val="none"/>
        </w:rPr>
        <w:t>）监测频次：连续监测</w:t>
      </w:r>
      <w:r>
        <w:rPr>
          <w:rFonts w:ascii="Times New Roman" w:hAnsi="Times New Roman" w:eastAsia="Times New Roman" w:cs="Times New Roman"/>
          <w:color w:val="auto"/>
          <w:spacing w:val="-4"/>
          <w:sz w:val="24"/>
          <w:szCs w:val="24"/>
          <w:highlight w:val="none"/>
        </w:rPr>
        <w:t>2</w:t>
      </w:r>
      <w:r>
        <w:rPr>
          <w:rFonts w:ascii="宋体" w:hAnsi="宋体" w:eastAsia="宋体" w:cs="宋体"/>
          <w:color w:val="auto"/>
          <w:spacing w:val="-4"/>
          <w:sz w:val="24"/>
          <w:szCs w:val="24"/>
          <w:highlight w:val="none"/>
        </w:rPr>
        <w:t>天，昼夜各一次。</w:t>
      </w:r>
      <w:bookmarkStart w:id="2264" w:name="pindex14667"/>
      <w:bookmarkEnd w:id="2264"/>
    </w:p>
    <w:p w14:paraId="312120AF">
      <w:pPr>
        <w:keepNext w:val="0"/>
        <w:keepLines w:val="0"/>
        <w:pageBreakBefore w:val="0"/>
        <w:widowControl/>
        <w:kinsoku w:val="0"/>
        <w:wordWrap/>
        <w:overflowPunct/>
        <w:topLinePunct w:val="0"/>
        <w:autoSpaceDE w:val="0"/>
        <w:autoSpaceDN w:val="0"/>
        <w:bidi w:val="0"/>
        <w:adjustRightInd w:val="0"/>
        <w:snapToGrid w:val="0"/>
        <w:spacing w:before="78" w:line="360" w:lineRule="auto"/>
        <w:ind w:left="34"/>
        <w:textAlignment w:val="baseline"/>
        <w:outlineLvl w:val="1"/>
        <w:rPr>
          <w:rFonts w:hint="eastAsia" w:ascii="Times New Roman" w:hAnsi="Times New Roman" w:eastAsia="宋体" w:cs="Times New Roman"/>
          <w:b/>
          <w:bCs/>
          <w:color w:val="auto"/>
          <w:spacing w:val="-2"/>
          <w:sz w:val="24"/>
          <w:szCs w:val="24"/>
          <w:highlight w:val="none"/>
          <w:lang w:val="en-US" w:eastAsia="zh-CN"/>
        </w:rPr>
      </w:pPr>
      <w:bookmarkStart w:id="2265" w:name="bookmark79"/>
      <w:bookmarkEnd w:id="2265"/>
      <w:bookmarkStart w:id="2266" w:name="_Toc28870"/>
      <w:r>
        <w:rPr>
          <w:rFonts w:hint="eastAsia" w:ascii="Times New Roman" w:hAnsi="Times New Roman" w:eastAsia="宋体" w:cs="Times New Roman"/>
          <w:b/>
          <w:bCs/>
          <w:color w:val="auto"/>
          <w:spacing w:val="-2"/>
          <w:sz w:val="24"/>
          <w:szCs w:val="24"/>
          <w:highlight w:val="none"/>
          <w:lang w:val="en-US" w:eastAsia="zh-CN"/>
        </w:rPr>
        <w:t>9.4地下水环境质量现状监测</w:t>
      </w:r>
      <w:bookmarkEnd w:id="2266"/>
      <w:bookmarkStart w:id="2267" w:name="pindex14668"/>
      <w:bookmarkEnd w:id="2267"/>
    </w:p>
    <w:p w14:paraId="66C5A17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8" w:firstLineChars="200"/>
        <w:textAlignment w:val="baseline"/>
        <w:outlineLvl w:val="9"/>
        <w:rPr>
          <w:rFonts w:hint="default" w:ascii="宋体" w:hAnsi="宋体" w:eastAsia="宋体" w:cs="宋体"/>
          <w:snapToGrid w:val="0"/>
          <w:color w:val="auto"/>
          <w:spacing w:val="-3"/>
          <w:kern w:val="0"/>
          <w:sz w:val="24"/>
          <w:szCs w:val="24"/>
          <w:highlight w:val="none"/>
          <w:lang w:val="en-US" w:eastAsia="en-US" w:bidi="ar-SA"/>
        </w:rPr>
      </w:pPr>
      <w:r>
        <w:rPr>
          <w:rFonts w:hint="default" w:ascii="宋体" w:hAnsi="宋体" w:eastAsia="宋体" w:cs="宋体"/>
          <w:snapToGrid w:val="0"/>
          <w:color w:val="auto"/>
          <w:spacing w:val="-3"/>
          <w:kern w:val="0"/>
          <w:sz w:val="24"/>
          <w:szCs w:val="24"/>
          <w:highlight w:val="none"/>
          <w:lang w:val="en-US" w:eastAsia="en-US" w:bidi="ar-SA"/>
        </w:rPr>
        <w:t>（1）</w:t>
      </w:r>
      <w:sdt>
        <w:sdtPr>
          <w:rPr>
            <w:color w:val="auto"/>
            <w:highlight w:val="none"/>
          </w:rPr>
          <w:alias w:val="易错词检查"/>
          <w:tag w:val="auto"/>
          <w:id w:val="3132815"/>
        </w:sdtPr>
        <w:sdtEndPr>
          <w:rPr>
            <w:color w:val="auto"/>
            <w:highlight w:val="none"/>
          </w:rPr>
        </w:sdtEndPr>
        <w:sdtContent>
          <w:bookmarkStart w:id="2268" w:name="bkReivew3132815"/>
          <w:r>
            <w:rPr>
              <w:rFonts w:hint="default" w:ascii="宋体" w:hAnsi="宋体" w:eastAsia="宋体" w:cs="宋体"/>
              <w:snapToGrid w:val="0"/>
              <w:color w:val="auto"/>
              <w:spacing w:val="-3"/>
              <w:kern w:val="0"/>
              <w:sz w:val="24"/>
              <w:szCs w:val="24"/>
              <w:highlight w:val="none"/>
              <w:lang w:val="en-US" w:eastAsia="en-US" w:bidi="ar-SA"/>
            </w:rPr>
            <w:t>监测</w:t>
          </w:r>
          <w:bookmarkEnd w:id="2268"/>
        </w:sdtContent>
      </w:sdt>
      <w:r>
        <w:rPr>
          <w:rFonts w:hint="default" w:ascii="宋体" w:hAnsi="宋体" w:eastAsia="宋体" w:cs="宋体"/>
          <w:snapToGrid w:val="0"/>
          <w:color w:val="auto"/>
          <w:spacing w:val="-3"/>
          <w:kern w:val="0"/>
          <w:sz w:val="24"/>
          <w:szCs w:val="24"/>
          <w:highlight w:val="none"/>
          <w:lang w:val="en-US" w:eastAsia="en-US" w:bidi="ar-SA"/>
        </w:rPr>
        <w:t>因子</w:t>
      </w:r>
      <w:bookmarkStart w:id="2269" w:name="pindex14669"/>
      <w:bookmarkEnd w:id="2269"/>
    </w:p>
    <w:p w14:paraId="4FBCE44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2270" w:name="sys14670044"/>
      <w:r>
        <w:rPr>
          <w:rFonts w:hint="default" w:ascii="Times New Roman" w:hAnsi="Times New Roman" w:eastAsia="宋体" w:cs="Times New Roman"/>
          <w:color w:val="auto"/>
          <w:sz w:val="24"/>
          <w:szCs w:val="24"/>
          <w:highlight w:val="none"/>
        </w:rPr>
        <w:t>八大</w:t>
      </w:r>
      <w:sdt>
        <w:sdtPr>
          <w:rPr>
            <w:color w:val="auto"/>
            <w:highlight w:val="none"/>
          </w:rPr>
          <w:alias w:val="易错词检查"/>
          <w:tag w:val="auto"/>
          <w:id w:val="3102140"/>
        </w:sdtPr>
        <w:sdtEndPr>
          <w:rPr>
            <w:color w:val="auto"/>
            <w:highlight w:val="none"/>
          </w:rPr>
        </w:sdtEndPr>
        <w:sdtContent>
          <w:bookmarkStart w:id="2271" w:name="bkReivew3102140"/>
          <w:r>
            <w:rPr>
              <w:rFonts w:hint="default" w:ascii="Times New Roman" w:hAnsi="Times New Roman" w:eastAsia="宋体" w:cs="Times New Roman"/>
              <w:color w:val="auto"/>
              <w:sz w:val="24"/>
              <w:szCs w:val="24"/>
              <w:highlight w:val="none"/>
            </w:rPr>
            <w:t>离子</w:t>
          </w:r>
          <w:bookmarkEnd w:id="2271"/>
        </w:sdtContent>
      </w:sdt>
      <w:r>
        <w:rPr>
          <w:rFonts w:hint="default" w:ascii="Times New Roman" w:hAnsi="Times New Roman" w:eastAsia="宋体" w:cs="Times New Roman"/>
          <w:color w:val="auto"/>
          <w:sz w:val="24"/>
          <w:szCs w:val="24"/>
          <w:highlight w:val="none"/>
        </w:rPr>
        <w:t>：K</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、Na</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、Ca</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、Mg</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、Cl</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w:t>
      </w:r>
      <w:bookmarkEnd w:id="2270"/>
    </w:p>
    <w:p w14:paraId="2D6FB39A">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2272" w:name="sys14671088"/>
      <w:r>
        <w:rPr>
          <w:rFonts w:hint="default" w:ascii="Times New Roman" w:hAnsi="Times New Roman" w:eastAsia="宋体" w:cs="Times New Roman"/>
          <w:color w:val="auto"/>
          <w:sz w:val="24"/>
          <w:szCs w:val="24"/>
          <w:highlight w:val="none"/>
        </w:rPr>
        <w:t>基本因子：pH、氨氮、硝酸盐、亚硝酸盐、挥发性酚类、氰化物、砷、汞、铬（六价）、总硬度、铅、氟、镉、铁、锰、溶解性总固体、高锰酸盐指数、硫酸盐、氯化物、总大肠杆菌群、细菌总数；</w:t>
      </w:r>
      <w:bookmarkEnd w:id="2272"/>
    </w:p>
    <w:p w14:paraId="3E45545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特征因子：石油类、甲苯、二甲苯、硫化物、总铜、总镍、总铬、LAS。地下水水位、水温。</w:t>
      </w:r>
    </w:p>
    <w:p w14:paraId="4F6DE79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sdt>
        <w:sdtPr>
          <w:rPr>
            <w:color w:val="auto"/>
          </w:rPr>
          <w:alias w:val="易错词检查"/>
          <w:tag w:val="auto"/>
          <w:id w:val="70403"/>
        </w:sdtPr>
        <w:sdtEndPr>
          <w:rPr>
            <w:color w:val="auto"/>
          </w:rPr>
        </w:sdtEndPr>
        <w:sdtContent>
          <w:bookmarkStart w:id="2273" w:name="bkReivew70403"/>
          <w:r>
            <w:rPr>
              <w:rFonts w:hint="default" w:ascii="Times New Roman" w:hAnsi="Times New Roman" w:eastAsia="宋体" w:cs="Times New Roman"/>
              <w:color w:val="auto"/>
              <w:sz w:val="24"/>
              <w:szCs w:val="24"/>
              <w:highlight w:val="none"/>
            </w:rPr>
            <w:t>监测</w:t>
          </w:r>
          <w:bookmarkEnd w:id="2273"/>
        </w:sdtContent>
      </w:sdt>
      <w:r>
        <w:rPr>
          <w:rFonts w:hint="default" w:ascii="Times New Roman" w:hAnsi="Times New Roman" w:eastAsia="宋体" w:cs="Times New Roman"/>
          <w:color w:val="auto"/>
          <w:sz w:val="24"/>
          <w:szCs w:val="24"/>
          <w:highlight w:val="none"/>
        </w:rPr>
        <w:t>点位</w:t>
      </w:r>
      <w:bookmarkStart w:id="2274" w:name="pindex14673"/>
      <w:bookmarkEnd w:id="2274"/>
    </w:p>
    <w:p w14:paraId="5390E13A">
      <w:pPr>
        <w:keepNext w:val="0"/>
        <w:keepLines w:val="0"/>
        <w:pageBreakBefore w:val="0"/>
        <w:widowControl/>
        <w:kinsoku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4"/>
          <w:szCs w:val="24"/>
          <w:highlight w:val="none"/>
        </w:rPr>
      </w:pPr>
      <w:sdt>
        <w:sdtPr>
          <w:rPr>
            <w:color w:val="auto"/>
          </w:rPr>
          <w:alias w:val="易错词检查"/>
          <w:tag w:val="auto"/>
          <w:id w:val="2000633"/>
        </w:sdtPr>
        <w:sdtEndPr>
          <w:rPr>
            <w:color w:val="auto"/>
          </w:rPr>
        </w:sdtEndPr>
        <w:sdtContent>
          <w:bookmarkStart w:id="2275" w:name="bkReivew2000633"/>
          <w:r>
            <w:rPr>
              <w:rFonts w:hint="default" w:ascii="Times New Roman" w:hAnsi="Times New Roman" w:eastAsia="宋体" w:cs="Times New Roman"/>
              <w:color w:val="auto"/>
              <w:sz w:val="24"/>
              <w:szCs w:val="24"/>
              <w:highlight w:val="none"/>
            </w:rPr>
            <w:t>监测</w:t>
          </w:r>
          <w:bookmarkEnd w:id="2275"/>
        </w:sdtContent>
      </w:sdt>
      <w:r>
        <w:rPr>
          <w:rFonts w:hint="default" w:ascii="Times New Roman" w:hAnsi="Times New Roman" w:eastAsia="宋体" w:cs="Times New Roman"/>
          <w:color w:val="auto"/>
          <w:sz w:val="24"/>
          <w:szCs w:val="24"/>
          <w:highlight w:val="none"/>
        </w:rPr>
        <w:t>点位详见下表</w:t>
      </w:r>
      <w:r>
        <w:rPr>
          <w:rFonts w:hint="eastAsia"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.4-1、</w:t>
      </w:r>
      <w:r>
        <w:rPr>
          <w:rFonts w:hint="eastAsia" w:ascii="Times New Roman" w:hAnsi="Times New Roman" w:eastAsia="宋体" w:cs="Times New Roman"/>
          <w:color w:val="auto"/>
          <w:sz w:val="24"/>
          <w:szCs w:val="24"/>
          <w:highlight w:val="none"/>
          <w:lang w:val="en-US" w:eastAsia="zh-CN"/>
        </w:rPr>
        <w:t>附图5</w:t>
      </w:r>
      <w:r>
        <w:rPr>
          <w:rFonts w:hint="default" w:ascii="Times New Roman" w:hAnsi="Times New Roman" w:eastAsia="宋体" w:cs="Times New Roman"/>
          <w:color w:val="auto"/>
          <w:sz w:val="24"/>
          <w:szCs w:val="24"/>
          <w:highlight w:val="none"/>
        </w:rPr>
        <w:t>。</w:t>
      </w:r>
    </w:p>
    <w:p w14:paraId="4AD7D2A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color w:val="auto"/>
          <w:highlight w:val="none"/>
        </w:rPr>
      </w:pPr>
      <w:r>
        <w:rPr>
          <w:rFonts w:ascii="宋体" w:hAnsi="宋体" w:eastAsia="宋体" w:cs="宋体"/>
          <w:b/>
          <w:bCs/>
          <w:color w:val="auto"/>
          <w:spacing w:val="-2"/>
          <w:sz w:val="24"/>
          <w:szCs w:val="24"/>
          <w:highlight w:val="none"/>
        </w:rPr>
        <w:t>表</w:t>
      </w:r>
      <w:r>
        <w:rPr>
          <w:rFonts w:hint="default" w:ascii="Times New Roman" w:hAnsi="Times New Roman" w:eastAsia="宋体" w:cs="Times New Roman"/>
          <w:b/>
          <w:bCs/>
          <w:color w:val="auto"/>
          <w:spacing w:val="-2"/>
          <w:sz w:val="24"/>
          <w:szCs w:val="24"/>
          <w:highlight w:val="none"/>
          <w:lang w:val="en-US" w:eastAsia="zh-CN"/>
        </w:rPr>
        <w:t>9</w:t>
      </w:r>
      <w:r>
        <w:rPr>
          <w:rFonts w:ascii="Times New Roman" w:hAnsi="Times New Roman" w:eastAsia="Times New Roman" w:cs="Times New Roman"/>
          <w:b/>
          <w:bCs/>
          <w:color w:val="auto"/>
          <w:spacing w:val="-2"/>
          <w:sz w:val="24"/>
          <w:szCs w:val="24"/>
          <w:highlight w:val="none"/>
        </w:rPr>
        <w:t>.4-1</w:t>
      </w:r>
      <w:r>
        <w:rPr>
          <w:rFonts w:hint="eastAsia" w:ascii="Times New Roman" w:hAnsi="Times New Roman" w:eastAsia="宋体" w:cs="Times New Roman"/>
          <w:b/>
          <w:bCs/>
          <w:color w:val="auto"/>
          <w:spacing w:val="-2"/>
          <w:sz w:val="24"/>
          <w:szCs w:val="24"/>
          <w:highlight w:val="none"/>
          <w:lang w:val="en-US" w:eastAsia="zh-CN"/>
        </w:rPr>
        <w:t xml:space="preserve">  </w:t>
      </w:r>
      <w:r>
        <w:rPr>
          <w:rFonts w:ascii="宋体" w:hAnsi="宋体" w:eastAsia="宋体" w:cs="宋体"/>
          <w:b/>
          <w:bCs/>
          <w:color w:val="auto"/>
          <w:spacing w:val="-2"/>
          <w:sz w:val="24"/>
          <w:szCs w:val="24"/>
          <w:highlight w:val="none"/>
        </w:rPr>
        <w:t>地下水监测点位</w:t>
      </w:r>
      <w:bookmarkStart w:id="2276" w:name="pindex14675"/>
      <w:bookmarkEnd w:id="2276"/>
    </w:p>
    <w:tbl>
      <w:tblPr>
        <w:tblStyle w:val="26"/>
        <w:tblW w:w="8338" w:type="dxa"/>
        <w:tblInd w:w="14"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995"/>
        <w:gridCol w:w="4115"/>
        <w:gridCol w:w="1358"/>
        <w:gridCol w:w="1870"/>
      </w:tblGrid>
      <w:tr w14:paraId="06D8130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995" w:type="dxa"/>
            <w:tcBorders>
              <w:tl2br w:val="nil"/>
              <w:tr2bl w:val="nil"/>
            </w:tcBorders>
            <w:vAlign w:val="center"/>
          </w:tcPr>
          <w:p w14:paraId="108882D1">
            <w:pPr>
              <w:pStyle w:val="8"/>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测点编号</w:t>
            </w:r>
          </w:p>
        </w:tc>
        <w:tc>
          <w:tcPr>
            <w:tcW w:w="4115" w:type="dxa"/>
            <w:tcBorders>
              <w:tl2br w:val="nil"/>
              <w:tr2bl w:val="nil"/>
            </w:tcBorders>
            <w:vAlign w:val="center"/>
          </w:tcPr>
          <w:p w14:paraId="16CAE22F">
            <w:pPr>
              <w:pStyle w:val="8"/>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监测因子</w:t>
            </w:r>
          </w:p>
        </w:tc>
        <w:tc>
          <w:tcPr>
            <w:tcW w:w="1358" w:type="dxa"/>
            <w:tcBorders>
              <w:tl2br w:val="nil"/>
              <w:tr2bl w:val="nil"/>
            </w:tcBorders>
            <w:vAlign w:val="center"/>
          </w:tcPr>
          <w:p w14:paraId="7C3F1858">
            <w:pPr>
              <w:pStyle w:val="8"/>
              <w:bidi w:val="0"/>
              <w:jc w:val="center"/>
              <w:rPr>
                <w:rFonts w:hint="default" w:ascii="Times New Roman" w:hAnsi="Times New Roman" w:eastAsia="宋体" w:cs="Times New Roman"/>
                <w:b/>
                <w:bCs/>
                <w:color w:val="auto"/>
                <w:sz w:val="21"/>
                <w:szCs w:val="21"/>
                <w:highlight w:val="none"/>
                <w:lang w:val="en-US" w:eastAsia="zh-CN"/>
              </w:rPr>
            </w:pPr>
            <w:bookmarkStart w:id="2277" w:name="OLE_LINK720"/>
            <w:r>
              <w:rPr>
                <w:rFonts w:hint="eastAsia" w:ascii="Times New Roman" w:hAnsi="Times New Roman" w:eastAsia="宋体" w:cs="Times New Roman"/>
                <w:b/>
                <w:bCs/>
                <w:color w:val="auto"/>
                <w:sz w:val="21"/>
                <w:szCs w:val="21"/>
                <w:highlight w:val="none"/>
                <w:lang w:val="en-US" w:eastAsia="zh-CN"/>
              </w:rPr>
              <w:t>监测频次</w:t>
            </w:r>
            <w:bookmarkEnd w:id="2277"/>
          </w:p>
        </w:tc>
        <w:tc>
          <w:tcPr>
            <w:tcW w:w="1870" w:type="dxa"/>
            <w:tcBorders>
              <w:tl2br w:val="nil"/>
              <w:tr2bl w:val="nil"/>
            </w:tcBorders>
            <w:vAlign w:val="center"/>
          </w:tcPr>
          <w:p w14:paraId="799E2CC4">
            <w:pPr>
              <w:pStyle w:val="8"/>
              <w:bidi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tr w14:paraId="437D3AE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56" w:hRule="atLeast"/>
        </w:trPr>
        <w:tc>
          <w:tcPr>
            <w:tcW w:w="995" w:type="dxa"/>
            <w:tcBorders>
              <w:tl2br w:val="nil"/>
              <w:tr2bl w:val="nil"/>
            </w:tcBorders>
            <w:vAlign w:val="center"/>
          </w:tcPr>
          <w:p w14:paraId="780C1A77">
            <w:pPr>
              <w:pStyle w:val="8"/>
              <w:bidi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DW01-DW11</w:t>
            </w:r>
          </w:p>
        </w:tc>
        <w:tc>
          <w:tcPr>
            <w:tcW w:w="4115" w:type="dxa"/>
            <w:tcBorders>
              <w:tl2br w:val="nil"/>
              <w:tr2bl w:val="nil"/>
            </w:tcBorders>
            <w:vAlign w:val="center"/>
          </w:tcPr>
          <w:p w14:paraId="4CBB861E">
            <w:pPr>
              <w:pStyle w:val="8"/>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八</w:t>
            </w:r>
            <w:sdt>
              <w:sdtPr>
                <w:rPr>
                  <w:color w:val="auto"/>
                </w:rPr>
                <w:alias w:val="易错词检查"/>
                <w:tag w:val="auto"/>
                <w:id w:val="3100745"/>
              </w:sdtPr>
              <w:sdtEndPr>
                <w:rPr>
                  <w:color w:val="auto"/>
                </w:rPr>
              </w:sdtEndPr>
              <w:sdtContent>
                <w:bookmarkStart w:id="2278" w:name="bkReivew3100745"/>
                <w:r>
                  <w:rPr>
                    <w:rFonts w:hint="default" w:ascii="Times New Roman" w:hAnsi="Times New Roman" w:eastAsia="宋体" w:cs="Times New Roman"/>
                    <w:color w:val="auto"/>
                    <w:sz w:val="21"/>
                    <w:szCs w:val="21"/>
                    <w:highlight w:val="none"/>
                  </w:rPr>
                  <w:t>大离子</w:t>
                </w:r>
                <w:bookmarkEnd w:id="2278"/>
              </w:sdtContent>
            </w:sdt>
            <w:r>
              <w:rPr>
                <w:rFonts w:hint="default" w:ascii="Times New Roman" w:hAnsi="Times New Roman" w:eastAsia="宋体" w:cs="Times New Roman"/>
                <w:color w:val="auto"/>
                <w:sz w:val="21"/>
                <w:szCs w:val="21"/>
                <w:highlight w:val="none"/>
              </w:rPr>
              <w:t>+基本因子+特征因子+水位、水温</w:t>
            </w:r>
          </w:p>
        </w:tc>
        <w:tc>
          <w:tcPr>
            <w:tcW w:w="1358" w:type="dxa"/>
            <w:tcBorders>
              <w:tl2br w:val="nil"/>
              <w:tr2bl w:val="nil"/>
            </w:tcBorders>
            <w:vAlign w:val="center"/>
          </w:tcPr>
          <w:p w14:paraId="241E1158">
            <w:pPr>
              <w:pStyle w:val="8"/>
              <w:bidi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三年一次</w:t>
            </w:r>
          </w:p>
        </w:tc>
        <w:tc>
          <w:tcPr>
            <w:tcW w:w="1870" w:type="dxa"/>
            <w:tcBorders>
              <w:tl2br w:val="nil"/>
              <w:tr2bl w:val="nil"/>
            </w:tcBorders>
            <w:vAlign w:val="center"/>
          </w:tcPr>
          <w:p w14:paraId="40FF9657">
            <w:pPr>
              <w:pStyle w:val="8"/>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取样点深度在地下水位以下1.0m左右</w:t>
            </w:r>
          </w:p>
        </w:tc>
      </w:tr>
    </w:tbl>
    <w:p w14:paraId="0C37EC52">
      <w:pPr>
        <w:spacing w:before="29" w:line="230" w:lineRule="auto"/>
        <w:ind w:left="43" w:right="216" w:firstLine="413"/>
        <w:rPr>
          <w:rFonts w:ascii="宋体" w:hAnsi="宋体" w:eastAsia="宋体" w:cs="宋体"/>
          <w:color w:val="auto"/>
          <w:sz w:val="21"/>
          <w:szCs w:val="21"/>
          <w:highlight w:val="none"/>
        </w:rPr>
      </w:pPr>
      <w:r>
        <w:rPr>
          <w:rFonts w:ascii="宋体" w:hAnsi="宋体" w:eastAsia="宋体" w:cs="宋体"/>
          <w:color w:val="auto"/>
          <w:spacing w:val="-3"/>
          <w:sz w:val="21"/>
          <w:szCs w:val="21"/>
          <w:highlight w:val="none"/>
        </w:rPr>
        <w:t>注：给出现场各监测点位具体坐标、水位标高（或者孔口标高以及埋深）以及现场采样</w:t>
      </w:r>
      <w:r>
        <w:rPr>
          <w:rFonts w:ascii="宋体" w:hAnsi="宋体" w:eastAsia="宋体" w:cs="宋体"/>
          <w:color w:val="auto"/>
          <w:spacing w:val="-4"/>
          <w:sz w:val="21"/>
          <w:szCs w:val="21"/>
          <w:highlight w:val="none"/>
        </w:rPr>
        <w:t>照片</w:t>
      </w:r>
    </w:p>
    <w:p w14:paraId="18B96DA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w:t>
      </w:r>
      <w:sdt>
        <w:sdtPr>
          <w:rPr>
            <w:color w:val="auto"/>
          </w:rPr>
          <w:alias w:val="易错词检查"/>
          <w:tag w:val="auto"/>
          <w:id w:val="32210"/>
        </w:sdtPr>
        <w:sdtEndPr>
          <w:rPr>
            <w:color w:val="auto"/>
          </w:rPr>
        </w:sdtEndPr>
        <w:sdtContent>
          <w:bookmarkStart w:id="2279" w:name="bkReivew32210"/>
          <w:r>
            <w:rPr>
              <w:rFonts w:hint="default" w:ascii="Times New Roman" w:hAnsi="Times New Roman" w:eastAsia="宋体" w:cs="Times New Roman"/>
              <w:color w:val="auto"/>
              <w:sz w:val="24"/>
              <w:szCs w:val="24"/>
              <w:highlight w:val="none"/>
            </w:rPr>
            <w:t>监测</w:t>
          </w:r>
          <w:bookmarkEnd w:id="2279"/>
        </w:sdtContent>
      </w:sdt>
      <w:r>
        <w:rPr>
          <w:rFonts w:hint="default" w:ascii="Times New Roman" w:hAnsi="Times New Roman" w:eastAsia="宋体" w:cs="Times New Roman"/>
          <w:color w:val="auto"/>
          <w:sz w:val="24"/>
          <w:szCs w:val="24"/>
          <w:highlight w:val="none"/>
        </w:rPr>
        <w:t>时间</w:t>
      </w:r>
      <w:bookmarkStart w:id="2280" w:name="pindex14685"/>
      <w:bookmarkEnd w:id="2280"/>
    </w:p>
    <w:p w14:paraId="29753A3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监测1天，每天监测一次。</w:t>
      </w:r>
      <w:bookmarkStart w:id="2281" w:name="bookmark81"/>
      <w:bookmarkEnd w:id="2281"/>
    </w:p>
    <w:p w14:paraId="29E3ED15">
      <w:pPr>
        <w:keepNext w:val="0"/>
        <w:keepLines w:val="0"/>
        <w:pageBreakBefore w:val="0"/>
        <w:widowControl/>
        <w:kinsoku w:val="0"/>
        <w:wordWrap/>
        <w:overflowPunct/>
        <w:topLinePunct w:val="0"/>
        <w:autoSpaceDE w:val="0"/>
        <w:autoSpaceDN w:val="0"/>
        <w:bidi w:val="0"/>
        <w:adjustRightInd w:val="0"/>
        <w:snapToGrid w:val="0"/>
        <w:spacing w:before="78" w:line="360" w:lineRule="auto"/>
        <w:ind w:left="34"/>
        <w:textAlignment w:val="baseline"/>
        <w:outlineLvl w:val="1"/>
        <w:rPr>
          <w:rFonts w:hint="eastAsia" w:ascii="Times New Roman" w:hAnsi="Times New Roman" w:eastAsia="宋体" w:cs="Times New Roman"/>
          <w:b/>
          <w:bCs/>
          <w:color w:val="auto"/>
          <w:spacing w:val="-2"/>
          <w:sz w:val="24"/>
          <w:szCs w:val="24"/>
          <w:highlight w:val="none"/>
          <w:lang w:val="en-US" w:eastAsia="zh-CN"/>
        </w:rPr>
      </w:pPr>
      <w:bookmarkStart w:id="2282" w:name="_Toc115"/>
      <w:r>
        <w:rPr>
          <w:rFonts w:hint="eastAsia" w:ascii="Times New Roman" w:hAnsi="Times New Roman" w:eastAsia="宋体" w:cs="Times New Roman"/>
          <w:b/>
          <w:bCs/>
          <w:color w:val="auto"/>
          <w:spacing w:val="-2"/>
          <w:sz w:val="24"/>
          <w:szCs w:val="24"/>
          <w:highlight w:val="none"/>
          <w:lang w:val="en-US" w:eastAsia="zh-CN"/>
        </w:rPr>
        <w:t>9.5土壤环境质量现状监测</w:t>
      </w:r>
      <w:bookmarkEnd w:id="2282"/>
      <w:bookmarkStart w:id="2283" w:name="pindex14687"/>
      <w:bookmarkEnd w:id="2283"/>
    </w:p>
    <w:p w14:paraId="2FAD1BD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4" w:firstLineChars="200"/>
        <w:textAlignment w:val="baseline"/>
        <w:outlineLvl w:val="9"/>
        <w:rPr>
          <w:rFonts w:ascii="宋体" w:hAnsi="宋体" w:eastAsia="宋体" w:cs="宋体"/>
          <w:color w:val="auto"/>
          <w:spacing w:val="-4"/>
          <w:sz w:val="24"/>
          <w:szCs w:val="24"/>
          <w:highlight w:val="none"/>
        </w:rPr>
      </w:pPr>
      <w:r>
        <w:rPr>
          <w:rFonts w:ascii="宋体" w:hAnsi="宋体" w:eastAsia="宋体" w:cs="宋体"/>
          <w:color w:val="auto"/>
          <w:spacing w:val="-4"/>
          <w:sz w:val="24"/>
          <w:szCs w:val="24"/>
          <w:highlight w:val="none"/>
        </w:rPr>
        <w:t>（</w:t>
      </w:r>
      <w:r>
        <w:rPr>
          <w:rFonts w:hint="eastAsia" w:ascii="Times New Roman" w:hAnsi="Times New Roman" w:eastAsia="宋体" w:cs="Times New Roman"/>
          <w:color w:val="auto"/>
          <w:spacing w:val="-4"/>
          <w:sz w:val="24"/>
          <w:szCs w:val="24"/>
          <w:highlight w:val="none"/>
          <w:lang w:val="en-US" w:eastAsia="zh-CN"/>
        </w:rPr>
        <w:t>1</w:t>
      </w:r>
      <w:r>
        <w:rPr>
          <w:rFonts w:ascii="宋体" w:hAnsi="宋体" w:eastAsia="宋体" w:cs="宋体"/>
          <w:color w:val="auto"/>
          <w:spacing w:val="-4"/>
          <w:sz w:val="24"/>
          <w:szCs w:val="24"/>
          <w:highlight w:val="none"/>
        </w:rPr>
        <w:t>）</w:t>
      </w:r>
      <w:sdt>
        <w:sdtPr>
          <w:rPr>
            <w:color w:val="auto"/>
          </w:rPr>
          <w:alias w:val="易错词检查"/>
          <w:tag w:val="auto"/>
          <w:id w:val="3053444"/>
        </w:sdtPr>
        <w:sdtEndPr>
          <w:rPr>
            <w:color w:val="auto"/>
          </w:rPr>
        </w:sdtEndPr>
        <w:sdtContent>
          <w:bookmarkStart w:id="2284" w:name="bkReivew3053444"/>
          <w:r>
            <w:rPr>
              <w:rFonts w:ascii="宋体" w:hAnsi="宋体" w:eastAsia="宋体" w:cs="宋体"/>
              <w:color w:val="auto"/>
              <w:spacing w:val="-4"/>
              <w:sz w:val="24"/>
              <w:szCs w:val="24"/>
              <w:highlight w:val="none"/>
            </w:rPr>
            <w:t>监测</w:t>
          </w:r>
          <w:bookmarkEnd w:id="2284"/>
        </w:sdtContent>
      </w:sdt>
      <w:r>
        <w:rPr>
          <w:rFonts w:ascii="宋体" w:hAnsi="宋体" w:eastAsia="宋体" w:cs="宋体"/>
          <w:color w:val="auto"/>
          <w:spacing w:val="-4"/>
          <w:sz w:val="24"/>
          <w:szCs w:val="24"/>
          <w:highlight w:val="none"/>
        </w:rPr>
        <w:t>因子</w:t>
      </w:r>
      <w:bookmarkStart w:id="2285" w:name="pindex14688"/>
      <w:bookmarkEnd w:id="2285"/>
    </w:p>
    <w:p w14:paraId="7747F05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8" w:firstLineChars="200"/>
        <w:textAlignment w:val="baseline"/>
        <w:rPr>
          <w:rFonts w:ascii="宋体" w:hAnsi="宋体" w:eastAsia="宋体" w:cs="宋体"/>
          <w:color w:val="auto"/>
          <w:sz w:val="24"/>
          <w:szCs w:val="24"/>
          <w:highlight w:val="none"/>
        </w:rPr>
      </w:pPr>
      <w:bookmarkStart w:id="2286" w:name="sys146890287"/>
      <w:r>
        <w:rPr>
          <w:rFonts w:ascii="宋体" w:hAnsi="宋体" w:eastAsia="宋体" w:cs="宋体"/>
          <w:color w:val="auto"/>
          <w:spacing w:val="-3"/>
          <w:sz w:val="24"/>
          <w:szCs w:val="24"/>
          <w:highlight w:val="none"/>
        </w:rPr>
        <w:t>基本项目：砷、镉、铬（六价）、铜、铅、汞、镍、四氯化碳、</w:t>
      </w:r>
      <w:r>
        <w:rPr>
          <w:rFonts w:ascii="宋体" w:hAnsi="宋体" w:eastAsia="宋体" w:cs="宋体"/>
          <w:color w:val="auto"/>
          <w:spacing w:val="-4"/>
          <w:sz w:val="24"/>
          <w:szCs w:val="24"/>
          <w:highlight w:val="none"/>
        </w:rPr>
        <w:t>氯仿、氯甲</w:t>
      </w:r>
      <w:r>
        <w:rPr>
          <w:rFonts w:ascii="宋体" w:hAnsi="宋体" w:eastAsia="宋体" w:cs="宋体"/>
          <w:color w:val="auto"/>
          <w:sz w:val="24"/>
          <w:szCs w:val="24"/>
          <w:highlight w:val="none"/>
        </w:rPr>
        <w:t>烷、</w:t>
      </w:r>
      <w:r>
        <w:rPr>
          <w:rFonts w:ascii="Times New Roman" w:hAnsi="Times New Roman" w:eastAsia="Times New Roman" w:cs="Times New Roman"/>
          <w:color w:val="auto"/>
          <w:sz w:val="24"/>
          <w:szCs w:val="24"/>
          <w:highlight w:val="none"/>
        </w:rPr>
        <w:t>1,1-</w:t>
      </w:r>
      <w:r>
        <w:rPr>
          <w:rFonts w:ascii="宋体" w:hAnsi="宋体" w:eastAsia="宋体" w:cs="宋体"/>
          <w:color w:val="auto"/>
          <w:sz w:val="24"/>
          <w:szCs w:val="24"/>
          <w:highlight w:val="none"/>
        </w:rPr>
        <w:t>二氯乙烷、</w:t>
      </w:r>
      <w:r>
        <w:rPr>
          <w:rFonts w:ascii="Times New Roman" w:hAnsi="Times New Roman" w:eastAsia="Times New Roman" w:cs="Times New Roman"/>
          <w:color w:val="auto"/>
          <w:sz w:val="24"/>
          <w:szCs w:val="24"/>
          <w:highlight w:val="none"/>
        </w:rPr>
        <w:t>1,2-</w:t>
      </w:r>
      <w:r>
        <w:rPr>
          <w:rFonts w:ascii="宋体" w:hAnsi="宋体" w:eastAsia="宋体" w:cs="宋体"/>
          <w:color w:val="auto"/>
          <w:sz w:val="24"/>
          <w:szCs w:val="24"/>
          <w:highlight w:val="none"/>
        </w:rPr>
        <w:t>二氯乙烷、</w:t>
      </w:r>
      <w:r>
        <w:rPr>
          <w:rFonts w:ascii="Times New Roman" w:hAnsi="Times New Roman" w:eastAsia="Times New Roman" w:cs="Times New Roman"/>
          <w:color w:val="auto"/>
          <w:sz w:val="24"/>
          <w:szCs w:val="24"/>
          <w:highlight w:val="none"/>
        </w:rPr>
        <w:t>1,1-</w:t>
      </w:r>
      <w:r>
        <w:rPr>
          <w:rFonts w:ascii="宋体" w:hAnsi="宋体" w:eastAsia="宋体" w:cs="宋体"/>
          <w:color w:val="auto"/>
          <w:sz w:val="24"/>
          <w:szCs w:val="24"/>
          <w:highlight w:val="none"/>
        </w:rPr>
        <w:t>二氯乙烯、顺</w:t>
      </w:r>
      <w:r>
        <w:rPr>
          <w:rFonts w:ascii="Times New Roman" w:hAnsi="Times New Roman" w:eastAsia="Times New Roman" w:cs="Times New Roman"/>
          <w:color w:val="auto"/>
          <w:sz w:val="24"/>
          <w:szCs w:val="24"/>
          <w:highlight w:val="none"/>
        </w:rPr>
        <w:t>-1,2-</w:t>
      </w:r>
      <w:r>
        <w:rPr>
          <w:rFonts w:ascii="宋体" w:hAnsi="宋体" w:eastAsia="宋体" w:cs="宋体"/>
          <w:color w:val="auto"/>
          <w:sz w:val="24"/>
          <w:szCs w:val="24"/>
          <w:highlight w:val="none"/>
        </w:rPr>
        <w:t>二氯乙烯、</w:t>
      </w:r>
      <w:r>
        <w:rPr>
          <w:rFonts w:ascii="宋体" w:hAnsi="宋体" w:eastAsia="宋体" w:cs="宋体"/>
          <w:color w:val="auto"/>
          <w:spacing w:val="-1"/>
          <w:sz w:val="24"/>
          <w:szCs w:val="24"/>
          <w:highlight w:val="none"/>
        </w:rPr>
        <w:t>反</w:t>
      </w:r>
      <w:r>
        <w:rPr>
          <w:rFonts w:ascii="Times New Roman" w:hAnsi="Times New Roman" w:eastAsia="Times New Roman" w:cs="Times New Roman"/>
          <w:color w:val="auto"/>
          <w:spacing w:val="-1"/>
          <w:sz w:val="24"/>
          <w:szCs w:val="24"/>
          <w:highlight w:val="none"/>
        </w:rPr>
        <w:t>-1,2-</w:t>
      </w:r>
      <w:r>
        <w:rPr>
          <w:rFonts w:ascii="宋体" w:hAnsi="宋体" w:eastAsia="宋体" w:cs="宋体"/>
          <w:color w:val="auto"/>
          <w:spacing w:val="-1"/>
          <w:sz w:val="24"/>
          <w:szCs w:val="24"/>
          <w:highlight w:val="none"/>
        </w:rPr>
        <w:t>二氯</w:t>
      </w:r>
      <w:r>
        <w:rPr>
          <w:rFonts w:ascii="宋体" w:hAnsi="宋体" w:eastAsia="宋体" w:cs="宋体"/>
          <w:color w:val="auto"/>
          <w:spacing w:val="-8"/>
          <w:sz w:val="24"/>
          <w:szCs w:val="24"/>
          <w:highlight w:val="none"/>
        </w:rPr>
        <w:t>乙烯、二氯甲烷、</w:t>
      </w:r>
      <w:r>
        <w:rPr>
          <w:rFonts w:ascii="Times New Roman" w:hAnsi="Times New Roman" w:eastAsia="Times New Roman" w:cs="Times New Roman"/>
          <w:color w:val="auto"/>
          <w:spacing w:val="-8"/>
          <w:sz w:val="24"/>
          <w:szCs w:val="24"/>
          <w:highlight w:val="none"/>
        </w:rPr>
        <w:t>1,2-</w:t>
      </w:r>
      <w:r>
        <w:rPr>
          <w:rFonts w:ascii="宋体" w:hAnsi="宋体" w:eastAsia="宋体" w:cs="宋体"/>
          <w:color w:val="auto"/>
          <w:spacing w:val="-8"/>
          <w:sz w:val="24"/>
          <w:szCs w:val="24"/>
          <w:highlight w:val="none"/>
        </w:rPr>
        <w:t>二氯丙烷、</w:t>
      </w:r>
      <w:r>
        <w:rPr>
          <w:rFonts w:ascii="Times New Roman" w:hAnsi="Times New Roman" w:eastAsia="Times New Roman" w:cs="Times New Roman"/>
          <w:color w:val="auto"/>
          <w:spacing w:val="-8"/>
          <w:sz w:val="24"/>
          <w:szCs w:val="24"/>
          <w:highlight w:val="none"/>
        </w:rPr>
        <w:t>1,1,1,2-</w:t>
      </w:r>
      <w:r>
        <w:rPr>
          <w:rFonts w:ascii="宋体" w:hAnsi="宋体" w:eastAsia="宋体" w:cs="宋体"/>
          <w:color w:val="auto"/>
          <w:spacing w:val="-8"/>
          <w:sz w:val="24"/>
          <w:szCs w:val="24"/>
          <w:highlight w:val="none"/>
        </w:rPr>
        <w:t>四氯乙烷、</w:t>
      </w:r>
      <w:r>
        <w:rPr>
          <w:rFonts w:ascii="Times New Roman" w:hAnsi="Times New Roman" w:eastAsia="Times New Roman" w:cs="Times New Roman"/>
          <w:color w:val="auto"/>
          <w:spacing w:val="-8"/>
          <w:sz w:val="24"/>
          <w:szCs w:val="24"/>
          <w:highlight w:val="none"/>
        </w:rPr>
        <w:t>1,1,2,2-</w:t>
      </w:r>
      <w:r>
        <w:rPr>
          <w:rFonts w:ascii="宋体" w:hAnsi="宋体" w:eastAsia="宋体" w:cs="宋体"/>
          <w:color w:val="auto"/>
          <w:spacing w:val="-8"/>
          <w:sz w:val="24"/>
          <w:szCs w:val="24"/>
          <w:highlight w:val="none"/>
        </w:rPr>
        <w:t>四氯乙烷</w:t>
      </w:r>
      <w:r>
        <w:rPr>
          <w:rFonts w:ascii="宋体" w:hAnsi="宋体" w:eastAsia="宋体" w:cs="宋体"/>
          <w:color w:val="auto"/>
          <w:spacing w:val="-9"/>
          <w:sz w:val="24"/>
          <w:szCs w:val="24"/>
          <w:highlight w:val="none"/>
        </w:rPr>
        <w:t>、四氯乙烯、</w:t>
      </w:r>
      <w:r>
        <w:rPr>
          <w:rFonts w:ascii="Times New Roman" w:hAnsi="Times New Roman" w:eastAsia="Times New Roman" w:cs="Times New Roman"/>
          <w:color w:val="auto"/>
          <w:spacing w:val="-10"/>
          <w:sz w:val="24"/>
          <w:szCs w:val="24"/>
          <w:highlight w:val="none"/>
        </w:rPr>
        <w:t>1,1,1-</w:t>
      </w:r>
      <w:r>
        <w:rPr>
          <w:rFonts w:ascii="宋体" w:hAnsi="宋体" w:eastAsia="宋体" w:cs="宋体"/>
          <w:color w:val="auto"/>
          <w:spacing w:val="-10"/>
          <w:sz w:val="24"/>
          <w:szCs w:val="24"/>
          <w:highlight w:val="none"/>
        </w:rPr>
        <w:t>三氯乙烷、</w:t>
      </w:r>
      <w:r>
        <w:rPr>
          <w:rFonts w:ascii="Times New Roman" w:hAnsi="Times New Roman" w:eastAsia="Times New Roman" w:cs="Times New Roman"/>
          <w:color w:val="auto"/>
          <w:spacing w:val="-10"/>
          <w:sz w:val="24"/>
          <w:szCs w:val="24"/>
          <w:highlight w:val="none"/>
        </w:rPr>
        <w:t>1,1,2-</w:t>
      </w:r>
      <w:r>
        <w:rPr>
          <w:rFonts w:ascii="宋体" w:hAnsi="宋体" w:eastAsia="宋体" w:cs="宋体"/>
          <w:color w:val="auto"/>
          <w:spacing w:val="-10"/>
          <w:sz w:val="24"/>
          <w:szCs w:val="24"/>
          <w:highlight w:val="none"/>
        </w:rPr>
        <w:t>三氯乙烷、三氯乙烯、</w:t>
      </w:r>
      <w:r>
        <w:rPr>
          <w:rFonts w:ascii="Times New Roman" w:hAnsi="Times New Roman" w:eastAsia="Times New Roman" w:cs="Times New Roman"/>
          <w:color w:val="auto"/>
          <w:spacing w:val="-10"/>
          <w:sz w:val="24"/>
          <w:szCs w:val="24"/>
          <w:highlight w:val="none"/>
        </w:rPr>
        <w:t>1,2,3-</w:t>
      </w:r>
      <w:r>
        <w:rPr>
          <w:rFonts w:ascii="宋体" w:hAnsi="宋体" w:eastAsia="宋体" w:cs="宋体"/>
          <w:color w:val="auto"/>
          <w:spacing w:val="-10"/>
          <w:sz w:val="24"/>
          <w:szCs w:val="24"/>
          <w:highlight w:val="none"/>
        </w:rPr>
        <w:t>三氯丙烷、氯乙烯、苯、氯苯、</w:t>
      </w:r>
      <w:r>
        <w:rPr>
          <w:rFonts w:ascii="Times New Roman" w:hAnsi="Times New Roman" w:eastAsia="Times New Roman" w:cs="Times New Roman"/>
          <w:color w:val="auto"/>
          <w:spacing w:val="-8"/>
          <w:sz w:val="24"/>
          <w:szCs w:val="24"/>
          <w:highlight w:val="none"/>
        </w:rPr>
        <w:t>1,2-</w:t>
      </w:r>
      <w:r>
        <w:rPr>
          <w:rFonts w:ascii="宋体" w:hAnsi="宋体" w:eastAsia="宋体" w:cs="宋体"/>
          <w:color w:val="auto"/>
          <w:spacing w:val="-8"/>
          <w:sz w:val="24"/>
          <w:szCs w:val="24"/>
          <w:highlight w:val="none"/>
        </w:rPr>
        <w:t>二氯苯、</w:t>
      </w:r>
      <w:r>
        <w:rPr>
          <w:rFonts w:ascii="Times New Roman" w:hAnsi="Times New Roman" w:eastAsia="Times New Roman" w:cs="Times New Roman"/>
          <w:color w:val="auto"/>
          <w:spacing w:val="-8"/>
          <w:sz w:val="24"/>
          <w:szCs w:val="24"/>
          <w:highlight w:val="none"/>
        </w:rPr>
        <w:t>1,4-</w:t>
      </w:r>
      <w:r>
        <w:rPr>
          <w:rFonts w:ascii="宋体" w:hAnsi="宋体" w:eastAsia="宋体" w:cs="宋体"/>
          <w:color w:val="auto"/>
          <w:spacing w:val="-8"/>
          <w:sz w:val="24"/>
          <w:szCs w:val="24"/>
          <w:highlight w:val="none"/>
        </w:rPr>
        <w:t>二氯苯、乙苯、苯乙烯、甲苯、间二甲苯</w:t>
      </w:r>
      <w:r>
        <w:rPr>
          <w:rFonts w:ascii="Times New Roman" w:hAnsi="Times New Roman" w:eastAsia="Times New Roman" w:cs="Times New Roman"/>
          <w:color w:val="auto"/>
          <w:spacing w:val="-8"/>
          <w:sz w:val="24"/>
          <w:szCs w:val="24"/>
          <w:highlight w:val="none"/>
        </w:rPr>
        <w:t>+</w:t>
      </w:r>
      <w:r>
        <w:rPr>
          <w:rFonts w:ascii="宋体" w:hAnsi="宋体" w:eastAsia="宋体" w:cs="宋体"/>
          <w:color w:val="auto"/>
          <w:spacing w:val="-8"/>
          <w:sz w:val="24"/>
          <w:szCs w:val="24"/>
          <w:highlight w:val="none"/>
        </w:rPr>
        <w:t>对二甲苯、邻二甲苯、</w:t>
      </w:r>
      <w:r>
        <w:rPr>
          <w:rFonts w:ascii="宋体" w:hAnsi="宋体" w:eastAsia="宋体" w:cs="宋体"/>
          <w:color w:val="auto"/>
          <w:spacing w:val="-10"/>
          <w:sz w:val="24"/>
          <w:szCs w:val="24"/>
          <w:highlight w:val="none"/>
        </w:rPr>
        <w:t>硝基苯、苯胺、</w:t>
      </w:r>
      <w:r>
        <w:rPr>
          <w:rFonts w:ascii="Times New Roman" w:hAnsi="Times New Roman" w:eastAsia="Times New Roman" w:cs="Times New Roman"/>
          <w:color w:val="auto"/>
          <w:spacing w:val="-10"/>
          <w:sz w:val="24"/>
          <w:szCs w:val="24"/>
          <w:highlight w:val="none"/>
        </w:rPr>
        <w:t>2-</w:t>
      </w:r>
      <w:r>
        <w:rPr>
          <w:rFonts w:ascii="宋体" w:hAnsi="宋体" w:eastAsia="宋体" w:cs="宋体"/>
          <w:color w:val="auto"/>
          <w:spacing w:val="-10"/>
          <w:sz w:val="24"/>
          <w:szCs w:val="24"/>
          <w:highlight w:val="none"/>
        </w:rPr>
        <w:t>氯酚、苯并〔</w:t>
      </w:r>
      <w:r>
        <w:rPr>
          <w:rFonts w:ascii="Times New Roman" w:hAnsi="Times New Roman" w:eastAsia="Times New Roman" w:cs="Times New Roman"/>
          <w:color w:val="auto"/>
          <w:spacing w:val="-10"/>
          <w:sz w:val="24"/>
          <w:szCs w:val="24"/>
          <w:highlight w:val="none"/>
        </w:rPr>
        <w:t>a</w:t>
      </w:r>
      <w:r>
        <w:rPr>
          <w:rFonts w:ascii="宋体" w:hAnsi="宋体" w:eastAsia="宋体" w:cs="宋体"/>
          <w:color w:val="auto"/>
          <w:spacing w:val="-10"/>
          <w:sz w:val="24"/>
          <w:szCs w:val="24"/>
          <w:highlight w:val="none"/>
        </w:rPr>
        <w:t>〕蒽、苯并〔</w:t>
      </w:r>
      <w:r>
        <w:rPr>
          <w:rFonts w:ascii="Times New Roman" w:hAnsi="Times New Roman" w:eastAsia="Times New Roman" w:cs="Times New Roman"/>
          <w:color w:val="auto"/>
          <w:spacing w:val="-10"/>
          <w:sz w:val="24"/>
          <w:szCs w:val="24"/>
          <w:highlight w:val="none"/>
        </w:rPr>
        <w:t>a</w:t>
      </w:r>
      <w:r>
        <w:rPr>
          <w:rFonts w:ascii="宋体" w:hAnsi="宋体" w:eastAsia="宋体" w:cs="宋体"/>
          <w:color w:val="auto"/>
          <w:spacing w:val="-10"/>
          <w:sz w:val="24"/>
          <w:szCs w:val="24"/>
          <w:highlight w:val="none"/>
        </w:rPr>
        <w:t>〕芘、苯并〔</w:t>
      </w:r>
      <w:r>
        <w:rPr>
          <w:rFonts w:ascii="Times New Roman" w:hAnsi="Times New Roman" w:eastAsia="Times New Roman" w:cs="Times New Roman"/>
          <w:color w:val="auto"/>
          <w:spacing w:val="-10"/>
          <w:sz w:val="24"/>
          <w:szCs w:val="24"/>
          <w:highlight w:val="none"/>
        </w:rPr>
        <w:t>a</w:t>
      </w:r>
      <w:r>
        <w:rPr>
          <w:rFonts w:ascii="宋体" w:hAnsi="宋体" w:eastAsia="宋体" w:cs="宋体"/>
          <w:color w:val="auto"/>
          <w:spacing w:val="-10"/>
          <w:sz w:val="24"/>
          <w:szCs w:val="24"/>
          <w:highlight w:val="none"/>
        </w:rPr>
        <w:t>〕荧蒽、苯并〔</w:t>
      </w:r>
      <w:r>
        <w:rPr>
          <w:rFonts w:ascii="Times New Roman" w:hAnsi="Times New Roman" w:eastAsia="Times New Roman" w:cs="Times New Roman"/>
          <w:color w:val="auto"/>
          <w:spacing w:val="-10"/>
          <w:sz w:val="24"/>
          <w:szCs w:val="24"/>
          <w:highlight w:val="none"/>
        </w:rPr>
        <w:t>k</w:t>
      </w:r>
      <w:r>
        <w:rPr>
          <w:rFonts w:ascii="宋体" w:hAnsi="宋体" w:eastAsia="宋体" w:cs="宋体"/>
          <w:color w:val="auto"/>
          <w:spacing w:val="-10"/>
          <w:sz w:val="24"/>
          <w:szCs w:val="24"/>
          <w:highlight w:val="none"/>
        </w:rPr>
        <w:t>〕</w:t>
      </w:r>
      <w:r>
        <w:rPr>
          <w:rFonts w:ascii="宋体" w:hAnsi="宋体" w:eastAsia="宋体" w:cs="宋体"/>
          <w:color w:val="auto"/>
          <w:spacing w:val="-2"/>
          <w:sz w:val="24"/>
          <w:szCs w:val="24"/>
          <w:highlight w:val="none"/>
        </w:rPr>
        <w:t>荧蒽、䓛、二苯并〔</w:t>
      </w:r>
      <w:r>
        <w:rPr>
          <w:rFonts w:ascii="Times New Roman" w:hAnsi="Times New Roman" w:eastAsia="Times New Roman" w:cs="Times New Roman"/>
          <w:color w:val="auto"/>
          <w:spacing w:val="-2"/>
          <w:sz w:val="24"/>
          <w:szCs w:val="24"/>
          <w:highlight w:val="none"/>
        </w:rPr>
        <w:t>a</w:t>
      </w:r>
      <w:r>
        <w:rPr>
          <w:rFonts w:ascii="宋体" w:hAnsi="宋体" w:eastAsia="宋体" w:cs="宋体"/>
          <w:color w:val="auto"/>
          <w:spacing w:val="-2"/>
          <w:sz w:val="24"/>
          <w:szCs w:val="24"/>
          <w:highlight w:val="none"/>
        </w:rPr>
        <w:t>，</w:t>
      </w:r>
      <w:r>
        <w:rPr>
          <w:rFonts w:ascii="Times New Roman" w:hAnsi="Times New Roman" w:eastAsia="Times New Roman" w:cs="Times New Roman"/>
          <w:color w:val="auto"/>
          <w:spacing w:val="-2"/>
          <w:sz w:val="24"/>
          <w:szCs w:val="24"/>
          <w:highlight w:val="none"/>
        </w:rPr>
        <w:t>h</w:t>
      </w:r>
      <w:r>
        <w:rPr>
          <w:rFonts w:ascii="宋体" w:hAnsi="宋体" w:eastAsia="宋体" w:cs="宋体"/>
          <w:color w:val="auto"/>
          <w:spacing w:val="-2"/>
          <w:sz w:val="24"/>
          <w:szCs w:val="24"/>
          <w:highlight w:val="none"/>
        </w:rPr>
        <w:t>〕蒽、茚〔</w:t>
      </w:r>
      <w:r>
        <w:rPr>
          <w:rFonts w:ascii="Times New Roman" w:hAnsi="Times New Roman" w:eastAsia="Times New Roman" w:cs="Times New Roman"/>
          <w:color w:val="auto"/>
          <w:spacing w:val="-2"/>
          <w:sz w:val="24"/>
          <w:szCs w:val="24"/>
          <w:highlight w:val="none"/>
        </w:rPr>
        <w:t>1,2,3-cd</w:t>
      </w:r>
      <w:r>
        <w:rPr>
          <w:rFonts w:ascii="宋体" w:hAnsi="宋体" w:eastAsia="宋体" w:cs="宋体"/>
          <w:color w:val="auto"/>
          <w:spacing w:val="-3"/>
          <w:sz w:val="24"/>
          <w:szCs w:val="24"/>
          <w:highlight w:val="none"/>
        </w:rPr>
        <w:t>〕并芘、萘。</w:t>
      </w:r>
      <w:bookmarkEnd w:id="2286"/>
    </w:p>
    <w:p w14:paraId="3A71F732">
      <w:pPr>
        <w:spacing w:before="52" w:line="334" w:lineRule="auto"/>
        <w:ind w:left="531" w:right="2636" w:hanging="6"/>
        <w:rPr>
          <w:rFonts w:ascii="宋体" w:hAnsi="宋体" w:eastAsia="宋体" w:cs="宋体"/>
          <w:color w:val="auto"/>
          <w:spacing w:val="-2"/>
          <w:sz w:val="24"/>
          <w:szCs w:val="24"/>
          <w:highlight w:val="none"/>
        </w:rPr>
      </w:pPr>
      <w:r>
        <w:rPr>
          <w:rFonts w:ascii="宋体" w:hAnsi="宋体" w:eastAsia="宋体" w:cs="宋体"/>
          <w:color w:val="auto"/>
          <w:spacing w:val="-2"/>
          <w:sz w:val="24"/>
          <w:szCs w:val="24"/>
          <w:highlight w:val="none"/>
        </w:rPr>
        <w:t>特征因子：总石油烃（</w:t>
      </w:r>
      <w:r>
        <w:rPr>
          <w:rFonts w:ascii="Times New Roman" w:hAnsi="Times New Roman" w:eastAsia="Times New Roman" w:cs="Times New Roman"/>
          <w:color w:val="auto"/>
          <w:spacing w:val="-2"/>
          <w:sz w:val="24"/>
          <w:szCs w:val="24"/>
          <w:highlight w:val="none"/>
        </w:rPr>
        <w:t>C10-C40</w:t>
      </w:r>
      <w:r>
        <w:rPr>
          <w:rFonts w:ascii="宋体" w:hAnsi="宋体" w:eastAsia="宋体" w:cs="宋体"/>
          <w:color w:val="auto"/>
          <w:spacing w:val="-2"/>
          <w:sz w:val="24"/>
          <w:szCs w:val="24"/>
          <w:highlight w:val="none"/>
        </w:rPr>
        <w:t>）</w:t>
      </w:r>
    </w:p>
    <w:p w14:paraId="40B45142">
      <w:pPr>
        <w:spacing w:before="52" w:line="334" w:lineRule="auto"/>
        <w:ind w:left="531" w:right="2636" w:hanging="6"/>
        <w:outlineLvl w:val="9"/>
        <w:rPr>
          <w:rFonts w:ascii="宋体" w:hAnsi="宋体" w:eastAsia="宋体" w:cs="宋体"/>
          <w:color w:val="auto"/>
          <w:sz w:val="24"/>
          <w:szCs w:val="24"/>
        </w:rPr>
      </w:pPr>
      <w:r>
        <w:rPr>
          <w:rFonts w:ascii="宋体" w:hAnsi="宋体" w:eastAsia="宋体" w:cs="宋体"/>
          <w:color w:val="auto"/>
          <w:spacing w:val="-4"/>
          <w:sz w:val="24"/>
          <w:szCs w:val="24"/>
        </w:rPr>
        <w:t>（</w:t>
      </w:r>
      <w:r>
        <w:rPr>
          <w:rFonts w:ascii="Times New Roman" w:hAnsi="Times New Roman" w:eastAsia="Times New Roman" w:cs="Times New Roman"/>
          <w:color w:val="auto"/>
          <w:spacing w:val="-4"/>
          <w:sz w:val="24"/>
          <w:szCs w:val="24"/>
        </w:rPr>
        <w:t>2</w:t>
      </w:r>
      <w:r>
        <w:rPr>
          <w:rFonts w:ascii="宋体" w:hAnsi="宋体" w:eastAsia="宋体" w:cs="宋体"/>
          <w:color w:val="auto"/>
          <w:spacing w:val="-4"/>
          <w:sz w:val="24"/>
          <w:szCs w:val="24"/>
        </w:rPr>
        <w:t>）</w:t>
      </w:r>
      <w:sdt>
        <w:sdtPr>
          <w:rPr>
            <w:color w:val="auto"/>
          </w:rPr>
          <w:alias w:val="易错词检查"/>
          <w:tag w:val="auto"/>
          <w:id w:val="1172201"/>
        </w:sdtPr>
        <w:sdtEndPr>
          <w:rPr>
            <w:color w:val="auto"/>
          </w:rPr>
        </w:sdtEndPr>
        <w:sdtContent>
          <w:bookmarkStart w:id="2287" w:name="bkReivew1172201"/>
          <w:r>
            <w:rPr>
              <w:rFonts w:ascii="宋体" w:hAnsi="宋体" w:eastAsia="宋体" w:cs="宋体"/>
              <w:color w:val="auto"/>
              <w:spacing w:val="-4"/>
              <w:sz w:val="24"/>
              <w:szCs w:val="24"/>
            </w:rPr>
            <w:t>监测</w:t>
          </w:r>
          <w:bookmarkEnd w:id="2287"/>
        </w:sdtContent>
      </w:sdt>
      <w:r>
        <w:rPr>
          <w:rFonts w:ascii="宋体" w:hAnsi="宋体" w:eastAsia="宋体" w:cs="宋体"/>
          <w:color w:val="auto"/>
          <w:spacing w:val="-4"/>
          <w:sz w:val="24"/>
          <w:szCs w:val="24"/>
        </w:rPr>
        <w:t>点位</w:t>
      </w:r>
      <w:bookmarkStart w:id="2288" w:name="pindex14691"/>
      <w:bookmarkEnd w:id="2288"/>
    </w:p>
    <w:p w14:paraId="42DDCB80">
      <w:pPr>
        <w:spacing w:before="64" w:line="220" w:lineRule="auto"/>
        <w:ind w:left="526"/>
        <w:rPr>
          <w:rFonts w:ascii="宋体" w:hAnsi="宋体" w:eastAsia="宋体" w:cs="宋体"/>
          <w:color w:val="auto"/>
          <w:sz w:val="24"/>
          <w:szCs w:val="24"/>
        </w:rPr>
      </w:pPr>
      <w:sdt>
        <w:sdtPr>
          <w:rPr>
            <w:color w:val="auto"/>
          </w:rPr>
          <w:alias w:val="易错词检查"/>
          <w:tag w:val="auto"/>
          <w:id w:val="1023240"/>
        </w:sdtPr>
        <w:sdtEndPr>
          <w:rPr>
            <w:color w:val="auto"/>
          </w:rPr>
        </w:sdtEndPr>
        <w:sdtContent>
          <w:bookmarkStart w:id="2289" w:name="bkReivew1023240"/>
          <w:r>
            <w:rPr>
              <w:rFonts w:ascii="宋体" w:hAnsi="宋体" w:eastAsia="宋体" w:cs="宋体"/>
              <w:color w:val="auto"/>
              <w:spacing w:val="-4"/>
              <w:sz w:val="24"/>
              <w:szCs w:val="24"/>
            </w:rPr>
            <w:t>监测</w:t>
          </w:r>
          <w:bookmarkEnd w:id="2289"/>
        </w:sdtContent>
      </w:sdt>
      <w:r>
        <w:rPr>
          <w:rFonts w:ascii="宋体" w:hAnsi="宋体" w:eastAsia="宋体" w:cs="宋体"/>
          <w:color w:val="auto"/>
          <w:spacing w:val="-4"/>
          <w:sz w:val="24"/>
          <w:szCs w:val="24"/>
        </w:rPr>
        <w:t>点位详见下</w:t>
      </w:r>
      <w:r>
        <w:rPr>
          <w:rFonts w:hint="default" w:ascii="Times New Roman" w:hAnsi="Times New Roman" w:eastAsia="宋体" w:cs="Times New Roman"/>
          <w:color w:val="auto"/>
          <w:spacing w:val="-4"/>
          <w:sz w:val="24"/>
          <w:szCs w:val="24"/>
          <w:highlight w:val="none"/>
        </w:rPr>
        <w:t>表</w:t>
      </w:r>
      <w:r>
        <w:rPr>
          <w:rFonts w:hint="eastAsia" w:ascii="Times New Roman" w:hAnsi="Times New Roman" w:eastAsia="宋体" w:cs="Times New Roman"/>
          <w:color w:val="auto"/>
          <w:spacing w:val="-4"/>
          <w:sz w:val="24"/>
          <w:szCs w:val="24"/>
          <w:highlight w:val="none"/>
          <w:lang w:val="en-US" w:eastAsia="zh-CN"/>
        </w:rPr>
        <w:t>9</w:t>
      </w:r>
      <w:r>
        <w:rPr>
          <w:rFonts w:hint="default" w:ascii="Times New Roman" w:hAnsi="Times New Roman" w:eastAsia="Times New Roman" w:cs="Times New Roman"/>
          <w:color w:val="auto"/>
          <w:spacing w:val="-4"/>
          <w:sz w:val="24"/>
          <w:szCs w:val="24"/>
          <w:highlight w:val="none"/>
        </w:rPr>
        <w:t>.5-1</w:t>
      </w:r>
      <w:r>
        <w:rPr>
          <w:rFonts w:hint="default" w:ascii="Times New Roman" w:hAnsi="Times New Roman" w:eastAsia="宋体" w:cs="Times New Roman"/>
          <w:color w:val="auto"/>
          <w:spacing w:val="-4"/>
          <w:sz w:val="24"/>
          <w:szCs w:val="24"/>
          <w:highlight w:val="none"/>
        </w:rPr>
        <w:t>、</w:t>
      </w:r>
      <w:r>
        <w:rPr>
          <w:rFonts w:hint="default" w:ascii="Times New Roman" w:hAnsi="Times New Roman" w:eastAsia="宋体" w:cs="Times New Roman"/>
          <w:color w:val="auto"/>
          <w:spacing w:val="-4"/>
          <w:sz w:val="24"/>
          <w:szCs w:val="24"/>
          <w:highlight w:val="none"/>
          <w:lang w:val="en-US" w:eastAsia="zh-CN"/>
        </w:rPr>
        <w:t>附图</w:t>
      </w:r>
      <w:r>
        <w:rPr>
          <w:rFonts w:hint="eastAsia" w:ascii="Times New Roman" w:hAnsi="Times New Roman" w:eastAsia="宋体" w:cs="Times New Roman"/>
          <w:color w:val="auto"/>
          <w:spacing w:val="-4"/>
          <w:sz w:val="24"/>
          <w:szCs w:val="24"/>
          <w:highlight w:val="none"/>
          <w:lang w:val="en-US" w:eastAsia="zh-CN"/>
        </w:rPr>
        <w:t>5</w:t>
      </w:r>
      <w:r>
        <w:rPr>
          <w:rFonts w:ascii="宋体" w:hAnsi="宋体" w:eastAsia="宋体" w:cs="宋体"/>
          <w:color w:val="auto"/>
          <w:spacing w:val="-4"/>
          <w:sz w:val="24"/>
          <w:szCs w:val="24"/>
        </w:rPr>
        <w:t>。</w:t>
      </w:r>
    </w:p>
    <w:p w14:paraId="2CC2B1AB">
      <w:pPr>
        <w:keepNext w:val="0"/>
        <w:keepLines w:val="0"/>
        <w:pageBreakBefore w:val="0"/>
        <w:widowControl/>
        <w:kinsoku w:val="0"/>
        <w:wordWrap/>
        <w:overflowPunct/>
        <w:topLinePunct w:val="0"/>
        <w:autoSpaceDE w:val="0"/>
        <w:autoSpaceDN w:val="0"/>
        <w:bidi w:val="0"/>
        <w:adjustRightInd w:val="0"/>
        <w:snapToGrid w:val="0"/>
        <w:spacing w:before="180" w:line="240" w:lineRule="auto"/>
        <w:ind w:left="2954"/>
        <w:textAlignment w:val="baseline"/>
        <w:rPr>
          <w:color w:val="auto"/>
        </w:rPr>
      </w:pPr>
      <w:r>
        <w:rPr>
          <w:rFonts w:ascii="宋体" w:hAnsi="宋体" w:eastAsia="宋体" w:cs="宋体"/>
          <w:b/>
          <w:bCs/>
          <w:color w:val="auto"/>
          <w:spacing w:val="-2"/>
          <w:sz w:val="24"/>
          <w:szCs w:val="24"/>
        </w:rPr>
        <w:t>表</w:t>
      </w:r>
      <w:r>
        <w:rPr>
          <w:rFonts w:hint="eastAsia" w:ascii="Times New Roman" w:hAnsi="Times New Roman" w:eastAsia="宋体" w:cs="Times New Roman"/>
          <w:b/>
          <w:bCs/>
          <w:color w:val="auto"/>
          <w:spacing w:val="-2"/>
          <w:sz w:val="24"/>
          <w:szCs w:val="24"/>
          <w:lang w:val="en-US" w:eastAsia="zh-CN"/>
        </w:rPr>
        <w:t>9</w:t>
      </w:r>
      <w:r>
        <w:rPr>
          <w:rFonts w:ascii="Times New Roman" w:hAnsi="Times New Roman" w:eastAsia="Times New Roman" w:cs="Times New Roman"/>
          <w:b/>
          <w:bCs/>
          <w:color w:val="auto"/>
          <w:spacing w:val="-2"/>
          <w:sz w:val="24"/>
          <w:szCs w:val="24"/>
        </w:rPr>
        <w:t>.5-1</w:t>
      </w:r>
      <w:r>
        <w:rPr>
          <w:rFonts w:hint="eastAsia" w:ascii="Times New Roman" w:hAnsi="Times New Roman" w:eastAsia="宋体" w:cs="Times New Roman"/>
          <w:b/>
          <w:bCs/>
          <w:color w:val="auto"/>
          <w:spacing w:val="-2"/>
          <w:sz w:val="24"/>
          <w:szCs w:val="24"/>
          <w:lang w:val="en-US" w:eastAsia="zh-CN"/>
        </w:rPr>
        <w:t xml:space="preserve">  </w:t>
      </w:r>
      <w:r>
        <w:rPr>
          <w:rFonts w:ascii="宋体" w:hAnsi="宋体" w:eastAsia="宋体" w:cs="宋体"/>
          <w:b/>
          <w:bCs/>
          <w:color w:val="auto"/>
          <w:spacing w:val="-2"/>
          <w:sz w:val="24"/>
          <w:szCs w:val="24"/>
        </w:rPr>
        <w:t>土壤监测点位</w:t>
      </w:r>
      <w:bookmarkStart w:id="2290" w:name="pindex14693"/>
      <w:bookmarkEnd w:id="2290"/>
    </w:p>
    <w:tbl>
      <w:tblPr>
        <w:tblStyle w:val="26"/>
        <w:tblW w:w="8339" w:type="dxa"/>
        <w:tblInd w:w="21"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435"/>
        <w:gridCol w:w="1909"/>
        <w:gridCol w:w="1241"/>
        <w:gridCol w:w="3754"/>
      </w:tblGrid>
      <w:tr w14:paraId="53114CE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4" w:hRule="atLeast"/>
        </w:trPr>
        <w:tc>
          <w:tcPr>
            <w:tcW w:w="1435" w:type="dxa"/>
            <w:tcBorders>
              <w:tl2br w:val="nil"/>
              <w:tr2bl w:val="nil"/>
            </w:tcBorders>
            <w:vAlign w:val="center"/>
          </w:tcPr>
          <w:p w14:paraId="070B6868">
            <w:pPr>
              <w:bidi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测点编号</w:t>
            </w:r>
          </w:p>
        </w:tc>
        <w:tc>
          <w:tcPr>
            <w:tcW w:w="1909" w:type="dxa"/>
            <w:tcBorders>
              <w:tl2br w:val="nil"/>
              <w:tr2bl w:val="nil"/>
            </w:tcBorders>
            <w:vAlign w:val="center"/>
          </w:tcPr>
          <w:p w14:paraId="57396203">
            <w:pPr>
              <w:bidi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监测因子</w:t>
            </w:r>
          </w:p>
        </w:tc>
        <w:tc>
          <w:tcPr>
            <w:tcW w:w="1241" w:type="dxa"/>
            <w:tcBorders>
              <w:tl2br w:val="nil"/>
              <w:tr2bl w:val="nil"/>
            </w:tcBorders>
            <w:vAlign w:val="center"/>
          </w:tcPr>
          <w:p w14:paraId="215F35ED">
            <w:pPr>
              <w:bidi w:val="0"/>
              <w:jc w:val="center"/>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监测频次</w:t>
            </w:r>
          </w:p>
        </w:tc>
        <w:tc>
          <w:tcPr>
            <w:tcW w:w="3754" w:type="dxa"/>
            <w:tcBorders>
              <w:tl2br w:val="nil"/>
              <w:tr2bl w:val="nil"/>
            </w:tcBorders>
            <w:vAlign w:val="center"/>
          </w:tcPr>
          <w:p w14:paraId="2A1CC6E3">
            <w:pPr>
              <w:bidi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备注</w:t>
            </w:r>
          </w:p>
        </w:tc>
      </w:tr>
      <w:tr w14:paraId="308367A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62" w:hRule="atLeast"/>
        </w:trPr>
        <w:tc>
          <w:tcPr>
            <w:tcW w:w="1435" w:type="dxa"/>
            <w:tcBorders>
              <w:tl2br w:val="nil"/>
              <w:tr2bl w:val="nil"/>
            </w:tcBorders>
            <w:vAlign w:val="center"/>
          </w:tcPr>
          <w:p w14:paraId="791FDACD">
            <w:pPr>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T1</w:t>
            </w:r>
            <w:r>
              <w:rPr>
                <w:rFonts w:hint="default" w:ascii="Times New Roman" w:hAnsi="Times New Roman" w:eastAsia="宋体" w:cs="Times New Roman"/>
                <w:color w:val="auto"/>
              </w:rPr>
              <w:t>~</w:t>
            </w:r>
            <w:r>
              <w:rPr>
                <w:rFonts w:hint="eastAsia" w:ascii="Times New Roman" w:hAnsi="Times New Roman" w:eastAsia="宋体" w:cs="Times New Roman"/>
                <w:color w:val="auto"/>
                <w:lang w:val="en-US" w:eastAsia="zh-CN"/>
              </w:rPr>
              <w:t>T10</w:t>
            </w:r>
          </w:p>
        </w:tc>
        <w:tc>
          <w:tcPr>
            <w:tcW w:w="1909" w:type="dxa"/>
            <w:tcBorders>
              <w:tl2br w:val="nil"/>
              <w:tr2bl w:val="nil"/>
            </w:tcBorders>
            <w:vAlign w:val="center"/>
          </w:tcPr>
          <w:p w14:paraId="00915123">
            <w:pPr>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基本因子+特征因子</w:t>
            </w:r>
          </w:p>
        </w:tc>
        <w:tc>
          <w:tcPr>
            <w:tcW w:w="1241" w:type="dxa"/>
            <w:tcBorders>
              <w:tl2br w:val="nil"/>
              <w:tr2bl w:val="nil"/>
            </w:tcBorders>
            <w:vAlign w:val="center"/>
          </w:tcPr>
          <w:p w14:paraId="71719976">
            <w:pPr>
              <w:bidi w:val="0"/>
              <w:jc w:val="center"/>
              <w:rPr>
                <w:rFonts w:hint="default" w:ascii="Times New Roman" w:hAnsi="Times New Roman" w:eastAsia="宋体" w:cs="Times New Roman"/>
                <w:color w:val="auto"/>
              </w:rPr>
            </w:pPr>
            <w:r>
              <w:rPr>
                <w:rFonts w:hint="eastAsia" w:ascii="Times New Roman" w:hAnsi="Times New Roman" w:eastAsia="宋体" w:cs="Times New Roman"/>
                <w:color w:val="auto"/>
                <w:sz w:val="21"/>
                <w:szCs w:val="21"/>
                <w:highlight w:val="none"/>
                <w:lang w:val="en-US" w:eastAsia="zh-CN"/>
              </w:rPr>
              <w:t>三年一次</w:t>
            </w:r>
          </w:p>
        </w:tc>
        <w:tc>
          <w:tcPr>
            <w:tcW w:w="3754" w:type="dxa"/>
            <w:tcBorders>
              <w:tl2br w:val="nil"/>
              <w:tr2bl w:val="nil"/>
            </w:tcBorders>
            <w:vAlign w:val="center"/>
          </w:tcPr>
          <w:p w14:paraId="4E4C3571">
            <w:pPr>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柱状样，1次；柱状样分取3个土样，表层0</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rPr>
              <w:t>0.5m、中层0.5</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rPr>
              <w:t>1.5m、深层1.5</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rPr>
              <w:t>3m</w:t>
            </w:r>
          </w:p>
        </w:tc>
      </w:tr>
    </w:tbl>
    <w:p w14:paraId="1376B42B">
      <w:pPr>
        <w:spacing w:before="30" w:line="220" w:lineRule="auto"/>
        <w:ind w:left="464"/>
        <w:rPr>
          <w:rFonts w:ascii="宋体" w:hAnsi="宋体" w:eastAsia="宋体" w:cs="宋体"/>
          <w:color w:val="auto"/>
          <w:sz w:val="21"/>
          <w:szCs w:val="21"/>
        </w:rPr>
      </w:pPr>
      <w:r>
        <w:rPr>
          <w:rFonts w:ascii="宋体" w:hAnsi="宋体" w:eastAsia="宋体" w:cs="宋体"/>
          <w:color w:val="auto"/>
          <w:spacing w:val="-1"/>
          <w:sz w:val="21"/>
          <w:szCs w:val="21"/>
        </w:rPr>
        <w:t>注：给出现场各监测点位具体坐标和采样照片</w:t>
      </w:r>
    </w:p>
    <w:p w14:paraId="3D77919F">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27" w:line="360" w:lineRule="auto"/>
        <w:ind w:left="0" w:leftChars="0" w:firstLine="464" w:firstLineChars="200"/>
        <w:textAlignment w:val="baseline"/>
        <w:outlineLvl w:val="9"/>
        <w:rPr>
          <w:rFonts w:ascii="宋体" w:hAnsi="宋体" w:eastAsia="宋体" w:cs="宋体"/>
          <w:color w:val="auto"/>
          <w:spacing w:val="-5"/>
          <w:sz w:val="24"/>
          <w:szCs w:val="24"/>
        </w:rPr>
      </w:pPr>
      <w:r>
        <w:rPr>
          <w:rFonts w:ascii="宋体" w:hAnsi="宋体" w:eastAsia="宋体" w:cs="宋体"/>
          <w:color w:val="auto"/>
          <w:spacing w:val="-4"/>
          <w:sz w:val="24"/>
          <w:szCs w:val="24"/>
        </w:rPr>
        <w:t>（</w:t>
      </w:r>
      <w:r>
        <w:rPr>
          <w:rFonts w:hint="eastAsia" w:ascii="Times New Roman" w:hAnsi="Times New Roman" w:eastAsia="宋体" w:cs="Times New Roman"/>
          <w:color w:val="auto"/>
          <w:spacing w:val="-4"/>
          <w:sz w:val="24"/>
          <w:szCs w:val="24"/>
          <w:lang w:val="en-US" w:eastAsia="zh-CN"/>
        </w:rPr>
        <w:t>3</w:t>
      </w:r>
      <w:r>
        <w:rPr>
          <w:rFonts w:ascii="宋体" w:hAnsi="宋体" w:eastAsia="宋体" w:cs="宋体"/>
          <w:color w:val="auto"/>
          <w:spacing w:val="-4"/>
          <w:sz w:val="24"/>
          <w:szCs w:val="24"/>
        </w:rPr>
        <w:t>）</w:t>
      </w:r>
      <w:sdt>
        <w:sdtPr>
          <w:rPr>
            <w:color w:val="auto"/>
          </w:rPr>
          <w:alias w:val="易错词检查"/>
          <w:tag w:val="auto"/>
          <w:id w:val="170323"/>
        </w:sdtPr>
        <w:sdtEndPr>
          <w:rPr>
            <w:color w:val="auto"/>
          </w:rPr>
        </w:sdtEndPr>
        <w:sdtContent>
          <w:bookmarkStart w:id="2291" w:name="bkReivew170323"/>
          <w:r>
            <w:rPr>
              <w:rFonts w:ascii="宋体" w:hAnsi="宋体" w:eastAsia="宋体" w:cs="宋体"/>
              <w:color w:val="auto"/>
              <w:spacing w:val="-5"/>
              <w:sz w:val="24"/>
              <w:szCs w:val="24"/>
            </w:rPr>
            <w:t>监测</w:t>
          </w:r>
          <w:bookmarkEnd w:id="2291"/>
        </w:sdtContent>
      </w:sdt>
      <w:r>
        <w:rPr>
          <w:rFonts w:ascii="宋体" w:hAnsi="宋体" w:eastAsia="宋体" w:cs="宋体"/>
          <w:color w:val="auto"/>
          <w:spacing w:val="-5"/>
          <w:sz w:val="24"/>
          <w:szCs w:val="24"/>
        </w:rPr>
        <w:t>时间</w:t>
      </w:r>
      <w:bookmarkStart w:id="2292" w:name="pindex14703"/>
      <w:bookmarkEnd w:id="2292"/>
    </w:p>
    <w:p w14:paraId="2236ECB8">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27" w:line="360" w:lineRule="auto"/>
        <w:ind w:firstLine="456" w:firstLineChars="200"/>
        <w:textAlignment w:val="baseline"/>
        <w:rPr>
          <w:rFonts w:ascii="宋体" w:hAnsi="宋体" w:eastAsia="宋体" w:cs="宋体"/>
          <w:color w:val="auto"/>
          <w:sz w:val="24"/>
          <w:szCs w:val="24"/>
        </w:rPr>
      </w:pPr>
      <w:r>
        <w:rPr>
          <w:rFonts w:ascii="宋体" w:hAnsi="宋体" w:eastAsia="宋体" w:cs="宋体"/>
          <w:color w:val="auto"/>
          <w:spacing w:val="-6"/>
          <w:sz w:val="24"/>
          <w:szCs w:val="24"/>
        </w:rPr>
        <w:t>监测</w:t>
      </w:r>
      <w:r>
        <w:rPr>
          <w:rFonts w:ascii="Times New Roman" w:hAnsi="Times New Roman" w:eastAsia="Times New Roman" w:cs="Times New Roman"/>
          <w:color w:val="auto"/>
          <w:spacing w:val="-6"/>
          <w:sz w:val="24"/>
          <w:szCs w:val="24"/>
        </w:rPr>
        <w:t>1</w:t>
      </w:r>
      <w:r>
        <w:rPr>
          <w:rFonts w:ascii="宋体" w:hAnsi="宋体" w:eastAsia="宋体" w:cs="宋体"/>
          <w:color w:val="auto"/>
          <w:spacing w:val="-6"/>
          <w:sz w:val="24"/>
          <w:szCs w:val="24"/>
        </w:rPr>
        <w:t>天，每天监测一次。</w:t>
      </w:r>
    </w:p>
    <w:p w14:paraId="2FA3A00F">
      <w:pPr>
        <w:keepNext w:val="0"/>
        <w:keepLines w:val="0"/>
        <w:pageBreakBefore w:val="0"/>
        <w:widowControl/>
        <w:kinsoku w:val="0"/>
        <w:wordWrap/>
        <w:overflowPunct/>
        <w:topLinePunct w:val="0"/>
        <w:autoSpaceDE w:val="0"/>
        <w:autoSpaceDN w:val="0"/>
        <w:bidi w:val="0"/>
        <w:adjustRightInd w:val="0"/>
        <w:snapToGrid w:val="0"/>
        <w:spacing w:before="78" w:line="360" w:lineRule="auto"/>
        <w:ind w:left="43"/>
        <w:textAlignment w:val="baseline"/>
        <w:outlineLvl w:val="1"/>
        <w:rPr>
          <w:rFonts w:ascii="宋体" w:hAnsi="宋体" w:eastAsia="宋体" w:cs="宋体"/>
          <w:b/>
          <w:bCs/>
          <w:color w:val="auto"/>
          <w:spacing w:val="-2"/>
          <w:sz w:val="24"/>
          <w:szCs w:val="24"/>
        </w:rPr>
      </w:pPr>
      <w:bookmarkStart w:id="2293" w:name="bookmark83"/>
      <w:bookmarkEnd w:id="2293"/>
      <w:bookmarkStart w:id="2294" w:name="_Toc4908"/>
      <w:bookmarkStart w:id="2295" w:name="OLE_LINK604"/>
      <w:r>
        <w:rPr>
          <w:rFonts w:hint="eastAsia" w:ascii="Times New Roman" w:hAnsi="Times New Roman" w:eastAsia="宋体" w:cs="Times New Roman"/>
          <w:b/>
          <w:bCs/>
          <w:color w:val="auto"/>
          <w:spacing w:val="-2"/>
          <w:sz w:val="24"/>
          <w:szCs w:val="24"/>
          <w:lang w:val="en-US" w:eastAsia="zh-CN"/>
        </w:rPr>
        <w:t>9</w:t>
      </w:r>
      <w:r>
        <w:rPr>
          <w:rFonts w:ascii="Times New Roman" w:hAnsi="Times New Roman" w:eastAsia="Times New Roman" w:cs="Times New Roman"/>
          <w:b/>
          <w:bCs/>
          <w:color w:val="auto"/>
          <w:spacing w:val="-2"/>
          <w:sz w:val="24"/>
          <w:szCs w:val="24"/>
        </w:rPr>
        <w:t>.6</w:t>
      </w:r>
      <w:r>
        <w:rPr>
          <w:rFonts w:ascii="宋体" w:hAnsi="宋体" w:eastAsia="宋体" w:cs="宋体"/>
          <w:b/>
          <w:bCs/>
          <w:color w:val="auto"/>
          <w:spacing w:val="-2"/>
          <w:sz w:val="24"/>
          <w:szCs w:val="24"/>
        </w:rPr>
        <w:t>底泥质量现状监测</w:t>
      </w:r>
      <w:bookmarkEnd w:id="2294"/>
      <w:bookmarkStart w:id="2296" w:name="pindex14705"/>
      <w:bookmarkEnd w:id="2296"/>
    </w:p>
    <w:bookmarkEnd w:id="2295"/>
    <w:p w14:paraId="165C7415">
      <w:pPr>
        <w:keepNext w:val="0"/>
        <w:keepLines w:val="0"/>
        <w:pageBreakBefore w:val="0"/>
        <w:widowControl/>
        <w:numPr>
          <w:ilvl w:val="0"/>
          <w:numId w:val="12"/>
        </w:numPr>
        <w:kinsoku w:val="0"/>
        <w:wordWrap/>
        <w:overflowPunct/>
        <w:topLinePunct w:val="0"/>
        <w:autoSpaceDE w:val="0"/>
        <w:autoSpaceDN w:val="0"/>
        <w:bidi w:val="0"/>
        <w:adjustRightInd w:val="0"/>
        <w:snapToGrid w:val="0"/>
        <w:spacing w:before="78" w:line="360" w:lineRule="auto"/>
        <w:ind w:left="45" w:firstLine="464" w:firstLineChars="200"/>
        <w:textAlignment w:val="baseline"/>
        <w:outlineLvl w:val="9"/>
        <w:rPr>
          <w:rFonts w:ascii="宋体" w:hAnsi="宋体" w:eastAsia="宋体" w:cs="宋体"/>
          <w:color w:val="auto"/>
          <w:spacing w:val="-4"/>
          <w:sz w:val="24"/>
          <w:szCs w:val="24"/>
        </w:rPr>
      </w:pPr>
      <w:r>
        <w:rPr>
          <w:rFonts w:ascii="宋体" w:hAnsi="宋体" w:eastAsia="宋体" w:cs="宋体"/>
          <w:color w:val="auto"/>
          <w:spacing w:val="-4"/>
          <w:sz w:val="24"/>
          <w:szCs w:val="24"/>
        </w:rPr>
        <w:t>监测因子</w:t>
      </w:r>
      <w:bookmarkStart w:id="2297" w:name="pindex14706"/>
      <w:bookmarkEnd w:id="2297"/>
    </w:p>
    <w:p w14:paraId="6A4EFE80">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78" w:line="360" w:lineRule="auto"/>
        <w:ind w:leftChars="200"/>
        <w:textAlignment w:val="baseline"/>
        <w:outlineLvl w:val="9"/>
        <w:rPr>
          <w:rFonts w:ascii="宋体" w:hAnsi="宋体" w:eastAsia="宋体" w:cs="宋体"/>
          <w:color w:val="auto"/>
          <w:spacing w:val="-2"/>
          <w:sz w:val="24"/>
          <w:szCs w:val="24"/>
        </w:rPr>
      </w:pPr>
      <w:r>
        <w:rPr>
          <w:rFonts w:ascii="Times New Roman" w:hAnsi="Times New Roman" w:eastAsia="Times New Roman" w:cs="Times New Roman"/>
          <w:color w:val="auto"/>
          <w:spacing w:val="-2"/>
          <w:sz w:val="24"/>
          <w:szCs w:val="24"/>
        </w:rPr>
        <w:t>pH</w:t>
      </w:r>
      <w:r>
        <w:rPr>
          <w:rFonts w:ascii="宋体" w:hAnsi="宋体" w:eastAsia="宋体" w:cs="宋体"/>
          <w:color w:val="auto"/>
          <w:spacing w:val="-2"/>
          <w:sz w:val="24"/>
          <w:szCs w:val="24"/>
        </w:rPr>
        <w:t>、铜、锌、铅、镉、镍、铬、砷、汞。</w:t>
      </w:r>
    </w:p>
    <w:p w14:paraId="2B8F070A">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78" w:line="360" w:lineRule="auto"/>
        <w:ind w:leftChars="200"/>
        <w:textAlignment w:val="baseline"/>
        <w:outlineLvl w:val="9"/>
        <w:rPr>
          <w:rFonts w:ascii="宋体" w:hAnsi="宋体" w:eastAsia="宋体" w:cs="宋体"/>
          <w:color w:val="auto"/>
          <w:sz w:val="24"/>
          <w:szCs w:val="24"/>
        </w:rPr>
      </w:pPr>
      <w:r>
        <w:rPr>
          <w:rFonts w:ascii="宋体" w:hAnsi="宋体" w:eastAsia="宋体" w:cs="宋体"/>
          <w:color w:val="auto"/>
          <w:spacing w:val="-4"/>
          <w:sz w:val="24"/>
          <w:szCs w:val="24"/>
        </w:rPr>
        <w:t>（</w:t>
      </w:r>
      <w:r>
        <w:rPr>
          <w:rFonts w:ascii="Times New Roman" w:hAnsi="Times New Roman" w:eastAsia="Times New Roman" w:cs="Times New Roman"/>
          <w:color w:val="auto"/>
          <w:spacing w:val="-4"/>
          <w:sz w:val="24"/>
          <w:szCs w:val="24"/>
        </w:rPr>
        <w:t>2</w:t>
      </w:r>
      <w:r>
        <w:rPr>
          <w:rFonts w:ascii="宋体" w:hAnsi="宋体" w:eastAsia="宋体" w:cs="宋体"/>
          <w:color w:val="auto"/>
          <w:spacing w:val="-4"/>
          <w:sz w:val="24"/>
          <w:szCs w:val="24"/>
        </w:rPr>
        <w:t>）</w:t>
      </w:r>
      <w:sdt>
        <w:sdtPr>
          <w:rPr>
            <w:color w:val="auto"/>
          </w:rPr>
          <w:alias w:val="易错词检查"/>
          <w:tag w:val="auto"/>
          <w:id w:val="1162042"/>
        </w:sdtPr>
        <w:sdtEndPr>
          <w:rPr>
            <w:color w:val="auto"/>
          </w:rPr>
        </w:sdtEndPr>
        <w:sdtContent>
          <w:bookmarkStart w:id="2298" w:name="bkReivew1162042"/>
          <w:r>
            <w:rPr>
              <w:rFonts w:ascii="宋体" w:hAnsi="宋体" w:eastAsia="宋体" w:cs="宋体"/>
              <w:color w:val="auto"/>
              <w:spacing w:val="-4"/>
              <w:sz w:val="24"/>
              <w:szCs w:val="24"/>
            </w:rPr>
            <w:t>监测</w:t>
          </w:r>
          <w:bookmarkEnd w:id="2298"/>
        </w:sdtContent>
      </w:sdt>
      <w:r>
        <w:rPr>
          <w:rFonts w:ascii="宋体" w:hAnsi="宋体" w:eastAsia="宋体" w:cs="宋体"/>
          <w:color w:val="auto"/>
          <w:spacing w:val="-4"/>
          <w:sz w:val="24"/>
          <w:szCs w:val="24"/>
        </w:rPr>
        <w:t>点位</w:t>
      </w:r>
      <w:bookmarkStart w:id="2299" w:name="pindex14708"/>
      <w:bookmarkEnd w:id="2299"/>
    </w:p>
    <w:p w14:paraId="74E5BCC0">
      <w:pPr>
        <w:spacing w:before="59" w:line="220" w:lineRule="auto"/>
        <w:ind w:left="526"/>
        <w:outlineLvl w:val="9"/>
        <w:rPr>
          <w:rFonts w:ascii="宋体" w:hAnsi="宋体" w:eastAsia="宋体" w:cs="宋体"/>
          <w:color w:val="auto"/>
          <w:sz w:val="24"/>
          <w:szCs w:val="24"/>
          <w:highlight w:val="none"/>
        </w:rPr>
      </w:pPr>
      <w:r>
        <w:rPr>
          <w:rFonts w:ascii="宋体" w:hAnsi="宋体" w:eastAsia="宋体" w:cs="宋体"/>
          <w:color w:val="auto"/>
          <w:spacing w:val="-2"/>
          <w:sz w:val="24"/>
          <w:szCs w:val="24"/>
        </w:rPr>
        <w:t>监测点位详见</w:t>
      </w:r>
      <w:r>
        <w:rPr>
          <w:rFonts w:ascii="宋体" w:hAnsi="宋体" w:eastAsia="宋体" w:cs="宋体"/>
          <w:color w:val="auto"/>
          <w:spacing w:val="-2"/>
          <w:sz w:val="24"/>
          <w:szCs w:val="24"/>
          <w:highlight w:val="none"/>
        </w:rPr>
        <w:t>表</w:t>
      </w:r>
      <w:r>
        <w:rPr>
          <w:rFonts w:hint="eastAsia" w:ascii="Times New Roman" w:hAnsi="Times New Roman" w:eastAsia="宋体" w:cs="Times New Roman"/>
          <w:color w:val="auto"/>
          <w:spacing w:val="-2"/>
          <w:sz w:val="24"/>
          <w:szCs w:val="24"/>
          <w:highlight w:val="none"/>
          <w:lang w:val="en-US" w:eastAsia="zh-CN"/>
        </w:rPr>
        <w:t>9</w:t>
      </w:r>
      <w:r>
        <w:rPr>
          <w:rFonts w:ascii="Times New Roman" w:hAnsi="Times New Roman" w:eastAsia="Times New Roman" w:cs="Times New Roman"/>
          <w:color w:val="auto"/>
          <w:spacing w:val="-2"/>
          <w:sz w:val="24"/>
          <w:szCs w:val="24"/>
          <w:highlight w:val="none"/>
        </w:rPr>
        <w:t>.6-1</w:t>
      </w:r>
      <w:r>
        <w:rPr>
          <w:rFonts w:ascii="宋体" w:hAnsi="宋体" w:eastAsia="宋体" w:cs="宋体"/>
          <w:color w:val="auto"/>
          <w:spacing w:val="-2"/>
          <w:sz w:val="24"/>
          <w:szCs w:val="24"/>
          <w:highlight w:val="none"/>
        </w:rPr>
        <w:t>和</w:t>
      </w:r>
      <w:r>
        <w:rPr>
          <w:rFonts w:hint="eastAsia" w:ascii="宋体" w:hAnsi="宋体" w:eastAsia="宋体" w:cs="宋体"/>
          <w:color w:val="auto"/>
          <w:spacing w:val="-2"/>
          <w:sz w:val="24"/>
          <w:szCs w:val="24"/>
          <w:highlight w:val="none"/>
          <w:lang w:val="en-US" w:eastAsia="zh-CN"/>
        </w:rPr>
        <w:t>附图</w:t>
      </w:r>
      <w:r>
        <w:rPr>
          <w:rFonts w:hint="eastAsia" w:ascii="Times New Roman" w:hAnsi="Times New Roman" w:eastAsia="宋体" w:cs="Times New Roman"/>
          <w:color w:val="auto"/>
          <w:spacing w:val="-2"/>
          <w:sz w:val="24"/>
          <w:szCs w:val="24"/>
          <w:highlight w:val="none"/>
          <w:lang w:val="en-US" w:eastAsia="zh-CN"/>
        </w:rPr>
        <w:t>5</w:t>
      </w:r>
      <w:r>
        <w:rPr>
          <w:rFonts w:ascii="宋体" w:hAnsi="宋体" w:eastAsia="宋体" w:cs="宋体"/>
          <w:color w:val="auto"/>
          <w:spacing w:val="-2"/>
          <w:sz w:val="24"/>
          <w:szCs w:val="24"/>
          <w:highlight w:val="none"/>
        </w:rPr>
        <w:t>。</w:t>
      </w:r>
    </w:p>
    <w:p w14:paraId="527194D2">
      <w:pPr>
        <w:keepNext w:val="0"/>
        <w:keepLines w:val="0"/>
        <w:pageBreakBefore w:val="0"/>
        <w:widowControl/>
        <w:kinsoku w:val="0"/>
        <w:wordWrap/>
        <w:overflowPunct/>
        <w:topLinePunct w:val="0"/>
        <w:autoSpaceDE w:val="0"/>
        <w:autoSpaceDN w:val="0"/>
        <w:bidi w:val="0"/>
        <w:adjustRightInd w:val="0"/>
        <w:snapToGrid w:val="0"/>
        <w:spacing w:before="183" w:line="240" w:lineRule="auto"/>
        <w:ind w:left="2954"/>
        <w:textAlignment w:val="baseline"/>
        <w:rPr>
          <w:color w:val="auto"/>
          <w:highlight w:val="none"/>
        </w:rPr>
      </w:pPr>
      <w:r>
        <w:rPr>
          <w:rFonts w:ascii="宋体" w:hAnsi="宋体" w:eastAsia="宋体" w:cs="宋体"/>
          <w:b/>
          <w:bCs/>
          <w:color w:val="auto"/>
          <w:spacing w:val="-2"/>
          <w:sz w:val="24"/>
          <w:szCs w:val="24"/>
          <w:highlight w:val="none"/>
        </w:rPr>
        <w:t>表</w:t>
      </w:r>
      <w:r>
        <w:rPr>
          <w:rFonts w:hint="eastAsia" w:ascii="Times New Roman" w:hAnsi="Times New Roman" w:eastAsia="宋体" w:cs="Times New Roman"/>
          <w:b/>
          <w:bCs/>
          <w:color w:val="auto"/>
          <w:spacing w:val="-2"/>
          <w:sz w:val="24"/>
          <w:szCs w:val="24"/>
          <w:highlight w:val="none"/>
          <w:lang w:val="en-US" w:eastAsia="zh-CN"/>
        </w:rPr>
        <w:t>9</w:t>
      </w:r>
      <w:r>
        <w:rPr>
          <w:rFonts w:ascii="Times New Roman" w:hAnsi="Times New Roman" w:eastAsia="Times New Roman" w:cs="Times New Roman"/>
          <w:b/>
          <w:bCs/>
          <w:color w:val="auto"/>
          <w:spacing w:val="-2"/>
          <w:sz w:val="24"/>
          <w:szCs w:val="24"/>
          <w:highlight w:val="none"/>
        </w:rPr>
        <w:t>.6-1</w:t>
      </w:r>
      <w:r>
        <w:rPr>
          <w:rFonts w:hint="eastAsia" w:ascii="Times New Roman" w:hAnsi="Times New Roman" w:eastAsia="宋体" w:cs="Times New Roman"/>
          <w:b/>
          <w:bCs/>
          <w:color w:val="auto"/>
          <w:spacing w:val="-2"/>
          <w:sz w:val="24"/>
          <w:szCs w:val="24"/>
          <w:highlight w:val="none"/>
          <w:lang w:val="en-US" w:eastAsia="zh-CN"/>
        </w:rPr>
        <w:t xml:space="preserve">  </w:t>
      </w:r>
      <w:r>
        <w:rPr>
          <w:rFonts w:ascii="宋体" w:hAnsi="宋体" w:eastAsia="宋体" w:cs="宋体"/>
          <w:b/>
          <w:bCs/>
          <w:color w:val="auto"/>
          <w:spacing w:val="-2"/>
          <w:sz w:val="24"/>
          <w:szCs w:val="24"/>
          <w:highlight w:val="none"/>
        </w:rPr>
        <w:t>底泥监测点位</w:t>
      </w:r>
      <w:bookmarkStart w:id="2300" w:name="pindex14710"/>
      <w:bookmarkEnd w:id="2300"/>
    </w:p>
    <w:tbl>
      <w:tblPr>
        <w:tblStyle w:val="26"/>
        <w:tblW w:w="8419" w:type="dxa"/>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005"/>
        <w:gridCol w:w="1166"/>
        <w:gridCol w:w="2413"/>
        <w:gridCol w:w="1517"/>
        <w:gridCol w:w="2318"/>
      </w:tblGrid>
      <w:tr w14:paraId="0ABB9BA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1005" w:type="dxa"/>
            <w:tcBorders>
              <w:tl2br w:val="nil"/>
              <w:tr2bl w:val="nil"/>
            </w:tcBorders>
            <w:vAlign w:val="center"/>
          </w:tcPr>
          <w:p w14:paraId="40E6D8D5">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测点编号</w:t>
            </w:r>
          </w:p>
        </w:tc>
        <w:tc>
          <w:tcPr>
            <w:tcW w:w="3579" w:type="dxa"/>
            <w:gridSpan w:val="2"/>
            <w:tcBorders>
              <w:tl2br w:val="nil"/>
              <w:tr2bl w:val="nil"/>
            </w:tcBorders>
            <w:vAlign w:val="center"/>
          </w:tcPr>
          <w:p w14:paraId="0A084FE4">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位置</w:t>
            </w:r>
          </w:p>
        </w:tc>
        <w:tc>
          <w:tcPr>
            <w:tcW w:w="1517" w:type="dxa"/>
            <w:tcBorders>
              <w:tl2br w:val="nil"/>
              <w:tr2bl w:val="nil"/>
            </w:tcBorders>
            <w:vAlign w:val="center"/>
          </w:tcPr>
          <w:p w14:paraId="54C815F2">
            <w:pPr>
              <w:bidi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监测因子</w:t>
            </w:r>
          </w:p>
        </w:tc>
        <w:tc>
          <w:tcPr>
            <w:tcW w:w="2318" w:type="dxa"/>
            <w:tcBorders>
              <w:tl2br w:val="nil"/>
              <w:tr2bl w:val="nil"/>
            </w:tcBorders>
            <w:vAlign w:val="center"/>
          </w:tcPr>
          <w:p w14:paraId="350BA1B4">
            <w:pPr>
              <w:bidi w:val="0"/>
              <w:jc w:val="center"/>
              <w:rPr>
                <w:rFonts w:hint="default" w:ascii="Times New Roman" w:hAnsi="Times New Roman" w:eastAsia="宋体" w:cs="Times New Roman"/>
                <w:b/>
                <w:bCs/>
                <w:color w:val="auto"/>
                <w:sz w:val="21"/>
                <w:szCs w:val="21"/>
                <w:lang w:val="en-US" w:eastAsia="zh-CN"/>
              </w:rPr>
            </w:pPr>
            <w:bookmarkStart w:id="2301" w:name="OLE_LINK603"/>
            <w:r>
              <w:rPr>
                <w:rFonts w:hint="eastAsia" w:ascii="Times New Roman" w:hAnsi="Times New Roman" w:eastAsia="宋体" w:cs="Times New Roman"/>
                <w:b/>
                <w:bCs/>
                <w:color w:val="auto"/>
                <w:sz w:val="21"/>
                <w:szCs w:val="21"/>
                <w:highlight w:val="none"/>
                <w:lang w:val="en-US" w:eastAsia="zh-CN"/>
              </w:rPr>
              <w:t>监测频次</w:t>
            </w:r>
            <w:bookmarkEnd w:id="2301"/>
          </w:p>
        </w:tc>
      </w:tr>
      <w:tr w14:paraId="55A3A28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1005" w:type="dxa"/>
            <w:tcBorders>
              <w:tl2br w:val="nil"/>
              <w:tr2bl w:val="nil"/>
            </w:tcBorders>
            <w:vAlign w:val="center"/>
          </w:tcPr>
          <w:p w14:paraId="312F3887">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S1</w:t>
            </w:r>
          </w:p>
        </w:tc>
        <w:tc>
          <w:tcPr>
            <w:tcW w:w="3579" w:type="dxa"/>
            <w:gridSpan w:val="2"/>
            <w:tcBorders>
              <w:tl2br w:val="nil"/>
              <w:tr2bl w:val="nil"/>
            </w:tcBorders>
            <w:vAlign w:val="center"/>
          </w:tcPr>
          <w:p w14:paraId="6DAFC49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城北污水处理厂排口</w:t>
            </w:r>
          </w:p>
        </w:tc>
        <w:tc>
          <w:tcPr>
            <w:tcW w:w="1517" w:type="dxa"/>
            <w:vMerge w:val="restart"/>
            <w:tcBorders>
              <w:tl2br w:val="nil"/>
              <w:tr2bl w:val="nil"/>
            </w:tcBorders>
            <w:vAlign w:val="center"/>
          </w:tcPr>
          <w:p w14:paraId="4FC0226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pH、镉、铜、铅、铬、锌、汞、砷、镍</w:t>
            </w:r>
          </w:p>
        </w:tc>
        <w:tc>
          <w:tcPr>
            <w:tcW w:w="2318" w:type="dxa"/>
            <w:vMerge w:val="restart"/>
            <w:tcBorders>
              <w:tl2br w:val="nil"/>
              <w:tr2bl w:val="nil"/>
            </w:tcBorders>
            <w:vAlign w:val="center"/>
          </w:tcPr>
          <w:p w14:paraId="49F615D1">
            <w:pPr>
              <w:bidi w:val="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highlight w:val="none"/>
                <w:lang w:val="en-US" w:eastAsia="zh-CN"/>
              </w:rPr>
              <w:t>三年一次</w:t>
            </w:r>
          </w:p>
        </w:tc>
      </w:tr>
      <w:tr w14:paraId="7E66605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1005" w:type="dxa"/>
            <w:tcBorders>
              <w:tl2br w:val="nil"/>
              <w:tr2bl w:val="nil"/>
            </w:tcBorders>
            <w:vAlign w:val="center"/>
          </w:tcPr>
          <w:p w14:paraId="08728788">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S2</w:t>
            </w:r>
          </w:p>
        </w:tc>
        <w:tc>
          <w:tcPr>
            <w:tcW w:w="3579" w:type="dxa"/>
            <w:gridSpan w:val="2"/>
            <w:tcBorders>
              <w:tl2br w:val="nil"/>
              <w:tr2bl w:val="nil"/>
            </w:tcBorders>
            <w:vAlign w:val="center"/>
          </w:tcPr>
          <w:p w14:paraId="00A19A46">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开发区污水处理厂排口</w:t>
            </w:r>
          </w:p>
        </w:tc>
        <w:tc>
          <w:tcPr>
            <w:tcW w:w="1517" w:type="dxa"/>
            <w:vMerge w:val="continue"/>
            <w:tcBorders>
              <w:tl2br w:val="nil"/>
              <w:tr2bl w:val="nil"/>
            </w:tcBorders>
            <w:vAlign w:val="center"/>
          </w:tcPr>
          <w:p w14:paraId="1E46AC0A">
            <w:pPr>
              <w:bidi w:val="0"/>
              <w:jc w:val="center"/>
              <w:rPr>
                <w:rFonts w:hint="default" w:ascii="Times New Roman" w:hAnsi="Times New Roman" w:eastAsia="宋体" w:cs="Times New Roman"/>
                <w:color w:val="auto"/>
                <w:sz w:val="21"/>
                <w:szCs w:val="21"/>
              </w:rPr>
            </w:pPr>
          </w:p>
        </w:tc>
        <w:tc>
          <w:tcPr>
            <w:tcW w:w="2318" w:type="dxa"/>
            <w:vMerge w:val="continue"/>
            <w:tcBorders>
              <w:tl2br w:val="nil"/>
              <w:tr2bl w:val="nil"/>
            </w:tcBorders>
            <w:vAlign w:val="center"/>
          </w:tcPr>
          <w:p w14:paraId="4AB97A38">
            <w:pPr>
              <w:bidi w:val="0"/>
              <w:jc w:val="center"/>
              <w:rPr>
                <w:rFonts w:hint="default" w:ascii="Times New Roman" w:hAnsi="Times New Roman" w:eastAsia="宋体" w:cs="Times New Roman"/>
                <w:color w:val="auto"/>
                <w:sz w:val="21"/>
                <w:szCs w:val="21"/>
              </w:rPr>
            </w:pPr>
          </w:p>
        </w:tc>
      </w:tr>
      <w:tr w14:paraId="56A061D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1005" w:type="dxa"/>
            <w:tcBorders>
              <w:tl2br w:val="nil"/>
              <w:tr2bl w:val="nil"/>
            </w:tcBorders>
            <w:vAlign w:val="center"/>
          </w:tcPr>
          <w:p w14:paraId="761723C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S3</w:t>
            </w:r>
          </w:p>
        </w:tc>
        <w:tc>
          <w:tcPr>
            <w:tcW w:w="3579" w:type="dxa"/>
            <w:gridSpan w:val="2"/>
            <w:tcBorders>
              <w:tl2br w:val="nil"/>
              <w:tr2bl w:val="nil"/>
            </w:tcBorders>
            <w:vAlign w:val="center"/>
          </w:tcPr>
          <w:p w14:paraId="43B230AB">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高新区（科学园）污水处理厂排口</w:t>
            </w:r>
          </w:p>
        </w:tc>
        <w:tc>
          <w:tcPr>
            <w:tcW w:w="1517" w:type="dxa"/>
            <w:vMerge w:val="continue"/>
            <w:tcBorders>
              <w:tl2br w:val="nil"/>
              <w:tr2bl w:val="nil"/>
            </w:tcBorders>
            <w:vAlign w:val="center"/>
          </w:tcPr>
          <w:p w14:paraId="5C34E594">
            <w:pPr>
              <w:bidi w:val="0"/>
              <w:jc w:val="center"/>
              <w:rPr>
                <w:rFonts w:hint="default" w:ascii="Times New Roman" w:hAnsi="Times New Roman" w:eastAsia="宋体" w:cs="Times New Roman"/>
                <w:color w:val="auto"/>
                <w:sz w:val="21"/>
                <w:szCs w:val="21"/>
              </w:rPr>
            </w:pPr>
          </w:p>
        </w:tc>
        <w:tc>
          <w:tcPr>
            <w:tcW w:w="2318" w:type="dxa"/>
            <w:vMerge w:val="continue"/>
            <w:tcBorders>
              <w:tl2br w:val="nil"/>
              <w:tr2bl w:val="nil"/>
            </w:tcBorders>
            <w:vAlign w:val="center"/>
          </w:tcPr>
          <w:p w14:paraId="4D7BCEDB">
            <w:pPr>
              <w:bidi w:val="0"/>
              <w:jc w:val="center"/>
              <w:rPr>
                <w:rFonts w:hint="default" w:ascii="Times New Roman" w:hAnsi="Times New Roman" w:eastAsia="宋体" w:cs="Times New Roman"/>
                <w:color w:val="auto"/>
                <w:sz w:val="21"/>
                <w:szCs w:val="21"/>
              </w:rPr>
            </w:pPr>
          </w:p>
        </w:tc>
      </w:tr>
      <w:tr w14:paraId="600CB69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1005" w:type="dxa"/>
            <w:tcBorders>
              <w:tl2br w:val="nil"/>
              <w:tr2bl w:val="nil"/>
            </w:tcBorders>
            <w:vAlign w:val="center"/>
          </w:tcPr>
          <w:p w14:paraId="361E28EA">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S4</w:t>
            </w:r>
          </w:p>
        </w:tc>
        <w:tc>
          <w:tcPr>
            <w:tcW w:w="1166" w:type="dxa"/>
            <w:vMerge w:val="restart"/>
            <w:tcBorders>
              <w:tl2br w:val="nil"/>
              <w:tr2bl w:val="nil"/>
            </w:tcBorders>
            <w:vAlign w:val="center"/>
          </w:tcPr>
          <w:p w14:paraId="543A9351">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南区污水处理厂排口</w:t>
            </w:r>
          </w:p>
        </w:tc>
        <w:tc>
          <w:tcPr>
            <w:tcW w:w="2413" w:type="dxa"/>
            <w:tcBorders>
              <w:tl2br w:val="nil"/>
              <w:tr2bl w:val="nil"/>
            </w:tcBorders>
            <w:vAlign w:val="center"/>
          </w:tcPr>
          <w:p w14:paraId="58D08AEC">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一、二期</w:t>
            </w:r>
          </w:p>
        </w:tc>
        <w:tc>
          <w:tcPr>
            <w:tcW w:w="1517" w:type="dxa"/>
            <w:vMerge w:val="continue"/>
            <w:tcBorders>
              <w:tl2br w:val="nil"/>
              <w:tr2bl w:val="nil"/>
            </w:tcBorders>
            <w:vAlign w:val="center"/>
          </w:tcPr>
          <w:p w14:paraId="77BDCBDE">
            <w:pPr>
              <w:bidi w:val="0"/>
              <w:jc w:val="center"/>
              <w:rPr>
                <w:rFonts w:hint="default" w:ascii="Times New Roman" w:hAnsi="Times New Roman" w:eastAsia="宋体" w:cs="Times New Roman"/>
                <w:color w:val="auto"/>
                <w:sz w:val="21"/>
                <w:szCs w:val="21"/>
              </w:rPr>
            </w:pPr>
          </w:p>
        </w:tc>
        <w:tc>
          <w:tcPr>
            <w:tcW w:w="2318" w:type="dxa"/>
            <w:vMerge w:val="continue"/>
            <w:tcBorders>
              <w:tl2br w:val="nil"/>
              <w:tr2bl w:val="nil"/>
            </w:tcBorders>
            <w:vAlign w:val="center"/>
          </w:tcPr>
          <w:p w14:paraId="2CAC6FFB">
            <w:pPr>
              <w:bidi w:val="0"/>
              <w:jc w:val="center"/>
              <w:rPr>
                <w:rFonts w:hint="default" w:ascii="Times New Roman" w:hAnsi="Times New Roman" w:eastAsia="宋体" w:cs="Times New Roman"/>
                <w:color w:val="auto"/>
                <w:sz w:val="21"/>
                <w:szCs w:val="21"/>
              </w:rPr>
            </w:pPr>
          </w:p>
        </w:tc>
      </w:tr>
      <w:tr w14:paraId="77ABA07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1005" w:type="dxa"/>
            <w:tcBorders>
              <w:tl2br w:val="nil"/>
              <w:tr2bl w:val="nil"/>
            </w:tcBorders>
            <w:vAlign w:val="center"/>
          </w:tcPr>
          <w:p w14:paraId="546F8542">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S5</w:t>
            </w:r>
          </w:p>
        </w:tc>
        <w:tc>
          <w:tcPr>
            <w:tcW w:w="1166" w:type="dxa"/>
            <w:vMerge w:val="continue"/>
            <w:tcBorders>
              <w:tl2br w:val="nil"/>
              <w:tr2bl w:val="nil"/>
            </w:tcBorders>
            <w:vAlign w:val="center"/>
          </w:tcPr>
          <w:p w14:paraId="73C6E582">
            <w:pPr>
              <w:bidi w:val="0"/>
              <w:jc w:val="center"/>
              <w:rPr>
                <w:rFonts w:hint="default" w:ascii="Times New Roman" w:hAnsi="Times New Roman" w:eastAsia="宋体" w:cs="Times New Roman"/>
                <w:color w:val="auto"/>
                <w:sz w:val="21"/>
                <w:szCs w:val="21"/>
              </w:rPr>
            </w:pPr>
          </w:p>
        </w:tc>
        <w:tc>
          <w:tcPr>
            <w:tcW w:w="2413" w:type="dxa"/>
            <w:tcBorders>
              <w:tl2br w:val="nil"/>
              <w:tr2bl w:val="nil"/>
            </w:tcBorders>
            <w:vAlign w:val="center"/>
          </w:tcPr>
          <w:p w14:paraId="28226A15">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三期</w:t>
            </w:r>
          </w:p>
        </w:tc>
        <w:tc>
          <w:tcPr>
            <w:tcW w:w="1517" w:type="dxa"/>
            <w:vMerge w:val="continue"/>
            <w:tcBorders>
              <w:tl2br w:val="nil"/>
              <w:tr2bl w:val="nil"/>
            </w:tcBorders>
            <w:vAlign w:val="center"/>
          </w:tcPr>
          <w:p w14:paraId="1AE2AC90">
            <w:pPr>
              <w:bidi w:val="0"/>
              <w:jc w:val="center"/>
              <w:rPr>
                <w:rFonts w:hint="default" w:ascii="Times New Roman" w:hAnsi="Times New Roman" w:eastAsia="宋体" w:cs="Times New Roman"/>
                <w:color w:val="auto"/>
                <w:sz w:val="21"/>
                <w:szCs w:val="21"/>
              </w:rPr>
            </w:pPr>
          </w:p>
        </w:tc>
        <w:tc>
          <w:tcPr>
            <w:tcW w:w="2318" w:type="dxa"/>
            <w:vMerge w:val="continue"/>
            <w:tcBorders>
              <w:tl2br w:val="nil"/>
              <w:tr2bl w:val="nil"/>
            </w:tcBorders>
            <w:vAlign w:val="center"/>
          </w:tcPr>
          <w:p w14:paraId="0A958A4A">
            <w:pPr>
              <w:bidi w:val="0"/>
              <w:jc w:val="center"/>
              <w:rPr>
                <w:rFonts w:hint="default" w:ascii="Times New Roman" w:hAnsi="Times New Roman" w:eastAsia="宋体" w:cs="Times New Roman"/>
                <w:color w:val="auto"/>
                <w:sz w:val="21"/>
                <w:szCs w:val="21"/>
              </w:rPr>
            </w:pPr>
          </w:p>
        </w:tc>
      </w:tr>
      <w:tr w14:paraId="595B498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1005" w:type="dxa"/>
            <w:tcBorders>
              <w:tl2br w:val="nil"/>
              <w:tr2bl w:val="nil"/>
            </w:tcBorders>
            <w:vAlign w:val="center"/>
          </w:tcPr>
          <w:p w14:paraId="53E086E3">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S6</w:t>
            </w:r>
          </w:p>
        </w:tc>
        <w:tc>
          <w:tcPr>
            <w:tcW w:w="3579" w:type="dxa"/>
            <w:gridSpan w:val="2"/>
            <w:tcBorders>
              <w:tl2br w:val="nil"/>
              <w:tr2bl w:val="nil"/>
            </w:tcBorders>
            <w:vAlign w:val="center"/>
          </w:tcPr>
          <w:p w14:paraId="4F7697C4">
            <w:pPr>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空港污水处理厂排口</w:t>
            </w:r>
          </w:p>
        </w:tc>
        <w:tc>
          <w:tcPr>
            <w:tcW w:w="1517" w:type="dxa"/>
            <w:vMerge w:val="continue"/>
            <w:tcBorders>
              <w:tl2br w:val="nil"/>
              <w:tr2bl w:val="nil"/>
            </w:tcBorders>
            <w:vAlign w:val="center"/>
          </w:tcPr>
          <w:p w14:paraId="189E32E6">
            <w:pPr>
              <w:bidi w:val="0"/>
              <w:jc w:val="center"/>
              <w:rPr>
                <w:rFonts w:hint="default" w:ascii="Times New Roman" w:hAnsi="Times New Roman" w:eastAsia="宋体" w:cs="Times New Roman"/>
                <w:color w:val="auto"/>
                <w:sz w:val="21"/>
                <w:szCs w:val="21"/>
              </w:rPr>
            </w:pPr>
          </w:p>
        </w:tc>
        <w:tc>
          <w:tcPr>
            <w:tcW w:w="2318" w:type="dxa"/>
            <w:vMerge w:val="continue"/>
            <w:tcBorders>
              <w:tl2br w:val="nil"/>
              <w:tr2bl w:val="nil"/>
            </w:tcBorders>
            <w:vAlign w:val="center"/>
          </w:tcPr>
          <w:p w14:paraId="65499DBA">
            <w:pPr>
              <w:bidi w:val="0"/>
              <w:jc w:val="center"/>
              <w:rPr>
                <w:rFonts w:hint="default" w:ascii="Times New Roman" w:hAnsi="Times New Roman" w:eastAsia="宋体" w:cs="Times New Roman"/>
                <w:color w:val="auto"/>
                <w:sz w:val="21"/>
                <w:szCs w:val="21"/>
              </w:rPr>
            </w:pPr>
          </w:p>
        </w:tc>
      </w:tr>
    </w:tbl>
    <w:p w14:paraId="3CAF1C79">
      <w:pPr>
        <w:spacing w:before="36" w:line="220" w:lineRule="auto"/>
        <w:ind w:left="531"/>
        <w:outlineLvl w:val="9"/>
        <w:rPr>
          <w:rFonts w:ascii="宋体" w:hAnsi="宋体" w:eastAsia="宋体" w:cs="宋体"/>
          <w:color w:val="auto"/>
          <w:sz w:val="24"/>
          <w:szCs w:val="24"/>
        </w:rPr>
      </w:pPr>
      <w:r>
        <w:rPr>
          <w:rFonts w:ascii="宋体" w:hAnsi="宋体" w:eastAsia="宋体" w:cs="宋体"/>
          <w:color w:val="auto"/>
          <w:spacing w:val="-3"/>
          <w:sz w:val="24"/>
          <w:szCs w:val="24"/>
        </w:rPr>
        <w:t>（</w:t>
      </w:r>
      <w:r>
        <w:rPr>
          <w:rFonts w:ascii="Times New Roman" w:hAnsi="Times New Roman" w:eastAsia="Times New Roman" w:cs="Times New Roman"/>
          <w:color w:val="auto"/>
          <w:spacing w:val="-3"/>
          <w:sz w:val="24"/>
          <w:szCs w:val="24"/>
        </w:rPr>
        <w:t>3</w:t>
      </w:r>
      <w:r>
        <w:rPr>
          <w:rFonts w:ascii="宋体" w:hAnsi="宋体" w:eastAsia="宋体" w:cs="宋体"/>
          <w:color w:val="auto"/>
          <w:spacing w:val="-3"/>
          <w:sz w:val="24"/>
          <w:szCs w:val="24"/>
        </w:rPr>
        <w:t>）</w:t>
      </w:r>
      <w:sdt>
        <w:sdtPr>
          <w:rPr>
            <w:color w:val="auto"/>
          </w:rPr>
          <w:alias w:val="易错词检查"/>
          <w:tag w:val="auto"/>
          <w:id w:val="1132422"/>
        </w:sdtPr>
        <w:sdtEndPr>
          <w:rPr>
            <w:color w:val="auto"/>
          </w:rPr>
        </w:sdtEndPr>
        <w:sdtContent>
          <w:bookmarkStart w:id="2302" w:name="bkReivew1132422"/>
          <w:r>
            <w:rPr>
              <w:rFonts w:ascii="宋体" w:hAnsi="宋体" w:eastAsia="宋体" w:cs="宋体"/>
              <w:color w:val="auto"/>
              <w:spacing w:val="-3"/>
              <w:sz w:val="24"/>
              <w:szCs w:val="24"/>
            </w:rPr>
            <w:t>监测</w:t>
          </w:r>
          <w:bookmarkEnd w:id="2302"/>
        </w:sdtContent>
      </w:sdt>
      <w:r>
        <w:rPr>
          <w:rFonts w:ascii="宋体" w:hAnsi="宋体" w:eastAsia="宋体" w:cs="宋体"/>
          <w:color w:val="auto"/>
          <w:spacing w:val="-3"/>
          <w:sz w:val="24"/>
          <w:szCs w:val="24"/>
        </w:rPr>
        <w:t>时间及频次</w:t>
      </w:r>
      <w:bookmarkStart w:id="2303" w:name="pindex14741"/>
      <w:bookmarkEnd w:id="2303"/>
    </w:p>
    <w:p w14:paraId="0B0766E2">
      <w:pPr>
        <w:spacing w:before="182" w:line="220" w:lineRule="auto"/>
        <w:ind w:left="526"/>
        <w:rPr>
          <w:rFonts w:ascii="宋体" w:hAnsi="宋体" w:eastAsia="宋体" w:cs="宋体"/>
          <w:color w:val="auto"/>
          <w:sz w:val="24"/>
          <w:szCs w:val="24"/>
        </w:rPr>
      </w:pPr>
      <w:r>
        <w:rPr>
          <w:rFonts w:ascii="宋体" w:hAnsi="宋体" w:eastAsia="宋体" w:cs="宋体"/>
          <w:color w:val="auto"/>
          <w:spacing w:val="-8"/>
          <w:sz w:val="24"/>
          <w:szCs w:val="24"/>
        </w:rPr>
        <w:t>监测时间：监测</w:t>
      </w:r>
      <w:r>
        <w:rPr>
          <w:rFonts w:ascii="Times New Roman" w:hAnsi="Times New Roman" w:eastAsia="Times New Roman" w:cs="Times New Roman"/>
          <w:color w:val="auto"/>
          <w:spacing w:val="-8"/>
          <w:sz w:val="24"/>
          <w:szCs w:val="24"/>
        </w:rPr>
        <w:t>1</w:t>
      </w:r>
      <w:r>
        <w:rPr>
          <w:rFonts w:ascii="宋体" w:hAnsi="宋体" w:eastAsia="宋体" w:cs="宋体"/>
          <w:color w:val="auto"/>
          <w:spacing w:val="-8"/>
          <w:sz w:val="24"/>
          <w:szCs w:val="24"/>
        </w:rPr>
        <w:t>天，监测</w:t>
      </w:r>
      <w:r>
        <w:rPr>
          <w:rFonts w:ascii="Times New Roman" w:hAnsi="Times New Roman" w:eastAsia="Times New Roman" w:cs="Times New Roman"/>
          <w:color w:val="auto"/>
          <w:spacing w:val="-8"/>
          <w:sz w:val="24"/>
          <w:szCs w:val="24"/>
        </w:rPr>
        <w:t>1</w:t>
      </w:r>
      <w:r>
        <w:rPr>
          <w:rFonts w:ascii="宋体" w:hAnsi="宋体" w:eastAsia="宋体" w:cs="宋体"/>
          <w:color w:val="auto"/>
          <w:spacing w:val="-8"/>
          <w:sz w:val="24"/>
          <w:szCs w:val="24"/>
        </w:rPr>
        <w:t>次。</w:t>
      </w:r>
    </w:p>
    <w:p w14:paraId="42AEF142">
      <w:pPr>
        <w:spacing w:line="220" w:lineRule="auto"/>
        <w:rPr>
          <w:rFonts w:ascii="宋体" w:hAnsi="宋体" w:eastAsia="宋体" w:cs="宋体"/>
          <w:color w:val="auto"/>
          <w:sz w:val="24"/>
          <w:szCs w:val="24"/>
        </w:rPr>
        <w:sectPr>
          <w:footerReference r:id="rId38" w:type="default"/>
          <w:pgSz w:w="11907" w:h="16839"/>
          <w:pgMar w:top="1175" w:right="1769" w:bottom="1621" w:left="1764" w:header="862" w:footer="1445" w:gutter="0"/>
          <w:pgBorders>
            <w:top w:val="none" w:sz="0" w:space="0"/>
            <w:left w:val="none" w:sz="0" w:space="0"/>
            <w:bottom w:val="none" w:sz="0" w:space="0"/>
            <w:right w:val="none" w:sz="0" w:space="0"/>
          </w:pgBorders>
          <w:pgNumType w:fmt="decimal"/>
          <w:cols w:space="720" w:num="1"/>
        </w:sectPr>
      </w:pPr>
    </w:p>
    <w:p w14:paraId="6F92B51D">
      <w:pPr>
        <w:keepNext w:val="0"/>
        <w:keepLines w:val="0"/>
        <w:pageBreakBefore w:val="0"/>
        <w:widowControl/>
        <w:kinsoku w:val="0"/>
        <w:wordWrap/>
        <w:overflowPunct/>
        <w:topLinePunct w:val="0"/>
        <w:autoSpaceDE w:val="0"/>
        <w:autoSpaceDN w:val="0"/>
        <w:bidi w:val="0"/>
        <w:adjustRightInd w:val="0"/>
        <w:snapToGrid w:val="0"/>
        <w:spacing w:before="306" w:line="360" w:lineRule="auto"/>
        <w:ind w:left="47"/>
        <w:textAlignment w:val="baseline"/>
        <w:outlineLvl w:val="0"/>
        <w:rPr>
          <w:rFonts w:hint="eastAsia" w:ascii="宋体" w:hAnsi="宋体" w:eastAsia="宋体" w:cs="宋体"/>
          <w:b/>
          <w:bCs/>
          <w:color w:val="auto"/>
          <w:spacing w:val="-4"/>
          <w:sz w:val="28"/>
          <w:szCs w:val="28"/>
          <w:highlight w:val="none"/>
          <w:lang w:val="en-US" w:eastAsia="zh-CN"/>
        </w:rPr>
      </w:pPr>
      <w:bookmarkStart w:id="2304" w:name="bookmark85"/>
      <w:bookmarkEnd w:id="2304"/>
      <w:bookmarkStart w:id="2305" w:name="_Toc2226"/>
      <w:bookmarkStart w:id="2306" w:name="OLE_LINK609"/>
      <w:r>
        <w:rPr>
          <w:rFonts w:hint="eastAsia" w:ascii="Times New Roman" w:hAnsi="Times New Roman" w:eastAsia="宋体" w:cs="Times New Roman"/>
          <w:b/>
          <w:bCs/>
          <w:color w:val="auto"/>
          <w:spacing w:val="-4"/>
          <w:sz w:val="28"/>
          <w:szCs w:val="28"/>
          <w:highlight w:val="none"/>
          <w:lang w:val="en-US" w:eastAsia="zh-CN"/>
        </w:rPr>
        <w:t>10</w:t>
      </w:r>
      <w:r>
        <w:rPr>
          <w:rFonts w:hint="eastAsia" w:ascii="宋体" w:hAnsi="宋体" w:eastAsia="宋体" w:cs="宋体"/>
          <w:b/>
          <w:bCs/>
          <w:color w:val="auto"/>
          <w:spacing w:val="-4"/>
          <w:sz w:val="28"/>
          <w:szCs w:val="28"/>
          <w:highlight w:val="none"/>
          <w:lang w:val="en-US" w:eastAsia="zh-CN"/>
        </w:rPr>
        <w:t>生态环境准入清单</w:t>
      </w:r>
      <w:bookmarkEnd w:id="2305"/>
      <w:bookmarkStart w:id="2307" w:name="pindex14744"/>
      <w:bookmarkEnd w:id="2307"/>
    </w:p>
    <w:p w14:paraId="4847E2A9">
      <w:pPr>
        <w:keepNext w:val="0"/>
        <w:keepLines w:val="0"/>
        <w:pageBreakBefore w:val="0"/>
        <w:widowControl/>
        <w:kinsoku w:val="0"/>
        <w:wordWrap/>
        <w:overflowPunct/>
        <w:topLinePunct w:val="0"/>
        <w:autoSpaceDE w:val="0"/>
        <w:autoSpaceDN w:val="0"/>
        <w:bidi w:val="0"/>
        <w:adjustRightInd w:val="0"/>
        <w:snapToGrid w:val="0"/>
        <w:spacing w:before="40" w:line="360" w:lineRule="auto"/>
        <w:ind w:left="37"/>
        <w:textAlignment w:val="baseline"/>
        <w:outlineLvl w:val="1"/>
        <w:rPr>
          <w:rFonts w:hint="eastAsia" w:ascii="Times New Roman" w:hAnsi="Times New Roman" w:eastAsia="宋体" w:cs="Times New Roman"/>
          <w:b/>
          <w:bCs/>
          <w:color w:val="auto"/>
          <w:spacing w:val="-2"/>
          <w:sz w:val="24"/>
          <w:szCs w:val="24"/>
          <w:highlight w:val="none"/>
          <w:lang w:val="en-US" w:eastAsia="zh-CN"/>
        </w:rPr>
      </w:pPr>
      <w:bookmarkStart w:id="2308" w:name="_Toc1600"/>
      <w:r>
        <w:rPr>
          <w:rFonts w:hint="eastAsia" w:ascii="Times New Roman" w:hAnsi="Times New Roman" w:eastAsia="宋体" w:cs="Times New Roman"/>
          <w:b/>
          <w:bCs/>
          <w:color w:val="auto"/>
          <w:spacing w:val="-2"/>
          <w:sz w:val="24"/>
          <w:szCs w:val="24"/>
          <w:highlight w:val="none"/>
          <w:lang w:val="en-US" w:eastAsia="zh-CN"/>
        </w:rPr>
        <w:t>10.1生态保护红线</w:t>
      </w:r>
      <w:bookmarkEnd w:id="2308"/>
      <w:bookmarkStart w:id="2309" w:name="pindex14745"/>
      <w:bookmarkEnd w:id="2309"/>
    </w:p>
    <w:p w14:paraId="453F4A29">
      <w:pPr>
        <w:keepNext w:val="0"/>
        <w:keepLines w:val="0"/>
        <w:pageBreakBefore w:val="0"/>
        <w:widowControl/>
        <w:kinsoku w:val="0"/>
        <w:wordWrap/>
        <w:overflowPunct/>
        <w:topLinePunct w:val="0"/>
        <w:autoSpaceDE w:val="0"/>
        <w:autoSpaceDN w:val="0"/>
        <w:bidi w:val="0"/>
        <w:adjustRightInd w:val="0"/>
        <w:snapToGrid w:val="0"/>
        <w:spacing w:line="360" w:lineRule="auto"/>
        <w:ind w:firstLine="456" w:firstLineChars="200"/>
        <w:textAlignment w:val="baseline"/>
        <w:rPr>
          <w:rFonts w:hint="default" w:ascii="Times New Roman" w:hAnsi="Times New Roman" w:eastAsia="宋体" w:cs="Times New Roman"/>
          <w:color w:val="auto"/>
          <w:sz w:val="24"/>
          <w:szCs w:val="24"/>
          <w:highlight w:val="none"/>
        </w:rPr>
      </w:pPr>
      <w:bookmarkStart w:id="2310" w:name="sys147460234"/>
      <w:bookmarkStart w:id="2311" w:name="OLE_LINK613"/>
      <w:r>
        <w:rPr>
          <w:rFonts w:hint="eastAsia" w:ascii="Times New Roman" w:hAnsi="Times New Roman" w:eastAsia="宋体" w:cs="Times New Roman"/>
          <w:color w:val="auto"/>
          <w:spacing w:val="-6"/>
          <w:sz w:val="24"/>
          <w:szCs w:val="24"/>
          <w:highlight w:val="none"/>
          <w:lang w:val="en-US" w:eastAsia="zh-CN"/>
        </w:rPr>
        <w:t>根据</w:t>
      </w:r>
      <w:r>
        <w:rPr>
          <w:rFonts w:hint="default" w:ascii="Times New Roman" w:hAnsi="Times New Roman" w:eastAsia="宋体" w:cs="Times New Roman"/>
          <w:color w:val="auto"/>
          <w:spacing w:val="-6"/>
          <w:sz w:val="24"/>
          <w:szCs w:val="24"/>
          <w:highlight w:val="none"/>
          <w:lang w:val="en-US" w:eastAsia="zh-CN"/>
        </w:rPr>
        <w:t>《自然资源部办公厅关于北京等省</w:t>
      </w:r>
      <w:r>
        <w:rPr>
          <w:rFonts w:hint="eastAsia" w:ascii="Times New Roman" w:hAnsi="Times New Roman" w:eastAsia="宋体" w:cs="Times New Roman"/>
          <w:color w:val="auto"/>
          <w:spacing w:val="-6"/>
          <w:sz w:val="24"/>
          <w:szCs w:val="24"/>
          <w:highlight w:val="none"/>
          <w:lang w:val="en-US" w:eastAsia="zh-CN"/>
        </w:rPr>
        <w:t>（</w:t>
      </w:r>
      <w:r>
        <w:rPr>
          <w:rFonts w:hint="default" w:ascii="Times New Roman" w:hAnsi="Times New Roman" w:eastAsia="宋体" w:cs="Times New Roman"/>
          <w:color w:val="auto"/>
          <w:spacing w:val="-6"/>
          <w:sz w:val="24"/>
          <w:szCs w:val="24"/>
          <w:highlight w:val="none"/>
          <w:lang w:val="en-US" w:eastAsia="zh-CN"/>
        </w:rPr>
        <w:t>区、市</w:t>
      </w:r>
      <w:r>
        <w:rPr>
          <w:rFonts w:hint="eastAsia" w:ascii="Times New Roman" w:hAnsi="Times New Roman" w:eastAsia="宋体" w:cs="Times New Roman"/>
          <w:color w:val="auto"/>
          <w:spacing w:val="-6"/>
          <w:sz w:val="24"/>
          <w:szCs w:val="24"/>
          <w:highlight w:val="none"/>
          <w:lang w:val="en-US" w:eastAsia="zh-CN"/>
        </w:rPr>
        <w:t>）</w:t>
      </w:r>
      <w:r>
        <w:rPr>
          <w:rFonts w:hint="default" w:ascii="Times New Roman" w:hAnsi="Times New Roman" w:eastAsia="宋体" w:cs="Times New Roman"/>
          <w:color w:val="auto"/>
          <w:spacing w:val="-6"/>
          <w:sz w:val="24"/>
          <w:szCs w:val="24"/>
          <w:highlight w:val="none"/>
          <w:lang w:val="en-US" w:eastAsia="zh-CN"/>
        </w:rPr>
        <w:t>启用“三区三线”划定成果作为报批建设项目用地用海依据的函》（自然资办函</w:t>
      </w:r>
      <w:r>
        <w:rPr>
          <w:rFonts w:hint="eastAsia" w:ascii="Times New Roman" w:hAnsi="Times New Roman" w:eastAsia="宋体" w:cs="Times New Roman"/>
          <w:color w:val="auto"/>
          <w:spacing w:val="-6"/>
          <w:sz w:val="24"/>
          <w:szCs w:val="24"/>
          <w:highlight w:val="none"/>
          <w:lang w:val="en-US" w:eastAsia="zh-CN"/>
        </w:rPr>
        <w:t>〔</w:t>
      </w:r>
      <w:r>
        <w:rPr>
          <w:rFonts w:hint="default" w:ascii="Times New Roman" w:hAnsi="Times New Roman" w:eastAsia="宋体" w:cs="Times New Roman"/>
          <w:color w:val="auto"/>
          <w:spacing w:val="-6"/>
          <w:sz w:val="24"/>
          <w:szCs w:val="24"/>
          <w:highlight w:val="none"/>
          <w:lang w:val="en-US" w:eastAsia="zh-CN"/>
        </w:rPr>
        <w:t>2022</w:t>
      </w:r>
      <w:r>
        <w:rPr>
          <w:rFonts w:hint="eastAsia" w:ascii="Times New Roman" w:hAnsi="Times New Roman" w:eastAsia="宋体" w:cs="Times New Roman"/>
          <w:color w:val="auto"/>
          <w:spacing w:val="-6"/>
          <w:sz w:val="24"/>
          <w:szCs w:val="24"/>
          <w:highlight w:val="none"/>
          <w:lang w:val="en-US" w:eastAsia="zh-CN"/>
        </w:rPr>
        <w:t>〕</w:t>
      </w:r>
      <w:r>
        <w:rPr>
          <w:rFonts w:hint="default" w:ascii="Times New Roman" w:hAnsi="Times New Roman" w:eastAsia="宋体" w:cs="Times New Roman"/>
          <w:color w:val="auto"/>
          <w:spacing w:val="-6"/>
          <w:sz w:val="24"/>
          <w:szCs w:val="24"/>
          <w:highlight w:val="none"/>
          <w:lang w:val="en-US" w:eastAsia="zh-CN"/>
        </w:rPr>
        <w:t>2207号）、南京市“三区三线”划定成果、《南京市江宁区2023年度生态空间管控区调整方案》《江苏省自然资源厅关于南京市江宁区2023年度生态空间管控区调整方案的复函》（苏自然资函</w:t>
      </w:r>
      <w:r>
        <w:rPr>
          <w:rFonts w:hint="eastAsia" w:ascii="Times New Roman" w:hAnsi="Times New Roman" w:eastAsia="宋体" w:cs="Times New Roman"/>
          <w:color w:val="auto"/>
          <w:spacing w:val="-6"/>
          <w:sz w:val="24"/>
          <w:szCs w:val="24"/>
          <w:highlight w:val="none"/>
          <w:lang w:val="en-US" w:eastAsia="zh-CN"/>
        </w:rPr>
        <w:t>〔</w:t>
      </w:r>
      <w:r>
        <w:rPr>
          <w:rFonts w:hint="default" w:ascii="Times New Roman" w:hAnsi="Times New Roman" w:eastAsia="宋体" w:cs="Times New Roman"/>
          <w:color w:val="auto"/>
          <w:spacing w:val="-6"/>
          <w:sz w:val="24"/>
          <w:szCs w:val="24"/>
          <w:highlight w:val="none"/>
          <w:lang w:val="en-US" w:eastAsia="zh-CN"/>
        </w:rPr>
        <w:t>2023</w:t>
      </w:r>
      <w:r>
        <w:rPr>
          <w:rFonts w:hint="eastAsia" w:ascii="Times New Roman" w:hAnsi="Times New Roman" w:eastAsia="宋体" w:cs="Times New Roman"/>
          <w:color w:val="auto"/>
          <w:spacing w:val="-6"/>
          <w:sz w:val="24"/>
          <w:szCs w:val="24"/>
          <w:highlight w:val="none"/>
          <w:lang w:val="en-US" w:eastAsia="zh-CN"/>
        </w:rPr>
        <w:t>〕</w:t>
      </w:r>
      <w:r>
        <w:rPr>
          <w:rFonts w:hint="default" w:ascii="Times New Roman" w:hAnsi="Times New Roman" w:eastAsia="宋体" w:cs="Times New Roman"/>
          <w:color w:val="auto"/>
          <w:spacing w:val="-6"/>
          <w:sz w:val="24"/>
          <w:szCs w:val="24"/>
          <w:highlight w:val="none"/>
          <w:lang w:val="en-US" w:eastAsia="zh-CN"/>
        </w:rPr>
        <w:t>1058号）</w:t>
      </w:r>
      <w:r>
        <w:rPr>
          <w:rFonts w:hint="default" w:ascii="Times New Roman" w:hAnsi="Times New Roman" w:eastAsia="宋体" w:cs="Times New Roman"/>
          <w:color w:val="auto"/>
          <w:sz w:val="24"/>
          <w:szCs w:val="24"/>
          <w:highlight w:val="none"/>
        </w:rPr>
        <w:t>，并且查阅“江苏省生态环境分区管控综合服务系统”，</w:t>
      </w:r>
      <w:r>
        <w:rPr>
          <w:rFonts w:ascii="宋体" w:hAnsi="宋体" w:eastAsia="宋体" w:cs="宋体"/>
          <w:color w:val="auto"/>
          <w:spacing w:val="-7"/>
          <w:sz w:val="24"/>
          <w:szCs w:val="24"/>
          <w:highlight w:val="none"/>
        </w:rPr>
        <w:t>开发区</w:t>
      </w:r>
      <w:r>
        <w:rPr>
          <w:rFonts w:hint="eastAsia" w:ascii="宋体" w:hAnsi="宋体" w:eastAsia="宋体" w:cs="宋体"/>
          <w:color w:val="auto"/>
          <w:spacing w:val="-7"/>
          <w:sz w:val="24"/>
          <w:szCs w:val="24"/>
          <w:highlight w:val="none"/>
          <w:lang w:val="en-US" w:eastAsia="zh-CN"/>
        </w:rPr>
        <w:t>评估</w:t>
      </w:r>
      <w:r>
        <w:rPr>
          <w:rFonts w:ascii="宋体" w:hAnsi="宋体" w:eastAsia="宋体" w:cs="宋体"/>
          <w:color w:val="auto"/>
          <w:spacing w:val="-7"/>
          <w:sz w:val="24"/>
          <w:szCs w:val="24"/>
          <w:highlight w:val="none"/>
        </w:rPr>
        <w:t>范围内</w:t>
      </w:r>
      <w:r>
        <w:rPr>
          <w:rFonts w:hint="eastAsia" w:ascii="宋体" w:hAnsi="宋体" w:eastAsia="宋体" w:cs="宋体"/>
          <w:color w:val="auto"/>
          <w:spacing w:val="-7"/>
          <w:sz w:val="24"/>
          <w:szCs w:val="24"/>
          <w:highlight w:val="none"/>
          <w:lang w:val="en-US" w:eastAsia="zh-CN"/>
        </w:rPr>
        <w:t>及周边</w:t>
      </w:r>
      <w:r>
        <w:rPr>
          <w:rFonts w:ascii="宋体" w:hAnsi="宋体" w:eastAsia="宋体" w:cs="宋体"/>
          <w:color w:val="auto"/>
          <w:spacing w:val="-7"/>
          <w:sz w:val="24"/>
          <w:szCs w:val="24"/>
          <w:highlight w:val="none"/>
        </w:rPr>
        <w:t>生态</w:t>
      </w:r>
      <w:r>
        <w:rPr>
          <w:rFonts w:ascii="宋体" w:hAnsi="宋体" w:eastAsia="宋体" w:cs="宋体"/>
          <w:color w:val="auto"/>
          <w:spacing w:val="-3"/>
          <w:sz w:val="24"/>
          <w:szCs w:val="24"/>
          <w:highlight w:val="none"/>
        </w:rPr>
        <w:t>保护红线区域</w:t>
      </w:r>
      <w:r>
        <w:rPr>
          <w:rFonts w:hint="eastAsia" w:ascii="宋体" w:hAnsi="宋体" w:eastAsia="宋体" w:cs="宋体"/>
          <w:color w:val="auto"/>
          <w:spacing w:val="-3"/>
          <w:sz w:val="24"/>
          <w:szCs w:val="24"/>
          <w:highlight w:val="none"/>
          <w:lang w:eastAsia="zh-CN"/>
        </w:rPr>
        <w:t>、</w:t>
      </w:r>
      <w:r>
        <w:rPr>
          <w:rFonts w:ascii="宋体" w:hAnsi="宋体" w:eastAsia="宋体" w:cs="宋体"/>
          <w:color w:val="auto"/>
          <w:spacing w:val="-3"/>
          <w:sz w:val="24"/>
          <w:szCs w:val="24"/>
          <w:highlight w:val="none"/>
        </w:rPr>
        <w:t>生态空间管控区域</w:t>
      </w:r>
      <w:r>
        <w:rPr>
          <w:rFonts w:ascii="宋体" w:hAnsi="宋体" w:eastAsia="宋体" w:cs="宋体"/>
          <w:color w:val="auto"/>
          <w:spacing w:val="-4"/>
          <w:sz w:val="24"/>
          <w:szCs w:val="24"/>
          <w:highlight w:val="none"/>
        </w:rPr>
        <w:t>共有</w:t>
      </w:r>
      <w:r>
        <w:rPr>
          <w:rFonts w:hint="eastAsia" w:ascii="Times New Roman" w:hAnsi="Times New Roman" w:eastAsia="宋体" w:cs="Times New Roman"/>
          <w:color w:val="auto"/>
          <w:spacing w:val="-4"/>
          <w:sz w:val="24"/>
          <w:szCs w:val="24"/>
          <w:highlight w:val="none"/>
          <w:lang w:val="en-US" w:eastAsia="zh-CN"/>
        </w:rPr>
        <w:t>7</w:t>
      </w:r>
      <w:r>
        <w:rPr>
          <w:rFonts w:ascii="宋体" w:hAnsi="宋体" w:eastAsia="宋体" w:cs="宋体"/>
          <w:color w:val="auto"/>
          <w:spacing w:val="-4"/>
          <w:sz w:val="24"/>
          <w:szCs w:val="24"/>
          <w:highlight w:val="none"/>
        </w:rPr>
        <w:t>个生态敏感目标</w:t>
      </w:r>
      <w:r>
        <w:rPr>
          <w:rFonts w:hint="eastAsia" w:ascii="宋体" w:hAnsi="宋体" w:eastAsia="宋体" w:cs="宋体"/>
          <w:color w:val="auto"/>
          <w:spacing w:val="-4"/>
          <w:sz w:val="24"/>
          <w:szCs w:val="24"/>
          <w:highlight w:val="none"/>
          <w:lang w:eastAsia="zh-CN"/>
        </w:rPr>
        <w:t>，</w:t>
      </w:r>
      <w:r>
        <w:rPr>
          <w:rFonts w:hint="eastAsia" w:ascii="宋体" w:hAnsi="宋体" w:eastAsia="宋体" w:cs="宋体"/>
          <w:color w:val="auto"/>
          <w:spacing w:val="-4"/>
          <w:sz w:val="24"/>
          <w:szCs w:val="24"/>
          <w:highlight w:val="none"/>
          <w:lang w:val="en-US" w:eastAsia="zh-CN"/>
        </w:rPr>
        <w:t>见</w:t>
      </w:r>
      <w:r>
        <w:rPr>
          <w:rFonts w:ascii="宋体" w:hAnsi="宋体" w:eastAsia="宋体" w:cs="宋体"/>
          <w:color w:val="auto"/>
          <w:spacing w:val="-3"/>
          <w:sz w:val="24"/>
          <w:szCs w:val="24"/>
          <w:highlight w:val="none"/>
        </w:rPr>
        <w:t>附图</w:t>
      </w:r>
      <w:r>
        <w:rPr>
          <w:rFonts w:hint="eastAsia" w:ascii="Times New Roman" w:hAnsi="Times New Roman" w:eastAsia="宋体" w:cs="Times New Roman"/>
          <w:color w:val="auto"/>
          <w:spacing w:val="-3"/>
          <w:sz w:val="24"/>
          <w:szCs w:val="24"/>
          <w:highlight w:val="none"/>
          <w:lang w:val="en-US" w:eastAsia="zh-CN"/>
        </w:rPr>
        <w:t>6</w:t>
      </w:r>
      <w:r>
        <w:rPr>
          <w:rFonts w:hint="default" w:ascii="Times New Roman" w:hAnsi="Times New Roman" w:eastAsia="宋体" w:cs="Times New Roman"/>
          <w:color w:val="auto"/>
          <w:sz w:val="24"/>
          <w:szCs w:val="24"/>
          <w:highlight w:val="none"/>
        </w:rPr>
        <w:t>。</w:t>
      </w:r>
      <w:bookmarkEnd w:id="2310"/>
    </w:p>
    <w:bookmarkEnd w:id="2311"/>
    <w:p w14:paraId="07BC39F0">
      <w:pPr>
        <w:keepNext w:val="0"/>
        <w:keepLines w:val="0"/>
        <w:pageBreakBefore w:val="0"/>
        <w:widowControl/>
        <w:kinsoku w:val="0"/>
        <w:wordWrap/>
        <w:overflowPunct/>
        <w:topLinePunct w:val="0"/>
        <w:autoSpaceDE w:val="0"/>
        <w:autoSpaceDN w:val="0"/>
        <w:bidi w:val="0"/>
        <w:adjustRightInd w:val="0"/>
        <w:snapToGrid w:val="0"/>
        <w:spacing w:before="40" w:line="360" w:lineRule="auto"/>
        <w:ind w:left="37"/>
        <w:textAlignment w:val="baseline"/>
        <w:outlineLvl w:val="1"/>
        <w:rPr>
          <w:rFonts w:hint="default" w:ascii="Times New Roman" w:hAnsi="Times New Roman" w:eastAsia="宋体" w:cs="Times New Roman"/>
          <w:b/>
          <w:bCs/>
          <w:color w:val="auto"/>
          <w:spacing w:val="-2"/>
          <w:sz w:val="24"/>
          <w:szCs w:val="24"/>
          <w:highlight w:val="none"/>
          <w:lang w:val="en-US" w:eastAsia="zh-CN"/>
        </w:rPr>
      </w:pPr>
      <w:bookmarkStart w:id="2312" w:name="_Toc32166"/>
      <w:bookmarkStart w:id="2313" w:name="OLE_LINK612"/>
      <w:r>
        <w:rPr>
          <w:rFonts w:hint="eastAsia" w:ascii="Times New Roman" w:hAnsi="Times New Roman" w:eastAsia="宋体" w:cs="Times New Roman"/>
          <w:b/>
          <w:bCs/>
          <w:color w:val="auto"/>
          <w:spacing w:val="-2"/>
          <w:sz w:val="24"/>
          <w:szCs w:val="24"/>
          <w:highlight w:val="none"/>
          <w:lang w:val="en-US" w:eastAsia="zh-CN"/>
        </w:rPr>
        <w:t>10.2环境质量底线</w:t>
      </w:r>
      <w:bookmarkEnd w:id="2312"/>
      <w:bookmarkStart w:id="2314" w:name="pindex14747"/>
      <w:bookmarkEnd w:id="2314"/>
    </w:p>
    <w:bookmarkEnd w:id="2313"/>
    <w:p w14:paraId="1699F130">
      <w:pPr>
        <w:keepNext w:val="0"/>
        <w:keepLines w:val="0"/>
        <w:pageBreakBefore w:val="0"/>
        <w:widowControl/>
        <w:kinsoku w:val="0"/>
        <w:wordWrap/>
        <w:overflowPunct/>
        <w:topLinePunct w:val="0"/>
        <w:autoSpaceDE w:val="0"/>
        <w:autoSpaceDN w:val="0"/>
        <w:bidi w:val="0"/>
        <w:adjustRightInd w:val="0"/>
        <w:snapToGrid w:val="0"/>
        <w:spacing w:before="40" w:line="360" w:lineRule="auto"/>
        <w:ind w:left="37"/>
        <w:textAlignment w:val="baseline"/>
        <w:outlineLvl w:val="2"/>
        <w:rPr>
          <w:rFonts w:hint="eastAsia" w:ascii="宋体" w:hAnsi="宋体" w:eastAsia="宋体" w:cs="宋体"/>
          <w:b/>
          <w:bCs/>
          <w:color w:val="auto"/>
          <w:spacing w:val="-4"/>
          <w:sz w:val="24"/>
          <w:szCs w:val="24"/>
          <w:highlight w:val="none"/>
          <w:lang w:val="en-US" w:eastAsia="zh-CN"/>
        </w:rPr>
      </w:pPr>
      <w:bookmarkStart w:id="2315" w:name="_Toc26610"/>
      <w:bookmarkStart w:id="2316" w:name="OLE_LINK611"/>
      <w:r>
        <w:rPr>
          <w:rFonts w:hint="eastAsia" w:ascii="Times New Roman" w:hAnsi="Times New Roman" w:eastAsia="宋体" w:cs="Times New Roman"/>
          <w:b/>
          <w:bCs/>
          <w:color w:val="auto"/>
          <w:spacing w:val="-4"/>
          <w:sz w:val="24"/>
          <w:szCs w:val="24"/>
          <w:highlight w:val="none"/>
          <w:lang w:val="en-US" w:eastAsia="zh-CN"/>
        </w:rPr>
        <w:t>10</w:t>
      </w:r>
      <w:bookmarkStart w:id="2317" w:name="OLE_LINK610"/>
      <w:r>
        <w:rPr>
          <w:rFonts w:hint="eastAsia" w:ascii="Times New Roman" w:hAnsi="Times New Roman" w:eastAsia="宋体" w:cs="Times New Roman"/>
          <w:b/>
          <w:bCs/>
          <w:color w:val="auto"/>
          <w:spacing w:val="-4"/>
          <w:sz w:val="24"/>
          <w:szCs w:val="24"/>
          <w:highlight w:val="none"/>
          <w:lang w:val="en-US" w:eastAsia="zh-CN"/>
        </w:rPr>
        <w:t>.2</w:t>
      </w:r>
      <w:r>
        <w:rPr>
          <w:rFonts w:ascii="Times New Roman" w:hAnsi="Times New Roman" w:eastAsia="Times New Roman" w:cs="Times New Roman"/>
          <w:b/>
          <w:bCs/>
          <w:color w:val="auto"/>
          <w:spacing w:val="-4"/>
          <w:sz w:val="24"/>
          <w:szCs w:val="24"/>
          <w:highlight w:val="none"/>
        </w:rPr>
        <w:t>.1</w:t>
      </w:r>
      <w:r>
        <w:rPr>
          <w:rFonts w:hint="eastAsia" w:ascii="宋体" w:hAnsi="宋体" w:eastAsia="宋体" w:cs="宋体"/>
          <w:b/>
          <w:bCs/>
          <w:color w:val="auto"/>
          <w:spacing w:val="-4"/>
          <w:sz w:val="24"/>
          <w:szCs w:val="24"/>
          <w:highlight w:val="none"/>
          <w:lang w:val="en-US" w:eastAsia="zh-CN"/>
        </w:rPr>
        <w:t>环境质量现</w:t>
      </w:r>
      <w:bookmarkEnd w:id="2317"/>
      <w:r>
        <w:rPr>
          <w:rFonts w:hint="eastAsia" w:ascii="宋体" w:hAnsi="宋体" w:eastAsia="宋体" w:cs="宋体"/>
          <w:b/>
          <w:bCs/>
          <w:color w:val="auto"/>
          <w:spacing w:val="-4"/>
          <w:sz w:val="24"/>
          <w:szCs w:val="24"/>
          <w:highlight w:val="none"/>
          <w:lang w:val="en-US" w:eastAsia="zh-CN"/>
        </w:rPr>
        <w:t>状</w:t>
      </w:r>
      <w:bookmarkEnd w:id="2315"/>
      <w:bookmarkStart w:id="2318" w:name="pindex14748"/>
      <w:bookmarkEnd w:id="2318"/>
    </w:p>
    <w:p w14:paraId="3A3F121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bookmarkStart w:id="2319" w:name="OLE_LINK729"/>
      <w:r>
        <w:rPr>
          <w:rFonts w:hint="eastAsia" w:ascii="Times New Roman" w:hAnsi="Times New Roman" w:eastAsia="宋体" w:cs="Times New Roman"/>
          <w:color w:val="auto"/>
          <w:sz w:val="24"/>
          <w:szCs w:val="24"/>
          <w:highlight w:val="none"/>
          <w:lang w:eastAsia="zh-CN"/>
        </w:rPr>
        <w:t>（</w:t>
      </w:r>
      <w:bookmarkStart w:id="2320" w:name="OLE_LINK728"/>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环境空气</w:t>
      </w:r>
      <w:bookmarkEnd w:id="2320"/>
      <w:bookmarkStart w:id="2321" w:name="pindex14749"/>
      <w:bookmarkEnd w:id="2321"/>
    </w:p>
    <w:bookmarkEnd w:id="2319"/>
    <w:p w14:paraId="43EC3A32">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pacing w:val="-1"/>
          <w:sz w:val="24"/>
          <w:szCs w:val="24"/>
          <w:highlight w:val="none"/>
          <w:lang w:eastAsia="zh-CN"/>
        </w:rPr>
      </w:pPr>
      <w:r>
        <w:rPr>
          <w:rFonts w:hint="default" w:ascii="Times New Roman" w:hAnsi="Times New Roman" w:eastAsia="宋体" w:cs="Times New Roman"/>
          <w:color w:val="auto"/>
          <w:sz w:val="24"/>
          <w:szCs w:val="24"/>
          <w:highlight w:val="none"/>
        </w:rPr>
        <w:t>根据《</w:t>
      </w:r>
      <w:r>
        <w:rPr>
          <w:rFonts w:hint="default" w:ascii="Times New Roman" w:hAnsi="Times New Roman" w:eastAsia="Times New Roman" w:cs="Times New Roman"/>
          <w:color w:val="auto"/>
          <w:spacing w:val="-3"/>
          <w:sz w:val="24"/>
          <w:szCs w:val="24"/>
          <w:highlight w:val="none"/>
        </w:rPr>
        <w:t>202</w:t>
      </w:r>
      <w:r>
        <w:rPr>
          <w:rFonts w:hint="eastAsia" w:ascii="Times New Roman" w:hAnsi="Times New Roman" w:eastAsia="宋体" w:cs="Times New Roman"/>
          <w:color w:val="auto"/>
          <w:spacing w:val="-3"/>
          <w:sz w:val="24"/>
          <w:szCs w:val="24"/>
          <w:highlight w:val="none"/>
          <w:lang w:val="en-US" w:eastAsia="zh-CN"/>
        </w:rPr>
        <w:t>4</w:t>
      </w:r>
      <w:r>
        <w:rPr>
          <w:rFonts w:hint="default" w:ascii="Times New Roman" w:hAnsi="Times New Roman" w:eastAsia="宋体" w:cs="Times New Roman"/>
          <w:color w:val="auto"/>
          <w:spacing w:val="-3"/>
          <w:sz w:val="24"/>
          <w:szCs w:val="24"/>
          <w:highlight w:val="none"/>
        </w:rPr>
        <w:t>年</w:t>
      </w:r>
      <w:r>
        <w:rPr>
          <w:rFonts w:hint="eastAsia" w:ascii="Times New Roman" w:hAnsi="Times New Roman" w:eastAsia="宋体" w:cs="Times New Roman"/>
          <w:color w:val="auto"/>
          <w:spacing w:val="-3"/>
          <w:sz w:val="24"/>
          <w:szCs w:val="24"/>
          <w:highlight w:val="none"/>
          <w:lang w:val="en-US" w:eastAsia="zh-CN"/>
        </w:rPr>
        <w:t>上半年</w:t>
      </w:r>
      <w:r>
        <w:rPr>
          <w:rFonts w:hint="default" w:ascii="Times New Roman" w:hAnsi="Times New Roman" w:eastAsia="宋体" w:cs="Times New Roman"/>
          <w:color w:val="auto"/>
          <w:sz w:val="24"/>
          <w:szCs w:val="24"/>
          <w:highlight w:val="none"/>
        </w:rPr>
        <w:t>南京市环境状况公报》，</w:t>
      </w:r>
      <w:r>
        <w:rPr>
          <w:rFonts w:hint="default" w:ascii="Times New Roman" w:hAnsi="Times New Roman" w:eastAsia="宋体" w:cs="Times New Roman"/>
          <w:color w:val="auto"/>
          <w:kern w:val="2"/>
          <w:sz w:val="24"/>
          <w:szCs w:val="24"/>
          <w:highlight w:val="none"/>
          <w:lang w:val="en-US" w:eastAsia="zh-CN" w:bidi="ar-SA"/>
        </w:rPr>
        <w:t>该地区</w:t>
      </w: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10</w:t>
      </w: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、CO、NO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2.5</w:t>
      </w:r>
      <w:r>
        <w:rPr>
          <w:rFonts w:hint="default" w:ascii="Times New Roman" w:hAnsi="Times New Roman" w:eastAsia="宋体" w:cs="Times New Roman"/>
          <w:color w:val="auto"/>
          <w:kern w:val="2"/>
          <w:sz w:val="24"/>
          <w:szCs w:val="24"/>
          <w:highlight w:val="none"/>
          <w:lang w:val="en-US" w:eastAsia="zh-CN" w:bidi="ar-SA"/>
        </w:rPr>
        <w:t>年均值均满足《环境空气质量标准》（GB3095-2012）二级标准要求，O</w:t>
      </w:r>
      <w:r>
        <w:rPr>
          <w:rFonts w:hint="default" w:ascii="Times New Roman" w:hAnsi="Times New Roman" w:eastAsia="宋体" w:cs="Times New Roman"/>
          <w:color w:val="auto"/>
          <w:kern w:val="2"/>
          <w:sz w:val="24"/>
          <w:szCs w:val="24"/>
          <w:highlight w:val="none"/>
          <w:vertAlign w:val="sub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年均值无法满足《环境空气质量标准》（GB3095-2012）二级标准要求，评估区域大气环境质量属于不达标区。</w:t>
      </w:r>
      <w:bookmarkStart w:id="2322" w:name="sys1475013867"/>
      <w:r>
        <w:rPr>
          <w:rFonts w:hint="default" w:ascii="Times New Roman" w:hAnsi="Times New Roman" w:eastAsia="宋体" w:cs="Times New Roman"/>
          <w:color w:val="auto"/>
          <w:kern w:val="2"/>
          <w:sz w:val="24"/>
          <w:szCs w:val="24"/>
          <w:highlight w:val="none"/>
          <w:lang w:val="en-US" w:eastAsia="zh-CN" w:bidi="ar-SA"/>
        </w:rPr>
        <w:t>同时大气监测结果表明，各个大气环境质量监测点</w:t>
      </w:r>
      <w:r>
        <w:rPr>
          <w:rFonts w:hint="default" w:ascii="Times New Roman" w:hAnsi="Times New Roman" w:eastAsia="宋体" w:cs="Times New Roman"/>
          <w:color w:val="auto"/>
          <w:spacing w:val="-1"/>
          <w:sz w:val="24"/>
          <w:szCs w:val="24"/>
          <w:highlight w:val="none"/>
        </w:rPr>
        <w:t>NO</w:t>
      </w:r>
      <w:r>
        <w:rPr>
          <w:rFonts w:hint="eastAsia" w:ascii="Times New Roman" w:hAnsi="Times New Roman" w:eastAsia="宋体" w:cs="Times New Roman"/>
          <w:color w:val="auto"/>
          <w:spacing w:val="-1"/>
          <w:sz w:val="24"/>
          <w:szCs w:val="24"/>
          <w:highlight w:val="none"/>
          <w:vertAlign w:val="subscript"/>
          <w:lang w:val="en-US" w:eastAsia="zh-CN"/>
        </w:rPr>
        <w:t>x</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1"/>
          <w:sz w:val="24"/>
          <w:szCs w:val="24"/>
          <w:highlight w:val="none"/>
          <w:lang w:val="en-US" w:eastAsia="zh-CN"/>
        </w:rPr>
        <w:t>TSP、</w:t>
      </w:r>
      <w:r>
        <w:rPr>
          <w:rFonts w:hint="default" w:ascii="Times New Roman" w:hAnsi="Times New Roman" w:eastAsia="宋体" w:cs="Times New Roman"/>
          <w:color w:val="auto"/>
          <w:spacing w:val="-1"/>
          <w:sz w:val="24"/>
          <w:szCs w:val="24"/>
          <w:highlight w:val="none"/>
        </w:rPr>
        <w:t>氟化物</w:t>
      </w:r>
      <w:r>
        <w:rPr>
          <w:rFonts w:hint="eastAsia" w:ascii="Times New Roman" w:hAnsi="Times New Roman" w:eastAsia="宋体" w:cs="Times New Roman"/>
          <w:color w:val="auto"/>
          <w:spacing w:val="-1"/>
          <w:sz w:val="24"/>
          <w:szCs w:val="24"/>
          <w:highlight w:val="none"/>
          <w:lang w:val="en-US" w:eastAsia="zh-CN"/>
        </w:rPr>
        <w:t>浓度符合</w:t>
      </w:r>
      <w:r>
        <w:rPr>
          <w:rFonts w:hint="default" w:ascii="Times New Roman" w:hAnsi="Times New Roman" w:eastAsia="宋体" w:cs="Times New Roman"/>
          <w:color w:val="auto"/>
          <w:spacing w:val="-1"/>
          <w:sz w:val="24"/>
          <w:szCs w:val="24"/>
          <w:highlight w:val="none"/>
        </w:rPr>
        <w:t>《环境空气质量标准》（GB3095-2012）二级标准</w:t>
      </w:r>
      <w:r>
        <w:rPr>
          <w:rFonts w:hint="eastAsia" w:ascii="Times New Roman" w:hAnsi="Times New Roman" w:eastAsia="宋体" w:cs="Times New Roman"/>
          <w:color w:val="auto"/>
          <w:spacing w:val="-1"/>
          <w:sz w:val="24"/>
          <w:szCs w:val="24"/>
          <w:highlight w:val="none"/>
          <w:lang w:val="en-US" w:eastAsia="zh-CN"/>
        </w:rPr>
        <w:t>要求</w:t>
      </w:r>
      <w:r>
        <w:rPr>
          <w:rFonts w:hint="default" w:ascii="Times New Roman" w:hAnsi="Times New Roman" w:eastAsia="宋体" w:cs="Times New Roman"/>
          <w:color w:val="auto"/>
          <w:spacing w:val="-1"/>
          <w:sz w:val="24"/>
          <w:szCs w:val="24"/>
          <w:highlight w:val="none"/>
        </w:rPr>
        <w:t>；</w:t>
      </w:r>
      <w:bookmarkEnd w:id="2322"/>
      <w:bookmarkStart w:id="2323" w:name="sys1475020566"/>
      <w:r>
        <w:rPr>
          <w:rFonts w:hint="default" w:ascii="Times New Roman" w:hAnsi="Times New Roman" w:eastAsia="宋体" w:cs="Times New Roman"/>
          <w:color w:val="auto"/>
          <w:spacing w:val="-1"/>
          <w:sz w:val="24"/>
          <w:szCs w:val="24"/>
          <w:highlight w:val="none"/>
        </w:rPr>
        <w:t>氨、</w:t>
      </w:r>
      <w:r>
        <w:rPr>
          <w:rFonts w:hint="eastAsia" w:ascii="Times New Roman" w:hAnsi="Times New Roman" w:eastAsia="宋体" w:cs="Times New Roman"/>
          <w:color w:val="auto"/>
          <w:spacing w:val="-1"/>
          <w:sz w:val="24"/>
          <w:szCs w:val="24"/>
          <w:highlight w:val="none"/>
          <w:lang w:val="en-US" w:eastAsia="zh-CN"/>
        </w:rPr>
        <w:t>苯</w:t>
      </w:r>
      <w:r>
        <w:rPr>
          <w:rFonts w:hint="default" w:ascii="Times New Roman" w:hAnsi="Times New Roman" w:eastAsia="宋体" w:cs="Times New Roman"/>
          <w:color w:val="auto"/>
          <w:spacing w:val="-1"/>
          <w:sz w:val="24"/>
          <w:szCs w:val="24"/>
          <w:highlight w:val="none"/>
        </w:rPr>
        <w:t>、</w:t>
      </w:r>
      <w:r>
        <w:rPr>
          <w:rFonts w:hint="eastAsia" w:ascii="Times New Roman" w:hAnsi="Times New Roman" w:eastAsia="宋体" w:cs="Times New Roman"/>
          <w:color w:val="auto"/>
          <w:spacing w:val="-1"/>
          <w:sz w:val="24"/>
          <w:szCs w:val="24"/>
          <w:highlight w:val="none"/>
          <w:lang w:val="en-US" w:eastAsia="zh-CN"/>
        </w:rPr>
        <w:t>硫酸</w:t>
      </w:r>
      <w:sdt>
        <w:sdtPr>
          <w:rPr>
            <w:color w:val="auto"/>
            <w:highlight w:val="none"/>
          </w:rPr>
          <w:alias w:val="易错词检查"/>
          <w:tag w:val="auto"/>
          <w:id w:val="101853"/>
        </w:sdtPr>
        <w:sdtEndPr>
          <w:rPr>
            <w:color w:val="auto"/>
            <w:highlight w:val="none"/>
          </w:rPr>
        </w:sdtEndPr>
        <w:sdtContent>
          <w:bookmarkStart w:id="2324" w:name="bkReivew101853"/>
          <w:r>
            <w:rPr>
              <w:rFonts w:hint="eastAsia" w:ascii="Times New Roman" w:hAnsi="Times New Roman" w:eastAsia="宋体" w:cs="Times New Roman"/>
              <w:color w:val="auto"/>
              <w:spacing w:val="-1"/>
              <w:sz w:val="24"/>
              <w:szCs w:val="24"/>
              <w:highlight w:val="none"/>
              <w:lang w:val="en-US" w:eastAsia="zh-CN"/>
            </w:rPr>
            <w:t>雾</w:t>
          </w:r>
          <w:bookmarkEnd w:id="2324"/>
        </w:sdtContent>
      </w:sdt>
      <w:r>
        <w:rPr>
          <w:rFonts w:hint="eastAsia" w:ascii="Times New Roman" w:hAnsi="Times New Roman" w:eastAsia="宋体" w:cs="Times New Roman"/>
          <w:color w:val="auto"/>
          <w:spacing w:val="-1"/>
          <w:sz w:val="24"/>
          <w:szCs w:val="24"/>
          <w:highlight w:val="none"/>
          <w:lang w:val="en-US" w:eastAsia="zh-CN"/>
        </w:rPr>
        <w:t>、</w:t>
      </w:r>
      <w:r>
        <w:rPr>
          <w:rFonts w:hint="default" w:ascii="Times New Roman" w:hAnsi="Times New Roman" w:eastAsia="宋体" w:cs="Times New Roman"/>
          <w:color w:val="auto"/>
          <w:spacing w:val="-1"/>
          <w:sz w:val="24"/>
          <w:szCs w:val="24"/>
          <w:highlight w:val="none"/>
        </w:rPr>
        <w:t>氯化氢、硫化氢</w:t>
      </w:r>
      <w:r>
        <w:rPr>
          <w:rFonts w:hint="eastAsia" w:ascii="Times New Roman" w:hAnsi="Times New Roman" w:eastAsia="宋体" w:cs="Times New Roman"/>
          <w:color w:val="auto"/>
          <w:spacing w:val="-1"/>
          <w:sz w:val="24"/>
          <w:szCs w:val="24"/>
          <w:highlight w:val="none"/>
          <w:lang w:val="en-US" w:eastAsia="zh-CN"/>
        </w:rPr>
        <w:t>浓度符合</w:t>
      </w:r>
      <w:r>
        <w:rPr>
          <w:rFonts w:hint="default" w:ascii="Times New Roman" w:hAnsi="Times New Roman" w:eastAsia="宋体" w:cs="Times New Roman"/>
          <w:color w:val="auto"/>
          <w:spacing w:val="-1"/>
          <w:sz w:val="24"/>
          <w:szCs w:val="24"/>
          <w:highlight w:val="none"/>
        </w:rPr>
        <w:t>《环境影响评价技术导则 大气环境》（HJ2.2</w:t>
      </w:r>
      <w:r>
        <w:rPr>
          <w:rFonts w:hint="eastAsia" w:ascii="Times New Roman" w:hAnsi="Times New Roman" w:eastAsia="宋体" w:cs="Times New Roman"/>
          <w:color w:val="auto"/>
          <w:spacing w:val="-1"/>
          <w:sz w:val="24"/>
          <w:szCs w:val="24"/>
          <w:highlight w:val="none"/>
          <w:lang w:val="en-US" w:eastAsia="zh-CN"/>
        </w:rPr>
        <w:t>-</w:t>
      </w:r>
      <w:r>
        <w:rPr>
          <w:rFonts w:hint="default" w:ascii="Times New Roman" w:hAnsi="Times New Roman" w:eastAsia="宋体" w:cs="Times New Roman"/>
          <w:color w:val="auto"/>
          <w:spacing w:val="-1"/>
          <w:sz w:val="24"/>
          <w:szCs w:val="24"/>
          <w:highlight w:val="none"/>
        </w:rPr>
        <w:t>2018）附录D 其他污染物空气质量浓度限值；</w:t>
      </w:r>
      <w:bookmarkEnd w:id="2323"/>
      <w:bookmarkStart w:id="2325" w:name="sys1475027135"/>
      <w:r>
        <w:rPr>
          <w:rFonts w:hint="default" w:ascii="Times New Roman" w:hAnsi="Times New Roman" w:eastAsia="宋体" w:cs="Times New Roman"/>
          <w:color w:val="auto"/>
          <w:spacing w:val="-1"/>
          <w:sz w:val="24"/>
          <w:szCs w:val="24"/>
          <w:highlight w:val="none"/>
        </w:rPr>
        <w:t>非甲烷总烃</w:t>
      </w:r>
      <w:r>
        <w:rPr>
          <w:rFonts w:hint="eastAsia" w:ascii="Times New Roman" w:hAnsi="Times New Roman" w:eastAsia="宋体" w:cs="Times New Roman"/>
          <w:color w:val="auto"/>
          <w:spacing w:val="-1"/>
          <w:sz w:val="24"/>
          <w:szCs w:val="24"/>
          <w:highlight w:val="none"/>
          <w:lang w:val="en-US" w:eastAsia="zh-CN"/>
        </w:rPr>
        <w:t>浓度符合</w:t>
      </w:r>
      <w:r>
        <w:rPr>
          <w:rFonts w:hint="default" w:ascii="Times New Roman" w:hAnsi="Times New Roman" w:eastAsia="宋体" w:cs="Times New Roman"/>
          <w:color w:val="auto"/>
          <w:spacing w:val="-1"/>
          <w:sz w:val="24"/>
          <w:szCs w:val="24"/>
          <w:highlight w:val="none"/>
        </w:rPr>
        <w:t>《大气污染物综合排放标准详解》中的环境质量标准</w:t>
      </w:r>
      <w:r>
        <w:rPr>
          <w:rFonts w:hint="eastAsia" w:ascii="Times New Roman" w:hAnsi="Times New Roman" w:eastAsia="宋体" w:cs="Times New Roman"/>
          <w:color w:val="auto"/>
          <w:spacing w:val="-1"/>
          <w:sz w:val="24"/>
          <w:szCs w:val="24"/>
          <w:highlight w:val="none"/>
          <w:lang w:val="en-US" w:eastAsia="zh-CN"/>
        </w:rPr>
        <w:t>限值</w:t>
      </w:r>
      <w:r>
        <w:rPr>
          <w:rFonts w:hint="eastAsia" w:ascii="Times New Roman" w:hAnsi="Times New Roman" w:eastAsia="宋体" w:cs="Times New Roman"/>
          <w:color w:val="auto"/>
          <w:spacing w:val="-1"/>
          <w:sz w:val="24"/>
          <w:szCs w:val="24"/>
          <w:highlight w:val="none"/>
          <w:lang w:eastAsia="zh-CN"/>
        </w:rPr>
        <w:t>。</w:t>
      </w:r>
      <w:bookmarkEnd w:id="2325"/>
    </w:p>
    <w:p w14:paraId="47063DB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地表水环境</w:t>
      </w:r>
      <w:bookmarkStart w:id="2326" w:name="pindex14751"/>
      <w:bookmarkEnd w:id="2326"/>
    </w:p>
    <w:p w14:paraId="03D52A9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2327" w:name="sys147520182"/>
      <w:r>
        <w:rPr>
          <w:rFonts w:hint="default" w:ascii="Times New Roman" w:hAnsi="Times New Roman" w:eastAsia="宋体" w:cs="Times New Roman"/>
          <w:color w:val="auto"/>
          <w:sz w:val="24"/>
          <w:szCs w:val="24"/>
          <w:highlight w:val="none"/>
        </w:rPr>
        <w:t>根据地表水环境质量现状监测结果可知，</w:t>
      </w:r>
      <w:r>
        <w:rPr>
          <w:rFonts w:hint="default" w:ascii="Times New Roman" w:hAnsi="Times New Roman" w:eastAsia="宋体" w:cs="Times New Roman"/>
          <w:color w:val="auto"/>
          <w:sz w:val="24"/>
          <w:szCs w:val="24"/>
          <w:highlight w:val="none"/>
          <w:lang w:val="en-US" w:eastAsia="zh-CN"/>
        </w:rPr>
        <w:t>秦淮河（牛首山河河口-江宁上坊门桥段）、胜利河、百家湖、九龙湖</w:t>
      </w:r>
      <w:r>
        <w:rPr>
          <w:rFonts w:hint="default" w:ascii="Times New Roman" w:hAnsi="Times New Roman" w:eastAsia="宋体" w:cs="Times New Roman"/>
          <w:color w:val="auto"/>
          <w:sz w:val="24"/>
          <w:szCs w:val="24"/>
          <w:highlight w:val="none"/>
        </w:rPr>
        <w:t>监测断面水质监测因子均能满足《地表水环境质量标准》（GB3838-2002）中Ⅳ类水质标准，</w:t>
      </w:r>
      <w:r>
        <w:rPr>
          <w:rFonts w:hint="eastAsia" w:ascii="Times New Roman" w:hAnsi="Times New Roman" w:eastAsia="宋体" w:cs="Times New Roman"/>
          <w:color w:val="auto"/>
          <w:kern w:val="0"/>
          <w:sz w:val="24"/>
          <w:szCs w:val="20"/>
          <w:highlight w:val="none"/>
          <w:lang w:val="en-US" w:eastAsia="zh-CN"/>
        </w:rPr>
        <w:t>秦淮河（云台山河河口-牛首山河口）、牛首山河、秦淮新河、云台山河、</w:t>
      </w:r>
      <w:r>
        <w:rPr>
          <w:rFonts w:hint="eastAsia" w:ascii="Times New Roman" w:hAnsi="Times New Roman" w:eastAsia="宋体" w:cs="Times New Roman"/>
          <w:color w:val="auto"/>
          <w:sz w:val="24"/>
          <w:szCs w:val="24"/>
          <w:highlight w:val="none"/>
          <w:lang w:val="en-US" w:eastAsia="zh-CN"/>
        </w:rPr>
        <w:t>句容河、风波坟水库、谷里水库</w:t>
      </w:r>
      <w:r>
        <w:rPr>
          <w:rFonts w:hint="default" w:ascii="Times New Roman" w:hAnsi="Times New Roman" w:eastAsia="宋体" w:cs="Times New Roman"/>
          <w:color w:val="auto"/>
          <w:sz w:val="24"/>
          <w:szCs w:val="24"/>
          <w:highlight w:val="none"/>
        </w:rPr>
        <w:t>水质监测断面满足《地表水环境质量标准》（GB3838-2002）中</w:t>
      </w:r>
      <w:r>
        <w:rPr>
          <w:rFonts w:hint="default" w:ascii="Times New Roman" w:hAnsi="Times New Roman" w:eastAsia="宋体" w:cs="Times New Roman"/>
          <w:color w:val="auto"/>
          <w:kern w:val="0"/>
          <w:sz w:val="24"/>
          <w:szCs w:val="20"/>
          <w:highlight w:val="none"/>
        </w:rPr>
        <w:t>Ⅲ</w:t>
      </w:r>
      <w:r>
        <w:rPr>
          <w:rFonts w:hint="default" w:ascii="Times New Roman" w:hAnsi="Times New Roman" w:eastAsia="宋体" w:cs="Times New Roman"/>
          <w:color w:val="auto"/>
          <w:sz w:val="24"/>
          <w:szCs w:val="24"/>
          <w:highlight w:val="none"/>
        </w:rPr>
        <w:t>类水质标准。</w:t>
      </w:r>
      <w:bookmarkEnd w:id="2327"/>
    </w:p>
    <w:p w14:paraId="7CC7D20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color w:val="auto"/>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声环境</w:t>
      </w:r>
      <w:bookmarkStart w:id="2328" w:name="pindex14753"/>
      <w:bookmarkEnd w:id="2328"/>
    </w:p>
    <w:p w14:paraId="44BC9ED6">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b w:val="0"/>
          <w:bCs w:val="0"/>
          <w:color w:val="auto"/>
          <w:sz w:val="24"/>
          <w:szCs w:val="24"/>
          <w:highlight w:val="none"/>
        </w:rPr>
      </w:pPr>
      <w:bookmarkStart w:id="2329" w:name="sys14754073"/>
      <w:r>
        <w:rPr>
          <w:rFonts w:hint="default" w:ascii="Times New Roman" w:hAnsi="Times New Roman" w:eastAsia="宋体" w:cs="Times New Roman"/>
          <w:b w:val="0"/>
          <w:bCs w:val="0"/>
          <w:color w:val="auto"/>
          <w:sz w:val="24"/>
          <w:szCs w:val="24"/>
          <w:highlight w:val="none"/>
        </w:rPr>
        <w:t>根据噪声环境质量现状监测结果，江宁经济技术开发区噪声均达到《声环境质量标准》（GB3096-2008）中</w:t>
      </w:r>
      <w:r>
        <w:rPr>
          <w:rFonts w:hint="eastAsia" w:ascii="Times New Roman" w:hAnsi="Times New Roman" w:eastAsia="宋体" w:cs="Times New Roman"/>
          <w:b w:val="0"/>
          <w:bCs w:val="0"/>
          <w:color w:val="auto"/>
          <w:sz w:val="24"/>
          <w:szCs w:val="24"/>
          <w:highlight w:val="none"/>
          <w:lang w:eastAsia="zh-CN"/>
        </w:rPr>
        <w:t>的</w:t>
      </w:r>
      <w:r>
        <w:rPr>
          <w:rFonts w:hint="default" w:ascii="Times New Roman" w:hAnsi="Times New Roman" w:eastAsia="宋体" w:cs="Times New Roman"/>
          <w:b w:val="0"/>
          <w:bCs w:val="0"/>
          <w:color w:val="auto"/>
          <w:sz w:val="24"/>
          <w:szCs w:val="24"/>
          <w:highlight w:val="none"/>
        </w:rPr>
        <w:t>相应标准，项目所在地声环境质量现状良好。</w:t>
      </w:r>
      <w:bookmarkEnd w:id="2329"/>
    </w:p>
    <w:p w14:paraId="33F3AD3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地下水环境</w:t>
      </w:r>
      <w:bookmarkStart w:id="2330" w:name="pindex14755"/>
      <w:bookmarkEnd w:id="2330"/>
    </w:p>
    <w:p w14:paraId="5B749AC3">
      <w:pPr>
        <w:keepNext w:val="0"/>
        <w:keepLines w:val="0"/>
        <w:pageBreakBefore w:val="0"/>
        <w:widowControl/>
        <w:numPr>
          <w:ilvl w:val="0"/>
          <w:numId w:val="0"/>
        </w:numPr>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b w:val="0"/>
          <w:bCs w:val="0"/>
          <w:color w:val="auto"/>
          <w:sz w:val="24"/>
          <w:szCs w:val="24"/>
          <w:highlight w:val="none"/>
        </w:rPr>
      </w:pPr>
      <w:bookmarkStart w:id="2331" w:name="sys147560112"/>
      <w:r>
        <w:rPr>
          <w:rFonts w:hint="default" w:ascii="Times New Roman" w:hAnsi="Times New Roman" w:eastAsia="宋体" w:cs="Times New Roman"/>
          <w:b w:val="0"/>
          <w:bCs w:val="0"/>
          <w:color w:val="auto"/>
          <w:sz w:val="24"/>
          <w:szCs w:val="24"/>
          <w:highlight w:val="none"/>
        </w:rPr>
        <w:t>根据地下水环境质量现状监测结果可知，所测地下水监测点</w:t>
      </w:r>
      <w:r>
        <w:rPr>
          <w:rFonts w:ascii="Times New Roman" w:hAnsi="Times New Roman" w:eastAsia="宋体" w:cs="Times New Roman"/>
          <w:color w:val="auto"/>
          <w:sz w:val="24"/>
          <w:szCs w:val="24"/>
          <w:highlight w:val="none"/>
        </w:rPr>
        <w:t>pH值、</w:t>
      </w:r>
      <w:r>
        <w:rPr>
          <w:rFonts w:hint="eastAsia" w:ascii="Times New Roman" w:hAnsi="Times New Roman" w:eastAsia="宋体" w:cs="Times New Roman"/>
          <w:color w:val="auto"/>
          <w:sz w:val="24"/>
          <w:szCs w:val="24"/>
          <w:highlight w:val="none"/>
          <w:lang w:val="en-US" w:eastAsia="zh-CN"/>
        </w:rPr>
        <w:t>钠、硝酸盐氮离子、</w:t>
      </w:r>
      <w:r>
        <w:rPr>
          <w:rFonts w:hint="default" w:ascii="Times New Roman" w:hAnsi="Times New Roman" w:eastAsia="宋体" w:cs="Times New Roman"/>
          <w:color w:val="auto"/>
          <w:sz w:val="24"/>
          <w:szCs w:val="24"/>
          <w:highlight w:val="none"/>
        </w:rPr>
        <w:t>亚硝酸盐氮离子</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挥发酚</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氰化物</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sz w:val="24"/>
          <w:szCs w:val="24"/>
          <w:highlight w:val="none"/>
        </w:rPr>
        <w:t>砷</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六价铬</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sz w:val="24"/>
          <w:szCs w:val="24"/>
          <w:highlight w:val="none"/>
        </w:rPr>
        <w:t>铅</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氟化物</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铁</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锰</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耗氧量</w:t>
      </w:r>
      <w:r>
        <w:rPr>
          <w:rFonts w:ascii="Times New Roman" w:hAnsi="Times New Roman" w:eastAsia="宋体" w:cs="Times New Roman"/>
          <w:color w:val="auto"/>
          <w:sz w:val="24"/>
          <w:szCs w:val="24"/>
          <w:highlight w:val="none"/>
        </w:rPr>
        <w:t>等因子满足《地下水质量标准》（GB/T 14848-2017）I类水质要求；</w:t>
      </w:r>
      <w:bookmarkEnd w:id="2331"/>
      <w:bookmarkStart w:id="2332" w:name="sys1475611251"/>
      <w:r>
        <w:rPr>
          <w:rFonts w:hint="default" w:ascii="Times New Roman" w:hAnsi="Times New Roman" w:eastAsia="宋体" w:cs="Times New Roman"/>
          <w:color w:val="auto"/>
          <w:sz w:val="24"/>
          <w:szCs w:val="24"/>
          <w:highlight w:val="none"/>
        </w:rPr>
        <w:t>氯离子</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氯化物</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氨氮</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镉铁</w:t>
      </w:r>
      <w:r>
        <w:rPr>
          <w:rFonts w:ascii="Times New Roman" w:hAnsi="Times New Roman" w:eastAsia="宋体" w:cs="Times New Roman"/>
          <w:color w:val="auto"/>
          <w:sz w:val="24"/>
          <w:szCs w:val="24"/>
          <w:highlight w:val="none"/>
        </w:rPr>
        <w:t>等因子满足《地下水质量标准》（GB/T 14848-2017）</w:t>
      </w:r>
      <w:r>
        <w:rPr>
          <w:rFonts w:hint="default" w:ascii="Times New Roman" w:hAnsi="Times New Roman" w:eastAsia="宋体" w:cs="Times New Roman"/>
          <w:color w:val="auto"/>
          <w:sz w:val="24"/>
          <w:szCs w:val="24"/>
          <w:highlight w:val="none"/>
          <w:lang w:eastAsia="zh-CN"/>
        </w:rPr>
        <w:t>Ⅱ</w:t>
      </w:r>
      <w:r>
        <w:rPr>
          <w:rFonts w:ascii="Times New Roman" w:hAnsi="Times New Roman" w:eastAsia="宋体" w:cs="Times New Roman"/>
          <w:color w:val="auto"/>
          <w:sz w:val="24"/>
          <w:szCs w:val="24"/>
          <w:highlight w:val="none"/>
        </w:rPr>
        <w:t>类水质要求；</w:t>
      </w:r>
      <w:bookmarkEnd w:id="2332"/>
      <w:bookmarkStart w:id="2333" w:name="sys1475616361"/>
      <w:r>
        <w:rPr>
          <w:rFonts w:hint="default" w:ascii="Times New Roman" w:hAnsi="Times New Roman" w:eastAsia="宋体" w:cs="Times New Roman"/>
          <w:color w:val="auto"/>
          <w:sz w:val="24"/>
          <w:szCs w:val="24"/>
          <w:highlight w:val="none"/>
        </w:rPr>
        <w:t>硫酸根离子</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硫酸盐</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汞</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总硬度</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i w:val="0"/>
          <w:iCs w:val="0"/>
          <w:color w:val="auto"/>
          <w:kern w:val="0"/>
          <w:sz w:val="24"/>
          <w:szCs w:val="24"/>
          <w:highlight w:val="none"/>
          <w:u w:val="none"/>
          <w:lang w:val="en-US" w:eastAsia="zh-CN" w:bidi="ar"/>
        </w:rPr>
        <w:t>溶解性固体总量</w:t>
      </w:r>
      <w:r>
        <w:rPr>
          <w:rFonts w:ascii="Times New Roman" w:hAnsi="Times New Roman" w:eastAsia="宋体" w:cs="Times New Roman"/>
          <w:color w:val="auto"/>
          <w:sz w:val="24"/>
          <w:szCs w:val="24"/>
          <w:highlight w:val="none"/>
        </w:rPr>
        <w:t>等因子满足《地下水质量标准》（GB/T 14848-2017）</w:t>
      </w:r>
      <w:r>
        <w:rPr>
          <w:rFonts w:hint="default" w:ascii="Times New Roman" w:hAnsi="Times New Roman" w:eastAsia="宋体" w:cs="Times New Roman"/>
          <w:color w:val="auto"/>
          <w:sz w:val="24"/>
          <w:szCs w:val="24"/>
          <w:highlight w:val="none"/>
          <w:lang w:eastAsia="zh-CN"/>
        </w:rPr>
        <w:t>Ⅲ</w:t>
      </w:r>
      <w:r>
        <w:rPr>
          <w:rFonts w:ascii="Times New Roman" w:hAnsi="Times New Roman" w:eastAsia="宋体" w:cs="Times New Roman"/>
          <w:color w:val="auto"/>
          <w:sz w:val="24"/>
          <w:szCs w:val="24"/>
          <w:highlight w:val="none"/>
        </w:rPr>
        <w:t>类水质要求；</w:t>
      </w:r>
      <w:bookmarkEnd w:id="2333"/>
      <w:bookmarkStart w:id="2334" w:name="sys1475622442"/>
      <w:r>
        <w:rPr>
          <w:rFonts w:hint="default" w:ascii="Times New Roman" w:hAnsi="Times New Roman" w:eastAsia="宋体" w:cs="Times New Roman"/>
          <w:color w:val="auto"/>
          <w:sz w:val="24"/>
          <w:szCs w:val="24"/>
          <w:highlight w:val="none"/>
        </w:rPr>
        <w:t>细菌总数</w:t>
      </w:r>
      <w:r>
        <w:rPr>
          <w:rFonts w:ascii="Times New Roman" w:hAnsi="Times New Roman" w:eastAsia="宋体" w:cs="Times New Roman"/>
          <w:color w:val="auto"/>
          <w:sz w:val="24"/>
          <w:szCs w:val="24"/>
          <w:highlight w:val="none"/>
        </w:rPr>
        <w:t>等因子满足《地下水质量标准》（GB/T 14848-2017）Ⅳ类水质要求</w:t>
      </w:r>
      <w:r>
        <w:rPr>
          <w:rFonts w:hint="eastAsia" w:ascii="Times New Roman" w:hAnsi="Times New Roman" w:eastAsia="宋体" w:cs="Times New Roman"/>
          <w:color w:val="auto"/>
          <w:sz w:val="24"/>
          <w:szCs w:val="24"/>
          <w:highlight w:val="none"/>
          <w:lang w:eastAsia="zh-CN"/>
        </w:rPr>
        <w:t>；</w:t>
      </w:r>
      <w:bookmarkEnd w:id="2334"/>
      <w:bookmarkStart w:id="2335" w:name="sys1475626640"/>
      <w:r>
        <w:rPr>
          <w:rFonts w:hint="eastAsia" w:ascii="Times New Roman" w:hAnsi="Times New Roman" w:eastAsia="宋体" w:cs="Times New Roman"/>
          <w:color w:val="auto"/>
          <w:sz w:val="24"/>
          <w:szCs w:val="24"/>
          <w:highlight w:val="none"/>
          <w:lang w:eastAsia="zh-CN"/>
        </w:rPr>
        <w:t>总大肠菌群</w:t>
      </w:r>
      <w:r>
        <w:rPr>
          <w:rFonts w:ascii="Times New Roman" w:hAnsi="Times New Roman" w:eastAsia="宋体" w:cs="Times New Roman"/>
          <w:color w:val="auto"/>
          <w:sz w:val="24"/>
          <w:szCs w:val="24"/>
          <w:highlight w:val="none"/>
        </w:rPr>
        <w:t>满足《地下水质量标准》（GB/T 14848-2017）</w:t>
      </w:r>
      <w:r>
        <w:rPr>
          <w:rFonts w:hint="default" w:ascii="Times New Roman" w:hAnsi="Times New Roman" w:eastAsia="宋体" w:cs="Times New Roman"/>
          <w:color w:val="auto"/>
          <w:sz w:val="24"/>
          <w:szCs w:val="24"/>
          <w:highlight w:val="none"/>
          <w:lang w:val="en-US" w:eastAsia="zh-CN"/>
        </w:rPr>
        <w:t>Ⅴ</w:t>
      </w:r>
      <w:r>
        <w:rPr>
          <w:rFonts w:ascii="Times New Roman" w:hAnsi="Times New Roman" w:eastAsia="宋体" w:cs="Times New Roman"/>
          <w:color w:val="auto"/>
          <w:sz w:val="24"/>
          <w:szCs w:val="24"/>
          <w:highlight w:val="none"/>
        </w:rPr>
        <w:t>类水质要求</w:t>
      </w:r>
      <w:r>
        <w:rPr>
          <w:rFonts w:hint="default" w:ascii="Times New Roman" w:hAnsi="Times New Roman" w:eastAsia="宋体" w:cs="Times New Roman"/>
          <w:b w:val="0"/>
          <w:bCs w:val="0"/>
          <w:color w:val="auto"/>
          <w:sz w:val="24"/>
          <w:szCs w:val="24"/>
          <w:highlight w:val="none"/>
        </w:rPr>
        <w:t>。</w:t>
      </w:r>
      <w:bookmarkEnd w:id="2335"/>
    </w:p>
    <w:p w14:paraId="67D2CE9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color w:val="auto"/>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土壤环境</w:t>
      </w:r>
      <w:bookmarkStart w:id="2336" w:name="pindex14757"/>
      <w:bookmarkEnd w:id="2336"/>
    </w:p>
    <w:p w14:paraId="2DCD7B1B">
      <w:pPr>
        <w:keepNext w:val="0"/>
        <w:keepLines w:val="0"/>
        <w:pageBreakBefore w:val="0"/>
        <w:widowControl/>
        <w:numPr>
          <w:ilvl w:val="0"/>
          <w:numId w:val="0"/>
        </w:numPr>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b w:val="0"/>
          <w:bCs w:val="0"/>
          <w:color w:val="auto"/>
          <w:sz w:val="24"/>
          <w:szCs w:val="24"/>
          <w:highlight w:val="none"/>
        </w:rPr>
      </w:pPr>
      <w:bookmarkStart w:id="2337" w:name="sys147580107"/>
      <w:r>
        <w:rPr>
          <w:rFonts w:hint="default" w:ascii="Times New Roman" w:hAnsi="Times New Roman" w:eastAsia="宋体" w:cs="Times New Roman"/>
          <w:b w:val="0"/>
          <w:bCs w:val="0"/>
          <w:color w:val="auto"/>
          <w:sz w:val="24"/>
          <w:szCs w:val="24"/>
          <w:highlight w:val="none"/>
        </w:rPr>
        <w:t>根据土壤环境质量现状监测结果可知，土壤中各指标均低于评价标准，符合国家《土壤环境质量</w:t>
      </w:r>
      <w:r>
        <w:rPr>
          <w:rFonts w:hint="eastAsia"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rPr>
        <w:t>建设用地土壤污染风险管控标准》（试行）（GB36600-2018）中的一类用地标准和二类用地标准，表明区内土壤环境质量现状较好。</w:t>
      </w:r>
      <w:bookmarkEnd w:id="2337"/>
    </w:p>
    <w:p w14:paraId="1AB49876">
      <w:pPr>
        <w:keepNext w:val="0"/>
        <w:keepLines w:val="0"/>
        <w:pageBreakBefore w:val="0"/>
        <w:widowControl/>
        <w:numPr>
          <w:ilvl w:val="0"/>
          <w:numId w:val="0"/>
        </w:numPr>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b w:val="0"/>
          <w:bCs w:val="0"/>
          <w:color w:val="auto"/>
          <w:sz w:val="24"/>
          <w:szCs w:val="24"/>
          <w:highlight w:val="none"/>
        </w:rPr>
      </w:pPr>
      <w:bookmarkStart w:id="2338" w:name="sys14759079"/>
      <w:r>
        <w:rPr>
          <w:rFonts w:hint="eastAsia" w:ascii="Times New Roman" w:hAnsi="Times New Roman" w:eastAsia="宋体" w:cs="Times New Roman"/>
          <w:b w:val="0"/>
          <w:bCs w:val="0"/>
          <w:color w:val="auto"/>
          <w:sz w:val="24"/>
          <w:szCs w:val="24"/>
          <w:highlight w:val="none"/>
          <w:lang w:val="en-US" w:eastAsia="zh-CN"/>
        </w:rPr>
        <w:t>农用地及</w:t>
      </w:r>
      <w:r>
        <w:rPr>
          <w:rFonts w:hint="default" w:ascii="Times New Roman" w:hAnsi="Times New Roman" w:eastAsia="宋体" w:cs="Times New Roman"/>
          <w:b w:val="0"/>
          <w:bCs w:val="0"/>
          <w:color w:val="auto"/>
          <w:sz w:val="24"/>
          <w:szCs w:val="24"/>
          <w:highlight w:val="none"/>
        </w:rPr>
        <w:t>底泥中各指标均符合《土壤环境质量</w:t>
      </w:r>
      <w:r>
        <w:rPr>
          <w:rFonts w:hint="eastAsia"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rPr>
        <w:t>农用地土壤污染风险管控标准（试行）》（GB15618-2018）中风险筛选值，表明区内</w:t>
      </w:r>
      <w:r>
        <w:rPr>
          <w:rFonts w:hint="eastAsia" w:ascii="Times New Roman" w:hAnsi="Times New Roman" w:eastAsia="宋体" w:cs="Times New Roman"/>
          <w:b w:val="0"/>
          <w:bCs w:val="0"/>
          <w:color w:val="auto"/>
          <w:sz w:val="24"/>
          <w:szCs w:val="24"/>
          <w:highlight w:val="none"/>
          <w:lang w:val="en-US" w:eastAsia="zh-CN"/>
        </w:rPr>
        <w:t>农用地、</w:t>
      </w:r>
      <w:r>
        <w:rPr>
          <w:rFonts w:hint="default" w:ascii="Times New Roman" w:hAnsi="Times New Roman" w:eastAsia="宋体" w:cs="Times New Roman"/>
          <w:b w:val="0"/>
          <w:bCs w:val="0"/>
          <w:color w:val="auto"/>
          <w:sz w:val="24"/>
          <w:szCs w:val="24"/>
          <w:highlight w:val="none"/>
        </w:rPr>
        <w:t>底泥环境质量现状较好。</w:t>
      </w:r>
      <w:bookmarkEnd w:id="2338"/>
    </w:p>
    <w:bookmarkEnd w:id="2306"/>
    <w:bookmarkEnd w:id="2316"/>
    <w:p w14:paraId="3843063C">
      <w:pPr>
        <w:keepNext w:val="0"/>
        <w:keepLines w:val="0"/>
        <w:pageBreakBefore w:val="0"/>
        <w:widowControl/>
        <w:kinsoku w:val="0"/>
        <w:wordWrap/>
        <w:overflowPunct/>
        <w:topLinePunct w:val="0"/>
        <w:autoSpaceDE w:val="0"/>
        <w:autoSpaceDN w:val="0"/>
        <w:bidi w:val="0"/>
        <w:adjustRightInd w:val="0"/>
        <w:snapToGrid w:val="0"/>
        <w:spacing w:before="40" w:line="360" w:lineRule="auto"/>
        <w:ind w:left="37"/>
        <w:textAlignment w:val="baseline"/>
        <w:outlineLvl w:val="2"/>
        <w:rPr>
          <w:rFonts w:hint="eastAsia" w:ascii="宋体" w:hAnsi="宋体" w:eastAsia="宋体" w:cs="宋体"/>
          <w:b/>
          <w:bCs/>
          <w:color w:val="auto"/>
          <w:spacing w:val="-4"/>
          <w:sz w:val="24"/>
          <w:szCs w:val="24"/>
          <w:highlight w:val="none"/>
          <w:lang w:val="en-US" w:eastAsia="zh-CN"/>
        </w:rPr>
      </w:pPr>
      <w:bookmarkStart w:id="2339" w:name="_Toc5506"/>
      <w:r>
        <w:rPr>
          <w:rFonts w:hint="eastAsia" w:ascii="Times New Roman" w:hAnsi="Times New Roman" w:eastAsia="宋体" w:cs="Times New Roman"/>
          <w:b/>
          <w:bCs/>
          <w:color w:val="auto"/>
          <w:spacing w:val="-4"/>
          <w:sz w:val="24"/>
          <w:szCs w:val="24"/>
          <w:highlight w:val="none"/>
          <w:lang w:val="en-US" w:eastAsia="zh-CN"/>
        </w:rPr>
        <w:t>10.2</w:t>
      </w:r>
      <w:r>
        <w:rPr>
          <w:rFonts w:ascii="Times New Roman" w:hAnsi="Times New Roman" w:eastAsia="Times New Roman" w:cs="Times New Roman"/>
          <w:b/>
          <w:bCs/>
          <w:color w:val="auto"/>
          <w:spacing w:val="-4"/>
          <w:sz w:val="24"/>
          <w:szCs w:val="24"/>
          <w:highlight w:val="none"/>
        </w:rPr>
        <w:t>.</w:t>
      </w:r>
      <w:r>
        <w:rPr>
          <w:rFonts w:hint="eastAsia" w:ascii="Times New Roman" w:hAnsi="Times New Roman" w:eastAsia="宋体" w:cs="Times New Roman"/>
          <w:b/>
          <w:bCs/>
          <w:color w:val="auto"/>
          <w:spacing w:val="-4"/>
          <w:sz w:val="24"/>
          <w:szCs w:val="24"/>
          <w:highlight w:val="none"/>
          <w:lang w:val="en-US" w:eastAsia="zh-CN"/>
        </w:rPr>
        <w:t>2</w:t>
      </w:r>
      <w:r>
        <w:rPr>
          <w:rFonts w:hint="eastAsia" w:ascii="宋体" w:hAnsi="宋体" w:eastAsia="宋体" w:cs="宋体"/>
          <w:b/>
          <w:bCs/>
          <w:color w:val="auto"/>
          <w:spacing w:val="-4"/>
          <w:sz w:val="24"/>
          <w:szCs w:val="24"/>
          <w:highlight w:val="none"/>
          <w:lang w:val="en-US" w:eastAsia="zh-CN"/>
        </w:rPr>
        <w:t>环境质量标准要求</w:t>
      </w:r>
      <w:bookmarkEnd w:id="2339"/>
      <w:bookmarkStart w:id="2340" w:name="pindex14760"/>
      <w:bookmarkEnd w:id="2340"/>
    </w:p>
    <w:p w14:paraId="32D15836">
      <w:pPr>
        <w:spacing w:line="360" w:lineRule="auto"/>
        <w:ind w:firstLine="480" w:firstLineChars="200"/>
        <w:rPr>
          <w:rFonts w:hint="default" w:ascii="Times New Roman" w:hAnsi="Times New Roman" w:cs="Times New Roman"/>
          <w:color w:val="auto"/>
          <w:highlight w:val="none"/>
        </w:rPr>
      </w:pPr>
      <w:bookmarkStart w:id="2341" w:name="sys14761034"/>
      <w:r>
        <w:rPr>
          <w:rFonts w:hint="default" w:ascii="Times New Roman" w:hAnsi="Times New Roman" w:cs="Times New Roman"/>
          <w:color w:val="auto"/>
          <w:sz w:val="24"/>
          <w:szCs w:val="24"/>
          <w:highlight w:val="none"/>
        </w:rPr>
        <w:t>本次评价提出</w:t>
      </w:r>
      <w:r>
        <w:rPr>
          <w:rFonts w:hint="default" w:ascii="Times New Roman" w:hAnsi="Times New Roman" w:eastAsia="宋体" w:cs="Times New Roman"/>
          <w:color w:val="auto"/>
          <w:sz w:val="24"/>
          <w:szCs w:val="24"/>
          <w:highlight w:val="none"/>
          <w:lang w:val="en-US" w:eastAsia="zh-CN"/>
        </w:rPr>
        <w:t>开发区</w:t>
      </w:r>
      <w:r>
        <w:rPr>
          <w:rFonts w:hint="default" w:ascii="Times New Roman" w:hAnsi="Times New Roman" w:cs="Times New Roman"/>
          <w:color w:val="auto"/>
          <w:sz w:val="24"/>
          <w:szCs w:val="24"/>
          <w:highlight w:val="none"/>
        </w:rPr>
        <w:t>入区项目的环境质量标准要求，具体见</w:t>
      </w:r>
      <w:bookmarkStart w:id="2342" w:name="OLE_LINK621"/>
      <w:r>
        <w:rPr>
          <w:rFonts w:hint="default" w:ascii="Times New Roman" w:hAnsi="Times New Roman" w:cs="Times New Roman"/>
          <w:color w:val="auto"/>
          <w:sz w:val="24"/>
          <w:szCs w:val="24"/>
          <w:highlight w:val="none"/>
        </w:rPr>
        <w:t>表</w:t>
      </w:r>
      <w:r>
        <w:rPr>
          <w:rFonts w:hint="eastAsia" w:ascii="Times New Roman" w:hAnsi="Times New Roman" w:eastAsia="宋体"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.2-1</w:t>
      </w:r>
      <w:bookmarkEnd w:id="2342"/>
      <w:r>
        <w:rPr>
          <w:rFonts w:hint="default" w:ascii="Times New Roman" w:hAnsi="Times New Roman" w:cs="Times New Roman"/>
          <w:color w:val="auto"/>
          <w:sz w:val="24"/>
          <w:szCs w:val="24"/>
          <w:highlight w:val="none"/>
        </w:rPr>
        <w:t>。</w:t>
      </w:r>
      <w:bookmarkEnd w:id="2341"/>
    </w:p>
    <w:p w14:paraId="7006D2F8">
      <w:pPr>
        <w:adjustRightInd w:val="0"/>
        <w:snapToGrid w:val="0"/>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10</w:t>
      </w:r>
      <w:r>
        <w:rPr>
          <w:rFonts w:hint="default" w:ascii="Times New Roman" w:hAnsi="Times New Roman" w:eastAsia="宋体" w:cs="Times New Roman"/>
          <w:b/>
          <w:color w:val="auto"/>
          <w:sz w:val="24"/>
          <w:szCs w:val="24"/>
          <w:highlight w:val="none"/>
        </w:rPr>
        <w:t xml:space="preserve">.2-1  </w:t>
      </w:r>
      <w:r>
        <w:rPr>
          <w:rFonts w:hint="default" w:ascii="Times New Roman" w:hAnsi="Times New Roman" w:eastAsia="宋体" w:cs="Times New Roman"/>
          <w:b/>
          <w:color w:val="auto"/>
          <w:sz w:val="24"/>
          <w:szCs w:val="24"/>
          <w:highlight w:val="none"/>
          <w:lang w:val="en-US" w:eastAsia="zh-CN"/>
        </w:rPr>
        <w:t>开发区</w:t>
      </w:r>
      <w:r>
        <w:rPr>
          <w:rFonts w:hint="default" w:ascii="Times New Roman" w:hAnsi="Times New Roman" w:eastAsia="宋体" w:cs="Times New Roman"/>
          <w:b/>
          <w:color w:val="auto"/>
          <w:sz w:val="24"/>
          <w:szCs w:val="24"/>
          <w:highlight w:val="none"/>
        </w:rPr>
        <w:t>环境质量标准要求表</w:t>
      </w:r>
      <w:bookmarkStart w:id="2343" w:name="pindex14762"/>
      <w:bookmarkEnd w:id="2343"/>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16"/>
        <w:gridCol w:w="2383"/>
        <w:gridCol w:w="2520"/>
        <w:gridCol w:w="2521"/>
      </w:tblGrid>
      <w:tr w14:paraId="7F7449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Align w:val="center"/>
          </w:tcPr>
          <w:p w14:paraId="003C7DD0">
            <w:pPr>
              <w:adjustRightInd w:val="0"/>
              <w:snapToGrid w:val="0"/>
              <w:jc w:val="center"/>
              <w:rPr>
                <w:rFonts w:ascii="Times New Roman" w:hAnsi="Times New Roman" w:eastAsia="宋体" w:cs="Times New Roman"/>
                <w:b/>
                <w:bCs/>
                <w:color w:val="auto"/>
                <w:szCs w:val="21"/>
                <w:highlight w:val="none"/>
                <w:lang w:bidi="ar"/>
              </w:rPr>
            </w:pPr>
            <w:r>
              <w:rPr>
                <w:rFonts w:ascii="Times New Roman" w:hAnsi="Times New Roman" w:eastAsia="宋体" w:cs="Times New Roman"/>
                <w:b/>
                <w:bCs/>
                <w:color w:val="auto"/>
                <w:szCs w:val="21"/>
                <w:highlight w:val="none"/>
                <w:lang w:bidi="ar"/>
              </w:rPr>
              <w:t>环境要素</w:t>
            </w:r>
          </w:p>
        </w:tc>
        <w:tc>
          <w:tcPr>
            <w:tcW w:w="1395" w:type="pct"/>
            <w:vAlign w:val="center"/>
          </w:tcPr>
          <w:p w14:paraId="07DA7CF1">
            <w:pPr>
              <w:adjustRightInd w:val="0"/>
              <w:snapToGrid w:val="0"/>
              <w:jc w:val="center"/>
              <w:rPr>
                <w:rFonts w:ascii="Times New Roman" w:hAnsi="Times New Roman" w:eastAsia="宋体" w:cs="Times New Roman"/>
                <w:b/>
                <w:bCs/>
                <w:color w:val="auto"/>
                <w:szCs w:val="21"/>
                <w:highlight w:val="none"/>
                <w:lang w:bidi="ar"/>
              </w:rPr>
            </w:pPr>
            <w:r>
              <w:rPr>
                <w:rFonts w:ascii="Times New Roman" w:hAnsi="Times New Roman" w:eastAsia="宋体" w:cs="Times New Roman"/>
                <w:b/>
                <w:bCs/>
                <w:color w:val="auto"/>
                <w:szCs w:val="21"/>
                <w:highlight w:val="none"/>
                <w:lang w:bidi="ar"/>
              </w:rPr>
              <w:t>环境功能区范围</w:t>
            </w:r>
          </w:p>
        </w:tc>
        <w:tc>
          <w:tcPr>
            <w:tcW w:w="1475" w:type="pct"/>
            <w:vAlign w:val="center"/>
          </w:tcPr>
          <w:p w14:paraId="2B642452">
            <w:pPr>
              <w:adjustRightInd w:val="0"/>
              <w:snapToGrid w:val="0"/>
              <w:jc w:val="center"/>
              <w:rPr>
                <w:rFonts w:hint="eastAsia" w:ascii="Times New Roman" w:hAnsi="Times New Roman" w:eastAsia="宋体" w:cs="Times New Roman"/>
                <w:b/>
                <w:bCs/>
                <w:color w:val="auto"/>
                <w:szCs w:val="21"/>
                <w:highlight w:val="none"/>
                <w:lang w:eastAsia="zh-CN" w:bidi="ar"/>
              </w:rPr>
            </w:pPr>
            <w:r>
              <w:rPr>
                <w:rFonts w:ascii="Times New Roman" w:hAnsi="Times New Roman" w:eastAsia="宋体" w:cs="Times New Roman"/>
                <w:b/>
                <w:bCs/>
                <w:color w:val="auto"/>
                <w:szCs w:val="21"/>
                <w:highlight w:val="none"/>
                <w:lang w:bidi="ar"/>
              </w:rPr>
              <w:t>环境质量</w:t>
            </w:r>
            <w:r>
              <w:rPr>
                <w:rFonts w:hint="eastAsia" w:ascii="Times New Roman" w:hAnsi="Times New Roman" w:eastAsia="宋体" w:cs="Times New Roman"/>
                <w:b/>
                <w:bCs/>
                <w:color w:val="auto"/>
                <w:szCs w:val="21"/>
                <w:highlight w:val="none"/>
                <w:lang w:val="en-US" w:eastAsia="zh-CN" w:bidi="ar"/>
              </w:rPr>
              <w:t>区划</w:t>
            </w:r>
          </w:p>
        </w:tc>
        <w:tc>
          <w:tcPr>
            <w:tcW w:w="1475" w:type="pct"/>
            <w:vAlign w:val="center"/>
          </w:tcPr>
          <w:p w14:paraId="384F2AEE">
            <w:pPr>
              <w:adjustRightInd w:val="0"/>
              <w:snapToGrid w:val="0"/>
              <w:jc w:val="center"/>
              <w:rPr>
                <w:rFonts w:ascii="Times New Roman" w:hAnsi="Times New Roman" w:eastAsia="宋体" w:cs="Times New Roman"/>
                <w:b/>
                <w:bCs/>
                <w:color w:val="auto"/>
                <w:szCs w:val="21"/>
                <w:highlight w:val="none"/>
                <w:lang w:bidi="ar"/>
              </w:rPr>
            </w:pPr>
            <w:r>
              <w:rPr>
                <w:b/>
                <w:color w:val="auto"/>
                <w:szCs w:val="21"/>
                <w:highlight w:val="none"/>
              </w:rPr>
              <w:t>环境质量标准要求</w:t>
            </w:r>
          </w:p>
        </w:tc>
      </w:tr>
      <w:tr w14:paraId="07332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Align w:val="center"/>
          </w:tcPr>
          <w:p w14:paraId="76ADC9BF">
            <w:pPr>
              <w:adjustRightInd w:val="0"/>
              <w:snapToGrid w:val="0"/>
              <w:jc w:val="center"/>
              <w:rPr>
                <w:rFonts w:ascii="Times New Roman" w:hAnsi="Times New Roman" w:eastAsia="宋体" w:cs="Times New Roman"/>
                <w:color w:val="auto"/>
                <w:szCs w:val="21"/>
                <w:highlight w:val="none"/>
                <w:lang w:bidi="ar"/>
              </w:rPr>
            </w:pPr>
            <w:r>
              <w:rPr>
                <w:rFonts w:ascii="Times New Roman" w:hAnsi="Times New Roman" w:eastAsia="宋体" w:cs="Times New Roman"/>
                <w:color w:val="auto"/>
                <w:szCs w:val="21"/>
                <w:highlight w:val="none"/>
                <w:lang w:bidi="ar"/>
              </w:rPr>
              <w:t>大气</w:t>
            </w:r>
          </w:p>
        </w:tc>
        <w:tc>
          <w:tcPr>
            <w:tcW w:w="1395" w:type="pct"/>
            <w:vAlign w:val="center"/>
          </w:tcPr>
          <w:p w14:paraId="1550212F">
            <w:pPr>
              <w:adjustRightInd w:val="0"/>
              <w:snapToGrid w:val="0"/>
              <w:jc w:val="center"/>
              <w:rPr>
                <w:rFonts w:ascii="Times New Roman" w:hAnsi="Times New Roman" w:eastAsia="宋体" w:cs="Times New Roman"/>
                <w:color w:val="auto"/>
                <w:szCs w:val="21"/>
                <w:highlight w:val="none"/>
                <w:lang w:bidi="ar"/>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本区域规划范围</w:t>
            </w:r>
          </w:p>
        </w:tc>
        <w:tc>
          <w:tcPr>
            <w:tcW w:w="1475" w:type="pct"/>
            <w:vAlign w:val="center"/>
          </w:tcPr>
          <w:p w14:paraId="037BB1EB">
            <w:pPr>
              <w:adjustRightInd w:val="0"/>
              <w:snapToGrid w:val="0"/>
              <w:jc w:val="center"/>
              <w:rPr>
                <w:rFonts w:ascii="Times New Roman" w:hAnsi="Times New Roman" w:eastAsia="宋体" w:cs="Times New Roman"/>
                <w:color w:val="auto"/>
                <w:szCs w:val="21"/>
                <w:highlight w:val="none"/>
                <w:lang w:bidi="ar"/>
              </w:rPr>
            </w:pPr>
            <w:r>
              <w:rPr>
                <w:rFonts w:hint="default" w:ascii="Times New Roman" w:hAnsi="Times New Roman" w:cs="Times New Roman"/>
                <w:color w:val="auto"/>
                <w:highlight w:val="none"/>
                <w:lang w:val="en-US" w:eastAsia="zh-CN"/>
              </w:rPr>
              <w:t>牛首-祖堂风景名胜区为环境空气质量一类区</w:t>
            </w:r>
            <w:r>
              <w:rPr>
                <w:rFonts w:hint="eastAsia" w:ascii="Times New Roman" w:hAnsi="Times New Roman" w:cs="Times New Roman"/>
                <w:color w:val="auto"/>
                <w:highlight w:val="none"/>
                <w:lang w:val="en-US" w:eastAsia="zh-CN"/>
              </w:rPr>
              <w:t>，开发区内其他区域</w:t>
            </w:r>
            <w:r>
              <w:rPr>
                <w:rFonts w:ascii="Times New Roman" w:hAnsi="Times New Roman" w:eastAsia="宋体" w:cs="Times New Roman"/>
                <w:color w:val="auto"/>
                <w:szCs w:val="21"/>
                <w:highlight w:val="none"/>
                <w:lang w:bidi="ar"/>
              </w:rPr>
              <w:t>达到大气环境二类功能区相应标准</w:t>
            </w:r>
          </w:p>
        </w:tc>
        <w:tc>
          <w:tcPr>
            <w:tcW w:w="1475" w:type="pct"/>
            <w:shd w:val="clear" w:color="auto" w:fill="auto"/>
            <w:vAlign w:val="center"/>
          </w:tcPr>
          <w:p w14:paraId="6B853875">
            <w:pPr>
              <w:adjustRightInd w:val="0"/>
              <w:snapToGrid w:val="0"/>
              <w:jc w:val="center"/>
              <w:rPr>
                <w:rFonts w:ascii="Arial" w:hAnsi="Arial" w:eastAsia="Arial" w:cs="Arial"/>
                <w:snapToGrid w:val="0"/>
                <w:color w:val="auto"/>
                <w:kern w:val="0"/>
                <w:sz w:val="21"/>
                <w:szCs w:val="21"/>
                <w:highlight w:val="none"/>
                <w:lang w:val="en-US" w:eastAsia="en-US" w:bidi="ar-SA"/>
              </w:rPr>
            </w:pPr>
            <w:bookmarkStart w:id="2344" w:name="OLE_LINK732"/>
            <w:r>
              <w:rPr>
                <w:rFonts w:hint="default" w:ascii="Times New Roman" w:hAnsi="Times New Roman" w:cs="Times New Roman"/>
                <w:color w:val="auto"/>
                <w:highlight w:val="none"/>
              </w:rPr>
              <w:t>《环境空气质量标准》（GB3095-2012）二级标准及其修改单（</w:t>
            </w:r>
            <w:r>
              <w:rPr>
                <w:rFonts w:hint="eastAsia" w:ascii="Times New Roman" w:hAnsi="Times New Roman" w:eastAsia="宋体" w:cs="Times New Roman"/>
                <w:color w:val="auto"/>
                <w:highlight w:val="none"/>
                <w:lang w:eastAsia="zh-CN"/>
              </w:rPr>
              <w:t>生态环境部</w:t>
            </w:r>
            <w:r>
              <w:rPr>
                <w:rFonts w:hint="default" w:ascii="Times New Roman" w:hAnsi="Times New Roman" w:cs="Times New Roman"/>
                <w:color w:val="auto"/>
                <w:highlight w:val="none"/>
              </w:rPr>
              <w:t>公告2018年 第29号）、《环境影响评价技术导则 大气环境》（HJ2.2-2018）附录D浓度限值、《大气污染物综合排放标准详解》</w:t>
            </w:r>
            <w:bookmarkEnd w:id="2344"/>
          </w:p>
        </w:tc>
      </w:tr>
      <w:tr w14:paraId="1EC8F7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24" w:hRule="atLeast"/>
        </w:trPr>
        <w:tc>
          <w:tcPr>
            <w:tcW w:w="653" w:type="pct"/>
            <w:vMerge w:val="restart"/>
            <w:vAlign w:val="center"/>
          </w:tcPr>
          <w:p w14:paraId="5EB203F5">
            <w:pPr>
              <w:adjustRightInd w:val="0"/>
              <w:snapToGrid w:val="0"/>
              <w:jc w:val="center"/>
              <w:rPr>
                <w:rFonts w:ascii="Times New Roman" w:hAnsi="Times New Roman" w:eastAsia="宋体" w:cs="Times New Roman"/>
                <w:color w:val="auto"/>
                <w:szCs w:val="21"/>
                <w:lang w:bidi="ar"/>
              </w:rPr>
            </w:pPr>
            <w:r>
              <w:rPr>
                <w:rFonts w:ascii="Times New Roman" w:hAnsi="Times New Roman" w:eastAsia="宋体" w:cs="Times New Roman"/>
                <w:color w:val="auto"/>
                <w:szCs w:val="21"/>
                <w:lang w:bidi="ar"/>
              </w:rPr>
              <w:t>地表水</w:t>
            </w:r>
          </w:p>
        </w:tc>
        <w:tc>
          <w:tcPr>
            <w:tcW w:w="1395" w:type="pct"/>
            <w:vAlign w:val="center"/>
          </w:tcPr>
          <w:p w14:paraId="6E093853">
            <w:pPr>
              <w:adjustRightInd w:val="0"/>
              <w:snapToGrid w:val="0"/>
              <w:jc w:val="center"/>
              <w:rPr>
                <w:rFonts w:ascii="Times New Roman" w:hAnsi="Times New Roman" w:eastAsia="宋体" w:cs="Times New Roman"/>
                <w:color w:val="auto"/>
              </w:rPr>
            </w:pPr>
            <w:r>
              <w:rPr>
                <w:rFonts w:ascii="Times New Roman" w:hAnsi="Times New Roman" w:eastAsia="宋体" w:cs="Times New Roman"/>
                <w:color w:val="auto"/>
              </w:rPr>
              <w:t>秦淮河（云台山河河口</w:t>
            </w:r>
            <w:r>
              <w:rPr>
                <w:rFonts w:hint="eastAsia" w:ascii="Times New Roman" w:hAnsi="Times New Roman" w:eastAsia="宋体" w:cs="Times New Roman"/>
                <w:color w:val="auto"/>
                <w:lang w:val="en-US" w:eastAsia="zh-CN"/>
              </w:rPr>
              <w:t>-</w:t>
            </w:r>
            <w:r>
              <w:rPr>
                <w:rFonts w:ascii="Times New Roman" w:hAnsi="Times New Roman" w:eastAsia="宋体" w:cs="Times New Roman"/>
                <w:color w:val="auto"/>
              </w:rPr>
              <w:t>牛首山河河口）</w:t>
            </w:r>
          </w:p>
        </w:tc>
        <w:tc>
          <w:tcPr>
            <w:tcW w:w="1475" w:type="pct"/>
            <w:vMerge w:val="restart"/>
            <w:vAlign w:val="center"/>
          </w:tcPr>
          <w:p w14:paraId="6E79CF7C">
            <w:pPr>
              <w:adjustRightInd w:val="0"/>
              <w:snapToGrid w:val="0"/>
              <w:jc w:val="center"/>
              <w:rPr>
                <w:rFonts w:ascii="Times New Roman" w:hAnsi="Times New Roman" w:eastAsia="宋体" w:cs="Times New Roman"/>
                <w:color w:val="auto"/>
                <w:szCs w:val="21"/>
                <w:lang w:bidi="ar"/>
              </w:rPr>
            </w:pPr>
            <w:r>
              <w:rPr>
                <w:rFonts w:ascii="Times New Roman" w:hAnsi="Times New Roman" w:eastAsia="宋体" w:cs="Times New Roman"/>
                <w:color w:val="auto"/>
                <w:szCs w:val="21"/>
                <w:lang w:bidi="ar"/>
              </w:rPr>
              <w:t>达</w:t>
            </w:r>
            <w:bookmarkStart w:id="2345" w:name="OLE_LINK623"/>
            <w:r>
              <w:rPr>
                <w:rFonts w:ascii="Times New Roman" w:hAnsi="Times New Roman" w:eastAsia="宋体" w:cs="Times New Roman"/>
                <w:color w:val="auto"/>
                <w:szCs w:val="21"/>
                <w:lang w:bidi="ar"/>
              </w:rPr>
              <w:t>Ⅲ类</w:t>
            </w:r>
            <w:bookmarkEnd w:id="2345"/>
            <w:r>
              <w:rPr>
                <w:rFonts w:ascii="Times New Roman" w:hAnsi="Times New Roman" w:eastAsia="宋体" w:cs="Times New Roman"/>
                <w:color w:val="auto"/>
                <w:szCs w:val="21"/>
                <w:lang w:bidi="ar"/>
              </w:rPr>
              <w:t>水体标准</w:t>
            </w:r>
          </w:p>
        </w:tc>
        <w:tc>
          <w:tcPr>
            <w:tcW w:w="1475" w:type="pct"/>
            <w:vMerge w:val="restart"/>
            <w:vAlign w:val="center"/>
          </w:tcPr>
          <w:p w14:paraId="4B7B4D26">
            <w:pPr>
              <w:adjustRightInd w:val="0"/>
              <w:snapToGrid w:val="0"/>
              <w:jc w:val="center"/>
              <w:rPr>
                <w:rFonts w:ascii="Times New Roman" w:hAnsi="Times New Roman" w:eastAsia="宋体" w:cs="Times New Roman"/>
                <w:color w:val="auto"/>
                <w:szCs w:val="21"/>
                <w:lang w:bidi="ar"/>
              </w:rPr>
            </w:pPr>
            <w:bookmarkStart w:id="2346" w:name="OLE_LINK733"/>
            <w:r>
              <w:rPr>
                <w:rFonts w:hint="default" w:ascii="Times New Roman" w:hAnsi="Times New Roman" w:cs="Times New Roman"/>
                <w:color w:val="auto"/>
                <w:kern w:val="0"/>
                <w:szCs w:val="21"/>
              </w:rPr>
              <w:t>《地表水环境质量标准》（GB3838-2002）</w:t>
            </w:r>
            <w:r>
              <w:rPr>
                <w:rFonts w:hint="default" w:ascii="Times New Roman" w:hAnsi="Times New Roman" w:eastAsia="宋体" w:cs="Times New Roman"/>
                <w:color w:val="auto"/>
                <w:szCs w:val="21"/>
                <w:lang w:bidi="ar"/>
              </w:rPr>
              <w:t>Ⅲ类</w:t>
            </w:r>
            <w:r>
              <w:rPr>
                <w:rFonts w:hint="default" w:ascii="Times New Roman" w:hAnsi="Times New Roman" w:cs="Times New Roman"/>
                <w:color w:val="auto"/>
                <w:kern w:val="0"/>
                <w:szCs w:val="21"/>
              </w:rPr>
              <w:t>、</w:t>
            </w:r>
            <w:r>
              <w:rPr>
                <w:rFonts w:hint="default" w:ascii="Times New Roman" w:hAnsi="Times New Roman" w:eastAsia="宋体" w:cs="Times New Roman"/>
                <w:color w:val="auto"/>
                <w:szCs w:val="21"/>
                <w:lang w:bidi="ar"/>
              </w:rPr>
              <w:t>Ⅳ类</w:t>
            </w:r>
            <w:r>
              <w:rPr>
                <w:rFonts w:hint="default" w:ascii="Times New Roman" w:hAnsi="Times New Roman" w:cs="Times New Roman"/>
                <w:color w:val="auto"/>
                <w:kern w:val="0"/>
                <w:szCs w:val="21"/>
              </w:rPr>
              <w:t>标准</w:t>
            </w:r>
            <w:bookmarkEnd w:id="2346"/>
          </w:p>
        </w:tc>
      </w:tr>
      <w:tr w14:paraId="1DF32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Merge w:val="continue"/>
            <w:vAlign w:val="center"/>
          </w:tcPr>
          <w:p w14:paraId="74772207">
            <w:pPr>
              <w:adjustRightInd w:val="0"/>
              <w:snapToGrid w:val="0"/>
              <w:jc w:val="center"/>
              <w:rPr>
                <w:rFonts w:ascii="Times New Roman" w:hAnsi="Times New Roman" w:eastAsia="宋体" w:cs="Times New Roman"/>
                <w:color w:val="auto"/>
                <w:szCs w:val="21"/>
                <w:lang w:bidi="ar"/>
              </w:rPr>
            </w:pPr>
          </w:p>
        </w:tc>
        <w:tc>
          <w:tcPr>
            <w:tcW w:w="1395" w:type="pct"/>
            <w:vAlign w:val="center"/>
          </w:tcPr>
          <w:p w14:paraId="69858E88">
            <w:pPr>
              <w:adjustRightInd w:val="0"/>
              <w:snapToGrid w:val="0"/>
              <w:jc w:val="center"/>
              <w:rPr>
                <w:rFonts w:hint="eastAsia" w:ascii="Times New Roman" w:hAnsi="Times New Roman" w:eastAsia="宋体" w:cs="Times New Roman"/>
                <w:color w:val="auto"/>
                <w:lang w:eastAsia="zh-CN"/>
              </w:rPr>
            </w:pPr>
            <w:r>
              <w:rPr>
                <w:rFonts w:ascii="Times New Roman" w:hAnsi="Times New Roman" w:eastAsia="宋体" w:cs="Times New Roman"/>
                <w:color w:val="auto"/>
              </w:rPr>
              <w:t>牛首山河</w:t>
            </w:r>
          </w:p>
        </w:tc>
        <w:tc>
          <w:tcPr>
            <w:tcW w:w="1475" w:type="pct"/>
            <w:vMerge w:val="continue"/>
            <w:vAlign w:val="center"/>
          </w:tcPr>
          <w:p w14:paraId="6D4F560E">
            <w:pPr>
              <w:adjustRightInd w:val="0"/>
              <w:snapToGrid w:val="0"/>
              <w:jc w:val="center"/>
              <w:rPr>
                <w:rFonts w:ascii="Times New Roman" w:hAnsi="Times New Roman" w:eastAsia="宋体" w:cs="Times New Roman"/>
                <w:color w:val="auto"/>
                <w:szCs w:val="21"/>
                <w:lang w:bidi="ar"/>
              </w:rPr>
            </w:pPr>
          </w:p>
        </w:tc>
        <w:tc>
          <w:tcPr>
            <w:tcW w:w="1475" w:type="pct"/>
            <w:vMerge w:val="continue"/>
            <w:vAlign w:val="center"/>
          </w:tcPr>
          <w:p w14:paraId="26CBF602">
            <w:pPr>
              <w:adjustRightInd w:val="0"/>
              <w:snapToGrid w:val="0"/>
              <w:jc w:val="center"/>
              <w:rPr>
                <w:rFonts w:ascii="Times New Roman" w:hAnsi="Times New Roman" w:eastAsia="宋体" w:cs="Times New Roman"/>
                <w:color w:val="auto"/>
                <w:szCs w:val="21"/>
                <w:lang w:bidi="ar"/>
              </w:rPr>
            </w:pPr>
          </w:p>
        </w:tc>
      </w:tr>
      <w:tr w14:paraId="4BEB7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Merge w:val="continue"/>
            <w:vAlign w:val="center"/>
          </w:tcPr>
          <w:p w14:paraId="6D3FBE76">
            <w:pPr>
              <w:adjustRightInd w:val="0"/>
              <w:snapToGrid w:val="0"/>
              <w:jc w:val="center"/>
              <w:rPr>
                <w:rFonts w:ascii="Times New Roman" w:hAnsi="Times New Roman" w:eastAsia="宋体" w:cs="Times New Roman"/>
                <w:color w:val="auto"/>
                <w:szCs w:val="21"/>
                <w:lang w:bidi="ar"/>
              </w:rPr>
            </w:pPr>
          </w:p>
        </w:tc>
        <w:tc>
          <w:tcPr>
            <w:tcW w:w="1395" w:type="pct"/>
            <w:vAlign w:val="center"/>
          </w:tcPr>
          <w:p w14:paraId="11559057">
            <w:pPr>
              <w:adjustRightInd w:val="0"/>
              <w:snapToGrid w:val="0"/>
              <w:jc w:val="center"/>
              <w:rPr>
                <w:rFonts w:ascii="Times New Roman" w:hAnsi="Times New Roman" w:eastAsia="宋体" w:cs="Times New Roman"/>
                <w:color w:val="auto"/>
              </w:rPr>
            </w:pPr>
            <w:r>
              <w:rPr>
                <w:rFonts w:ascii="Times New Roman" w:hAnsi="Times New Roman" w:eastAsia="宋体" w:cs="Times New Roman"/>
                <w:color w:val="auto"/>
              </w:rPr>
              <w:t>秦淮新河</w:t>
            </w:r>
          </w:p>
        </w:tc>
        <w:tc>
          <w:tcPr>
            <w:tcW w:w="1475" w:type="pct"/>
            <w:vMerge w:val="continue"/>
            <w:vAlign w:val="center"/>
          </w:tcPr>
          <w:p w14:paraId="13EF1593">
            <w:pPr>
              <w:adjustRightInd w:val="0"/>
              <w:snapToGrid w:val="0"/>
              <w:jc w:val="center"/>
              <w:rPr>
                <w:rFonts w:ascii="Times New Roman" w:hAnsi="Times New Roman" w:eastAsia="宋体" w:cs="Times New Roman"/>
                <w:color w:val="auto"/>
                <w:szCs w:val="21"/>
                <w:lang w:bidi="ar"/>
              </w:rPr>
            </w:pPr>
          </w:p>
        </w:tc>
        <w:tc>
          <w:tcPr>
            <w:tcW w:w="1475" w:type="pct"/>
            <w:vMerge w:val="continue"/>
            <w:vAlign w:val="center"/>
          </w:tcPr>
          <w:p w14:paraId="010EFDE1">
            <w:pPr>
              <w:adjustRightInd w:val="0"/>
              <w:snapToGrid w:val="0"/>
              <w:jc w:val="center"/>
              <w:rPr>
                <w:rFonts w:ascii="Times New Roman" w:hAnsi="Times New Roman" w:eastAsia="宋体" w:cs="Times New Roman"/>
                <w:color w:val="auto"/>
                <w:szCs w:val="21"/>
                <w:lang w:bidi="ar"/>
              </w:rPr>
            </w:pPr>
          </w:p>
        </w:tc>
      </w:tr>
      <w:tr w14:paraId="11F2A7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Merge w:val="continue"/>
            <w:vAlign w:val="center"/>
          </w:tcPr>
          <w:p w14:paraId="66E12369">
            <w:pPr>
              <w:adjustRightInd w:val="0"/>
              <w:snapToGrid w:val="0"/>
              <w:jc w:val="center"/>
              <w:rPr>
                <w:rFonts w:ascii="Times New Roman" w:hAnsi="Times New Roman" w:eastAsia="宋体" w:cs="Times New Roman"/>
                <w:color w:val="auto"/>
                <w:szCs w:val="21"/>
                <w:lang w:bidi="ar"/>
              </w:rPr>
            </w:pPr>
          </w:p>
        </w:tc>
        <w:tc>
          <w:tcPr>
            <w:tcW w:w="1395" w:type="pct"/>
            <w:vAlign w:val="center"/>
          </w:tcPr>
          <w:p w14:paraId="65B14167">
            <w:pPr>
              <w:adjustRightInd w:val="0"/>
              <w:snapToGrid w:val="0"/>
              <w:jc w:val="center"/>
              <w:rPr>
                <w:rFonts w:ascii="Times New Roman" w:hAnsi="Times New Roman" w:eastAsia="宋体" w:cs="Times New Roman"/>
                <w:color w:val="auto"/>
              </w:rPr>
            </w:pPr>
            <w:r>
              <w:rPr>
                <w:rFonts w:ascii="Times New Roman" w:hAnsi="Times New Roman" w:eastAsia="宋体" w:cs="Times New Roman"/>
                <w:color w:val="auto"/>
              </w:rPr>
              <w:t>云台山河</w:t>
            </w:r>
          </w:p>
        </w:tc>
        <w:tc>
          <w:tcPr>
            <w:tcW w:w="1475" w:type="pct"/>
            <w:vMerge w:val="continue"/>
            <w:vAlign w:val="center"/>
          </w:tcPr>
          <w:p w14:paraId="5C41F58A">
            <w:pPr>
              <w:adjustRightInd w:val="0"/>
              <w:snapToGrid w:val="0"/>
              <w:jc w:val="center"/>
              <w:rPr>
                <w:rFonts w:ascii="Times New Roman" w:hAnsi="Times New Roman" w:eastAsia="宋体" w:cs="Times New Roman"/>
                <w:color w:val="auto"/>
                <w:szCs w:val="21"/>
                <w:lang w:bidi="ar"/>
              </w:rPr>
            </w:pPr>
          </w:p>
        </w:tc>
        <w:tc>
          <w:tcPr>
            <w:tcW w:w="1475" w:type="pct"/>
            <w:vMerge w:val="continue"/>
            <w:vAlign w:val="center"/>
          </w:tcPr>
          <w:p w14:paraId="0DC1FDD3">
            <w:pPr>
              <w:adjustRightInd w:val="0"/>
              <w:snapToGrid w:val="0"/>
              <w:jc w:val="center"/>
              <w:rPr>
                <w:rFonts w:ascii="Times New Roman" w:hAnsi="Times New Roman" w:eastAsia="宋体" w:cs="Times New Roman"/>
                <w:color w:val="auto"/>
                <w:szCs w:val="21"/>
                <w:lang w:bidi="ar"/>
              </w:rPr>
            </w:pPr>
          </w:p>
        </w:tc>
      </w:tr>
      <w:tr w14:paraId="246D1D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Merge w:val="continue"/>
            <w:vAlign w:val="center"/>
          </w:tcPr>
          <w:p w14:paraId="7B5DD206">
            <w:pPr>
              <w:adjustRightInd w:val="0"/>
              <w:snapToGrid w:val="0"/>
              <w:jc w:val="center"/>
              <w:rPr>
                <w:rFonts w:ascii="Times New Roman" w:hAnsi="Times New Roman" w:eastAsia="宋体" w:cs="Times New Roman"/>
                <w:color w:val="auto"/>
                <w:szCs w:val="21"/>
                <w:lang w:bidi="ar"/>
              </w:rPr>
            </w:pPr>
          </w:p>
        </w:tc>
        <w:tc>
          <w:tcPr>
            <w:tcW w:w="1395" w:type="pct"/>
            <w:vAlign w:val="center"/>
          </w:tcPr>
          <w:p w14:paraId="1A7C0744">
            <w:pPr>
              <w:adjustRightInd w:val="0"/>
              <w:snapToGrid w:val="0"/>
              <w:jc w:val="center"/>
              <w:rPr>
                <w:rFonts w:ascii="Times New Roman" w:hAnsi="Times New Roman" w:eastAsia="宋体" w:cs="Times New Roman"/>
                <w:color w:val="auto"/>
              </w:rPr>
            </w:pPr>
            <w:r>
              <w:rPr>
                <w:rFonts w:hint="eastAsia" w:ascii="Times New Roman" w:hAnsi="Times New Roman" w:cs="Times New Roman"/>
                <w:color w:val="auto"/>
                <w:lang w:val="en-US" w:eastAsia="zh-CN"/>
              </w:rPr>
              <w:t>风波坟水库</w:t>
            </w:r>
          </w:p>
        </w:tc>
        <w:tc>
          <w:tcPr>
            <w:tcW w:w="1475" w:type="pct"/>
            <w:vMerge w:val="continue"/>
            <w:vAlign w:val="center"/>
          </w:tcPr>
          <w:p w14:paraId="257CC8BC">
            <w:pPr>
              <w:adjustRightInd w:val="0"/>
              <w:snapToGrid w:val="0"/>
              <w:jc w:val="center"/>
              <w:rPr>
                <w:rFonts w:ascii="Times New Roman" w:hAnsi="Times New Roman" w:eastAsia="宋体" w:cs="Times New Roman"/>
                <w:color w:val="auto"/>
                <w:szCs w:val="21"/>
                <w:lang w:bidi="ar"/>
              </w:rPr>
            </w:pPr>
          </w:p>
        </w:tc>
        <w:tc>
          <w:tcPr>
            <w:tcW w:w="1475" w:type="pct"/>
            <w:vMerge w:val="continue"/>
            <w:vAlign w:val="center"/>
          </w:tcPr>
          <w:p w14:paraId="797E6317">
            <w:pPr>
              <w:adjustRightInd w:val="0"/>
              <w:snapToGrid w:val="0"/>
              <w:jc w:val="center"/>
              <w:rPr>
                <w:rFonts w:ascii="Times New Roman" w:hAnsi="Times New Roman" w:eastAsia="宋体" w:cs="Times New Roman"/>
                <w:color w:val="auto"/>
                <w:szCs w:val="21"/>
                <w:lang w:bidi="ar"/>
              </w:rPr>
            </w:pPr>
          </w:p>
        </w:tc>
      </w:tr>
      <w:tr w14:paraId="0A5A81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Merge w:val="continue"/>
            <w:vAlign w:val="center"/>
          </w:tcPr>
          <w:p w14:paraId="5187B2C2">
            <w:pPr>
              <w:adjustRightInd w:val="0"/>
              <w:snapToGrid w:val="0"/>
              <w:jc w:val="center"/>
              <w:rPr>
                <w:rFonts w:ascii="Times New Roman" w:hAnsi="Times New Roman" w:eastAsia="宋体" w:cs="Times New Roman"/>
                <w:color w:val="auto"/>
                <w:szCs w:val="21"/>
                <w:lang w:bidi="ar"/>
              </w:rPr>
            </w:pPr>
          </w:p>
        </w:tc>
        <w:tc>
          <w:tcPr>
            <w:tcW w:w="1395" w:type="pct"/>
            <w:vAlign w:val="center"/>
          </w:tcPr>
          <w:p w14:paraId="4F020B8D">
            <w:pPr>
              <w:adjustRightInd w:val="0"/>
              <w:snapToGrid w:val="0"/>
              <w:jc w:val="center"/>
              <w:rPr>
                <w:rFonts w:hint="default" w:ascii="Times New Roman" w:hAnsi="Times New Roman" w:eastAsia="宋体" w:cs="Times New Roman"/>
                <w:color w:val="auto"/>
                <w:szCs w:val="21"/>
                <w:lang w:val="en-US" w:bidi="ar"/>
              </w:rPr>
            </w:pPr>
            <w:r>
              <w:rPr>
                <w:rFonts w:hint="eastAsia" w:ascii="Times New Roman" w:hAnsi="Times New Roman" w:cs="Times New Roman"/>
                <w:color w:val="auto"/>
                <w:lang w:val="en-US" w:eastAsia="zh-CN"/>
              </w:rPr>
              <w:t>谷里水库</w:t>
            </w:r>
          </w:p>
        </w:tc>
        <w:tc>
          <w:tcPr>
            <w:tcW w:w="1475" w:type="pct"/>
            <w:vMerge w:val="continue"/>
            <w:vAlign w:val="center"/>
          </w:tcPr>
          <w:p w14:paraId="1FA6A910">
            <w:pPr>
              <w:adjustRightInd w:val="0"/>
              <w:snapToGrid w:val="0"/>
              <w:jc w:val="center"/>
              <w:rPr>
                <w:rFonts w:ascii="Times New Roman" w:hAnsi="Times New Roman" w:eastAsia="宋体" w:cs="Times New Roman"/>
                <w:color w:val="auto"/>
                <w:szCs w:val="21"/>
                <w:lang w:bidi="ar"/>
              </w:rPr>
            </w:pPr>
          </w:p>
        </w:tc>
        <w:tc>
          <w:tcPr>
            <w:tcW w:w="1475" w:type="pct"/>
            <w:vMerge w:val="continue"/>
            <w:vAlign w:val="center"/>
          </w:tcPr>
          <w:p w14:paraId="3F744EB7">
            <w:pPr>
              <w:adjustRightInd w:val="0"/>
              <w:snapToGrid w:val="0"/>
              <w:jc w:val="center"/>
              <w:rPr>
                <w:rFonts w:ascii="Times New Roman" w:hAnsi="Times New Roman" w:eastAsia="宋体" w:cs="Times New Roman"/>
                <w:color w:val="auto"/>
                <w:szCs w:val="21"/>
                <w:lang w:bidi="ar"/>
              </w:rPr>
            </w:pPr>
          </w:p>
        </w:tc>
      </w:tr>
      <w:tr w14:paraId="6C841E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Merge w:val="continue"/>
            <w:vAlign w:val="center"/>
          </w:tcPr>
          <w:p w14:paraId="29A889B8">
            <w:pPr>
              <w:adjustRightInd w:val="0"/>
              <w:snapToGrid w:val="0"/>
              <w:jc w:val="center"/>
              <w:rPr>
                <w:rFonts w:ascii="Times New Roman" w:hAnsi="Times New Roman" w:eastAsia="宋体" w:cs="Times New Roman"/>
                <w:color w:val="auto"/>
                <w:szCs w:val="21"/>
                <w:lang w:bidi="ar"/>
              </w:rPr>
            </w:pPr>
          </w:p>
        </w:tc>
        <w:tc>
          <w:tcPr>
            <w:tcW w:w="1395" w:type="pct"/>
            <w:vAlign w:val="center"/>
          </w:tcPr>
          <w:p w14:paraId="6385BF2F">
            <w:pPr>
              <w:adjustRightInd w:val="0"/>
              <w:snapToGrid w:val="0"/>
              <w:jc w:val="center"/>
              <w:rPr>
                <w:rFonts w:ascii="Times New Roman" w:hAnsi="Times New Roman" w:eastAsia="宋体" w:cs="Times New Roman"/>
                <w:color w:val="auto"/>
                <w:szCs w:val="21"/>
                <w:lang w:bidi="ar"/>
              </w:rPr>
            </w:pPr>
            <w:r>
              <w:rPr>
                <w:rFonts w:ascii="Times New Roman" w:hAnsi="Times New Roman" w:eastAsia="宋体" w:cs="Times New Roman"/>
                <w:color w:val="auto"/>
              </w:rPr>
              <w:t>秦淮河（牛首山河河口</w:t>
            </w:r>
            <w:r>
              <w:rPr>
                <w:rFonts w:hint="eastAsia" w:ascii="Times New Roman" w:hAnsi="Times New Roman" w:eastAsia="宋体" w:cs="Times New Roman"/>
                <w:color w:val="auto"/>
                <w:lang w:val="en-US" w:eastAsia="zh-CN"/>
              </w:rPr>
              <w:t>-</w:t>
            </w:r>
            <w:r>
              <w:rPr>
                <w:rFonts w:ascii="Times New Roman" w:hAnsi="Times New Roman" w:eastAsia="宋体" w:cs="Times New Roman"/>
                <w:color w:val="auto"/>
              </w:rPr>
              <w:t>江宁上坊门桥段）</w:t>
            </w:r>
          </w:p>
        </w:tc>
        <w:tc>
          <w:tcPr>
            <w:tcW w:w="1475" w:type="pct"/>
            <w:vMerge w:val="restart"/>
            <w:vAlign w:val="center"/>
          </w:tcPr>
          <w:p w14:paraId="65319010">
            <w:pPr>
              <w:adjustRightInd w:val="0"/>
              <w:snapToGrid w:val="0"/>
              <w:jc w:val="center"/>
              <w:rPr>
                <w:rFonts w:ascii="Times New Roman" w:hAnsi="Times New Roman" w:eastAsia="宋体" w:cs="Times New Roman"/>
                <w:color w:val="auto"/>
                <w:szCs w:val="21"/>
                <w:lang w:bidi="ar"/>
              </w:rPr>
            </w:pPr>
            <w:r>
              <w:rPr>
                <w:rFonts w:ascii="Times New Roman" w:hAnsi="Times New Roman" w:eastAsia="宋体" w:cs="Times New Roman"/>
                <w:color w:val="auto"/>
                <w:szCs w:val="21"/>
                <w:lang w:bidi="ar"/>
              </w:rPr>
              <w:t>达</w:t>
            </w:r>
            <w:bookmarkStart w:id="2347" w:name="OLE_LINK624"/>
            <w:r>
              <w:rPr>
                <w:rFonts w:ascii="Times New Roman" w:hAnsi="Times New Roman" w:eastAsia="宋体" w:cs="Times New Roman"/>
                <w:color w:val="auto"/>
                <w:szCs w:val="21"/>
                <w:lang w:bidi="ar"/>
              </w:rPr>
              <w:t>Ⅳ类</w:t>
            </w:r>
            <w:bookmarkEnd w:id="2347"/>
            <w:r>
              <w:rPr>
                <w:rFonts w:ascii="Times New Roman" w:hAnsi="Times New Roman" w:eastAsia="宋体" w:cs="Times New Roman"/>
                <w:color w:val="auto"/>
                <w:szCs w:val="21"/>
                <w:lang w:bidi="ar"/>
              </w:rPr>
              <w:t>水体标准</w:t>
            </w:r>
          </w:p>
        </w:tc>
        <w:tc>
          <w:tcPr>
            <w:tcW w:w="1475" w:type="pct"/>
            <w:vMerge w:val="continue"/>
            <w:vAlign w:val="center"/>
          </w:tcPr>
          <w:p w14:paraId="150A4094">
            <w:pPr>
              <w:adjustRightInd w:val="0"/>
              <w:snapToGrid w:val="0"/>
              <w:jc w:val="center"/>
              <w:rPr>
                <w:rFonts w:ascii="Times New Roman" w:hAnsi="Times New Roman" w:eastAsia="宋体" w:cs="Times New Roman"/>
                <w:color w:val="auto"/>
                <w:szCs w:val="21"/>
                <w:lang w:bidi="ar"/>
              </w:rPr>
            </w:pPr>
          </w:p>
        </w:tc>
      </w:tr>
      <w:tr w14:paraId="3611D9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Merge w:val="continue"/>
            <w:vAlign w:val="center"/>
          </w:tcPr>
          <w:p w14:paraId="0D95B30D">
            <w:pPr>
              <w:adjustRightInd w:val="0"/>
              <w:snapToGrid w:val="0"/>
              <w:jc w:val="center"/>
              <w:rPr>
                <w:rFonts w:ascii="Times New Roman" w:hAnsi="Times New Roman" w:eastAsia="宋体" w:cs="Times New Roman"/>
                <w:color w:val="auto"/>
                <w:szCs w:val="21"/>
                <w:lang w:bidi="ar"/>
              </w:rPr>
            </w:pPr>
          </w:p>
        </w:tc>
        <w:tc>
          <w:tcPr>
            <w:tcW w:w="1395" w:type="pct"/>
            <w:vAlign w:val="center"/>
          </w:tcPr>
          <w:p w14:paraId="2CA49126">
            <w:pPr>
              <w:adjustRightInd w:val="0"/>
              <w:snapToGrid w:val="0"/>
              <w:jc w:val="center"/>
              <w:rPr>
                <w:rFonts w:ascii="Times New Roman" w:hAnsi="Times New Roman" w:eastAsia="宋体" w:cs="Times New Roman"/>
                <w:color w:val="auto"/>
                <w:szCs w:val="21"/>
                <w:lang w:bidi="ar"/>
              </w:rPr>
            </w:pPr>
            <w:r>
              <w:rPr>
                <w:rFonts w:ascii="Times New Roman" w:hAnsi="Times New Roman" w:eastAsia="宋体" w:cs="Times New Roman"/>
                <w:color w:val="auto"/>
              </w:rPr>
              <w:t>胜利河</w:t>
            </w:r>
          </w:p>
        </w:tc>
        <w:tc>
          <w:tcPr>
            <w:tcW w:w="1475" w:type="pct"/>
            <w:vMerge w:val="continue"/>
            <w:vAlign w:val="center"/>
          </w:tcPr>
          <w:p w14:paraId="539EBB36">
            <w:pPr>
              <w:adjustRightInd w:val="0"/>
              <w:snapToGrid w:val="0"/>
              <w:jc w:val="center"/>
              <w:rPr>
                <w:rFonts w:ascii="Times New Roman" w:hAnsi="Times New Roman" w:eastAsia="宋体" w:cs="Times New Roman"/>
                <w:color w:val="auto"/>
                <w:szCs w:val="21"/>
                <w:lang w:bidi="ar"/>
              </w:rPr>
            </w:pPr>
          </w:p>
        </w:tc>
        <w:tc>
          <w:tcPr>
            <w:tcW w:w="1475" w:type="pct"/>
            <w:vMerge w:val="continue"/>
            <w:vAlign w:val="center"/>
          </w:tcPr>
          <w:p w14:paraId="2428A5CD">
            <w:pPr>
              <w:adjustRightInd w:val="0"/>
              <w:snapToGrid w:val="0"/>
              <w:jc w:val="center"/>
              <w:rPr>
                <w:rFonts w:ascii="Times New Roman" w:hAnsi="Times New Roman" w:eastAsia="宋体" w:cs="Times New Roman"/>
                <w:color w:val="auto"/>
                <w:szCs w:val="21"/>
                <w:lang w:bidi="ar"/>
              </w:rPr>
            </w:pPr>
          </w:p>
        </w:tc>
      </w:tr>
      <w:tr w14:paraId="204827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Merge w:val="continue"/>
            <w:vAlign w:val="center"/>
          </w:tcPr>
          <w:p w14:paraId="0E7A331D">
            <w:pPr>
              <w:adjustRightInd w:val="0"/>
              <w:snapToGrid w:val="0"/>
              <w:jc w:val="center"/>
              <w:rPr>
                <w:rFonts w:ascii="Times New Roman" w:hAnsi="Times New Roman" w:eastAsia="宋体" w:cs="Times New Roman"/>
                <w:color w:val="auto"/>
                <w:szCs w:val="21"/>
                <w:lang w:bidi="ar"/>
              </w:rPr>
            </w:pPr>
          </w:p>
        </w:tc>
        <w:tc>
          <w:tcPr>
            <w:tcW w:w="1395" w:type="pct"/>
            <w:vAlign w:val="center"/>
          </w:tcPr>
          <w:p w14:paraId="3882A633">
            <w:pPr>
              <w:adjustRightInd w:val="0"/>
              <w:snapToGrid w:val="0"/>
              <w:jc w:val="center"/>
              <w:rPr>
                <w:rFonts w:ascii="Times New Roman" w:hAnsi="Times New Roman" w:eastAsia="宋体" w:cs="Times New Roman"/>
                <w:color w:val="auto"/>
                <w:szCs w:val="21"/>
                <w:lang w:bidi="ar"/>
              </w:rPr>
            </w:pPr>
            <w:r>
              <w:rPr>
                <w:rFonts w:ascii="Times New Roman" w:hAnsi="Times New Roman" w:eastAsia="宋体" w:cs="Times New Roman"/>
                <w:color w:val="auto"/>
              </w:rPr>
              <w:t>百家湖</w:t>
            </w:r>
          </w:p>
        </w:tc>
        <w:tc>
          <w:tcPr>
            <w:tcW w:w="1475" w:type="pct"/>
            <w:vMerge w:val="continue"/>
            <w:vAlign w:val="center"/>
          </w:tcPr>
          <w:p w14:paraId="0BBE97BD">
            <w:pPr>
              <w:adjustRightInd w:val="0"/>
              <w:snapToGrid w:val="0"/>
              <w:jc w:val="center"/>
              <w:rPr>
                <w:rFonts w:ascii="Times New Roman" w:hAnsi="Times New Roman" w:eastAsia="宋体" w:cs="Times New Roman"/>
                <w:color w:val="auto"/>
                <w:szCs w:val="21"/>
                <w:lang w:bidi="ar"/>
              </w:rPr>
            </w:pPr>
          </w:p>
        </w:tc>
        <w:tc>
          <w:tcPr>
            <w:tcW w:w="1475" w:type="pct"/>
            <w:vMerge w:val="continue"/>
            <w:vAlign w:val="center"/>
          </w:tcPr>
          <w:p w14:paraId="682C26F3">
            <w:pPr>
              <w:adjustRightInd w:val="0"/>
              <w:snapToGrid w:val="0"/>
              <w:jc w:val="center"/>
              <w:rPr>
                <w:rFonts w:ascii="Times New Roman" w:hAnsi="Times New Roman" w:eastAsia="宋体" w:cs="Times New Roman"/>
                <w:color w:val="auto"/>
                <w:szCs w:val="21"/>
                <w:lang w:bidi="ar"/>
              </w:rPr>
            </w:pPr>
          </w:p>
        </w:tc>
      </w:tr>
      <w:tr w14:paraId="5A68B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Merge w:val="continue"/>
            <w:vAlign w:val="center"/>
          </w:tcPr>
          <w:p w14:paraId="0C6C1A14">
            <w:pPr>
              <w:adjustRightInd w:val="0"/>
              <w:snapToGrid w:val="0"/>
              <w:jc w:val="center"/>
              <w:rPr>
                <w:rFonts w:ascii="Times New Roman" w:hAnsi="Times New Roman" w:eastAsia="宋体" w:cs="Times New Roman"/>
                <w:color w:val="auto"/>
                <w:szCs w:val="21"/>
                <w:lang w:bidi="ar"/>
              </w:rPr>
            </w:pPr>
          </w:p>
        </w:tc>
        <w:tc>
          <w:tcPr>
            <w:tcW w:w="1395" w:type="pct"/>
            <w:vAlign w:val="center"/>
          </w:tcPr>
          <w:p w14:paraId="47E9ED26">
            <w:pPr>
              <w:adjustRightInd w:val="0"/>
              <w:snapToGrid w:val="0"/>
              <w:jc w:val="center"/>
              <w:rPr>
                <w:rFonts w:ascii="Times New Roman" w:hAnsi="Times New Roman" w:eastAsia="宋体" w:cs="Times New Roman"/>
                <w:color w:val="auto"/>
                <w:szCs w:val="21"/>
                <w:lang w:bidi="ar"/>
              </w:rPr>
            </w:pPr>
            <w:r>
              <w:rPr>
                <w:rFonts w:ascii="Times New Roman" w:hAnsi="Times New Roman" w:eastAsia="宋体" w:cs="Times New Roman"/>
                <w:color w:val="auto"/>
              </w:rPr>
              <w:t>九龙湖</w:t>
            </w:r>
          </w:p>
        </w:tc>
        <w:tc>
          <w:tcPr>
            <w:tcW w:w="1475" w:type="pct"/>
            <w:vMerge w:val="continue"/>
            <w:vAlign w:val="center"/>
          </w:tcPr>
          <w:p w14:paraId="3E82AF07">
            <w:pPr>
              <w:adjustRightInd w:val="0"/>
              <w:snapToGrid w:val="0"/>
              <w:jc w:val="center"/>
              <w:rPr>
                <w:rFonts w:ascii="Times New Roman" w:hAnsi="Times New Roman" w:eastAsia="宋体" w:cs="Times New Roman"/>
                <w:color w:val="auto"/>
                <w:szCs w:val="21"/>
                <w:lang w:bidi="ar"/>
              </w:rPr>
            </w:pPr>
          </w:p>
        </w:tc>
        <w:tc>
          <w:tcPr>
            <w:tcW w:w="1475" w:type="pct"/>
            <w:vMerge w:val="continue"/>
            <w:vAlign w:val="center"/>
          </w:tcPr>
          <w:p w14:paraId="22E50959">
            <w:pPr>
              <w:adjustRightInd w:val="0"/>
              <w:snapToGrid w:val="0"/>
              <w:jc w:val="center"/>
              <w:rPr>
                <w:rFonts w:ascii="Times New Roman" w:hAnsi="Times New Roman" w:eastAsia="宋体" w:cs="Times New Roman"/>
                <w:color w:val="auto"/>
                <w:szCs w:val="21"/>
                <w:lang w:bidi="ar"/>
              </w:rPr>
            </w:pPr>
          </w:p>
        </w:tc>
      </w:tr>
      <w:tr w14:paraId="12561D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Merge w:val="restart"/>
            <w:vAlign w:val="center"/>
          </w:tcPr>
          <w:p w14:paraId="17D253E5">
            <w:pPr>
              <w:adjustRightInd w:val="0"/>
              <w:snapToGrid w:val="0"/>
              <w:jc w:val="center"/>
              <w:rPr>
                <w:rFonts w:ascii="Times New Roman" w:hAnsi="Times New Roman" w:eastAsia="宋体" w:cs="Times New Roman"/>
                <w:color w:val="auto"/>
                <w:szCs w:val="21"/>
                <w:highlight w:val="none"/>
                <w:lang w:bidi="ar"/>
              </w:rPr>
            </w:pPr>
            <w:r>
              <w:rPr>
                <w:rFonts w:ascii="Times New Roman" w:hAnsi="Times New Roman" w:eastAsia="宋体" w:cs="Times New Roman"/>
                <w:color w:val="auto"/>
                <w:szCs w:val="21"/>
                <w:highlight w:val="none"/>
                <w:lang w:bidi="ar"/>
              </w:rPr>
              <w:t>声环境</w:t>
            </w:r>
          </w:p>
        </w:tc>
        <w:tc>
          <w:tcPr>
            <w:tcW w:w="1395" w:type="pct"/>
            <w:vAlign w:val="center"/>
          </w:tcPr>
          <w:p w14:paraId="29DB507C">
            <w:pPr>
              <w:adjustRightInd w:val="0"/>
              <w:snapToGrid w:val="0"/>
              <w:jc w:val="center"/>
              <w:rPr>
                <w:rFonts w:ascii="Times New Roman" w:hAnsi="Times New Roman" w:eastAsia="宋体" w:cs="Times New Roman"/>
                <w:color w:val="auto"/>
                <w:szCs w:val="21"/>
                <w:highlight w:val="none"/>
                <w:lang w:bidi="ar"/>
              </w:rPr>
            </w:pPr>
            <w:r>
              <w:rPr>
                <w:rFonts w:ascii="Times New Roman" w:hAnsi="Times New Roman" w:eastAsia="宋体" w:cs="Times New Roman"/>
                <w:color w:val="auto"/>
                <w:highlight w:val="none"/>
              </w:rPr>
              <w:t>除2、3类以外的区域</w:t>
            </w:r>
          </w:p>
        </w:tc>
        <w:tc>
          <w:tcPr>
            <w:tcW w:w="1475" w:type="pct"/>
            <w:vAlign w:val="center"/>
          </w:tcPr>
          <w:p w14:paraId="79C4AFF7">
            <w:pPr>
              <w:adjustRightInd w:val="0"/>
              <w:snapToGrid w:val="0"/>
              <w:jc w:val="center"/>
              <w:rPr>
                <w:rFonts w:ascii="Times New Roman" w:hAnsi="Times New Roman" w:eastAsia="宋体" w:cs="Times New Roman"/>
                <w:color w:val="auto"/>
                <w:szCs w:val="21"/>
                <w:highlight w:val="none"/>
                <w:lang w:bidi="ar"/>
              </w:rPr>
            </w:pPr>
            <w:r>
              <w:rPr>
                <w:rFonts w:ascii="Times New Roman" w:hAnsi="Times New Roman" w:eastAsia="宋体" w:cs="Times New Roman"/>
                <w:color w:val="auto"/>
                <w:szCs w:val="21"/>
                <w:highlight w:val="none"/>
                <w:lang w:bidi="ar"/>
              </w:rPr>
              <w:t>达声环境1类区标准</w:t>
            </w:r>
          </w:p>
        </w:tc>
        <w:tc>
          <w:tcPr>
            <w:tcW w:w="1475" w:type="pct"/>
            <w:vMerge w:val="restart"/>
            <w:vAlign w:val="center"/>
          </w:tcPr>
          <w:p w14:paraId="152A6AEE">
            <w:pPr>
              <w:adjustRightInd w:val="0"/>
              <w:snapToGrid w:val="0"/>
              <w:jc w:val="center"/>
              <w:rPr>
                <w:rFonts w:ascii="Times New Roman" w:hAnsi="Times New Roman" w:eastAsia="宋体" w:cs="Times New Roman"/>
                <w:color w:val="auto"/>
                <w:szCs w:val="21"/>
                <w:highlight w:val="none"/>
                <w:lang w:bidi="ar"/>
              </w:rPr>
            </w:pPr>
            <w:bookmarkStart w:id="2348" w:name="OLE_LINK735"/>
            <w:r>
              <w:rPr>
                <w:rFonts w:hint="default" w:ascii="Times New Roman" w:hAnsi="Times New Roman" w:cs="Times New Roman"/>
                <w:color w:val="auto"/>
                <w:highlight w:val="none"/>
              </w:rPr>
              <w:t>《声环境质量标准》（GB3096-2008）中</w:t>
            </w:r>
            <w:r>
              <w:rPr>
                <w:rFonts w:hint="default" w:ascii="Times New Roman" w:hAnsi="Times New Roman" w:eastAsia="宋体" w:cs="Times New Roman"/>
                <w:color w:val="auto"/>
                <w:highlight w:val="none"/>
                <w:lang w:val="en-US" w:eastAsia="zh-CN"/>
              </w:rPr>
              <w:t>1</w:t>
            </w:r>
            <w:r>
              <w:rPr>
                <w:rFonts w:hint="default" w:ascii="Times New Roman" w:hAnsi="Times New Roman" w:cs="Times New Roman"/>
                <w:color w:val="auto"/>
                <w:highlight w:val="none"/>
              </w:rPr>
              <w:t>类、</w:t>
            </w:r>
            <w:r>
              <w:rPr>
                <w:rFonts w:hint="default" w:ascii="Times New Roman" w:hAnsi="Times New Roman" w:eastAsia="宋体" w:cs="Times New Roman"/>
                <w:color w:val="auto"/>
                <w:highlight w:val="none"/>
                <w:lang w:val="en-US" w:eastAsia="zh-CN"/>
              </w:rPr>
              <w:t>2</w:t>
            </w:r>
            <w:r>
              <w:rPr>
                <w:rFonts w:hint="default" w:ascii="Times New Roman" w:hAnsi="Times New Roman" w:cs="Times New Roman"/>
                <w:color w:val="auto"/>
                <w:highlight w:val="none"/>
              </w:rPr>
              <w:t>类和4类标准</w:t>
            </w:r>
            <w:bookmarkEnd w:id="2348"/>
          </w:p>
        </w:tc>
      </w:tr>
      <w:tr w14:paraId="5E020A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Merge w:val="continue"/>
            <w:vAlign w:val="center"/>
          </w:tcPr>
          <w:p w14:paraId="099F727A">
            <w:pPr>
              <w:adjustRightInd w:val="0"/>
              <w:snapToGrid w:val="0"/>
              <w:jc w:val="center"/>
              <w:rPr>
                <w:rFonts w:ascii="Times New Roman" w:hAnsi="Times New Roman" w:eastAsia="宋体" w:cs="Times New Roman"/>
                <w:color w:val="auto"/>
                <w:szCs w:val="21"/>
                <w:highlight w:val="none"/>
                <w:lang w:bidi="ar"/>
              </w:rPr>
            </w:pPr>
          </w:p>
        </w:tc>
        <w:tc>
          <w:tcPr>
            <w:tcW w:w="1395" w:type="pct"/>
            <w:vAlign w:val="center"/>
          </w:tcPr>
          <w:p w14:paraId="37C3EB1B">
            <w:pPr>
              <w:adjustRightInd w:val="0"/>
              <w:snapToGrid w:val="0"/>
              <w:jc w:val="center"/>
              <w:rPr>
                <w:rFonts w:ascii="Times New Roman" w:hAnsi="Times New Roman" w:eastAsia="宋体" w:cs="Times New Roman"/>
                <w:color w:val="auto"/>
                <w:szCs w:val="21"/>
                <w:highlight w:val="none"/>
                <w:lang w:bidi="ar"/>
              </w:rPr>
            </w:pPr>
            <w:r>
              <w:rPr>
                <w:rFonts w:hint="eastAsia" w:ascii="Times New Roman" w:hAnsi="Times New Roman" w:eastAsia="宋体" w:cs="Times New Roman"/>
                <w:snapToGrid w:val="0"/>
                <w:color w:val="auto"/>
                <w:kern w:val="0"/>
                <w:sz w:val="21"/>
                <w:szCs w:val="21"/>
                <w:highlight w:val="none"/>
                <w:vertAlign w:val="baseline"/>
                <w:lang w:val="en-US" w:eastAsia="zh-CN" w:bidi="ar-SA"/>
              </w:rPr>
              <w:t>各街道建成区</w:t>
            </w:r>
          </w:p>
        </w:tc>
        <w:tc>
          <w:tcPr>
            <w:tcW w:w="1475" w:type="pct"/>
            <w:vAlign w:val="center"/>
          </w:tcPr>
          <w:p w14:paraId="19F0A41E">
            <w:pPr>
              <w:adjustRightInd w:val="0"/>
              <w:snapToGrid w:val="0"/>
              <w:jc w:val="center"/>
              <w:rPr>
                <w:rFonts w:ascii="Times New Roman" w:hAnsi="Times New Roman" w:eastAsia="宋体" w:cs="Times New Roman"/>
                <w:color w:val="auto"/>
                <w:szCs w:val="21"/>
                <w:highlight w:val="none"/>
                <w:lang w:bidi="ar"/>
              </w:rPr>
            </w:pPr>
            <w:r>
              <w:rPr>
                <w:rFonts w:ascii="Times New Roman" w:hAnsi="Times New Roman" w:eastAsia="宋体" w:cs="Times New Roman"/>
                <w:color w:val="auto"/>
                <w:szCs w:val="21"/>
                <w:highlight w:val="none"/>
                <w:lang w:bidi="ar"/>
              </w:rPr>
              <w:t>达声环境2类区标准</w:t>
            </w:r>
          </w:p>
        </w:tc>
        <w:tc>
          <w:tcPr>
            <w:tcW w:w="1475" w:type="pct"/>
            <w:vMerge w:val="continue"/>
            <w:vAlign w:val="center"/>
          </w:tcPr>
          <w:p w14:paraId="08DCD6CB">
            <w:pPr>
              <w:adjustRightInd w:val="0"/>
              <w:snapToGrid w:val="0"/>
              <w:jc w:val="center"/>
              <w:rPr>
                <w:rFonts w:ascii="Times New Roman" w:hAnsi="Times New Roman" w:eastAsia="宋体" w:cs="Times New Roman"/>
                <w:color w:val="auto"/>
                <w:szCs w:val="21"/>
                <w:highlight w:val="none"/>
                <w:lang w:bidi="ar"/>
              </w:rPr>
            </w:pPr>
          </w:p>
        </w:tc>
      </w:tr>
      <w:tr w14:paraId="627703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Merge w:val="continue"/>
            <w:vAlign w:val="center"/>
          </w:tcPr>
          <w:p w14:paraId="3740E2DC">
            <w:pPr>
              <w:adjustRightInd w:val="0"/>
              <w:snapToGrid w:val="0"/>
              <w:jc w:val="center"/>
              <w:rPr>
                <w:rFonts w:ascii="Times New Roman" w:hAnsi="Times New Roman" w:eastAsia="宋体" w:cs="Times New Roman"/>
                <w:color w:val="auto"/>
                <w:szCs w:val="21"/>
                <w:highlight w:val="none"/>
                <w:lang w:bidi="ar"/>
              </w:rPr>
            </w:pPr>
          </w:p>
        </w:tc>
        <w:tc>
          <w:tcPr>
            <w:tcW w:w="1395" w:type="pct"/>
            <w:vAlign w:val="center"/>
          </w:tcPr>
          <w:p w14:paraId="7C3C57B6">
            <w:pPr>
              <w:adjustRightInd w:val="0"/>
              <w:snapToGrid w:val="0"/>
              <w:jc w:val="center"/>
              <w:rPr>
                <w:rFonts w:ascii="Times New Roman" w:hAnsi="Times New Roman" w:eastAsia="宋体" w:cs="Times New Roman"/>
                <w:color w:val="auto"/>
                <w:szCs w:val="21"/>
                <w:highlight w:val="none"/>
                <w:lang w:bidi="ar"/>
              </w:rPr>
            </w:pPr>
            <w:bookmarkStart w:id="2349" w:name="sys14820053"/>
            <w:r>
              <w:rPr>
                <w:rFonts w:ascii="Times New Roman" w:hAnsi="Times New Roman" w:eastAsia="宋体" w:cs="Times New Roman"/>
                <w:color w:val="auto"/>
                <w:highlight w:val="none"/>
              </w:rPr>
              <w:t>高速公路、一级公路、二级公路、城市快速路、城市主干路、城市次干路、城市轨道交通（地面段）、内河航道两侧区域</w:t>
            </w:r>
            <w:bookmarkEnd w:id="2349"/>
          </w:p>
        </w:tc>
        <w:tc>
          <w:tcPr>
            <w:tcW w:w="1475" w:type="pct"/>
            <w:vAlign w:val="center"/>
          </w:tcPr>
          <w:p w14:paraId="06929AE8">
            <w:pPr>
              <w:adjustRightInd w:val="0"/>
              <w:snapToGrid w:val="0"/>
              <w:jc w:val="center"/>
              <w:rPr>
                <w:rFonts w:ascii="Times New Roman" w:hAnsi="Times New Roman" w:eastAsia="宋体" w:cs="Times New Roman"/>
                <w:color w:val="auto"/>
                <w:szCs w:val="21"/>
                <w:highlight w:val="none"/>
                <w:lang w:bidi="ar"/>
              </w:rPr>
            </w:pPr>
            <w:r>
              <w:rPr>
                <w:rFonts w:ascii="Times New Roman" w:hAnsi="Times New Roman" w:eastAsia="宋体" w:cs="Times New Roman"/>
                <w:color w:val="auto"/>
                <w:szCs w:val="21"/>
                <w:highlight w:val="none"/>
                <w:lang w:bidi="ar"/>
              </w:rPr>
              <w:t>达声环境4a类区标准</w:t>
            </w:r>
          </w:p>
        </w:tc>
        <w:tc>
          <w:tcPr>
            <w:tcW w:w="1475" w:type="pct"/>
            <w:vMerge w:val="continue"/>
            <w:vAlign w:val="center"/>
          </w:tcPr>
          <w:p w14:paraId="260DF99D">
            <w:pPr>
              <w:adjustRightInd w:val="0"/>
              <w:snapToGrid w:val="0"/>
              <w:jc w:val="center"/>
              <w:rPr>
                <w:rFonts w:ascii="Times New Roman" w:hAnsi="Times New Roman" w:eastAsia="宋体" w:cs="Times New Roman"/>
                <w:color w:val="auto"/>
                <w:szCs w:val="21"/>
                <w:highlight w:val="none"/>
                <w:lang w:bidi="ar"/>
              </w:rPr>
            </w:pPr>
          </w:p>
        </w:tc>
      </w:tr>
      <w:tr w14:paraId="3E58E8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Merge w:val="continue"/>
            <w:vAlign w:val="center"/>
          </w:tcPr>
          <w:p w14:paraId="2CC6E67F">
            <w:pPr>
              <w:adjustRightInd w:val="0"/>
              <w:snapToGrid w:val="0"/>
              <w:jc w:val="center"/>
              <w:rPr>
                <w:rFonts w:ascii="Times New Roman" w:hAnsi="Times New Roman" w:eastAsia="宋体" w:cs="Times New Roman"/>
                <w:color w:val="auto"/>
                <w:szCs w:val="21"/>
                <w:highlight w:val="none"/>
                <w:lang w:bidi="ar"/>
              </w:rPr>
            </w:pPr>
          </w:p>
        </w:tc>
        <w:tc>
          <w:tcPr>
            <w:tcW w:w="1395" w:type="pct"/>
            <w:vAlign w:val="center"/>
          </w:tcPr>
          <w:p w14:paraId="348C5207">
            <w:pPr>
              <w:adjustRightInd w:val="0"/>
              <w:snapToGrid w:val="0"/>
              <w:jc w:val="center"/>
              <w:rPr>
                <w:rFonts w:ascii="Times New Roman" w:hAnsi="Times New Roman" w:eastAsia="宋体" w:cs="Times New Roman"/>
                <w:color w:val="auto"/>
                <w:szCs w:val="21"/>
                <w:highlight w:val="none"/>
                <w:lang w:bidi="ar"/>
              </w:rPr>
            </w:pPr>
            <w:r>
              <w:rPr>
                <w:rFonts w:ascii="Times New Roman" w:hAnsi="Times New Roman" w:eastAsia="宋体" w:cs="Times New Roman"/>
                <w:color w:val="auto"/>
                <w:highlight w:val="none"/>
              </w:rPr>
              <w:t>铁路干线两侧区域</w:t>
            </w:r>
          </w:p>
        </w:tc>
        <w:tc>
          <w:tcPr>
            <w:tcW w:w="1475" w:type="pct"/>
            <w:vAlign w:val="center"/>
          </w:tcPr>
          <w:p w14:paraId="6E89EE91">
            <w:pPr>
              <w:adjustRightInd w:val="0"/>
              <w:snapToGrid w:val="0"/>
              <w:jc w:val="center"/>
              <w:rPr>
                <w:rFonts w:ascii="Times New Roman" w:hAnsi="Times New Roman" w:eastAsia="宋体" w:cs="Times New Roman"/>
                <w:color w:val="auto"/>
                <w:szCs w:val="21"/>
                <w:highlight w:val="none"/>
                <w:lang w:bidi="ar"/>
              </w:rPr>
            </w:pPr>
            <w:r>
              <w:rPr>
                <w:rFonts w:ascii="Times New Roman" w:hAnsi="Times New Roman" w:eastAsia="宋体" w:cs="Times New Roman"/>
                <w:color w:val="auto"/>
                <w:szCs w:val="21"/>
                <w:highlight w:val="none"/>
                <w:lang w:bidi="ar"/>
              </w:rPr>
              <w:t>达声环境4b类区标准</w:t>
            </w:r>
          </w:p>
        </w:tc>
        <w:tc>
          <w:tcPr>
            <w:tcW w:w="1475" w:type="pct"/>
            <w:vMerge w:val="continue"/>
            <w:vAlign w:val="center"/>
          </w:tcPr>
          <w:p w14:paraId="09F8340E">
            <w:pPr>
              <w:adjustRightInd w:val="0"/>
              <w:snapToGrid w:val="0"/>
              <w:jc w:val="center"/>
              <w:rPr>
                <w:rFonts w:ascii="Times New Roman" w:hAnsi="Times New Roman" w:eastAsia="宋体" w:cs="Times New Roman"/>
                <w:color w:val="auto"/>
                <w:szCs w:val="21"/>
                <w:highlight w:val="none"/>
                <w:lang w:bidi="ar"/>
              </w:rPr>
            </w:pPr>
          </w:p>
        </w:tc>
      </w:tr>
      <w:tr w14:paraId="17C8B4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Align w:val="center"/>
          </w:tcPr>
          <w:p w14:paraId="16FD7191">
            <w:pPr>
              <w:adjustRightInd w:val="0"/>
              <w:snapToGrid w:val="0"/>
              <w:jc w:val="center"/>
              <w:rPr>
                <w:rFonts w:hint="default" w:ascii="Times New Roman" w:hAnsi="Times New Roman" w:eastAsia="宋体" w:cs="Times New Roman"/>
                <w:color w:val="auto"/>
                <w:szCs w:val="21"/>
                <w:highlight w:val="none"/>
                <w:lang w:bidi="ar"/>
              </w:rPr>
            </w:pPr>
            <w:bookmarkStart w:id="2350" w:name="OLE_LINK736" w:colFirst="0" w:colLast="3"/>
            <w:r>
              <w:rPr>
                <w:rFonts w:hint="default" w:ascii="Times New Roman" w:hAnsi="Times New Roman" w:eastAsia="宋体" w:cs="Times New Roman"/>
                <w:color w:val="auto"/>
                <w:szCs w:val="21"/>
                <w:highlight w:val="none"/>
                <w:lang w:bidi="ar"/>
              </w:rPr>
              <w:t>土壤、底泥</w:t>
            </w:r>
          </w:p>
        </w:tc>
        <w:tc>
          <w:tcPr>
            <w:tcW w:w="1395" w:type="pct"/>
            <w:vAlign w:val="center"/>
          </w:tcPr>
          <w:p w14:paraId="0D0A3B39">
            <w:pPr>
              <w:adjustRightInd w:val="0"/>
              <w:snapToGrid w:val="0"/>
              <w:jc w:val="center"/>
              <w:rPr>
                <w:rFonts w:hint="default" w:ascii="Times New Roman" w:hAnsi="Times New Roman" w:eastAsia="宋体" w:cs="Times New Roman"/>
                <w:color w:val="auto"/>
                <w:szCs w:val="21"/>
                <w:highlight w:val="none"/>
                <w:lang w:bidi="ar"/>
              </w:rPr>
            </w:pPr>
            <w:bookmarkStart w:id="2351" w:name="OLE_LINK625"/>
            <w:r>
              <w:rPr>
                <w:rFonts w:hint="default" w:ascii="Times New Roman" w:hAnsi="Times New Roman" w:eastAsia="宋体" w:cs="Times New Roman"/>
                <w:color w:val="auto"/>
                <w:szCs w:val="21"/>
                <w:highlight w:val="none"/>
                <w:lang w:bidi="ar"/>
              </w:rPr>
              <w:t>区域内</w:t>
            </w:r>
            <w:bookmarkEnd w:id="2351"/>
            <w:r>
              <w:rPr>
                <w:rFonts w:hint="default" w:ascii="Times New Roman" w:hAnsi="Times New Roman" w:eastAsia="宋体" w:cs="Times New Roman"/>
                <w:color w:val="auto"/>
                <w:szCs w:val="21"/>
                <w:highlight w:val="none"/>
                <w:lang w:bidi="ar"/>
              </w:rPr>
              <w:t>土壤及河道底泥</w:t>
            </w:r>
          </w:p>
        </w:tc>
        <w:tc>
          <w:tcPr>
            <w:tcW w:w="1475" w:type="pct"/>
            <w:vAlign w:val="center"/>
          </w:tcPr>
          <w:p w14:paraId="5130DF0A">
            <w:pPr>
              <w:adjustRightInd w:val="0"/>
              <w:snapToGrid w:val="0"/>
              <w:jc w:val="center"/>
              <w:rPr>
                <w:rFonts w:hint="default" w:ascii="Times New Roman" w:hAnsi="Times New Roman" w:eastAsia="宋体" w:cs="Times New Roman"/>
                <w:color w:val="auto"/>
                <w:szCs w:val="21"/>
                <w:highlight w:val="none"/>
                <w:lang w:bidi="ar"/>
              </w:rPr>
            </w:pPr>
            <w:r>
              <w:rPr>
                <w:rFonts w:hint="default" w:ascii="Times New Roman" w:hAnsi="Times New Roman" w:eastAsia="宋体" w:cs="Times New Roman"/>
                <w:color w:val="auto"/>
                <w:szCs w:val="21"/>
                <w:highlight w:val="none"/>
                <w:lang w:bidi="ar"/>
              </w:rPr>
              <w:t>达到土壤环境质量土壤污染风险管控标准中的筛选值</w:t>
            </w:r>
          </w:p>
        </w:tc>
        <w:tc>
          <w:tcPr>
            <w:tcW w:w="1475" w:type="pct"/>
            <w:vAlign w:val="center"/>
          </w:tcPr>
          <w:p w14:paraId="6942FCA5">
            <w:pPr>
              <w:adjustRightInd w:val="0"/>
              <w:snapToGrid w:val="0"/>
              <w:jc w:val="center"/>
              <w:rPr>
                <w:rFonts w:hint="default" w:ascii="Times New Roman" w:hAnsi="Times New Roman" w:eastAsia="宋体" w:cs="Times New Roman"/>
                <w:color w:val="auto"/>
                <w:szCs w:val="21"/>
                <w:highlight w:val="none"/>
                <w:lang w:bidi="ar"/>
              </w:rPr>
            </w:pPr>
            <w:r>
              <w:rPr>
                <w:rFonts w:hint="default" w:ascii="Times New Roman" w:hAnsi="Times New Roman" w:cs="Times New Roman"/>
                <w:color w:val="auto"/>
                <w:kern w:val="0"/>
                <w:szCs w:val="21"/>
                <w:highlight w:val="none"/>
              </w:rPr>
              <w:t>《土壤环境质量 建设用地土壤污染风险管控标准》（试行）（GB36600-2018）</w:t>
            </w:r>
            <w:r>
              <w:rPr>
                <w:rFonts w:hint="eastAsia" w:ascii="Times New Roman" w:hAnsi="Times New Roman" w:eastAsia="宋体" w:cs="Times New Roman"/>
                <w:color w:val="auto"/>
                <w:kern w:val="0"/>
                <w:szCs w:val="21"/>
                <w:highlight w:val="none"/>
                <w:lang w:eastAsia="zh-CN"/>
              </w:rPr>
              <w:t>、</w:t>
            </w:r>
            <w:r>
              <w:rPr>
                <w:rFonts w:hint="default" w:ascii="Times New Roman" w:hAnsi="Times New Roman" w:cs="Times New Roman"/>
                <w:color w:val="auto"/>
                <w:kern w:val="0"/>
                <w:szCs w:val="21"/>
                <w:highlight w:val="none"/>
              </w:rPr>
              <w:t>《土壤环境质量 农用地土壤污染风险管控标准》（试行）（GB15618-2018）标准中的筛选值</w:t>
            </w:r>
          </w:p>
        </w:tc>
      </w:tr>
      <w:tr w14:paraId="3E5727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653" w:type="pct"/>
            <w:vAlign w:val="center"/>
          </w:tcPr>
          <w:p w14:paraId="5F10F3B3">
            <w:pPr>
              <w:adjustRightInd w:val="0"/>
              <w:snapToGrid w:val="0"/>
              <w:jc w:val="center"/>
              <w:rPr>
                <w:rFonts w:hint="default" w:ascii="Times New Roman" w:hAnsi="Times New Roman" w:eastAsia="宋体" w:cs="Times New Roman"/>
                <w:color w:val="auto"/>
                <w:szCs w:val="21"/>
                <w:highlight w:val="none"/>
                <w:lang w:bidi="ar"/>
              </w:rPr>
            </w:pPr>
            <w:bookmarkStart w:id="2352" w:name="OLE_LINK737" w:colFirst="0" w:colLast="1"/>
            <w:bookmarkStart w:id="2353" w:name="OLE_LINK626" w:colFirst="0" w:colLast="3"/>
            <w:r>
              <w:rPr>
                <w:rFonts w:hint="default" w:ascii="Times New Roman" w:hAnsi="Times New Roman" w:cs="Times New Roman"/>
                <w:color w:val="auto"/>
                <w:szCs w:val="21"/>
                <w:highlight w:val="none"/>
              </w:rPr>
              <w:t>地下水</w:t>
            </w:r>
          </w:p>
        </w:tc>
        <w:tc>
          <w:tcPr>
            <w:tcW w:w="1395" w:type="pct"/>
            <w:vAlign w:val="center"/>
          </w:tcPr>
          <w:p w14:paraId="59F4BA6E">
            <w:pPr>
              <w:adjustRightInd w:val="0"/>
              <w:snapToGrid w:val="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bidi="ar"/>
              </w:rPr>
              <w:t>区域内</w:t>
            </w:r>
            <w:r>
              <w:rPr>
                <w:rFonts w:hint="default" w:ascii="Times New Roman" w:hAnsi="Times New Roman" w:eastAsia="宋体" w:cs="Times New Roman"/>
                <w:color w:val="auto"/>
                <w:szCs w:val="21"/>
                <w:highlight w:val="none"/>
                <w:lang w:val="en-US" w:eastAsia="zh-CN" w:bidi="ar"/>
              </w:rPr>
              <w:t>地下水</w:t>
            </w:r>
          </w:p>
        </w:tc>
        <w:tc>
          <w:tcPr>
            <w:tcW w:w="1475" w:type="pct"/>
            <w:vAlign w:val="center"/>
          </w:tcPr>
          <w:p w14:paraId="6684A270">
            <w:pPr>
              <w:adjustRightInd w:val="0"/>
              <w:snapToGrid w:val="0"/>
              <w:jc w:val="center"/>
              <w:rPr>
                <w:rFonts w:hint="default" w:ascii="Times New Roman" w:hAnsi="Times New Roman" w:eastAsia="宋体" w:cs="Times New Roman"/>
                <w:color w:val="auto"/>
                <w:szCs w:val="21"/>
                <w:highlight w:val="none"/>
                <w:lang w:bidi="ar"/>
              </w:rPr>
            </w:pPr>
          </w:p>
        </w:tc>
        <w:tc>
          <w:tcPr>
            <w:tcW w:w="1475" w:type="pct"/>
            <w:vAlign w:val="center"/>
          </w:tcPr>
          <w:p w14:paraId="7EAF5A52">
            <w:pPr>
              <w:adjustRightInd w:val="0"/>
              <w:snapToGrid w:val="0"/>
              <w:jc w:val="center"/>
              <w:rPr>
                <w:rFonts w:hint="default" w:ascii="Times New Roman" w:hAnsi="Times New Roman" w:eastAsia="宋体" w:cs="Times New Roman"/>
                <w:color w:val="auto"/>
                <w:szCs w:val="21"/>
                <w:highlight w:val="none"/>
                <w:lang w:bidi="ar"/>
              </w:rPr>
            </w:pPr>
            <w:bookmarkStart w:id="2354" w:name="OLE_LINK738"/>
            <w:r>
              <w:rPr>
                <w:rFonts w:hint="default" w:ascii="Times New Roman" w:hAnsi="Times New Roman" w:cs="Times New Roman"/>
                <w:color w:val="auto"/>
                <w:highlight w:val="none"/>
              </w:rPr>
              <w:t>《地下水质量标准》（GB/T14848-2017）中的分类标准</w:t>
            </w:r>
            <w:bookmarkEnd w:id="2354"/>
          </w:p>
        </w:tc>
      </w:tr>
      <w:bookmarkEnd w:id="2350"/>
      <w:bookmarkEnd w:id="2352"/>
      <w:bookmarkEnd w:id="2353"/>
    </w:tbl>
    <w:p w14:paraId="498687BC">
      <w:pPr>
        <w:keepNext w:val="0"/>
        <w:keepLines w:val="0"/>
        <w:pageBreakBefore w:val="0"/>
        <w:widowControl/>
        <w:kinsoku w:val="0"/>
        <w:wordWrap/>
        <w:overflowPunct/>
        <w:topLinePunct w:val="0"/>
        <w:autoSpaceDE w:val="0"/>
        <w:autoSpaceDN w:val="0"/>
        <w:bidi w:val="0"/>
        <w:adjustRightInd w:val="0"/>
        <w:snapToGrid w:val="0"/>
        <w:spacing w:before="40" w:line="360" w:lineRule="auto"/>
        <w:ind w:left="37"/>
        <w:textAlignment w:val="baseline"/>
        <w:outlineLvl w:val="2"/>
        <w:rPr>
          <w:rFonts w:hint="default" w:ascii="宋体" w:hAnsi="宋体" w:eastAsia="宋体" w:cs="宋体"/>
          <w:color w:val="auto"/>
          <w:sz w:val="24"/>
          <w:szCs w:val="24"/>
          <w:highlight w:val="none"/>
          <w:lang w:val="en-US" w:eastAsia="zh-CN"/>
        </w:rPr>
      </w:pPr>
      <w:bookmarkStart w:id="2355" w:name="_Toc28072"/>
      <w:r>
        <w:rPr>
          <w:rFonts w:hint="eastAsia" w:ascii="Times New Roman" w:hAnsi="Times New Roman" w:eastAsia="宋体" w:cs="Times New Roman"/>
          <w:b/>
          <w:bCs/>
          <w:color w:val="auto"/>
          <w:spacing w:val="-4"/>
          <w:sz w:val="24"/>
          <w:szCs w:val="24"/>
          <w:highlight w:val="none"/>
          <w:lang w:val="en-US" w:eastAsia="zh-CN"/>
        </w:rPr>
        <w:t>10.2</w:t>
      </w:r>
      <w:r>
        <w:rPr>
          <w:rFonts w:ascii="Times New Roman" w:hAnsi="Times New Roman" w:eastAsia="Times New Roman" w:cs="Times New Roman"/>
          <w:b/>
          <w:bCs/>
          <w:color w:val="auto"/>
          <w:spacing w:val="-4"/>
          <w:sz w:val="24"/>
          <w:szCs w:val="24"/>
          <w:highlight w:val="none"/>
        </w:rPr>
        <w:t>.</w:t>
      </w:r>
      <w:r>
        <w:rPr>
          <w:rFonts w:hint="eastAsia" w:ascii="Times New Roman" w:hAnsi="Times New Roman" w:eastAsia="宋体" w:cs="Times New Roman"/>
          <w:b/>
          <w:bCs/>
          <w:color w:val="auto"/>
          <w:spacing w:val="-4"/>
          <w:sz w:val="24"/>
          <w:szCs w:val="24"/>
          <w:highlight w:val="none"/>
          <w:lang w:val="en-US" w:eastAsia="zh-CN"/>
        </w:rPr>
        <w:t>3</w:t>
      </w:r>
      <w:r>
        <w:rPr>
          <w:rFonts w:hint="eastAsia" w:ascii="宋体" w:hAnsi="宋体" w:eastAsia="宋体" w:cs="宋体"/>
          <w:b/>
          <w:bCs/>
          <w:color w:val="auto"/>
          <w:spacing w:val="-4"/>
          <w:sz w:val="24"/>
          <w:szCs w:val="24"/>
          <w:highlight w:val="none"/>
          <w:lang w:val="en-US" w:eastAsia="zh-CN"/>
        </w:rPr>
        <w:t>污染物排放标准要求</w:t>
      </w:r>
      <w:bookmarkEnd w:id="2355"/>
      <w:bookmarkStart w:id="2356" w:name="pindex14835"/>
      <w:bookmarkEnd w:id="2356"/>
    </w:p>
    <w:p w14:paraId="05E5704E">
      <w:pPr>
        <w:pStyle w:val="8"/>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bookmarkStart w:id="2357" w:name="sys14836035"/>
      <w:bookmarkStart w:id="2358" w:name="OLE_LINK630"/>
      <w:r>
        <w:rPr>
          <w:color w:val="auto"/>
          <w:sz w:val="24"/>
          <w:szCs w:val="24"/>
          <w:highlight w:val="none"/>
        </w:rPr>
        <w:t>本次评价提出</w:t>
      </w:r>
      <w:bookmarkStart w:id="2359" w:name="OLE_LINK628"/>
      <w:r>
        <w:rPr>
          <w:rFonts w:hint="eastAsia" w:eastAsia="宋体"/>
          <w:color w:val="auto"/>
          <w:sz w:val="24"/>
          <w:szCs w:val="24"/>
          <w:highlight w:val="none"/>
          <w:lang w:val="en-US" w:eastAsia="zh-CN"/>
        </w:rPr>
        <w:t>开发</w:t>
      </w:r>
      <w:r>
        <w:rPr>
          <w:color w:val="auto"/>
          <w:sz w:val="24"/>
          <w:szCs w:val="24"/>
          <w:highlight w:val="none"/>
        </w:rPr>
        <w:t>区</w:t>
      </w:r>
      <w:bookmarkEnd w:id="2359"/>
      <w:r>
        <w:rPr>
          <w:color w:val="auto"/>
          <w:sz w:val="24"/>
          <w:szCs w:val="24"/>
          <w:highlight w:val="none"/>
        </w:rPr>
        <w:t>入区项目的污染物排放标准要求，具体见</w:t>
      </w:r>
      <w:bookmarkStart w:id="2360" w:name="OLE_LINK739"/>
      <w:r>
        <w:rPr>
          <w:rFonts w:hint="default" w:ascii="Times New Roman" w:hAnsi="Times New Roman" w:cs="Times New Roman"/>
          <w:color w:val="auto"/>
          <w:sz w:val="24"/>
          <w:szCs w:val="24"/>
          <w:highlight w:val="none"/>
        </w:rPr>
        <w:t>表</w:t>
      </w:r>
      <w:bookmarkStart w:id="2361" w:name="OLE_LINK627"/>
      <w:r>
        <w:rPr>
          <w:rFonts w:hint="eastAsia" w:ascii="Times New Roman" w:hAnsi="Times New Roman" w:eastAsia="宋体"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.2-2</w:t>
      </w:r>
      <w:bookmarkEnd w:id="2361"/>
      <w:r>
        <w:rPr>
          <w:rFonts w:hint="default" w:ascii="Times New Roman" w:hAnsi="Times New Roman" w:cs="Times New Roman"/>
          <w:color w:val="auto"/>
          <w:sz w:val="24"/>
          <w:szCs w:val="24"/>
          <w:highlight w:val="none"/>
        </w:rPr>
        <w:t>。</w:t>
      </w:r>
      <w:bookmarkEnd w:id="2357"/>
    </w:p>
    <w:bookmarkEnd w:id="2358"/>
    <w:p w14:paraId="528D9B94">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b/>
          <w:color w:val="auto"/>
          <w:sz w:val="24"/>
          <w:szCs w:val="24"/>
          <w:highlight w:val="none"/>
        </w:rPr>
      </w:pPr>
      <w:bookmarkStart w:id="2362" w:name="OLE_LINK629"/>
      <w:r>
        <w:rPr>
          <w:rFonts w:hint="default" w:ascii="Times New Roman" w:hAnsi="Times New Roman"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10</w:t>
      </w:r>
      <w:r>
        <w:rPr>
          <w:rFonts w:hint="default" w:ascii="Times New Roman" w:hAnsi="Times New Roman" w:cs="Times New Roman"/>
          <w:b/>
          <w:color w:val="auto"/>
          <w:sz w:val="24"/>
          <w:szCs w:val="24"/>
          <w:highlight w:val="none"/>
        </w:rPr>
        <w:t xml:space="preserve">.2-2  </w:t>
      </w:r>
      <w:r>
        <w:rPr>
          <w:rFonts w:hint="default" w:ascii="Times New Roman" w:hAnsi="Times New Roman" w:eastAsia="宋体" w:cs="Times New Roman"/>
          <w:b/>
          <w:color w:val="auto"/>
          <w:sz w:val="24"/>
          <w:szCs w:val="24"/>
          <w:highlight w:val="none"/>
          <w:lang w:val="en-US" w:eastAsia="zh-CN"/>
        </w:rPr>
        <w:t>开发</w:t>
      </w:r>
      <w:r>
        <w:rPr>
          <w:rFonts w:hint="default" w:ascii="Times New Roman" w:hAnsi="Times New Roman" w:cs="Times New Roman"/>
          <w:b/>
          <w:color w:val="auto"/>
          <w:sz w:val="24"/>
          <w:szCs w:val="24"/>
          <w:highlight w:val="none"/>
        </w:rPr>
        <w:t>区</w:t>
      </w:r>
      <w:bookmarkEnd w:id="2362"/>
      <w:r>
        <w:rPr>
          <w:rFonts w:hint="default" w:ascii="Times New Roman" w:hAnsi="Times New Roman" w:cs="Times New Roman"/>
          <w:b/>
          <w:color w:val="auto"/>
          <w:sz w:val="24"/>
          <w:szCs w:val="24"/>
          <w:highlight w:val="none"/>
        </w:rPr>
        <w:t>污染物排放标准要求表</w:t>
      </w:r>
      <w:bookmarkStart w:id="2363" w:name="pindex14837"/>
      <w:bookmarkEnd w:id="2363"/>
    </w:p>
    <w:bookmarkEnd w:id="2360"/>
    <w:tbl>
      <w:tblPr>
        <w:tblStyle w:val="19"/>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1"/>
        <w:gridCol w:w="2044"/>
        <w:gridCol w:w="5639"/>
      </w:tblGrid>
      <w:tr w14:paraId="1BCAC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12" w:type="pct"/>
            <w:noWrap w:val="0"/>
            <w:vAlign w:val="center"/>
          </w:tcPr>
          <w:p w14:paraId="1ACC38B0">
            <w:pPr>
              <w:keepNext w:val="0"/>
              <w:keepLines w:val="0"/>
              <w:pageBreakBefore w:val="0"/>
              <w:wordWrap/>
              <w:overflowPunct/>
              <w:topLinePunct w:val="0"/>
              <w:bidi w:val="0"/>
              <w:adjustRightInd w:val="0"/>
              <w:snapToGrid w:val="0"/>
              <w:spacing w:line="240" w:lineRule="auto"/>
              <w:jc w:val="center"/>
              <w:rPr>
                <w:b/>
                <w:color w:val="auto"/>
                <w:sz w:val="21"/>
                <w:szCs w:val="21"/>
                <w:highlight w:val="none"/>
              </w:rPr>
            </w:pPr>
            <w:r>
              <w:rPr>
                <w:b/>
                <w:color w:val="auto"/>
                <w:sz w:val="21"/>
                <w:szCs w:val="21"/>
                <w:highlight w:val="none"/>
              </w:rPr>
              <w:t>环境要素</w:t>
            </w:r>
          </w:p>
        </w:tc>
        <w:tc>
          <w:tcPr>
            <w:tcW w:w="1167" w:type="pct"/>
            <w:noWrap w:val="0"/>
            <w:vAlign w:val="center"/>
          </w:tcPr>
          <w:p w14:paraId="7DE9F96D">
            <w:pPr>
              <w:keepNext w:val="0"/>
              <w:keepLines w:val="0"/>
              <w:pageBreakBefore w:val="0"/>
              <w:wordWrap/>
              <w:overflowPunct/>
              <w:topLinePunct w:val="0"/>
              <w:bidi w:val="0"/>
              <w:adjustRightInd w:val="0"/>
              <w:snapToGrid w:val="0"/>
              <w:spacing w:line="240" w:lineRule="auto"/>
              <w:jc w:val="center"/>
              <w:rPr>
                <w:b/>
                <w:color w:val="auto"/>
                <w:sz w:val="21"/>
                <w:szCs w:val="21"/>
                <w:highlight w:val="none"/>
              </w:rPr>
            </w:pPr>
            <w:r>
              <w:rPr>
                <w:rFonts w:hint="default" w:ascii="Times New Roman" w:hAnsi="Times New Roman" w:eastAsia="宋体" w:cs="Times New Roman"/>
                <w:b/>
                <w:color w:val="auto"/>
                <w:sz w:val="21"/>
                <w:szCs w:val="21"/>
                <w:highlight w:val="none"/>
                <w:lang w:eastAsia="zh-CN"/>
              </w:rPr>
              <w:t>排放标准</w:t>
            </w:r>
          </w:p>
        </w:tc>
        <w:tc>
          <w:tcPr>
            <w:tcW w:w="3220" w:type="pct"/>
            <w:noWrap w:val="0"/>
            <w:vAlign w:val="center"/>
          </w:tcPr>
          <w:p w14:paraId="5A34AF05">
            <w:pPr>
              <w:keepNext w:val="0"/>
              <w:keepLines w:val="0"/>
              <w:pageBreakBefore w:val="0"/>
              <w:wordWrap/>
              <w:overflowPunct/>
              <w:topLinePunct w:val="0"/>
              <w:bidi w:val="0"/>
              <w:adjustRightInd w:val="0"/>
              <w:snapToGrid w:val="0"/>
              <w:spacing w:line="240" w:lineRule="auto"/>
              <w:jc w:val="center"/>
              <w:rPr>
                <w:b/>
                <w:color w:val="auto"/>
                <w:sz w:val="21"/>
                <w:szCs w:val="21"/>
                <w:highlight w:val="none"/>
              </w:rPr>
            </w:pPr>
            <w:r>
              <w:rPr>
                <w:b/>
                <w:color w:val="auto"/>
                <w:sz w:val="21"/>
                <w:szCs w:val="21"/>
                <w:highlight w:val="none"/>
              </w:rPr>
              <w:t>污染物排放标准要求</w:t>
            </w:r>
          </w:p>
        </w:tc>
      </w:tr>
      <w:tr w14:paraId="44685E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12" w:type="pct"/>
            <w:vMerge w:val="restart"/>
            <w:noWrap w:val="0"/>
            <w:vAlign w:val="center"/>
          </w:tcPr>
          <w:p w14:paraId="2F5B38EA">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r>
              <w:rPr>
                <w:color w:val="auto"/>
                <w:sz w:val="21"/>
                <w:szCs w:val="21"/>
                <w:highlight w:val="none"/>
              </w:rPr>
              <w:t>废气</w:t>
            </w:r>
          </w:p>
        </w:tc>
        <w:tc>
          <w:tcPr>
            <w:tcW w:w="1167" w:type="pct"/>
            <w:noWrap w:val="0"/>
            <w:vAlign w:val="center"/>
          </w:tcPr>
          <w:p w14:paraId="1275B3E9">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综合排放标准</w:t>
            </w:r>
          </w:p>
        </w:tc>
        <w:tc>
          <w:tcPr>
            <w:tcW w:w="3220" w:type="pct"/>
            <w:noWrap w:val="0"/>
            <w:vAlign w:val="center"/>
          </w:tcPr>
          <w:p w14:paraId="512256DB">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bookmarkStart w:id="2364" w:name="sys14843052"/>
            <w:bookmarkStart w:id="2365" w:name="OLE_LINK741"/>
            <w:r>
              <w:rPr>
                <w:rFonts w:hint="default" w:ascii="Times New Roman" w:hAnsi="Times New Roman" w:eastAsia="宋体" w:cs="Times New Roman"/>
                <w:color w:val="auto"/>
                <w:spacing w:val="-2"/>
                <w:sz w:val="21"/>
                <w:szCs w:val="21"/>
                <w:highlight w:val="none"/>
                <w:lang w:val="en-US" w:eastAsia="zh-CN"/>
              </w:rPr>
              <w:t>无行业标准的污染物排放执行《大气污染物综合排放标准》</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DB32/4041-2021</w:t>
            </w:r>
            <w:r>
              <w:rPr>
                <w:rFonts w:hint="eastAsia" w:ascii="Times New Roman" w:hAnsi="Times New Roman" w:eastAsia="宋体" w:cs="Times New Roman"/>
                <w:color w:val="auto"/>
                <w:spacing w:val="-2"/>
                <w:sz w:val="21"/>
                <w:szCs w:val="21"/>
                <w:highlight w:val="none"/>
                <w:lang w:val="en-US" w:eastAsia="zh-CN"/>
              </w:rPr>
              <w:t>）中相关标准相关要求；</w:t>
            </w:r>
            <w:bookmarkEnd w:id="2364"/>
            <w:bookmarkStart w:id="2366" w:name="sys148435255"/>
            <w:r>
              <w:rPr>
                <w:rFonts w:hint="default" w:ascii="Times New Roman" w:hAnsi="Times New Roman" w:eastAsia="宋体" w:cs="Times New Roman"/>
                <w:color w:val="auto"/>
                <w:spacing w:val="-2"/>
                <w:sz w:val="21"/>
                <w:szCs w:val="21"/>
                <w:highlight w:val="none"/>
                <w:lang w:val="en-US" w:eastAsia="zh-CN"/>
              </w:rPr>
              <w:t>企业厂区内VOCs无组织排放监控点浓度执行</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挥发性有机物无组织排放控制标准</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GB37822-2019</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要求</w:t>
            </w:r>
            <w:r>
              <w:rPr>
                <w:rFonts w:hint="eastAsia" w:ascii="Times New Roman" w:hAnsi="Times New Roman" w:eastAsia="宋体" w:cs="Times New Roman"/>
                <w:color w:val="auto"/>
                <w:spacing w:val="-2"/>
                <w:sz w:val="21"/>
                <w:szCs w:val="21"/>
                <w:highlight w:val="none"/>
                <w:lang w:val="en-US" w:eastAsia="zh-CN"/>
              </w:rPr>
              <w:t>；</w:t>
            </w:r>
            <w:bookmarkEnd w:id="2366"/>
            <w:bookmarkStart w:id="2367" w:name="sys1484310737"/>
            <w:r>
              <w:rPr>
                <w:rFonts w:hint="default" w:ascii="Times New Roman" w:hAnsi="Times New Roman" w:eastAsia="宋体" w:cs="Times New Roman"/>
                <w:color w:val="auto"/>
                <w:spacing w:val="-2"/>
                <w:sz w:val="21"/>
                <w:szCs w:val="21"/>
                <w:highlight w:val="none"/>
                <w:lang w:val="en-US" w:eastAsia="zh-CN"/>
              </w:rPr>
              <w:t>区内恶臭废气排放执行《恶臭污染物排放标准》</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GB14554-93</w:t>
            </w:r>
            <w:r>
              <w:rPr>
                <w:rFonts w:hint="eastAsia" w:ascii="Times New Roman" w:hAnsi="Times New Roman" w:eastAsia="宋体" w:cs="Times New Roman"/>
                <w:color w:val="auto"/>
                <w:spacing w:val="-2"/>
                <w:sz w:val="21"/>
                <w:szCs w:val="21"/>
                <w:highlight w:val="none"/>
                <w:lang w:val="en-US" w:eastAsia="zh-CN"/>
              </w:rPr>
              <w:t>）</w:t>
            </w:r>
            <w:r>
              <w:rPr>
                <w:rFonts w:hint="eastAsia"/>
                <w:color w:val="auto"/>
                <w:sz w:val="21"/>
                <w:szCs w:val="21"/>
                <w:highlight w:val="none"/>
                <w:lang w:val="zh-CN"/>
              </w:rPr>
              <w:t>二级标准</w:t>
            </w:r>
            <w:bookmarkEnd w:id="2365"/>
            <w:bookmarkEnd w:id="2367"/>
          </w:p>
        </w:tc>
      </w:tr>
      <w:tr w14:paraId="202A57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12" w:type="pct"/>
            <w:vMerge w:val="continue"/>
            <w:noWrap w:val="0"/>
            <w:vAlign w:val="center"/>
          </w:tcPr>
          <w:p w14:paraId="4AEEC247">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p>
        </w:tc>
        <w:tc>
          <w:tcPr>
            <w:tcW w:w="1167" w:type="pct"/>
            <w:noWrap w:val="0"/>
            <w:vAlign w:val="center"/>
          </w:tcPr>
          <w:p w14:paraId="306E815C">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行业排放标准</w:t>
            </w:r>
          </w:p>
        </w:tc>
        <w:tc>
          <w:tcPr>
            <w:tcW w:w="3220" w:type="pct"/>
            <w:noWrap w:val="0"/>
            <w:vAlign w:val="center"/>
          </w:tcPr>
          <w:p w14:paraId="635A9390">
            <w:pPr>
              <w:keepNext w:val="0"/>
              <w:keepLines w:val="0"/>
              <w:pageBreakBefore w:val="0"/>
              <w:wordWrap/>
              <w:overflowPunct/>
              <w:topLinePunct w:val="0"/>
              <w:bidi w:val="0"/>
              <w:adjustRightInd w:val="0"/>
              <w:snapToGrid w:val="0"/>
              <w:spacing w:line="240" w:lineRule="auto"/>
              <w:jc w:val="center"/>
              <w:rPr>
                <w:rFonts w:hint="eastAsia"/>
                <w:color w:val="auto"/>
                <w:sz w:val="21"/>
                <w:szCs w:val="21"/>
                <w:highlight w:val="none"/>
              </w:rPr>
            </w:pPr>
            <w:bookmarkStart w:id="2368" w:name="sys14846045"/>
            <w:bookmarkStart w:id="2369" w:name="OLE_LINK753"/>
            <w:r>
              <w:rPr>
                <w:rFonts w:hint="eastAsia"/>
                <w:color w:val="auto"/>
                <w:sz w:val="21"/>
                <w:szCs w:val="21"/>
                <w:highlight w:val="none"/>
              </w:rPr>
              <w:t>开区内</w:t>
            </w:r>
            <w:bookmarkStart w:id="2370" w:name="OLE_LINK764"/>
            <w:r>
              <w:rPr>
                <w:rFonts w:hint="eastAsia"/>
                <w:color w:val="auto"/>
                <w:sz w:val="21"/>
                <w:szCs w:val="21"/>
                <w:highlight w:val="none"/>
              </w:rPr>
              <w:t>工业企业大气污染物排放标准有行业标准和地方标准的，优先执行相应的行业标准和地方标准。</w:t>
            </w:r>
            <w:bookmarkEnd w:id="2368"/>
            <w:bookmarkEnd w:id="2370"/>
          </w:p>
          <w:p w14:paraId="7763184B">
            <w:pPr>
              <w:keepNext w:val="0"/>
              <w:keepLines w:val="0"/>
              <w:pageBreakBefore w:val="0"/>
              <w:wordWrap/>
              <w:overflowPunct/>
              <w:topLinePunct w:val="0"/>
              <w:bidi w:val="0"/>
              <w:adjustRightInd w:val="0"/>
              <w:snapToGrid w:val="0"/>
              <w:spacing w:line="240" w:lineRule="auto"/>
              <w:jc w:val="center"/>
              <w:rPr>
                <w:rFonts w:hint="default"/>
                <w:color w:val="auto"/>
                <w:sz w:val="21"/>
                <w:szCs w:val="21"/>
                <w:highlight w:val="none"/>
                <w:lang w:val="en-US"/>
              </w:rPr>
            </w:pPr>
            <w:r>
              <w:rPr>
                <w:rFonts w:hint="default" w:ascii="Times New Roman" w:hAnsi="Times New Roman" w:eastAsia="宋体" w:cs="Times New Roman"/>
                <w:color w:val="auto"/>
                <w:spacing w:val="-2"/>
                <w:sz w:val="21"/>
                <w:szCs w:val="21"/>
                <w:highlight w:val="none"/>
                <w:lang w:val="en-US" w:eastAsia="zh-CN"/>
              </w:rPr>
              <w:t>区内汽车零部件制造企业废气排放执行《表面涂装</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汽车零部件</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大气污染物排放标准》</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DB32</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3966-2021</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区内制药企业废气排放执行《制药工业大气污染物排放标准》</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DB32</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4042-2021</w:t>
            </w:r>
            <w:r>
              <w:rPr>
                <w:rFonts w:hint="eastAsia" w:ascii="Times New Roman" w:hAnsi="Times New Roman" w:eastAsia="宋体" w:cs="Times New Roman"/>
                <w:color w:val="auto"/>
                <w:spacing w:val="-2"/>
                <w:sz w:val="21"/>
                <w:szCs w:val="21"/>
                <w:highlight w:val="none"/>
                <w:lang w:val="en-US" w:eastAsia="zh-CN"/>
              </w:rPr>
              <w:t>）；</w:t>
            </w:r>
            <w:bookmarkStart w:id="2371" w:name="sys1484710096"/>
            <w:r>
              <w:rPr>
                <w:rFonts w:hint="eastAsia" w:ascii="Times New Roman" w:hAnsi="Times New Roman" w:eastAsia="宋体" w:cs="Times New Roman"/>
                <w:color w:val="auto"/>
                <w:spacing w:val="-2"/>
                <w:sz w:val="21"/>
                <w:szCs w:val="21"/>
                <w:highlight w:val="none"/>
                <w:lang w:val="en-US" w:eastAsia="zh-CN"/>
              </w:rPr>
              <w:t>（GB/T 4754-2017）中规定的医药制造业（C27）中卫生材料及医药用品制造（C277）和药用辅料及包装材料（C278）执行《制药工业大气污染物排放标准》（GB37823-2019）；</w:t>
            </w:r>
            <w:bookmarkEnd w:id="2371"/>
            <w:bookmarkStart w:id="2372" w:name="sys1484719672"/>
            <w:r>
              <w:rPr>
                <w:rFonts w:hint="eastAsia" w:ascii="Times New Roman" w:hAnsi="Times New Roman" w:eastAsia="宋体" w:cs="Times New Roman"/>
                <w:color w:val="auto"/>
                <w:spacing w:val="-2"/>
                <w:sz w:val="21"/>
                <w:szCs w:val="21"/>
                <w:highlight w:val="none"/>
                <w:lang w:val="en-US" w:eastAsia="zh-CN"/>
              </w:rPr>
              <w:t>生物制药企业（含生产设施）、生物医药研发机构大气污染物排放执行江苏省地标《生物制药行业水和大气污染物排放限值》（DB32/3560-2019）；</w:t>
            </w:r>
            <w:bookmarkEnd w:id="2372"/>
            <w:bookmarkStart w:id="2373" w:name="sys1484726844"/>
            <w:r>
              <w:rPr>
                <w:rFonts w:hint="eastAsia" w:ascii="Times New Roman" w:hAnsi="Times New Roman" w:eastAsia="宋体" w:cs="Times New Roman"/>
                <w:color w:val="auto"/>
                <w:spacing w:val="-2"/>
                <w:sz w:val="21"/>
                <w:szCs w:val="21"/>
                <w:highlight w:val="none"/>
                <w:lang w:val="en-US" w:eastAsia="zh-CN"/>
              </w:rPr>
              <w:t>区内</w:t>
            </w:r>
            <w:bookmarkStart w:id="2374" w:name="OLE_LINK929"/>
            <w:r>
              <w:rPr>
                <w:rFonts w:hint="eastAsia" w:ascii="Times New Roman" w:hAnsi="Times New Roman" w:eastAsia="宋体" w:cs="Times New Roman"/>
                <w:color w:val="auto"/>
                <w:spacing w:val="-2"/>
                <w:sz w:val="21"/>
                <w:szCs w:val="21"/>
                <w:highlight w:val="none"/>
                <w:lang w:val="en-US" w:eastAsia="zh-CN"/>
              </w:rPr>
              <w:t>半导体企业废气排放执行《半导体行业污染物排放标准》（DB32/3747-2020）；</w:t>
            </w:r>
            <w:bookmarkEnd w:id="2373"/>
            <w:bookmarkStart w:id="2375" w:name="sys1484731250"/>
            <w:r>
              <w:rPr>
                <w:rFonts w:hint="eastAsia" w:ascii="Times New Roman" w:hAnsi="Times New Roman" w:eastAsia="宋体" w:cs="Times New Roman"/>
                <w:color w:val="auto"/>
                <w:spacing w:val="-2"/>
                <w:sz w:val="21"/>
                <w:szCs w:val="21"/>
                <w:highlight w:val="none"/>
                <w:lang w:val="en-US" w:eastAsia="zh-CN"/>
              </w:rPr>
              <w:t>区内合成树脂工业废气排放执行《合成树脂工业污染物排放标准》（GB31572-2015）及修改单标准；</w:t>
            </w:r>
            <w:bookmarkEnd w:id="2375"/>
            <w:bookmarkStart w:id="2376" w:name="sys1484736255"/>
            <w:r>
              <w:rPr>
                <w:rFonts w:hint="eastAsia" w:ascii="Times New Roman" w:hAnsi="Times New Roman" w:eastAsia="宋体" w:cs="Times New Roman"/>
                <w:color w:val="auto"/>
                <w:spacing w:val="-2"/>
                <w:sz w:val="21"/>
                <w:szCs w:val="21"/>
                <w:highlight w:val="none"/>
                <w:lang w:val="en-US" w:eastAsia="zh-CN"/>
              </w:rPr>
              <w:t>区内汽车制造业企业废气排放执行《表面涂装（汽车制造业）挥发性有机物排放标准》（DB32/2862-2016）；</w:t>
            </w:r>
            <w:bookmarkEnd w:id="2376"/>
            <w:bookmarkStart w:id="2377" w:name="sys1484741770"/>
            <w:r>
              <w:rPr>
                <w:rFonts w:hint="eastAsia" w:ascii="Times New Roman" w:hAnsi="Times New Roman" w:eastAsia="宋体" w:cs="Times New Roman"/>
                <w:color w:val="auto"/>
                <w:spacing w:val="-2"/>
                <w:sz w:val="21"/>
                <w:szCs w:val="21"/>
                <w:highlight w:val="none"/>
                <w:lang w:val="en-US" w:eastAsia="zh-CN"/>
              </w:rPr>
              <w:t>区内工程机械（含零部件）和钢结构制造企业废气排放执行《表面涂装（工程机械和钢结构行业）大气污染物排放标准》（DB32/4147—2021）；</w:t>
            </w:r>
            <w:bookmarkEnd w:id="2377"/>
            <w:r>
              <w:rPr>
                <w:rFonts w:hint="eastAsia" w:ascii="Times New Roman" w:hAnsi="Times New Roman" w:eastAsia="宋体" w:cs="Times New Roman"/>
                <w:color w:val="auto"/>
                <w:spacing w:val="-2"/>
                <w:sz w:val="21"/>
                <w:szCs w:val="21"/>
                <w:highlight w:val="none"/>
                <w:lang w:val="en-US" w:eastAsia="zh-CN"/>
              </w:rPr>
              <w:t>区内印刷企业废气排放执行《印刷工业大气污染物排放标准》（DB32/4438-2022）；</w:t>
            </w:r>
            <w:bookmarkStart w:id="2378" w:name="sys1484753153"/>
            <w:r>
              <w:rPr>
                <w:rFonts w:hint="eastAsia" w:ascii="Times New Roman" w:hAnsi="Times New Roman" w:eastAsia="宋体" w:cs="Times New Roman"/>
                <w:color w:val="auto"/>
                <w:spacing w:val="-2"/>
                <w:sz w:val="21"/>
                <w:szCs w:val="21"/>
                <w:highlight w:val="none"/>
                <w:lang w:val="en-US" w:eastAsia="zh-CN"/>
              </w:rPr>
              <w:t>区内家具制造业废气排放执</w:t>
            </w:r>
            <w:bookmarkEnd w:id="2374"/>
            <w:r>
              <w:rPr>
                <w:rFonts w:hint="eastAsia" w:ascii="Times New Roman" w:hAnsi="Times New Roman" w:eastAsia="宋体" w:cs="Times New Roman"/>
                <w:color w:val="auto"/>
                <w:spacing w:val="-2"/>
                <w:sz w:val="21"/>
                <w:szCs w:val="21"/>
                <w:highlight w:val="none"/>
                <w:lang w:val="en-US" w:eastAsia="zh-CN"/>
              </w:rPr>
              <w:t>行《表面涂装（家具制造业）挥发性有机物排放标准》（DB32/3152-2016）</w:t>
            </w:r>
            <w:bookmarkEnd w:id="2369"/>
            <w:r>
              <w:rPr>
                <w:rFonts w:hint="eastAsia" w:ascii="Times New Roman" w:hAnsi="Times New Roman" w:eastAsia="宋体" w:cs="Times New Roman"/>
                <w:color w:val="auto"/>
                <w:spacing w:val="-2"/>
                <w:sz w:val="21"/>
                <w:szCs w:val="21"/>
                <w:highlight w:val="none"/>
                <w:lang w:val="en-US" w:eastAsia="zh-CN"/>
              </w:rPr>
              <w:t>；</w:t>
            </w:r>
            <w:bookmarkEnd w:id="2378"/>
            <w:r>
              <w:rPr>
                <w:rFonts w:hint="eastAsia" w:ascii="Times New Roman" w:hAnsi="Times New Roman" w:eastAsia="宋体" w:cs="Times New Roman"/>
                <w:color w:val="auto"/>
                <w:spacing w:val="-2"/>
                <w:sz w:val="21"/>
                <w:szCs w:val="21"/>
                <w:highlight w:val="none"/>
                <w:lang w:val="en-US" w:eastAsia="zh-CN"/>
              </w:rPr>
              <w:t>涉及工业涂装工序废气排放执行</w:t>
            </w:r>
            <w:r>
              <w:rPr>
                <w:rFonts w:hint="eastAsia" w:ascii="Times New Roman" w:hAnsi="Times New Roman" w:eastAsia="宋体" w:cs="Times New Roman"/>
                <w:color w:val="auto"/>
                <w:sz w:val="21"/>
                <w:szCs w:val="21"/>
                <w:highlight w:val="none"/>
                <w:lang w:val="en-US" w:eastAsia="zh-CN"/>
              </w:rPr>
              <w:t>《工业涂装工序大气污染物排放标准》（DB32/4439-2022）</w:t>
            </w:r>
          </w:p>
        </w:tc>
      </w:tr>
      <w:tr w14:paraId="0C3A9A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12" w:type="pct"/>
            <w:vMerge w:val="continue"/>
            <w:noWrap w:val="0"/>
            <w:vAlign w:val="center"/>
          </w:tcPr>
          <w:p w14:paraId="71AB543E">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p>
        </w:tc>
        <w:tc>
          <w:tcPr>
            <w:tcW w:w="1167" w:type="pct"/>
            <w:noWrap w:val="0"/>
            <w:vAlign w:val="center"/>
          </w:tcPr>
          <w:p w14:paraId="5EDABDB1">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r>
              <w:rPr>
                <w:rFonts w:hint="default" w:ascii="Times New Roman" w:hAnsi="Times New Roman" w:eastAsia="宋体" w:cs="Times New Roman"/>
                <w:b w:val="0"/>
                <w:bCs w:val="0"/>
                <w:color w:val="auto"/>
                <w:sz w:val="21"/>
                <w:szCs w:val="21"/>
                <w:highlight w:val="none"/>
              </w:rPr>
              <w:t>锅炉</w:t>
            </w:r>
            <w:r>
              <w:rPr>
                <w:rFonts w:hint="default" w:ascii="Times New Roman" w:hAnsi="Times New Roman" w:eastAsia="宋体" w:cs="Times New Roman"/>
                <w:b w:val="0"/>
                <w:bCs w:val="0"/>
                <w:color w:val="auto"/>
                <w:sz w:val="21"/>
                <w:szCs w:val="21"/>
                <w:highlight w:val="none"/>
                <w:lang w:eastAsia="zh-CN"/>
              </w:rPr>
              <w:t>排放标准</w:t>
            </w:r>
          </w:p>
        </w:tc>
        <w:tc>
          <w:tcPr>
            <w:tcW w:w="3220" w:type="pct"/>
            <w:noWrap w:val="0"/>
            <w:vAlign w:val="center"/>
          </w:tcPr>
          <w:p w14:paraId="4AAAC9E9">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bookmarkStart w:id="2379" w:name="sys14850051"/>
            <w:r>
              <w:rPr>
                <w:rFonts w:hint="default" w:ascii="Times New Roman" w:hAnsi="Times New Roman" w:eastAsia="宋体" w:cs="Times New Roman"/>
                <w:color w:val="auto"/>
                <w:spacing w:val="-2"/>
                <w:sz w:val="21"/>
                <w:szCs w:val="21"/>
                <w:highlight w:val="none"/>
                <w:lang w:val="en-US" w:eastAsia="zh-CN"/>
              </w:rPr>
              <w:t>区内企业根据需要使用天然气供热，废气排放执行《锅炉大气污染物排放标准》</w:t>
            </w:r>
            <w:r>
              <w:rPr>
                <w:rFonts w:hint="eastAsia" w:ascii="Times New Roman" w:hAnsi="Times New Roman" w:eastAsia="宋体" w:cs="Times New Roman"/>
                <w:color w:val="auto"/>
                <w:spacing w:val="-2"/>
                <w:sz w:val="21"/>
                <w:szCs w:val="21"/>
                <w:highlight w:val="none"/>
                <w:lang w:val="en-US" w:eastAsia="zh-CN"/>
              </w:rPr>
              <w:t>（DB32/4385-2022）</w:t>
            </w:r>
            <w:bookmarkEnd w:id="2379"/>
          </w:p>
        </w:tc>
      </w:tr>
      <w:tr w14:paraId="6062AB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12" w:type="pct"/>
            <w:vMerge w:val="continue"/>
            <w:noWrap w:val="0"/>
            <w:vAlign w:val="center"/>
          </w:tcPr>
          <w:p w14:paraId="550D8030">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p>
        </w:tc>
        <w:tc>
          <w:tcPr>
            <w:tcW w:w="1167" w:type="pct"/>
            <w:shd w:val="clear" w:color="auto" w:fill="auto"/>
            <w:noWrap w:val="0"/>
            <w:vAlign w:val="center"/>
          </w:tcPr>
          <w:p w14:paraId="7534F977">
            <w:pPr>
              <w:keepNext w:val="0"/>
              <w:keepLines w:val="0"/>
              <w:pageBreakBefore w:val="0"/>
              <w:wordWrap/>
              <w:overflowPunct/>
              <w:topLinePunct w:val="0"/>
              <w:bidi w:val="0"/>
              <w:adjustRightInd w:val="0"/>
              <w:snapToGrid w:val="0"/>
              <w:spacing w:line="240" w:lineRule="auto"/>
              <w:jc w:val="center"/>
              <w:rPr>
                <w:rFonts w:hint="default" w:ascii="Arial" w:hAnsi="Arial" w:eastAsia="Arial" w:cs="Arial"/>
                <w:snapToGrid w:val="0"/>
                <w:color w:val="auto"/>
                <w:kern w:val="0"/>
                <w:sz w:val="21"/>
                <w:szCs w:val="21"/>
                <w:highlight w:val="none"/>
                <w:lang w:val="en-US" w:eastAsia="en-US" w:bidi="ar-SA"/>
              </w:rPr>
            </w:pPr>
            <w:r>
              <w:rPr>
                <w:rFonts w:hint="default" w:ascii="Times New Roman" w:hAnsi="Times New Roman" w:eastAsia="宋体" w:cs="Times New Roman"/>
                <w:b w:val="0"/>
                <w:bCs w:val="0"/>
                <w:color w:val="auto"/>
                <w:kern w:val="0"/>
                <w:sz w:val="21"/>
                <w:szCs w:val="21"/>
                <w:highlight w:val="none"/>
                <w:lang w:val="en-US" w:eastAsia="zh-CN"/>
              </w:rPr>
              <w:t>工业炉窑</w:t>
            </w:r>
          </w:p>
        </w:tc>
        <w:tc>
          <w:tcPr>
            <w:tcW w:w="3220" w:type="pct"/>
            <w:shd w:val="clear" w:color="auto" w:fill="auto"/>
            <w:noWrap w:val="0"/>
            <w:vAlign w:val="center"/>
          </w:tcPr>
          <w:p w14:paraId="186994B7">
            <w:pPr>
              <w:keepNext w:val="0"/>
              <w:keepLines w:val="0"/>
              <w:pageBreakBefore w:val="0"/>
              <w:wordWrap/>
              <w:overflowPunct/>
              <w:topLinePunct w:val="0"/>
              <w:bidi w:val="0"/>
              <w:adjustRightInd w:val="0"/>
              <w:snapToGrid w:val="0"/>
              <w:spacing w:line="240" w:lineRule="auto"/>
              <w:jc w:val="center"/>
              <w:rPr>
                <w:rFonts w:hint="default" w:ascii="Arial" w:hAnsi="Arial" w:eastAsia="Arial" w:cs="Arial"/>
                <w:snapToGrid w:val="0"/>
                <w:color w:val="auto"/>
                <w:kern w:val="0"/>
                <w:sz w:val="21"/>
                <w:szCs w:val="21"/>
                <w:highlight w:val="none"/>
                <w:lang w:val="en-US" w:eastAsia="zh-CN" w:bidi="ar-SA"/>
              </w:rPr>
            </w:pPr>
            <w:bookmarkStart w:id="2380" w:name="OLE_LINK765"/>
            <w:r>
              <w:rPr>
                <w:rFonts w:hint="eastAsia" w:eastAsia="宋体"/>
                <w:color w:val="auto"/>
                <w:sz w:val="21"/>
                <w:szCs w:val="21"/>
                <w:highlight w:val="none"/>
                <w:lang w:val="en-US" w:eastAsia="zh-CN"/>
              </w:rPr>
              <w:t>区内</w:t>
            </w:r>
            <w:r>
              <w:rPr>
                <w:color w:val="auto"/>
                <w:sz w:val="21"/>
                <w:szCs w:val="21"/>
                <w:highlight w:val="none"/>
              </w:rPr>
              <w:t>工业炉窑排放的大气污染物执行江苏省地标</w:t>
            </w:r>
            <w:r>
              <w:rPr>
                <w:rFonts w:hint="default" w:ascii="Times New Roman" w:hAnsi="Times New Roman" w:eastAsia="宋体" w:cs="Times New Roman"/>
                <w:color w:val="auto"/>
                <w:spacing w:val="-2"/>
                <w:sz w:val="21"/>
                <w:szCs w:val="21"/>
                <w:highlight w:val="none"/>
                <w:lang w:val="en-US" w:eastAsia="zh-CN"/>
              </w:rPr>
              <w:t>《工业</w:t>
            </w:r>
            <w:r>
              <w:rPr>
                <w:rFonts w:hint="eastAsia" w:ascii="Times New Roman" w:hAnsi="Times New Roman" w:eastAsia="宋体" w:cs="Times New Roman"/>
                <w:color w:val="auto"/>
                <w:spacing w:val="-2"/>
                <w:sz w:val="21"/>
                <w:szCs w:val="21"/>
                <w:highlight w:val="none"/>
                <w:lang w:val="en-US" w:eastAsia="zh-CN"/>
              </w:rPr>
              <w:t>炉窑</w:t>
            </w:r>
            <w:r>
              <w:rPr>
                <w:rFonts w:hint="default" w:ascii="Times New Roman" w:hAnsi="Times New Roman" w:eastAsia="宋体" w:cs="Times New Roman"/>
                <w:color w:val="auto"/>
                <w:spacing w:val="-2"/>
                <w:sz w:val="21"/>
                <w:szCs w:val="21"/>
                <w:highlight w:val="none"/>
                <w:lang w:val="en-US" w:eastAsia="zh-CN"/>
              </w:rPr>
              <w:t>大气污染物排放标准》</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DB32/3728-2020</w:t>
            </w:r>
            <w:r>
              <w:rPr>
                <w:rFonts w:hint="eastAsia" w:ascii="Times New Roman" w:hAnsi="Times New Roman" w:eastAsia="宋体" w:cs="Times New Roman"/>
                <w:color w:val="auto"/>
                <w:spacing w:val="-2"/>
                <w:sz w:val="21"/>
                <w:szCs w:val="21"/>
                <w:highlight w:val="none"/>
                <w:lang w:val="en-US" w:eastAsia="zh-CN"/>
              </w:rPr>
              <w:t>）</w:t>
            </w:r>
            <w:r>
              <w:rPr>
                <w:color w:val="auto"/>
                <w:sz w:val="21"/>
                <w:szCs w:val="21"/>
                <w:highlight w:val="none"/>
              </w:rPr>
              <w:t>。</w:t>
            </w:r>
            <w:bookmarkEnd w:id="2380"/>
          </w:p>
        </w:tc>
      </w:tr>
      <w:tr w14:paraId="7134A5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12" w:type="pct"/>
            <w:vMerge w:val="continue"/>
            <w:noWrap w:val="0"/>
            <w:vAlign w:val="center"/>
          </w:tcPr>
          <w:p w14:paraId="0F66B3A8">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bookmarkStart w:id="2381" w:name="OLE_LINK755" w:colFirst="1" w:colLast="2"/>
          </w:p>
        </w:tc>
        <w:tc>
          <w:tcPr>
            <w:tcW w:w="1167" w:type="pct"/>
            <w:shd w:val="clear" w:color="auto" w:fill="auto"/>
            <w:noWrap w:val="0"/>
            <w:vAlign w:val="center"/>
          </w:tcPr>
          <w:p w14:paraId="5A6B2FE0">
            <w:pPr>
              <w:keepNext w:val="0"/>
              <w:keepLines w:val="0"/>
              <w:pageBreakBefore w:val="0"/>
              <w:wordWrap/>
              <w:overflowPunct/>
              <w:topLinePunct w:val="0"/>
              <w:bidi w:val="0"/>
              <w:adjustRightInd w:val="0"/>
              <w:snapToGrid w:val="0"/>
              <w:spacing w:line="240" w:lineRule="auto"/>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供热</w:t>
            </w:r>
          </w:p>
        </w:tc>
        <w:tc>
          <w:tcPr>
            <w:tcW w:w="3220" w:type="pct"/>
            <w:shd w:val="clear" w:color="auto" w:fill="auto"/>
            <w:noWrap w:val="0"/>
            <w:vAlign w:val="center"/>
          </w:tcPr>
          <w:p w14:paraId="1F9A92C9">
            <w:pPr>
              <w:keepNext w:val="0"/>
              <w:keepLines w:val="0"/>
              <w:pageBreakBefore w:val="0"/>
              <w:wordWrap/>
              <w:overflowPunct/>
              <w:topLinePunct w:val="0"/>
              <w:bidi w:val="0"/>
              <w:adjustRightInd w:val="0"/>
              <w:snapToGrid w:val="0"/>
              <w:spacing w:line="240" w:lineRule="auto"/>
              <w:jc w:val="center"/>
              <w:rPr>
                <w:rFonts w:hint="eastAsia" w:eastAsia="宋体"/>
                <w:color w:val="auto"/>
                <w:sz w:val="21"/>
                <w:szCs w:val="21"/>
                <w:highlight w:val="none"/>
                <w:lang w:val="en-US" w:eastAsia="zh-CN"/>
              </w:rPr>
            </w:pPr>
            <w:bookmarkStart w:id="2382" w:name="sys148560117"/>
            <w:r>
              <w:rPr>
                <w:rFonts w:hint="default" w:ascii="Times New Roman" w:hAnsi="Times New Roman" w:eastAsia="宋体" w:cs="Times New Roman"/>
                <w:color w:val="auto"/>
                <w:spacing w:val="-2"/>
                <w:sz w:val="21"/>
                <w:szCs w:val="21"/>
                <w:highlight w:val="none"/>
                <w:lang w:val="en-US" w:eastAsia="zh-CN"/>
              </w:rPr>
              <w:t>区内集中供热企业有南京协鑫燃机热电有限公司锅炉</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排放的烟尘、SO</w:t>
            </w:r>
            <w:r>
              <w:rPr>
                <w:rFonts w:hint="eastAsia" w:ascii="Times New Roman" w:hAnsi="Times New Roman" w:eastAsia="宋体" w:cs="Times New Roman"/>
                <w:color w:val="auto"/>
                <w:spacing w:val="-2"/>
                <w:sz w:val="21"/>
                <w:szCs w:val="21"/>
                <w:highlight w:val="none"/>
                <w:vertAlign w:val="subscript"/>
                <w:lang w:val="en-US" w:eastAsia="zh-CN"/>
              </w:rPr>
              <w:t>2</w:t>
            </w:r>
            <w:r>
              <w:rPr>
                <w:rFonts w:hint="default" w:ascii="Times New Roman" w:hAnsi="Times New Roman" w:eastAsia="宋体" w:cs="Times New Roman"/>
                <w:color w:val="auto"/>
                <w:spacing w:val="-2"/>
                <w:sz w:val="21"/>
                <w:szCs w:val="21"/>
                <w:highlight w:val="none"/>
                <w:lang w:val="en-US" w:eastAsia="zh-CN"/>
              </w:rPr>
              <w:t>、NOx执行《火电厂大气污染物排放标准》</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GB13223-2011</w:t>
            </w:r>
            <w:r>
              <w:rPr>
                <w:rFonts w:hint="eastAsia" w:ascii="Times New Roman" w:hAnsi="Times New Roman" w:eastAsia="宋体" w:cs="Times New Roman"/>
                <w:color w:val="auto"/>
                <w:spacing w:val="-2"/>
                <w:sz w:val="21"/>
                <w:szCs w:val="21"/>
                <w:highlight w:val="none"/>
                <w:lang w:val="en-US" w:eastAsia="zh-CN"/>
              </w:rPr>
              <w:t>）</w:t>
            </w:r>
            <w:r>
              <w:rPr>
                <w:rFonts w:hint="default" w:ascii="Times New Roman" w:hAnsi="Times New Roman" w:eastAsia="宋体" w:cs="Times New Roman"/>
                <w:color w:val="auto"/>
                <w:spacing w:val="-2"/>
                <w:sz w:val="21"/>
                <w:szCs w:val="21"/>
                <w:highlight w:val="none"/>
                <w:lang w:val="en-US" w:eastAsia="zh-CN"/>
              </w:rPr>
              <w:t>中表2的特别排放限值</w:t>
            </w:r>
            <w:r>
              <w:rPr>
                <w:rFonts w:hint="eastAsia" w:ascii="Times New Roman" w:hAnsi="Times New Roman" w:eastAsia="宋体" w:cs="Times New Roman"/>
                <w:color w:val="auto"/>
                <w:spacing w:val="-2"/>
                <w:sz w:val="21"/>
                <w:szCs w:val="21"/>
                <w:highlight w:val="none"/>
                <w:lang w:val="en-US" w:eastAsia="zh-CN"/>
              </w:rPr>
              <w:t>、《固定式燃气轮机大气污染物排放标准》（DB32/3967-2021）中限值标准</w:t>
            </w:r>
            <w:bookmarkEnd w:id="2382"/>
          </w:p>
        </w:tc>
      </w:tr>
      <w:tr w14:paraId="7E348D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12" w:type="pct"/>
            <w:vMerge w:val="continue"/>
            <w:noWrap w:val="0"/>
            <w:vAlign w:val="center"/>
          </w:tcPr>
          <w:p w14:paraId="5393A441">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bookmarkStart w:id="2383" w:name="OLE_LINK757" w:colFirst="1" w:colLast="2"/>
          </w:p>
        </w:tc>
        <w:tc>
          <w:tcPr>
            <w:tcW w:w="1167" w:type="pct"/>
            <w:noWrap w:val="0"/>
            <w:vAlign w:val="center"/>
          </w:tcPr>
          <w:p w14:paraId="248FCA4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auto"/>
                <w:sz w:val="21"/>
                <w:szCs w:val="21"/>
                <w:highlight w:val="none"/>
              </w:rPr>
            </w:pPr>
            <w:r>
              <w:rPr>
                <w:rFonts w:hint="default" w:ascii="Times New Roman" w:hAnsi="Times New Roman" w:eastAsia="宋体" w:cs="Times New Roman"/>
                <w:b w:val="0"/>
                <w:bCs w:val="0"/>
                <w:color w:val="auto"/>
                <w:sz w:val="21"/>
                <w:szCs w:val="21"/>
                <w:highlight w:val="none"/>
              </w:rPr>
              <w:t>饮食业油烟</w:t>
            </w:r>
          </w:p>
        </w:tc>
        <w:tc>
          <w:tcPr>
            <w:tcW w:w="3220" w:type="pct"/>
            <w:noWrap w:val="0"/>
            <w:vAlign w:val="center"/>
          </w:tcPr>
          <w:p w14:paraId="6EE2A7D4">
            <w:pPr>
              <w:pStyle w:val="38"/>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color w:val="auto"/>
                <w:sz w:val="21"/>
                <w:szCs w:val="21"/>
                <w:highlight w:val="none"/>
              </w:rPr>
            </w:pPr>
            <w:bookmarkStart w:id="2384" w:name="sys14859044"/>
            <w:r>
              <w:rPr>
                <w:rFonts w:hint="default" w:ascii="Times New Roman" w:hAnsi="Times New Roman" w:eastAsia="宋体" w:cs="Times New Roman"/>
                <w:color w:val="auto"/>
                <w:kern w:val="2"/>
                <w:sz w:val="21"/>
                <w:szCs w:val="21"/>
                <w:highlight w:val="none"/>
                <w:lang w:val="en-US" w:eastAsia="zh-CN" w:bidi="ar-SA"/>
              </w:rPr>
              <w:t>评估范围内餐饮行业及企业食堂等《饮食业油烟排放标准（试行）》（GB18483-2001）</w:t>
            </w:r>
            <w:bookmarkEnd w:id="2384"/>
          </w:p>
        </w:tc>
      </w:tr>
      <w:bookmarkEnd w:id="2381"/>
      <w:bookmarkEnd w:id="2383"/>
      <w:tr w14:paraId="55CC4C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9" w:hRule="atLeast"/>
          <w:jc w:val="center"/>
        </w:trPr>
        <w:tc>
          <w:tcPr>
            <w:tcW w:w="612" w:type="pct"/>
            <w:vMerge w:val="restart"/>
            <w:tcBorders>
              <w:bottom w:val="single" w:color="auto" w:sz="4" w:space="0"/>
            </w:tcBorders>
            <w:noWrap w:val="0"/>
            <w:vAlign w:val="center"/>
          </w:tcPr>
          <w:p w14:paraId="6F4A0B92">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r>
              <w:rPr>
                <w:color w:val="auto"/>
                <w:sz w:val="21"/>
                <w:szCs w:val="21"/>
                <w:highlight w:val="none"/>
              </w:rPr>
              <w:t>废水</w:t>
            </w:r>
          </w:p>
        </w:tc>
        <w:tc>
          <w:tcPr>
            <w:tcW w:w="1167" w:type="pct"/>
            <w:tcBorders>
              <w:bottom w:val="single" w:color="auto" w:sz="4" w:space="0"/>
            </w:tcBorders>
            <w:noWrap w:val="0"/>
            <w:vAlign w:val="center"/>
          </w:tcPr>
          <w:p w14:paraId="74482F49">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r>
              <w:rPr>
                <w:rFonts w:hint="default" w:ascii="Times New Roman" w:hAnsi="Times New Roman" w:eastAsia="宋体" w:cs="Times New Roman"/>
                <w:b w:val="0"/>
                <w:bCs w:val="0"/>
                <w:color w:val="auto"/>
                <w:sz w:val="21"/>
                <w:szCs w:val="21"/>
                <w:highlight w:val="none"/>
              </w:rPr>
              <w:t>区域集中式污水处理厂</w:t>
            </w:r>
          </w:p>
        </w:tc>
        <w:tc>
          <w:tcPr>
            <w:tcW w:w="3220" w:type="pct"/>
            <w:tcBorders>
              <w:bottom w:val="single" w:color="auto" w:sz="4" w:space="0"/>
            </w:tcBorders>
            <w:noWrap w:val="0"/>
            <w:vAlign w:val="center"/>
          </w:tcPr>
          <w:p w14:paraId="23E94424">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bookmarkStart w:id="2385" w:name="sys148620139"/>
            <w:r>
              <w:rPr>
                <w:rFonts w:hint="default" w:ascii="Times New Roman" w:hAnsi="Times New Roman" w:eastAsia="宋体" w:cs="Times New Roman"/>
                <w:color w:val="auto"/>
                <w:spacing w:val="-3"/>
                <w:sz w:val="21"/>
                <w:szCs w:val="21"/>
                <w:highlight w:val="none"/>
                <w:lang w:val="en-US" w:eastAsia="zh-CN"/>
              </w:rPr>
              <w:t>南区污水处理厂现有项目尾水执行《城镇污水处理厂污染物排放标准》（GB18918-2002）一级A标准，至2025年，尾水排放提标至《地表水环境质量标准》（GB3838-2002）中Ⅳ类标准，其中TN按照《城镇污水处理厂污染物排放标准》（GB18918-2002）一级A标准执行；</w:t>
            </w:r>
            <w:bookmarkEnd w:id="2385"/>
            <w:bookmarkStart w:id="2386" w:name="sys14862139150"/>
            <w:r>
              <w:rPr>
                <w:rFonts w:hint="default" w:ascii="Times New Roman" w:hAnsi="Times New Roman" w:eastAsia="宋体" w:cs="Times New Roman"/>
                <w:color w:val="auto"/>
                <w:spacing w:val="-3"/>
                <w:sz w:val="21"/>
                <w:szCs w:val="21"/>
                <w:highlight w:val="none"/>
                <w:lang w:val="en-US" w:eastAsia="zh-CN"/>
              </w:rPr>
              <w:t>开发区污水处理厂现有项目尾水执行《城镇污水处理厂污染物排放标准》（GB18918-2002）一级A标准，至2025年，</w:t>
            </w:r>
            <w:r>
              <w:rPr>
                <w:rFonts w:hint="default" w:ascii="Times New Roman" w:hAnsi="Times New Roman" w:eastAsia="宋体" w:cs="Times New Roman"/>
                <w:color w:val="auto"/>
                <w:spacing w:val="-3"/>
                <w:sz w:val="21"/>
                <w:szCs w:val="21"/>
                <w:highlight w:val="none"/>
              </w:rPr>
              <w:t>污水处理厂</w:t>
            </w:r>
            <w:r>
              <w:rPr>
                <w:rFonts w:hint="default" w:ascii="Times New Roman" w:hAnsi="Times New Roman" w:eastAsia="宋体" w:cs="Times New Roman"/>
                <w:color w:val="auto"/>
                <w:spacing w:val="-3"/>
                <w:sz w:val="21"/>
                <w:szCs w:val="21"/>
                <w:highlight w:val="none"/>
                <w:lang w:val="en-US" w:eastAsia="zh-CN"/>
              </w:rPr>
              <w:t>扩建项目尾水主要指标执行《地表水环境质量标准》（GB3838-2002）中Ⅳ类标准，其中TN按照《城镇污水处理厂污染物排放标准》（GB18918-2002）一级A标准执行</w:t>
            </w:r>
            <w:r>
              <w:rPr>
                <w:rFonts w:hint="eastAsia" w:eastAsia="宋体"/>
                <w:color w:val="auto"/>
                <w:sz w:val="21"/>
                <w:szCs w:val="21"/>
                <w:highlight w:val="none"/>
                <w:lang w:eastAsia="zh-CN"/>
              </w:rPr>
              <w:t>；</w:t>
            </w:r>
            <w:bookmarkEnd w:id="2386"/>
            <w:bookmarkStart w:id="2387" w:name="sys1486228995"/>
            <w:r>
              <w:rPr>
                <w:rFonts w:hint="default" w:ascii="Times New Roman" w:hAnsi="Times New Roman" w:eastAsia="宋体" w:cs="Times New Roman"/>
                <w:color w:val="auto"/>
                <w:spacing w:val="-6"/>
                <w:sz w:val="21"/>
                <w:szCs w:val="21"/>
                <w:highlight w:val="none"/>
                <w:lang w:val="en-US" w:eastAsia="zh-CN"/>
              </w:rPr>
              <w:t>至2030年，污水处理厂尾水全面提标至《地表水环境质量标准》（GB3838-2002）中I类标准，其中TN按照《城镇污水处理厂污染物排放标准》（GB18918-2002）表1中一级A标准执行</w:t>
            </w:r>
            <w:bookmarkEnd w:id="2387"/>
          </w:p>
        </w:tc>
      </w:tr>
      <w:tr w14:paraId="2EDE64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12" w:type="pct"/>
            <w:vMerge w:val="continue"/>
            <w:noWrap w:val="0"/>
            <w:vAlign w:val="center"/>
          </w:tcPr>
          <w:p w14:paraId="3A12F48A">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bookmarkStart w:id="2388" w:name="OLE_LINK763" w:colFirst="2" w:colLast="2"/>
          </w:p>
        </w:tc>
        <w:tc>
          <w:tcPr>
            <w:tcW w:w="1167" w:type="pct"/>
            <w:noWrap w:val="0"/>
            <w:vAlign w:val="center"/>
          </w:tcPr>
          <w:p w14:paraId="45EF42F6">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r>
              <w:rPr>
                <w:rFonts w:hint="default" w:ascii="Times New Roman" w:hAnsi="Times New Roman" w:eastAsia="宋体" w:cs="Times New Roman"/>
                <w:b w:val="0"/>
                <w:bCs w:val="0"/>
                <w:color w:val="auto"/>
                <w:sz w:val="21"/>
                <w:szCs w:val="21"/>
                <w:highlight w:val="none"/>
              </w:rPr>
              <w:t>行业性排放标准</w:t>
            </w:r>
          </w:p>
        </w:tc>
        <w:tc>
          <w:tcPr>
            <w:tcW w:w="3220" w:type="pct"/>
            <w:noWrap w:val="0"/>
            <w:vAlign w:val="center"/>
          </w:tcPr>
          <w:p w14:paraId="4782579C">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420" w:firstLineChars="200"/>
              <w:textAlignment w:val="baseline"/>
              <w:rPr>
                <w:color w:val="auto"/>
                <w:sz w:val="21"/>
                <w:szCs w:val="21"/>
                <w:highlight w:val="none"/>
              </w:rPr>
            </w:pPr>
            <w:bookmarkStart w:id="2389" w:name="sys148650121"/>
            <w:r>
              <w:rPr>
                <w:rFonts w:hint="eastAsia"/>
                <w:color w:val="auto"/>
                <w:sz w:val="21"/>
                <w:szCs w:val="21"/>
                <w:highlight w:val="none"/>
              </w:rPr>
              <w:t>本次评价根据</w:t>
            </w:r>
            <w:r>
              <w:rPr>
                <w:rFonts w:hint="eastAsia"/>
                <w:color w:val="auto"/>
                <w:sz w:val="21"/>
                <w:szCs w:val="21"/>
                <w:highlight w:val="none"/>
                <w:lang w:val="en-US" w:eastAsia="zh-CN"/>
              </w:rPr>
              <w:t>开发区</w:t>
            </w:r>
            <w:r>
              <w:rPr>
                <w:rFonts w:hint="eastAsia"/>
                <w:color w:val="auto"/>
                <w:sz w:val="21"/>
                <w:szCs w:val="21"/>
                <w:highlight w:val="none"/>
              </w:rPr>
              <w:t>主导产业项目的产污特点及生态环境保护相关要求，补充医药制造业、电</w:t>
            </w:r>
            <w:r>
              <w:rPr>
                <w:rFonts w:hint="eastAsia"/>
                <w:color w:val="auto"/>
                <w:sz w:val="21"/>
                <w:szCs w:val="21"/>
                <w:highlight w:val="none"/>
                <w:lang w:val="en-US" w:eastAsia="zh-CN"/>
              </w:rPr>
              <w:t>子</w:t>
            </w:r>
            <w:r>
              <w:rPr>
                <w:rFonts w:hint="eastAsia"/>
                <w:color w:val="auto"/>
                <w:sz w:val="21"/>
                <w:szCs w:val="21"/>
                <w:highlight w:val="none"/>
              </w:rPr>
              <w:t>行业、半导体行业等行业性排放标准，</w:t>
            </w:r>
            <w:r>
              <w:rPr>
                <w:rFonts w:hint="eastAsia"/>
                <w:color w:val="auto"/>
                <w:sz w:val="21"/>
                <w:szCs w:val="21"/>
                <w:highlight w:val="none"/>
                <w:lang w:val="en-US" w:eastAsia="zh-CN"/>
              </w:rPr>
              <w:t>开发区</w:t>
            </w:r>
            <w:r>
              <w:rPr>
                <w:color w:val="auto"/>
                <w:sz w:val="21"/>
                <w:szCs w:val="21"/>
                <w:highlight w:val="none"/>
              </w:rPr>
              <w:t>内工业企业水污染物排放标准有行业标准和地方标准的，优先执行相应的行业标准和地方标准，同时应满足污水处理厂接管标准要求。</w:t>
            </w:r>
            <w:bookmarkEnd w:id="2389"/>
          </w:p>
          <w:p w14:paraId="33270997">
            <w:pPr>
              <w:keepNext w:val="0"/>
              <w:keepLines w:val="0"/>
              <w:pageBreakBefore w:val="0"/>
              <w:wordWrap/>
              <w:overflowPunct/>
              <w:topLinePunct w:val="0"/>
              <w:bidi w:val="0"/>
              <w:adjustRightInd w:val="0"/>
              <w:snapToGrid w:val="0"/>
              <w:spacing w:line="240" w:lineRule="auto"/>
              <w:jc w:val="center"/>
              <w:rPr>
                <w:color w:val="auto"/>
                <w:sz w:val="21"/>
                <w:szCs w:val="21"/>
                <w:highlight w:val="none"/>
              </w:rPr>
            </w:pPr>
            <w:r>
              <w:rPr>
                <w:rFonts w:hint="default" w:ascii="Times New Roman" w:hAnsi="Times New Roman" w:eastAsia="宋体" w:cs="Times New Roman"/>
                <w:color w:val="auto"/>
                <w:sz w:val="21"/>
                <w:szCs w:val="21"/>
                <w:highlight w:val="none"/>
              </w:rPr>
              <w:t>生物制药行业废水排放执行江苏省地标《生物制药行业水和大气污染物排放限值》（DB32/3560-2019），中药类制药行业废水排放执行《中药类制药工业水污染物排放标准》（GB21906-2008）</w:t>
            </w:r>
            <w:r>
              <w:rPr>
                <w:rFonts w:hint="eastAsia" w:ascii="Times New Roman" w:hAnsi="Times New Roman" w:eastAsia="宋体" w:cs="Times New Roman"/>
                <w:color w:val="auto"/>
                <w:sz w:val="21"/>
                <w:szCs w:val="21"/>
                <w:highlight w:val="none"/>
                <w:lang w:eastAsia="zh-CN"/>
              </w:rPr>
              <w:t>；</w:t>
            </w:r>
            <w:bookmarkStart w:id="2390" w:name="sys148669847"/>
            <w:r>
              <w:rPr>
                <w:rFonts w:hint="default" w:ascii="Times New Roman" w:hAnsi="Times New Roman" w:eastAsia="宋体" w:cs="Times New Roman"/>
                <w:color w:val="auto"/>
                <w:sz w:val="21"/>
                <w:szCs w:val="21"/>
                <w:highlight w:val="none"/>
              </w:rPr>
              <w:t>半导体行业废水排放执行江苏省地标《半导体行业污染物排放标准》（DB32/3747-2020）</w:t>
            </w:r>
            <w:r>
              <w:rPr>
                <w:rFonts w:hint="eastAsia" w:ascii="Times New Roman" w:hAnsi="Times New Roman" w:eastAsia="宋体" w:cs="Times New Roman"/>
                <w:color w:val="auto"/>
                <w:sz w:val="21"/>
                <w:szCs w:val="21"/>
                <w:highlight w:val="none"/>
                <w:lang w:eastAsia="zh-CN"/>
              </w:rPr>
              <w:t>；</w:t>
            </w:r>
            <w:bookmarkEnd w:id="2390"/>
            <w:bookmarkStart w:id="2391" w:name="sys1486614538"/>
            <w:r>
              <w:rPr>
                <w:rFonts w:hint="default" w:ascii="Times New Roman" w:hAnsi="Times New Roman" w:eastAsia="宋体" w:cs="Times New Roman"/>
                <w:color w:val="auto"/>
                <w:sz w:val="21"/>
                <w:szCs w:val="21"/>
                <w:highlight w:val="none"/>
                <w:lang w:val="en-US" w:eastAsia="zh-CN"/>
              </w:rPr>
              <w:t>电子工业水污染物执行《电子工业水污染物排放标准》（GB39731-2020）</w:t>
            </w:r>
            <w:bookmarkEnd w:id="2391"/>
          </w:p>
        </w:tc>
      </w:tr>
      <w:tr w14:paraId="2552D4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12" w:type="pct"/>
            <w:noWrap w:val="0"/>
            <w:vAlign w:val="center"/>
          </w:tcPr>
          <w:p w14:paraId="66AF89E4">
            <w:pPr>
              <w:keepNext w:val="0"/>
              <w:keepLines w:val="0"/>
              <w:pageBreakBefore w:val="0"/>
              <w:wordWrap/>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rPr>
            </w:pPr>
            <w:bookmarkStart w:id="2392" w:name="OLE_LINK766" w:colFirst="0" w:colLast="2"/>
            <w:r>
              <w:rPr>
                <w:rFonts w:hint="default" w:ascii="Times New Roman" w:hAnsi="Times New Roman" w:cs="Times New Roman"/>
                <w:color w:val="auto"/>
                <w:sz w:val="21"/>
                <w:szCs w:val="21"/>
                <w:highlight w:val="none"/>
              </w:rPr>
              <w:t>噪声</w:t>
            </w:r>
          </w:p>
        </w:tc>
        <w:tc>
          <w:tcPr>
            <w:tcW w:w="1167" w:type="pct"/>
            <w:noWrap w:val="0"/>
            <w:vAlign w:val="center"/>
          </w:tcPr>
          <w:p w14:paraId="3BC58F0A">
            <w:pPr>
              <w:keepNext w:val="0"/>
              <w:keepLines w:val="0"/>
              <w:pageBreakBefore w:val="0"/>
              <w:wordWrap/>
              <w:overflowPunct/>
              <w:topLinePunct w:val="0"/>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sdt>
              <w:sdtPr>
                <w:rPr>
                  <w:color w:val="auto"/>
                  <w:highlight w:val="none"/>
                </w:rPr>
                <w:alias w:val="标点符号检查"/>
                <w:id w:val="1180306"/>
              </w:sdtPr>
              <w:sdtEndPr>
                <w:rPr>
                  <w:color w:val="auto"/>
                  <w:highlight w:val="none"/>
                </w:rPr>
              </w:sdtEndPr>
              <w:sdtContent>
                <w:bookmarkStart w:id="2393" w:name="bkReivew1180306"/>
                <w:r>
                  <w:rPr>
                    <w:rFonts w:hint="default" w:ascii="Times New Roman" w:hAnsi="Times New Roman" w:eastAsia="宋体" w:cs="Times New Roman"/>
                    <w:color w:val="auto"/>
                    <w:sz w:val="21"/>
                    <w:szCs w:val="21"/>
                    <w:highlight w:val="none"/>
                    <w:lang w:val="en-US" w:eastAsia="zh-CN"/>
                  </w:rPr>
                  <w:t>/</w:t>
                </w:r>
                <w:bookmarkEnd w:id="2393"/>
              </w:sdtContent>
            </w:sdt>
          </w:p>
        </w:tc>
        <w:tc>
          <w:tcPr>
            <w:tcW w:w="3220" w:type="pct"/>
            <w:noWrap w:val="0"/>
            <w:vAlign w:val="center"/>
          </w:tcPr>
          <w:p w14:paraId="0823A410">
            <w:pPr>
              <w:keepNext w:val="0"/>
              <w:keepLines w:val="0"/>
              <w:pageBreakBefore w:val="0"/>
              <w:wordWrap/>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rPr>
            </w:pPr>
            <w:bookmarkStart w:id="2394" w:name="sys14869052"/>
            <w:r>
              <w:rPr>
                <w:rFonts w:hint="default" w:ascii="Times New Roman" w:hAnsi="Times New Roman" w:cs="Times New Roman"/>
                <w:color w:val="auto"/>
                <w:sz w:val="21"/>
                <w:szCs w:val="21"/>
                <w:highlight w:val="none"/>
              </w:rPr>
              <w:t>社会生活噪声排放执行《社会生活环境噪声排放标准》（</w:t>
            </w:r>
            <w:r>
              <w:rPr>
                <w:rFonts w:hint="eastAsia" w:ascii="Times New Roman" w:hAnsi="Times New Roman" w:eastAsia="宋体" w:cs="Times New Roman"/>
                <w:color w:val="auto"/>
                <w:sz w:val="21"/>
                <w:szCs w:val="21"/>
                <w:highlight w:val="none"/>
                <w:lang w:eastAsia="zh-CN"/>
              </w:rPr>
              <w:t>GB/T 23377-2009</w:t>
            </w:r>
            <w:r>
              <w:rPr>
                <w:rFonts w:hint="default" w:ascii="Times New Roman" w:hAnsi="Times New Roman" w:cs="Times New Roman"/>
                <w:color w:val="auto"/>
                <w:sz w:val="21"/>
                <w:szCs w:val="21"/>
                <w:highlight w:val="none"/>
              </w:rPr>
              <w:t>）中表1规定的排放限值；</w:t>
            </w:r>
            <w:bookmarkEnd w:id="2394"/>
            <w:r>
              <w:rPr>
                <w:rFonts w:hint="default" w:ascii="Times New Roman" w:hAnsi="Times New Roman" w:cs="Times New Roman"/>
                <w:color w:val="auto"/>
                <w:sz w:val="21"/>
                <w:szCs w:val="21"/>
                <w:highlight w:val="none"/>
              </w:rPr>
              <w:t>工业企业厂界噪声执行《工业企业厂界环境噪声排放标准》（GB12348-2008）中表1规定的排放限值；建筑施工场界执行《建筑施工场界环境噪声排放标准》（GB12523-2011）中表1规定的排放限值。</w:t>
            </w:r>
          </w:p>
        </w:tc>
      </w:tr>
      <w:bookmarkEnd w:id="2388"/>
      <w:tr w14:paraId="3E2998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12" w:type="pct"/>
            <w:noWrap w:val="0"/>
            <w:vAlign w:val="center"/>
          </w:tcPr>
          <w:p w14:paraId="26BDDF09">
            <w:pPr>
              <w:keepNext w:val="0"/>
              <w:keepLines w:val="0"/>
              <w:pageBreakBefore w:val="0"/>
              <w:wordWrap/>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w:t>
            </w:r>
          </w:p>
        </w:tc>
        <w:tc>
          <w:tcPr>
            <w:tcW w:w="1167" w:type="pct"/>
            <w:noWrap w:val="0"/>
            <w:vAlign w:val="center"/>
          </w:tcPr>
          <w:p w14:paraId="0102F496">
            <w:pPr>
              <w:keepNext w:val="0"/>
              <w:keepLines w:val="0"/>
              <w:pageBreakBefore w:val="0"/>
              <w:wordWrap/>
              <w:overflowPunct/>
              <w:topLinePunct w:val="0"/>
              <w:bidi w:val="0"/>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sdt>
              <w:sdtPr>
                <w:rPr>
                  <w:color w:val="auto"/>
                  <w:highlight w:val="none"/>
                </w:rPr>
                <w:alias w:val="标点符号检查"/>
                <w:id w:val="1132556"/>
              </w:sdtPr>
              <w:sdtEndPr>
                <w:rPr>
                  <w:color w:val="auto"/>
                  <w:highlight w:val="none"/>
                </w:rPr>
              </w:sdtEndPr>
              <w:sdtContent>
                <w:bookmarkStart w:id="2395" w:name="bkReivew1132556"/>
                <w:r>
                  <w:rPr>
                    <w:rFonts w:hint="eastAsia" w:ascii="Times New Roman" w:hAnsi="Times New Roman" w:eastAsia="宋体" w:cs="Times New Roman"/>
                    <w:color w:val="auto"/>
                    <w:sz w:val="21"/>
                    <w:szCs w:val="21"/>
                    <w:highlight w:val="none"/>
                    <w:lang w:val="en-US" w:eastAsia="zh-CN"/>
                  </w:rPr>
                  <w:t>/</w:t>
                </w:r>
                <w:bookmarkEnd w:id="2395"/>
              </w:sdtContent>
            </w:sdt>
          </w:p>
        </w:tc>
        <w:tc>
          <w:tcPr>
            <w:tcW w:w="3220" w:type="pct"/>
            <w:noWrap w:val="0"/>
            <w:vAlign w:val="center"/>
          </w:tcPr>
          <w:p w14:paraId="1CA952C9">
            <w:pPr>
              <w:keepNext w:val="0"/>
              <w:keepLines w:val="0"/>
              <w:pageBreakBefore w:val="0"/>
              <w:wordWrap/>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rPr>
            </w:pPr>
            <w:bookmarkStart w:id="2396" w:name="sys148720120"/>
            <w:r>
              <w:rPr>
                <w:rFonts w:hint="default" w:ascii="Times New Roman" w:hAnsi="Times New Roman" w:eastAsia="宋体" w:cs="Times New Roman"/>
                <w:color w:val="auto"/>
                <w:spacing w:val="19"/>
                <w:sz w:val="21"/>
                <w:szCs w:val="21"/>
                <w:highlight w:val="none"/>
              </w:rPr>
              <w:t>区内工业固废的贮存和处理处置执行《危险废物贮存污染控制标准》</w:t>
            </w:r>
            <w:r>
              <w:rPr>
                <w:rFonts w:hint="default" w:ascii="Times New Roman" w:hAnsi="Times New Roman" w:eastAsia="宋体" w:cs="Times New Roman"/>
                <w:color w:val="auto"/>
                <w:spacing w:val="-5"/>
                <w:sz w:val="21"/>
                <w:szCs w:val="21"/>
                <w:highlight w:val="none"/>
              </w:rPr>
              <w:t>（</w:t>
            </w:r>
            <w:r>
              <w:rPr>
                <w:rFonts w:hint="default" w:ascii="Times New Roman" w:hAnsi="Times New Roman" w:eastAsia="Times New Roman" w:cs="Times New Roman"/>
                <w:color w:val="auto"/>
                <w:spacing w:val="-5"/>
                <w:sz w:val="21"/>
                <w:szCs w:val="21"/>
                <w:highlight w:val="none"/>
              </w:rPr>
              <w:t>GB18597-2023</w:t>
            </w:r>
            <w:r>
              <w:rPr>
                <w:rFonts w:hint="default" w:ascii="Times New Roman" w:hAnsi="Times New Roman" w:eastAsia="宋体" w:cs="Times New Roman"/>
                <w:color w:val="auto"/>
                <w:spacing w:val="-5"/>
                <w:sz w:val="21"/>
                <w:szCs w:val="21"/>
                <w:highlight w:val="none"/>
              </w:rPr>
              <w:t>）、《一般工业固体废物贮存和填埋污染控制标准》（</w:t>
            </w:r>
            <w:r>
              <w:rPr>
                <w:rFonts w:hint="default" w:ascii="Times New Roman" w:hAnsi="Times New Roman" w:eastAsia="Times New Roman" w:cs="Times New Roman"/>
                <w:color w:val="auto"/>
                <w:spacing w:val="-5"/>
                <w:sz w:val="21"/>
                <w:szCs w:val="21"/>
                <w:highlight w:val="none"/>
              </w:rPr>
              <w:t>GB18599-</w:t>
            </w:r>
            <w:r>
              <w:rPr>
                <w:rFonts w:hint="default" w:ascii="Times New Roman" w:hAnsi="Times New Roman" w:eastAsia="Times New Roman" w:cs="Times New Roman"/>
                <w:color w:val="auto"/>
                <w:spacing w:val="-1"/>
                <w:sz w:val="21"/>
                <w:szCs w:val="21"/>
                <w:highlight w:val="none"/>
              </w:rPr>
              <w:t>2020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pacing w:val="-1"/>
                <w:sz w:val="21"/>
                <w:szCs w:val="21"/>
                <w:highlight w:val="none"/>
              </w:rPr>
              <w:t>城市建筑垃圾的处置执行《城市建筑垃圾管理规定》（建设部</w:t>
            </w:r>
            <w:r>
              <w:rPr>
                <w:rFonts w:hint="default" w:ascii="Times New Roman" w:hAnsi="Times New Roman" w:eastAsia="Times New Roman" w:cs="Times New Roman"/>
                <w:color w:val="auto"/>
                <w:spacing w:val="-1"/>
                <w:sz w:val="21"/>
                <w:szCs w:val="21"/>
                <w:highlight w:val="none"/>
              </w:rPr>
              <w:t>2005</w:t>
            </w:r>
            <w:r>
              <w:rPr>
                <w:rFonts w:hint="default" w:ascii="Times New Roman" w:hAnsi="Times New Roman" w:eastAsia="宋体" w:cs="Times New Roman"/>
                <w:color w:val="auto"/>
                <w:spacing w:val="-1"/>
                <w:sz w:val="21"/>
                <w:szCs w:val="21"/>
                <w:highlight w:val="none"/>
              </w:rPr>
              <w:t>年</w:t>
            </w:r>
            <w:r>
              <w:rPr>
                <w:rFonts w:hint="default" w:ascii="Times New Roman" w:hAnsi="Times New Roman" w:eastAsia="宋体" w:cs="Times New Roman"/>
                <w:color w:val="auto"/>
                <w:spacing w:val="-9"/>
                <w:sz w:val="21"/>
                <w:szCs w:val="21"/>
                <w:highlight w:val="none"/>
              </w:rPr>
              <w:t>第</w:t>
            </w:r>
            <w:r>
              <w:rPr>
                <w:rFonts w:hint="default" w:ascii="Times New Roman" w:hAnsi="Times New Roman" w:eastAsia="Times New Roman" w:cs="Times New Roman"/>
                <w:color w:val="auto"/>
                <w:spacing w:val="-9"/>
                <w:sz w:val="21"/>
                <w:szCs w:val="21"/>
                <w:highlight w:val="none"/>
              </w:rPr>
              <w:t>139</w:t>
            </w:r>
            <w:r>
              <w:rPr>
                <w:rFonts w:hint="default" w:ascii="Times New Roman" w:hAnsi="Times New Roman" w:eastAsia="宋体" w:cs="Times New Roman"/>
                <w:color w:val="auto"/>
                <w:spacing w:val="-9"/>
                <w:sz w:val="21"/>
                <w:szCs w:val="21"/>
                <w:highlight w:val="none"/>
              </w:rPr>
              <w:t>号令）</w:t>
            </w:r>
            <w:bookmarkEnd w:id="2396"/>
          </w:p>
        </w:tc>
      </w:tr>
      <w:bookmarkEnd w:id="2392"/>
    </w:tbl>
    <w:p w14:paraId="54EF5337">
      <w:pPr>
        <w:keepNext w:val="0"/>
        <w:keepLines w:val="0"/>
        <w:pageBreakBefore w:val="0"/>
        <w:widowControl/>
        <w:kinsoku w:val="0"/>
        <w:wordWrap/>
        <w:overflowPunct/>
        <w:topLinePunct w:val="0"/>
        <w:autoSpaceDE w:val="0"/>
        <w:autoSpaceDN w:val="0"/>
        <w:bidi w:val="0"/>
        <w:adjustRightInd w:val="0"/>
        <w:snapToGrid w:val="0"/>
        <w:spacing w:before="40" w:line="360" w:lineRule="auto"/>
        <w:ind w:left="37"/>
        <w:textAlignment w:val="baseline"/>
        <w:outlineLvl w:val="1"/>
        <w:rPr>
          <w:rFonts w:hint="eastAsia" w:ascii="Times New Roman" w:hAnsi="Times New Roman" w:eastAsia="宋体" w:cs="Times New Roman"/>
          <w:b/>
          <w:bCs/>
          <w:color w:val="auto"/>
          <w:spacing w:val="-2"/>
          <w:sz w:val="24"/>
          <w:szCs w:val="24"/>
          <w:highlight w:val="none"/>
          <w:lang w:val="en-US" w:eastAsia="zh-CN"/>
        </w:rPr>
      </w:pPr>
      <w:bookmarkStart w:id="2397" w:name="_Toc4136"/>
      <w:r>
        <w:rPr>
          <w:rFonts w:hint="eastAsia" w:ascii="Times New Roman" w:hAnsi="Times New Roman" w:eastAsia="宋体" w:cs="Times New Roman"/>
          <w:b/>
          <w:bCs/>
          <w:color w:val="auto"/>
          <w:spacing w:val="-2"/>
          <w:sz w:val="24"/>
          <w:szCs w:val="24"/>
          <w:highlight w:val="none"/>
          <w:lang w:val="en-US" w:eastAsia="zh-CN"/>
        </w:rPr>
        <w:t>10.3资源利用</w:t>
      </w:r>
      <w:sdt>
        <w:sdtPr>
          <w:rPr>
            <w:color w:val="auto"/>
            <w:highlight w:val="none"/>
          </w:rPr>
          <w:alias w:val="易错词检查"/>
          <w:tag w:val="auto"/>
          <w:id w:val="2172022"/>
        </w:sdtPr>
        <w:sdtEndPr>
          <w:rPr>
            <w:color w:val="auto"/>
            <w:highlight w:val="none"/>
          </w:rPr>
        </w:sdtEndPr>
        <w:sdtContent>
          <w:bookmarkStart w:id="2398" w:name="bkReivew2172022"/>
          <w:r>
            <w:rPr>
              <w:rFonts w:hint="eastAsia" w:ascii="Times New Roman" w:hAnsi="Times New Roman" w:eastAsia="宋体" w:cs="Times New Roman"/>
              <w:b/>
              <w:bCs/>
              <w:color w:val="auto"/>
              <w:spacing w:val="-2"/>
              <w:sz w:val="24"/>
              <w:szCs w:val="24"/>
              <w:highlight w:val="none"/>
              <w:lang w:val="en-US" w:eastAsia="zh-CN"/>
            </w:rPr>
            <w:t>上线</w:t>
          </w:r>
          <w:bookmarkEnd w:id="2398"/>
        </w:sdtContent>
      </w:sdt>
      <w:bookmarkEnd w:id="2397"/>
      <w:bookmarkStart w:id="2399" w:name="pindex14873"/>
      <w:bookmarkEnd w:id="2399"/>
    </w:p>
    <w:p w14:paraId="7BA90917">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2"/>
        <w:rPr>
          <w:rFonts w:hint="default" w:ascii="宋体" w:hAnsi="宋体" w:eastAsia="宋体" w:cs="宋体"/>
          <w:b/>
          <w:bCs/>
          <w:color w:val="auto"/>
          <w:spacing w:val="-1"/>
          <w:sz w:val="24"/>
          <w:szCs w:val="24"/>
          <w:highlight w:val="none"/>
          <w:lang w:val="en-US" w:eastAsia="zh-CN"/>
        </w:rPr>
      </w:pPr>
      <w:bookmarkStart w:id="2400" w:name="_Toc32640"/>
      <w:bookmarkStart w:id="2401" w:name="OLE_LINK771"/>
      <w:r>
        <w:rPr>
          <w:rFonts w:hint="eastAsia" w:ascii="Times New Roman" w:hAnsi="Times New Roman" w:eastAsia="宋体" w:cs="Times New Roman"/>
          <w:b/>
          <w:bCs/>
          <w:color w:val="auto"/>
          <w:spacing w:val="-1"/>
          <w:sz w:val="24"/>
          <w:szCs w:val="24"/>
          <w:highlight w:val="none"/>
          <w:lang w:val="en-US" w:eastAsia="zh-CN"/>
        </w:rPr>
        <w:t>10</w:t>
      </w:r>
      <w:r>
        <w:rPr>
          <w:rFonts w:ascii="Times New Roman" w:hAnsi="Times New Roman" w:eastAsia="Times New Roman" w:cs="Times New Roman"/>
          <w:b/>
          <w:bCs/>
          <w:color w:val="auto"/>
          <w:spacing w:val="-1"/>
          <w:sz w:val="24"/>
          <w:szCs w:val="24"/>
          <w:highlight w:val="none"/>
        </w:rPr>
        <w:t>.</w:t>
      </w:r>
      <w:r>
        <w:rPr>
          <w:rFonts w:hint="eastAsia" w:ascii="Times New Roman" w:hAnsi="Times New Roman" w:eastAsia="宋体" w:cs="Times New Roman"/>
          <w:b/>
          <w:bCs/>
          <w:color w:val="auto"/>
          <w:spacing w:val="-1"/>
          <w:sz w:val="24"/>
          <w:szCs w:val="24"/>
          <w:highlight w:val="none"/>
          <w:lang w:val="en-US" w:eastAsia="zh-CN"/>
        </w:rPr>
        <w:t>3</w:t>
      </w:r>
      <w:r>
        <w:rPr>
          <w:rFonts w:ascii="Times New Roman" w:hAnsi="Times New Roman" w:eastAsia="Times New Roman" w:cs="Times New Roman"/>
          <w:b/>
          <w:bCs/>
          <w:color w:val="auto"/>
          <w:spacing w:val="-1"/>
          <w:sz w:val="24"/>
          <w:szCs w:val="24"/>
          <w:highlight w:val="none"/>
        </w:rPr>
        <w:t>.</w:t>
      </w:r>
      <w:bookmarkStart w:id="2402" w:name="OLE_LINK768"/>
      <w:r>
        <w:rPr>
          <w:rFonts w:hint="eastAsia" w:ascii="Times New Roman" w:hAnsi="Times New Roman" w:eastAsia="宋体" w:cs="Times New Roman"/>
          <w:b/>
          <w:bCs/>
          <w:color w:val="auto"/>
          <w:spacing w:val="-1"/>
          <w:sz w:val="24"/>
          <w:szCs w:val="24"/>
          <w:highlight w:val="none"/>
          <w:lang w:val="en-US" w:eastAsia="zh-CN"/>
        </w:rPr>
        <w:t>1水资源利用</w:t>
      </w:r>
      <w:sdt>
        <w:sdtPr>
          <w:rPr>
            <w:color w:val="auto"/>
            <w:highlight w:val="none"/>
          </w:rPr>
          <w:alias w:val="易错词检查"/>
          <w:tag w:val="auto"/>
          <w:id w:val="1141653"/>
        </w:sdtPr>
        <w:sdtEndPr>
          <w:rPr>
            <w:color w:val="auto"/>
            <w:highlight w:val="none"/>
          </w:rPr>
        </w:sdtEndPr>
        <w:sdtContent>
          <w:bookmarkStart w:id="2403" w:name="bkReivew1141653"/>
          <w:r>
            <w:rPr>
              <w:rFonts w:hint="eastAsia" w:ascii="Times New Roman" w:hAnsi="Times New Roman" w:eastAsia="宋体" w:cs="Times New Roman"/>
              <w:b/>
              <w:bCs/>
              <w:color w:val="auto"/>
              <w:spacing w:val="-1"/>
              <w:sz w:val="24"/>
              <w:szCs w:val="24"/>
              <w:highlight w:val="none"/>
              <w:lang w:val="en-US" w:eastAsia="zh-CN"/>
            </w:rPr>
            <w:t>上线</w:t>
          </w:r>
          <w:bookmarkEnd w:id="2403"/>
        </w:sdtContent>
      </w:sdt>
      <w:bookmarkEnd w:id="2400"/>
      <w:bookmarkStart w:id="2404" w:name="pindex14874"/>
      <w:bookmarkEnd w:id="2404"/>
    </w:p>
    <w:bookmarkEnd w:id="2401"/>
    <w:bookmarkEnd w:id="2402"/>
    <w:p w14:paraId="61238B2A">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80" w:firstLineChars="200"/>
        <w:textAlignment w:val="baseline"/>
        <w:outlineLvl w:val="9"/>
        <w:rPr>
          <w:rFonts w:hint="default" w:ascii="Times New Roman" w:hAnsi="Times New Roman" w:eastAsia="宋体" w:cs="Times New Roman"/>
          <w:color w:val="auto"/>
          <w:sz w:val="24"/>
          <w:szCs w:val="24"/>
          <w:highlight w:val="none"/>
          <w:lang w:val="en-US" w:eastAsia="zh-CN"/>
        </w:rPr>
      </w:pPr>
      <w:bookmarkStart w:id="2405" w:name="OLE_LINK770"/>
      <w:r>
        <w:rPr>
          <w:rFonts w:hint="default" w:ascii="Times New Roman" w:hAnsi="Times New Roman" w:eastAsia="宋体" w:cs="Times New Roman"/>
          <w:color w:val="auto"/>
          <w:sz w:val="24"/>
          <w:szCs w:val="24"/>
          <w:highlight w:val="none"/>
          <w:lang w:val="en-US" w:eastAsia="zh-CN"/>
        </w:rPr>
        <w:t>根据《国家生态工业示范园区标准》（HJ274-2015），生态工业示范园单位工业增加值新鲜水耗不得超过9立方米/万元，考虑到江宁开发区2015年工业增加值新鲜水耗已达到4立方米/万元，参考《江宁经济技术开发区总体发展规划（</w:t>
      </w:r>
      <w:sdt>
        <w:sdtPr>
          <w:rPr>
            <w:color w:val="auto"/>
            <w:highlight w:val="none"/>
          </w:rPr>
          <w:alias w:val="易错词检查"/>
          <w:tag w:val="auto"/>
          <w:id w:val="1013820"/>
        </w:sdtPr>
        <w:sdtEndPr>
          <w:rPr>
            <w:color w:val="auto"/>
            <w:highlight w:val="none"/>
          </w:rPr>
        </w:sdtEndPr>
        <w:sdtContent>
          <w:bookmarkStart w:id="2406" w:name="bkReivew1013820"/>
          <w:r>
            <w:rPr>
              <w:rFonts w:hint="default" w:ascii="Times New Roman" w:hAnsi="Times New Roman" w:eastAsia="宋体" w:cs="Times New Roman"/>
              <w:color w:val="auto"/>
              <w:sz w:val="24"/>
              <w:szCs w:val="24"/>
              <w:highlight w:val="none"/>
              <w:lang w:val="en-US" w:eastAsia="zh-CN"/>
            </w:rPr>
            <w:t>2020-2035</w:t>
          </w:r>
          <w:bookmarkEnd w:id="2406"/>
        </w:sdtContent>
      </w:sdt>
      <w:r>
        <w:rPr>
          <w:rFonts w:hint="default" w:ascii="Times New Roman" w:hAnsi="Times New Roman" w:eastAsia="宋体" w:cs="Times New Roman"/>
          <w:color w:val="auto"/>
          <w:sz w:val="24"/>
          <w:szCs w:val="24"/>
          <w:highlight w:val="none"/>
          <w:lang w:val="en-US" w:eastAsia="zh-CN"/>
        </w:rPr>
        <w:t>）环境影响报告书》2025年目标，江宁开发区单位工业增加值新鲜水耗不高于2立方米/万元；2035年目标，江宁开发区单位工业增加值新鲜水耗不高于1.8立方米/万元。</w:t>
      </w:r>
      <w:bookmarkStart w:id="2407" w:name="OLE_LINK809"/>
    </w:p>
    <w:p w14:paraId="211C4A4B">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68" w:firstLineChars="200"/>
        <w:textAlignment w:val="baseline"/>
        <w:outlineLvl w:val="9"/>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Times New Roman" w:cs="Times New Roman"/>
          <w:b w:val="0"/>
          <w:bCs w:val="0"/>
          <w:color w:val="auto"/>
          <w:spacing w:val="-3"/>
          <w:sz w:val="24"/>
          <w:szCs w:val="24"/>
          <w:highlight w:val="none"/>
          <w:lang w:val="en-US" w:eastAsia="zh-CN"/>
        </w:rPr>
        <w:t>根据</w:t>
      </w:r>
      <w:bookmarkStart w:id="2408" w:name="OLE_LINK368"/>
      <w:r>
        <w:rPr>
          <w:rFonts w:hint="eastAsia" w:ascii="Times New Roman" w:hAnsi="Times New Roman" w:eastAsia="Times New Roman" w:cs="Times New Roman"/>
          <w:color w:val="auto"/>
          <w:sz w:val="24"/>
          <w:szCs w:val="24"/>
          <w:highlight w:val="none"/>
        </w:rPr>
        <w:t>《</w:t>
      </w:r>
      <w:bookmarkStart w:id="2409" w:name="OLE_LINK367"/>
      <w:r>
        <w:rPr>
          <w:rFonts w:hint="eastAsia" w:ascii="Times New Roman" w:hAnsi="Times New Roman" w:eastAsia="Times New Roman" w:cs="Times New Roman"/>
          <w:color w:val="auto"/>
          <w:sz w:val="24"/>
          <w:szCs w:val="24"/>
          <w:highlight w:val="none"/>
        </w:rPr>
        <w:t>江宁经济技术开发区总体发展规划（</w:t>
      </w:r>
      <w:sdt>
        <w:sdtPr>
          <w:rPr>
            <w:color w:val="auto"/>
            <w:highlight w:val="none"/>
          </w:rPr>
          <w:alias w:val="易错词检查"/>
          <w:tag w:val="auto"/>
          <w:id w:val="122433"/>
        </w:sdtPr>
        <w:sdtEndPr>
          <w:rPr>
            <w:color w:val="auto"/>
            <w:highlight w:val="none"/>
          </w:rPr>
        </w:sdtEndPr>
        <w:sdtContent>
          <w:bookmarkStart w:id="2410" w:name="bkReivew122433"/>
          <w:r>
            <w:rPr>
              <w:rFonts w:hint="eastAsia" w:ascii="Times New Roman" w:hAnsi="Times New Roman" w:eastAsia="Times New Roman" w:cs="Times New Roman"/>
              <w:color w:val="auto"/>
              <w:sz w:val="24"/>
              <w:szCs w:val="24"/>
              <w:highlight w:val="none"/>
            </w:rPr>
            <w:t>2020-2035</w:t>
          </w:r>
          <w:bookmarkEnd w:id="2410"/>
        </w:sdtContent>
      </w:sdt>
      <w:r>
        <w:rPr>
          <w:rFonts w:hint="eastAsia" w:ascii="Times New Roman" w:hAnsi="Times New Roman" w:eastAsia="Times New Roman" w:cs="Times New Roman"/>
          <w:color w:val="auto"/>
          <w:sz w:val="24"/>
          <w:szCs w:val="24"/>
          <w:highlight w:val="none"/>
        </w:rPr>
        <w:t>）环境影</w:t>
      </w:r>
      <w:bookmarkEnd w:id="2409"/>
      <w:r>
        <w:rPr>
          <w:rFonts w:hint="eastAsia" w:ascii="Times New Roman" w:hAnsi="Times New Roman" w:eastAsia="Times New Roman" w:cs="Times New Roman"/>
          <w:color w:val="auto"/>
          <w:sz w:val="24"/>
          <w:szCs w:val="24"/>
          <w:highlight w:val="none"/>
        </w:rPr>
        <w:t>响报告书》</w:t>
      </w:r>
      <w:bookmarkEnd w:id="2408"/>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Times New Roman" w:cs="Times New Roman"/>
          <w:b w:val="0"/>
          <w:bCs w:val="0"/>
          <w:color w:val="auto"/>
          <w:spacing w:val="-3"/>
          <w:sz w:val="24"/>
          <w:szCs w:val="24"/>
          <w:highlight w:val="none"/>
          <w:lang w:val="en-US" w:eastAsia="zh-CN"/>
        </w:rPr>
        <w:t>规划期末</w:t>
      </w:r>
      <w:r>
        <w:rPr>
          <w:rFonts w:hint="eastAsia" w:ascii="Times New Roman" w:hAnsi="Times New Roman" w:eastAsia="Times New Roman" w:cs="Times New Roman"/>
          <w:color w:val="auto"/>
          <w:sz w:val="24"/>
          <w:szCs w:val="24"/>
          <w:highlight w:val="none"/>
        </w:rPr>
        <w:t>江宁经济技术开发区</w:t>
      </w:r>
      <w:r>
        <w:rPr>
          <w:rFonts w:hint="eastAsia" w:ascii="Times New Roman" w:hAnsi="Times New Roman" w:eastAsia="Times New Roman" w:cs="Times New Roman"/>
          <w:b w:val="0"/>
          <w:bCs w:val="0"/>
          <w:color w:val="auto"/>
          <w:spacing w:val="-3"/>
          <w:sz w:val="24"/>
          <w:szCs w:val="24"/>
          <w:highlight w:val="none"/>
          <w:lang w:val="en-US" w:eastAsia="zh-CN"/>
        </w:rPr>
        <w:t>规划范围内的水资源需求量约为89.54万m</w:t>
      </w:r>
      <w:r>
        <w:rPr>
          <w:rFonts w:hint="eastAsia" w:ascii="Times New Roman" w:hAnsi="Times New Roman" w:eastAsia="Times New Roman" w:cs="Times New Roman"/>
          <w:b w:val="0"/>
          <w:bCs w:val="0"/>
          <w:color w:val="auto"/>
          <w:spacing w:val="-3"/>
          <w:sz w:val="24"/>
          <w:szCs w:val="24"/>
          <w:highlight w:val="none"/>
          <w:vertAlign w:val="superscript"/>
          <w:lang w:val="en-US" w:eastAsia="zh-CN"/>
        </w:rPr>
        <w:t>3</w:t>
      </w:r>
      <w:r>
        <w:rPr>
          <w:rFonts w:hint="eastAsia" w:ascii="Times New Roman" w:hAnsi="Times New Roman" w:eastAsia="Times New Roman" w:cs="Times New Roman"/>
          <w:b w:val="0"/>
          <w:bCs w:val="0"/>
          <w:color w:val="auto"/>
          <w:spacing w:val="-3"/>
          <w:sz w:val="24"/>
          <w:szCs w:val="24"/>
          <w:highlight w:val="none"/>
          <w:lang w:val="en-US" w:eastAsia="zh-CN"/>
        </w:rPr>
        <w:t>/d。规划期内</w:t>
      </w:r>
      <w:r>
        <w:rPr>
          <w:rFonts w:hint="eastAsia" w:ascii="Times New Roman" w:hAnsi="Times New Roman" w:eastAsia="Times New Roman" w:cs="Times New Roman"/>
          <w:color w:val="auto"/>
          <w:sz w:val="24"/>
          <w:szCs w:val="24"/>
          <w:highlight w:val="none"/>
        </w:rPr>
        <w:t>江宁经济技术开发区</w:t>
      </w:r>
      <w:r>
        <w:rPr>
          <w:rFonts w:hint="eastAsia" w:ascii="Times New Roman" w:hAnsi="Times New Roman" w:eastAsia="Times New Roman" w:cs="Times New Roman"/>
          <w:b w:val="0"/>
          <w:bCs w:val="0"/>
          <w:color w:val="auto"/>
          <w:spacing w:val="-3"/>
          <w:sz w:val="24"/>
          <w:szCs w:val="24"/>
          <w:highlight w:val="none"/>
          <w:lang w:val="en-US" w:eastAsia="zh-CN"/>
        </w:rPr>
        <w:t>的水资源利用应不突破该水资源需求量要求。</w:t>
      </w:r>
      <w:bookmarkEnd w:id="2407"/>
    </w:p>
    <w:bookmarkEnd w:id="2405"/>
    <w:p w14:paraId="27BD947D">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2"/>
        <w:rPr>
          <w:rFonts w:hint="eastAsia" w:ascii="Times New Roman" w:hAnsi="Times New Roman" w:eastAsia="宋体" w:cs="Times New Roman"/>
          <w:b/>
          <w:bCs/>
          <w:color w:val="auto"/>
          <w:spacing w:val="-1"/>
          <w:sz w:val="24"/>
          <w:szCs w:val="24"/>
          <w:highlight w:val="none"/>
          <w:lang w:val="en-US" w:eastAsia="zh-CN"/>
        </w:rPr>
      </w:pPr>
      <w:bookmarkStart w:id="2411" w:name="_Toc26076"/>
      <w:r>
        <w:rPr>
          <w:rFonts w:hint="eastAsia" w:ascii="Times New Roman" w:hAnsi="Times New Roman" w:eastAsia="宋体" w:cs="Times New Roman"/>
          <w:b/>
          <w:bCs/>
          <w:color w:val="auto"/>
          <w:spacing w:val="-1"/>
          <w:sz w:val="24"/>
          <w:szCs w:val="24"/>
          <w:highlight w:val="none"/>
          <w:lang w:val="en-US" w:eastAsia="zh-CN"/>
        </w:rPr>
        <w:t>10</w:t>
      </w:r>
      <w:r>
        <w:rPr>
          <w:rFonts w:ascii="Times New Roman" w:hAnsi="Times New Roman" w:eastAsia="Times New Roman" w:cs="Times New Roman"/>
          <w:b/>
          <w:bCs/>
          <w:color w:val="auto"/>
          <w:spacing w:val="-1"/>
          <w:sz w:val="24"/>
          <w:szCs w:val="24"/>
          <w:highlight w:val="none"/>
        </w:rPr>
        <w:t>.</w:t>
      </w:r>
      <w:r>
        <w:rPr>
          <w:rFonts w:hint="eastAsia" w:ascii="Times New Roman" w:hAnsi="Times New Roman" w:eastAsia="宋体" w:cs="Times New Roman"/>
          <w:b/>
          <w:bCs/>
          <w:color w:val="auto"/>
          <w:spacing w:val="-1"/>
          <w:sz w:val="24"/>
          <w:szCs w:val="24"/>
          <w:highlight w:val="none"/>
          <w:lang w:val="en-US" w:eastAsia="zh-CN"/>
        </w:rPr>
        <w:t>3</w:t>
      </w:r>
      <w:r>
        <w:rPr>
          <w:rFonts w:ascii="Times New Roman" w:hAnsi="Times New Roman" w:eastAsia="Times New Roman" w:cs="Times New Roman"/>
          <w:b/>
          <w:bCs/>
          <w:color w:val="auto"/>
          <w:spacing w:val="-1"/>
          <w:sz w:val="24"/>
          <w:szCs w:val="24"/>
          <w:highlight w:val="none"/>
        </w:rPr>
        <w:t>.</w:t>
      </w:r>
      <w:r>
        <w:rPr>
          <w:rFonts w:hint="eastAsia" w:ascii="Times New Roman" w:hAnsi="Times New Roman" w:eastAsia="宋体" w:cs="Times New Roman"/>
          <w:b/>
          <w:bCs/>
          <w:color w:val="auto"/>
          <w:spacing w:val="-1"/>
          <w:sz w:val="24"/>
          <w:szCs w:val="24"/>
          <w:highlight w:val="none"/>
          <w:lang w:val="en-US" w:eastAsia="zh-CN"/>
        </w:rPr>
        <w:t>2土地资源利用</w:t>
      </w:r>
      <w:sdt>
        <w:sdtPr>
          <w:rPr>
            <w:color w:val="auto"/>
            <w:highlight w:val="none"/>
          </w:rPr>
          <w:alias w:val="易错词检查"/>
          <w:tag w:val="auto"/>
          <w:id w:val="123133"/>
        </w:sdtPr>
        <w:sdtEndPr>
          <w:rPr>
            <w:color w:val="auto"/>
            <w:highlight w:val="none"/>
          </w:rPr>
        </w:sdtEndPr>
        <w:sdtContent>
          <w:bookmarkStart w:id="2412" w:name="bkReivew123133"/>
          <w:r>
            <w:rPr>
              <w:rFonts w:hint="eastAsia" w:ascii="Times New Roman" w:hAnsi="Times New Roman" w:eastAsia="宋体" w:cs="Times New Roman"/>
              <w:b/>
              <w:bCs/>
              <w:color w:val="auto"/>
              <w:spacing w:val="-1"/>
              <w:sz w:val="24"/>
              <w:szCs w:val="24"/>
              <w:highlight w:val="none"/>
              <w:lang w:val="en-US" w:eastAsia="zh-CN"/>
            </w:rPr>
            <w:t>上线</w:t>
          </w:r>
          <w:bookmarkEnd w:id="2412"/>
        </w:sdtContent>
      </w:sdt>
      <w:bookmarkEnd w:id="2411"/>
      <w:bookmarkStart w:id="2413" w:name="pindex14877"/>
      <w:bookmarkEnd w:id="2413"/>
    </w:p>
    <w:p w14:paraId="4497388A">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68" w:firstLineChars="200"/>
        <w:textAlignment w:val="baseline"/>
        <w:outlineLvl w:val="9"/>
        <w:rPr>
          <w:rFonts w:hint="eastAsia" w:ascii="Times New Roman" w:hAnsi="Times New Roman" w:eastAsia="宋体" w:cs="Times New Roman"/>
          <w:b w:val="0"/>
          <w:bCs w:val="0"/>
          <w:color w:val="auto"/>
          <w:spacing w:val="-3"/>
          <w:sz w:val="24"/>
          <w:szCs w:val="24"/>
          <w:highlight w:val="none"/>
          <w:lang w:val="en-US" w:eastAsia="zh-CN"/>
        </w:rPr>
      </w:pPr>
      <w:bookmarkStart w:id="2414" w:name="OLE_LINK369"/>
      <w:r>
        <w:rPr>
          <w:rFonts w:hint="eastAsia" w:ascii="Times New Roman" w:hAnsi="Times New Roman" w:eastAsia="Times New Roman" w:cs="Times New Roman"/>
          <w:b w:val="0"/>
          <w:bCs w:val="0"/>
          <w:color w:val="auto"/>
          <w:spacing w:val="-3"/>
          <w:sz w:val="24"/>
          <w:szCs w:val="24"/>
          <w:highlight w:val="none"/>
          <w:lang w:val="en-US" w:eastAsia="zh-CN"/>
        </w:rPr>
        <w:t>本次评估区域主要为江宁经济技术开发区江南片区，资源利用上线相关数据引用</w:t>
      </w:r>
      <w:r>
        <w:rPr>
          <w:rFonts w:hint="eastAsia" w:ascii="Times New Roman" w:hAnsi="Times New Roman" w:eastAsia="Times New Roman" w:cs="Times New Roman"/>
          <w:color w:val="auto"/>
          <w:sz w:val="24"/>
          <w:szCs w:val="24"/>
          <w:highlight w:val="none"/>
        </w:rPr>
        <w:t>《江宁经济技术开发区总体发展规划（</w:t>
      </w:r>
      <w:sdt>
        <w:sdtPr>
          <w:rPr>
            <w:color w:val="auto"/>
            <w:highlight w:val="none"/>
          </w:rPr>
          <w:alias w:val="易错词检查"/>
          <w:tag w:val="auto"/>
          <w:id w:val="2020044"/>
        </w:sdtPr>
        <w:sdtEndPr>
          <w:rPr>
            <w:color w:val="auto"/>
            <w:highlight w:val="none"/>
          </w:rPr>
        </w:sdtEndPr>
        <w:sdtContent>
          <w:bookmarkStart w:id="2415" w:name="bkReivew2020044"/>
          <w:r>
            <w:rPr>
              <w:rFonts w:hint="eastAsia" w:ascii="Times New Roman" w:hAnsi="Times New Roman" w:eastAsia="Times New Roman" w:cs="Times New Roman"/>
              <w:color w:val="auto"/>
              <w:sz w:val="24"/>
              <w:szCs w:val="24"/>
              <w:highlight w:val="none"/>
            </w:rPr>
            <w:t>2020-2035</w:t>
          </w:r>
          <w:bookmarkEnd w:id="2415"/>
        </w:sdtContent>
      </w:sdt>
      <w:r>
        <w:rPr>
          <w:rFonts w:hint="eastAsia" w:ascii="Times New Roman" w:hAnsi="Times New Roman" w:eastAsia="Times New Roman" w:cs="Times New Roman"/>
          <w:color w:val="auto"/>
          <w:sz w:val="24"/>
          <w:szCs w:val="24"/>
          <w:highlight w:val="none"/>
        </w:rPr>
        <w:t>）环境影响报告书》</w:t>
      </w:r>
      <w:r>
        <w:rPr>
          <w:rFonts w:hint="eastAsia" w:ascii="Times New Roman" w:hAnsi="Times New Roman" w:eastAsia="宋体" w:cs="Times New Roman"/>
          <w:color w:val="auto"/>
          <w:sz w:val="24"/>
          <w:szCs w:val="24"/>
          <w:highlight w:val="none"/>
          <w:lang w:eastAsia="zh-CN"/>
        </w:rPr>
        <w:t>。</w:t>
      </w:r>
    </w:p>
    <w:bookmarkEnd w:id="2414"/>
    <w:p w14:paraId="1D05FB0C">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68" w:firstLineChars="200"/>
        <w:textAlignment w:val="baseline"/>
        <w:outlineLvl w:val="9"/>
        <w:rPr>
          <w:rFonts w:hint="eastAsia" w:ascii="Times New Roman" w:hAnsi="Times New Roman" w:eastAsia="Times New Roman" w:cs="Times New Roman"/>
          <w:b w:val="0"/>
          <w:bCs w:val="0"/>
          <w:color w:val="auto"/>
          <w:spacing w:val="-3"/>
          <w:sz w:val="24"/>
          <w:szCs w:val="24"/>
          <w:highlight w:val="none"/>
          <w:lang w:val="en-US" w:eastAsia="zh-CN"/>
        </w:rPr>
      </w:pPr>
      <w:r>
        <w:rPr>
          <w:rFonts w:hint="eastAsia" w:ascii="Times New Roman" w:hAnsi="Times New Roman" w:eastAsia="Times New Roman" w:cs="Times New Roman"/>
          <w:b w:val="0"/>
          <w:bCs w:val="0"/>
          <w:color w:val="auto"/>
          <w:spacing w:val="-3"/>
          <w:sz w:val="24"/>
          <w:szCs w:val="24"/>
          <w:highlight w:val="none"/>
          <w:lang w:val="en-US" w:eastAsia="zh-CN"/>
        </w:rPr>
        <w:t>规划用地规模为348.7km</w:t>
      </w:r>
      <w:r>
        <w:rPr>
          <w:rFonts w:hint="eastAsia" w:ascii="Times New Roman" w:hAnsi="Times New Roman" w:eastAsia="Times New Roman" w:cs="Times New Roman"/>
          <w:b w:val="0"/>
          <w:bCs w:val="0"/>
          <w:color w:val="auto"/>
          <w:spacing w:val="-3"/>
          <w:sz w:val="24"/>
          <w:szCs w:val="24"/>
          <w:highlight w:val="none"/>
          <w:vertAlign w:val="superscript"/>
          <w:lang w:val="en-US" w:eastAsia="zh-CN"/>
        </w:rPr>
        <w:t>2</w:t>
      </w:r>
      <w:r>
        <w:rPr>
          <w:rFonts w:hint="eastAsia" w:ascii="Times New Roman" w:hAnsi="Times New Roman" w:eastAsia="Times New Roman" w:cs="Times New Roman"/>
          <w:b w:val="0"/>
          <w:bCs w:val="0"/>
          <w:color w:val="auto"/>
          <w:spacing w:val="-3"/>
          <w:sz w:val="24"/>
          <w:szCs w:val="24"/>
          <w:highlight w:val="none"/>
          <w:lang w:val="en-US" w:eastAsia="zh-CN"/>
        </w:rPr>
        <w:t>，其中城乡建设用地近远期分别为178.5km</w:t>
      </w:r>
      <w:r>
        <w:rPr>
          <w:rFonts w:hint="eastAsia" w:ascii="Times New Roman" w:hAnsi="Times New Roman" w:eastAsia="Times New Roman" w:cs="Times New Roman"/>
          <w:b w:val="0"/>
          <w:bCs w:val="0"/>
          <w:color w:val="auto"/>
          <w:spacing w:val="-3"/>
          <w:sz w:val="24"/>
          <w:szCs w:val="24"/>
          <w:highlight w:val="none"/>
          <w:vertAlign w:val="superscript"/>
          <w:lang w:val="en-US" w:eastAsia="zh-CN"/>
        </w:rPr>
        <w:t>2</w:t>
      </w:r>
      <w:r>
        <w:rPr>
          <w:rFonts w:hint="eastAsia" w:ascii="Times New Roman" w:hAnsi="Times New Roman" w:eastAsia="Times New Roman" w:cs="Times New Roman"/>
          <w:b w:val="0"/>
          <w:bCs w:val="0"/>
          <w:color w:val="auto"/>
          <w:spacing w:val="-3"/>
          <w:sz w:val="24"/>
          <w:szCs w:val="24"/>
          <w:highlight w:val="none"/>
          <w:lang w:val="en-US" w:eastAsia="zh-CN"/>
        </w:rPr>
        <w:t>和193.93km</w:t>
      </w:r>
      <w:r>
        <w:rPr>
          <w:rFonts w:hint="eastAsia" w:ascii="Times New Roman" w:hAnsi="Times New Roman" w:eastAsia="Times New Roman" w:cs="Times New Roman"/>
          <w:b w:val="0"/>
          <w:bCs w:val="0"/>
          <w:color w:val="auto"/>
          <w:spacing w:val="-3"/>
          <w:sz w:val="24"/>
          <w:szCs w:val="24"/>
          <w:highlight w:val="none"/>
          <w:vertAlign w:val="superscript"/>
          <w:lang w:val="en-US" w:eastAsia="zh-CN"/>
        </w:rPr>
        <w:t>2</w:t>
      </w:r>
      <w:r>
        <w:rPr>
          <w:rFonts w:hint="eastAsia" w:ascii="Times New Roman" w:hAnsi="Times New Roman" w:eastAsia="Times New Roman" w:cs="Times New Roman"/>
          <w:b w:val="0"/>
          <w:bCs w:val="0"/>
          <w:color w:val="auto"/>
          <w:spacing w:val="-3"/>
          <w:sz w:val="24"/>
          <w:szCs w:val="24"/>
          <w:highlight w:val="none"/>
          <w:lang w:val="en-US" w:eastAsia="zh-CN"/>
        </w:rPr>
        <w:t>，规划期内的城市建设用地应不突破该用地规模要求，具体见表10.2-3。</w:t>
      </w:r>
      <w:bookmarkStart w:id="2416" w:name="pindex14879"/>
      <w:bookmarkEnd w:id="2416"/>
    </w:p>
    <w:p w14:paraId="53C2E1BD">
      <w:pPr>
        <w:keepNext w:val="0"/>
        <w:keepLines w:val="0"/>
        <w:pageBreakBefore w:val="0"/>
        <w:widowControl/>
        <w:kinsoku w:val="0"/>
        <w:wordWrap/>
        <w:overflowPunct/>
        <w:topLinePunct w:val="0"/>
        <w:autoSpaceDE w:val="0"/>
        <w:autoSpaceDN w:val="0"/>
        <w:bidi w:val="0"/>
        <w:adjustRightInd w:val="0"/>
        <w:snapToGrid w:val="0"/>
        <w:spacing w:before="36" w:line="360" w:lineRule="auto"/>
        <w:ind w:left="45" w:firstLine="468" w:firstLineChars="200"/>
        <w:textAlignment w:val="baseline"/>
        <w:outlineLvl w:val="9"/>
        <w:rPr>
          <w:rFonts w:hint="eastAsia" w:ascii="Times New Roman" w:hAnsi="Times New Roman" w:eastAsia="Times New Roman" w:cs="Times New Roman"/>
          <w:b w:val="0"/>
          <w:bCs w:val="0"/>
          <w:color w:val="auto"/>
          <w:spacing w:val="-3"/>
          <w:sz w:val="24"/>
          <w:szCs w:val="24"/>
          <w:highlight w:val="none"/>
          <w:lang w:val="en-US" w:eastAsia="zh-CN"/>
        </w:rPr>
      </w:pPr>
      <w:r>
        <w:rPr>
          <w:rFonts w:hint="eastAsia" w:ascii="Times New Roman" w:hAnsi="Times New Roman" w:eastAsia="Times New Roman" w:cs="Times New Roman"/>
          <w:b w:val="0"/>
          <w:bCs w:val="0"/>
          <w:color w:val="auto"/>
          <w:spacing w:val="-3"/>
          <w:sz w:val="24"/>
          <w:szCs w:val="24"/>
          <w:highlight w:val="none"/>
          <w:lang w:val="en-US" w:eastAsia="zh-CN"/>
        </w:rPr>
        <w:t>此外，本次评价针对开发区的发展实际制定了相应的指标体系，其中资源能源利用的相关评价指标要求见表10.3-1。</w:t>
      </w:r>
    </w:p>
    <w:p w14:paraId="369BF278">
      <w:pPr>
        <w:pStyle w:val="8"/>
        <w:jc w:val="center"/>
        <w:rPr>
          <w:rFonts w:hint="eastAsia" w:ascii="Times New Roman" w:hAnsi="Times New Roman" w:eastAsia="Times New Roman" w:cs="Times New Roman"/>
          <w:b/>
          <w:bCs/>
          <w:color w:val="auto"/>
          <w:spacing w:val="-3"/>
          <w:sz w:val="24"/>
          <w:szCs w:val="24"/>
          <w:highlight w:val="none"/>
          <w:lang w:val="en-US" w:eastAsia="zh-CN"/>
        </w:rPr>
      </w:pPr>
      <w:r>
        <w:rPr>
          <w:rFonts w:hint="eastAsia" w:ascii="Times New Roman" w:hAnsi="Times New Roman" w:eastAsia="Times New Roman" w:cs="Times New Roman"/>
          <w:b/>
          <w:bCs/>
          <w:color w:val="auto"/>
          <w:spacing w:val="-3"/>
          <w:sz w:val="24"/>
          <w:szCs w:val="24"/>
          <w:highlight w:val="none"/>
          <w:lang w:val="en-US" w:eastAsia="zh-CN"/>
        </w:rPr>
        <w:t>表10.3-1  土地资源利用</w:t>
      </w:r>
      <w:sdt>
        <w:sdtPr>
          <w:rPr>
            <w:color w:val="auto"/>
          </w:rPr>
          <w:alias w:val="易错词检查"/>
          <w:tag w:val="auto"/>
          <w:id w:val="1101426"/>
        </w:sdtPr>
        <w:sdtEndPr>
          <w:rPr>
            <w:color w:val="auto"/>
          </w:rPr>
        </w:sdtEndPr>
        <w:sdtContent>
          <w:bookmarkStart w:id="2417" w:name="bkReivew1101426"/>
          <w:r>
            <w:rPr>
              <w:rFonts w:hint="eastAsia" w:ascii="Times New Roman" w:hAnsi="Times New Roman" w:eastAsia="Times New Roman" w:cs="Times New Roman"/>
              <w:b/>
              <w:bCs/>
              <w:color w:val="auto"/>
              <w:spacing w:val="-3"/>
              <w:sz w:val="24"/>
              <w:szCs w:val="24"/>
              <w:highlight w:val="none"/>
              <w:lang w:val="en-US" w:eastAsia="zh-CN"/>
            </w:rPr>
            <w:t>上线</w:t>
          </w:r>
          <w:bookmarkEnd w:id="2417"/>
        </w:sdtContent>
      </w:sdt>
      <w:r>
        <w:rPr>
          <w:rFonts w:hint="eastAsia" w:ascii="Times New Roman" w:hAnsi="Times New Roman" w:eastAsia="Times New Roman" w:cs="Times New Roman"/>
          <w:b/>
          <w:bCs/>
          <w:color w:val="auto"/>
          <w:spacing w:val="-3"/>
          <w:sz w:val="24"/>
          <w:szCs w:val="24"/>
          <w:highlight w:val="none"/>
          <w:lang w:val="en-US" w:eastAsia="zh-CN"/>
        </w:rPr>
        <w:t>清单</w:t>
      </w:r>
      <w:bookmarkStart w:id="2418" w:name="pindex14881"/>
      <w:bookmarkEnd w:id="2418"/>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6"/>
        <w:gridCol w:w="2100"/>
        <w:gridCol w:w="2400"/>
        <w:gridCol w:w="2259"/>
      </w:tblGrid>
      <w:tr w14:paraId="374573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3916" w:type="dxa"/>
            <w:gridSpan w:val="2"/>
            <w:tcBorders>
              <w:tl2br w:val="nil"/>
              <w:tr2bl w:val="nil"/>
            </w:tcBorders>
            <w:vAlign w:val="center"/>
          </w:tcPr>
          <w:p w14:paraId="4B0AF2B5">
            <w:pPr>
              <w:pStyle w:val="8"/>
              <w:widowControl w:val="0"/>
              <w:jc w:val="center"/>
              <w:rPr>
                <w:rFonts w:hint="default" w:ascii="Times New Roman" w:hAnsi="Times New Roman" w:eastAsia="Times New Roman" w:cs="Times New Roman"/>
                <w:b/>
                <w:bCs/>
                <w:color w:val="auto"/>
                <w:spacing w:val="-3"/>
                <w:sz w:val="21"/>
                <w:szCs w:val="21"/>
                <w:highlight w:val="none"/>
                <w:vertAlign w:val="baseline"/>
                <w:lang w:val="en-US" w:eastAsia="zh-CN"/>
              </w:rPr>
            </w:pPr>
            <w:r>
              <w:rPr>
                <w:rFonts w:hint="eastAsia" w:ascii="Times New Roman" w:hAnsi="Times New Roman" w:eastAsia="Times New Roman" w:cs="Times New Roman"/>
                <w:b/>
                <w:bCs/>
                <w:color w:val="auto"/>
                <w:spacing w:val="-3"/>
                <w:sz w:val="21"/>
                <w:szCs w:val="21"/>
                <w:highlight w:val="none"/>
                <w:vertAlign w:val="baseline"/>
                <w:lang w:val="en-US" w:eastAsia="zh-CN"/>
              </w:rPr>
              <w:t>项目</w:t>
            </w:r>
          </w:p>
        </w:tc>
        <w:tc>
          <w:tcPr>
            <w:tcW w:w="2400" w:type="dxa"/>
            <w:tcBorders>
              <w:tl2br w:val="nil"/>
              <w:tr2bl w:val="nil"/>
            </w:tcBorders>
            <w:vAlign w:val="center"/>
          </w:tcPr>
          <w:p w14:paraId="5B5ECE4B">
            <w:pPr>
              <w:pStyle w:val="8"/>
              <w:widowControl w:val="0"/>
              <w:jc w:val="center"/>
              <w:rPr>
                <w:rFonts w:hint="default" w:ascii="Times New Roman" w:hAnsi="Times New Roman" w:eastAsia="Times New Roman" w:cs="Times New Roman"/>
                <w:b/>
                <w:bCs/>
                <w:color w:val="auto"/>
                <w:spacing w:val="-3"/>
                <w:sz w:val="21"/>
                <w:szCs w:val="21"/>
                <w:highlight w:val="none"/>
                <w:vertAlign w:val="baseline"/>
                <w:lang w:val="en-US" w:eastAsia="zh-CN"/>
              </w:rPr>
            </w:pPr>
            <w:r>
              <w:rPr>
                <w:rFonts w:hint="eastAsia" w:ascii="Times New Roman" w:hAnsi="Times New Roman" w:eastAsia="Times New Roman" w:cs="Times New Roman"/>
                <w:b/>
                <w:bCs/>
                <w:color w:val="auto"/>
                <w:spacing w:val="-3"/>
                <w:sz w:val="21"/>
                <w:szCs w:val="21"/>
                <w:highlight w:val="none"/>
                <w:vertAlign w:val="baseline"/>
                <w:lang w:val="en-US" w:eastAsia="zh-CN"/>
              </w:rPr>
              <w:t>规划近期2025（km</w:t>
            </w:r>
            <w:r>
              <w:rPr>
                <w:rFonts w:hint="eastAsia" w:ascii="Times New Roman" w:hAnsi="Times New Roman" w:eastAsia="Times New Roman" w:cs="Times New Roman"/>
                <w:b/>
                <w:bCs/>
                <w:color w:val="auto"/>
                <w:spacing w:val="-3"/>
                <w:sz w:val="21"/>
                <w:szCs w:val="21"/>
                <w:highlight w:val="none"/>
                <w:vertAlign w:val="superscript"/>
                <w:lang w:val="en-US" w:eastAsia="zh-CN"/>
              </w:rPr>
              <w:t>2</w:t>
            </w:r>
            <w:r>
              <w:rPr>
                <w:rFonts w:hint="eastAsia" w:ascii="Times New Roman" w:hAnsi="Times New Roman" w:eastAsia="Times New Roman" w:cs="Times New Roman"/>
                <w:b/>
                <w:bCs/>
                <w:color w:val="auto"/>
                <w:spacing w:val="-3"/>
                <w:sz w:val="21"/>
                <w:szCs w:val="21"/>
                <w:highlight w:val="none"/>
                <w:vertAlign w:val="baseline"/>
                <w:lang w:val="en-US" w:eastAsia="zh-CN"/>
              </w:rPr>
              <w:t>）</w:t>
            </w:r>
          </w:p>
        </w:tc>
        <w:tc>
          <w:tcPr>
            <w:tcW w:w="2259" w:type="dxa"/>
            <w:tcBorders>
              <w:tl2br w:val="nil"/>
              <w:tr2bl w:val="nil"/>
            </w:tcBorders>
            <w:vAlign w:val="center"/>
          </w:tcPr>
          <w:p w14:paraId="140834E0">
            <w:pPr>
              <w:pStyle w:val="8"/>
              <w:widowControl w:val="0"/>
              <w:jc w:val="center"/>
              <w:rPr>
                <w:rFonts w:hint="default" w:ascii="Times New Roman" w:hAnsi="Times New Roman" w:eastAsia="Times New Roman" w:cs="Times New Roman"/>
                <w:b/>
                <w:bCs/>
                <w:color w:val="auto"/>
                <w:spacing w:val="-3"/>
                <w:sz w:val="21"/>
                <w:szCs w:val="21"/>
                <w:highlight w:val="none"/>
                <w:vertAlign w:val="baseline"/>
                <w:lang w:val="en-US" w:eastAsia="zh-CN"/>
              </w:rPr>
            </w:pPr>
            <w:r>
              <w:rPr>
                <w:rFonts w:hint="eastAsia" w:ascii="Times New Roman" w:hAnsi="Times New Roman" w:eastAsia="Times New Roman" w:cs="Times New Roman"/>
                <w:b/>
                <w:bCs/>
                <w:color w:val="auto"/>
                <w:spacing w:val="-3"/>
                <w:sz w:val="21"/>
                <w:szCs w:val="21"/>
                <w:highlight w:val="none"/>
                <w:vertAlign w:val="baseline"/>
                <w:lang w:val="en-US" w:eastAsia="zh-CN"/>
              </w:rPr>
              <w:t>规划远期2035（km</w:t>
            </w:r>
            <w:r>
              <w:rPr>
                <w:rFonts w:hint="eastAsia" w:ascii="Times New Roman" w:hAnsi="Times New Roman" w:eastAsia="Times New Roman" w:cs="Times New Roman"/>
                <w:b/>
                <w:bCs/>
                <w:color w:val="auto"/>
                <w:spacing w:val="-3"/>
                <w:sz w:val="21"/>
                <w:szCs w:val="21"/>
                <w:highlight w:val="none"/>
                <w:vertAlign w:val="superscript"/>
                <w:lang w:val="en-US" w:eastAsia="zh-CN"/>
              </w:rPr>
              <w:t>2</w:t>
            </w:r>
            <w:r>
              <w:rPr>
                <w:rFonts w:hint="eastAsia" w:ascii="Times New Roman" w:hAnsi="Times New Roman" w:eastAsia="Times New Roman" w:cs="Times New Roman"/>
                <w:b/>
                <w:bCs/>
                <w:color w:val="auto"/>
                <w:spacing w:val="-3"/>
                <w:sz w:val="21"/>
                <w:szCs w:val="21"/>
                <w:highlight w:val="none"/>
                <w:vertAlign w:val="baseline"/>
                <w:lang w:val="en-US" w:eastAsia="zh-CN"/>
              </w:rPr>
              <w:t>）</w:t>
            </w:r>
          </w:p>
        </w:tc>
      </w:tr>
      <w:tr w14:paraId="1D94BA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16" w:type="dxa"/>
            <w:vMerge w:val="restart"/>
            <w:tcBorders>
              <w:tl2br w:val="nil"/>
              <w:tr2bl w:val="nil"/>
            </w:tcBorders>
            <w:vAlign w:val="center"/>
          </w:tcPr>
          <w:p w14:paraId="64695CB4">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土地资源利用上线</w:t>
            </w:r>
          </w:p>
        </w:tc>
        <w:tc>
          <w:tcPr>
            <w:tcW w:w="2100" w:type="dxa"/>
            <w:tcBorders>
              <w:tl2br w:val="nil"/>
              <w:tr2bl w:val="nil"/>
            </w:tcBorders>
            <w:vAlign w:val="center"/>
          </w:tcPr>
          <w:p w14:paraId="788A0531">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土地资源总量</w:t>
            </w:r>
            <w:sdt>
              <w:sdtPr>
                <w:rPr>
                  <w:color w:val="auto"/>
                </w:rPr>
                <w:alias w:val="易错词检查"/>
                <w:tag w:val="auto"/>
                <w:id w:val="2141754"/>
              </w:sdtPr>
              <w:sdtEndPr>
                <w:rPr>
                  <w:color w:val="auto"/>
                </w:rPr>
              </w:sdtEndPr>
              <w:sdtContent>
                <w:bookmarkStart w:id="2419" w:name="bkReivew2141754"/>
                <w:r>
                  <w:rPr>
                    <w:rFonts w:hint="eastAsia" w:ascii="Times New Roman" w:hAnsi="Times New Roman" w:eastAsia="Times New Roman" w:cs="Times New Roman"/>
                    <w:b w:val="0"/>
                    <w:bCs w:val="0"/>
                    <w:color w:val="auto"/>
                    <w:spacing w:val="-3"/>
                    <w:sz w:val="21"/>
                    <w:szCs w:val="21"/>
                    <w:highlight w:val="none"/>
                    <w:vertAlign w:val="baseline"/>
                    <w:lang w:val="en-US" w:eastAsia="zh-CN"/>
                  </w:rPr>
                  <w:t>上线</w:t>
                </w:r>
                <w:bookmarkEnd w:id="2419"/>
              </w:sdtContent>
            </w:sdt>
          </w:p>
        </w:tc>
        <w:tc>
          <w:tcPr>
            <w:tcW w:w="2400" w:type="dxa"/>
            <w:tcBorders>
              <w:tl2br w:val="nil"/>
              <w:tr2bl w:val="nil"/>
            </w:tcBorders>
            <w:vAlign w:val="center"/>
          </w:tcPr>
          <w:p w14:paraId="779E4351">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348.7</w:t>
            </w:r>
          </w:p>
        </w:tc>
        <w:tc>
          <w:tcPr>
            <w:tcW w:w="2259" w:type="dxa"/>
            <w:tcBorders>
              <w:tl2br w:val="nil"/>
              <w:tr2bl w:val="nil"/>
            </w:tcBorders>
            <w:vAlign w:val="center"/>
          </w:tcPr>
          <w:p w14:paraId="26584297">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348.7</w:t>
            </w:r>
          </w:p>
        </w:tc>
      </w:tr>
      <w:tr w14:paraId="1A1E59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16" w:type="dxa"/>
            <w:vMerge w:val="continue"/>
            <w:tcBorders>
              <w:tl2br w:val="nil"/>
              <w:tr2bl w:val="nil"/>
            </w:tcBorders>
            <w:vAlign w:val="center"/>
          </w:tcPr>
          <w:p w14:paraId="4B16CBA2">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p>
        </w:tc>
        <w:tc>
          <w:tcPr>
            <w:tcW w:w="2100" w:type="dxa"/>
            <w:tcBorders>
              <w:tl2br w:val="nil"/>
              <w:tr2bl w:val="nil"/>
            </w:tcBorders>
            <w:vAlign w:val="center"/>
          </w:tcPr>
          <w:p w14:paraId="0ADE42A1">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建设用地总量</w:t>
            </w:r>
            <w:sdt>
              <w:sdtPr>
                <w:rPr>
                  <w:color w:val="auto"/>
                </w:rPr>
                <w:alias w:val="易错词检查"/>
                <w:tag w:val="auto"/>
                <w:id w:val="3051426"/>
              </w:sdtPr>
              <w:sdtEndPr>
                <w:rPr>
                  <w:color w:val="auto"/>
                </w:rPr>
              </w:sdtEndPr>
              <w:sdtContent>
                <w:bookmarkStart w:id="2420" w:name="bkReivew3051426"/>
                <w:r>
                  <w:rPr>
                    <w:rFonts w:hint="eastAsia" w:ascii="Times New Roman" w:hAnsi="Times New Roman" w:eastAsia="Times New Roman" w:cs="Times New Roman"/>
                    <w:b w:val="0"/>
                    <w:bCs w:val="0"/>
                    <w:color w:val="auto"/>
                    <w:spacing w:val="-3"/>
                    <w:sz w:val="21"/>
                    <w:szCs w:val="21"/>
                    <w:highlight w:val="none"/>
                    <w:vertAlign w:val="baseline"/>
                    <w:lang w:val="en-US" w:eastAsia="zh-CN"/>
                  </w:rPr>
                  <w:t>上线</w:t>
                </w:r>
                <w:bookmarkEnd w:id="2420"/>
              </w:sdtContent>
            </w:sdt>
          </w:p>
        </w:tc>
        <w:tc>
          <w:tcPr>
            <w:tcW w:w="2400" w:type="dxa"/>
            <w:tcBorders>
              <w:tl2br w:val="nil"/>
              <w:tr2bl w:val="nil"/>
            </w:tcBorders>
            <w:vAlign w:val="center"/>
          </w:tcPr>
          <w:p w14:paraId="4F6CD36C">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178.5</w:t>
            </w:r>
          </w:p>
        </w:tc>
        <w:tc>
          <w:tcPr>
            <w:tcW w:w="2259" w:type="dxa"/>
            <w:tcBorders>
              <w:tl2br w:val="nil"/>
              <w:tr2bl w:val="nil"/>
            </w:tcBorders>
            <w:vAlign w:val="center"/>
          </w:tcPr>
          <w:p w14:paraId="04CDF289">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193.93</w:t>
            </w:r>
          </w:p>
        </w:tc>
      </w:tr>
      <w:tr w14:paraId="553FF5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16" w:type="dxa"/>
            <w:vMerge w:val="continue"/>
            <w:tcBorders>
              <w:tl2br w:val="nil"/>
              <w:tr2bl w:val="nil"/>
            </w:tcBorders>
            <w:vAlign w:val="center"/>
          </w:tcPr>
          <w:p w14:paraId="479B98C0">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p>
        </w:tc>
        <w:tc>
          <w:tcPr>
            <w:tcW w:w="2100" w:type="dxa"/>
            <w:tcBorders>
              <w:tl2br w:val="nil"/>
              <w:tr2bl w:val="nil"/>
            </w:tcBorders>
            <w:vAlign w:val="center"/>
          </w:tcPr>
          <w:p w14:paraId="372012AD">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工业用地总量</w:t>
            </w:r>
            <w:sdt>
              <w:sdtPr>
                <w:rPr>
                  <w:color w:val="auto"/>
                </w:rPr>
                <w:alias w:val="易错词检查"/>
                <w:tag w:val="auto"/>
                <w:id w:val="1151332"/>
              </w:sdtPr>
              <w:sdtEndPr>
                <w:rPr>
                  <w:color w:val="auto"/>
                </w:rPr>
              </w:sdtEndPr>
              <w:sdtContent>
                <w:bookmarkStart w:id="2421" w:name="bkReivew1151332"/>
                <w:r>
                  <w:rPr>
                    <w:rFonts w:hint="eastAsia" w:ascii="Times New Roman" w:hAnsi="Times New Roman" w:eastAsia="Times New Roman" w:cs="Times New Roman"/>
                    <w:b w:val="0"/>
                    <w:bCs w:val="0"/>
                    <w:color w:val="auto"/>
                    <w:spacing w:val="-3"/>
                    <w:sz w:val="21"/>
                    <w:szCs w:val="21"/>
                    <w:highlight w:val="none"/>
                    <w:vertAlign w:val="baseline"/>
                    <w:lang w:val="en-US" w:eastAsia="zh-CN"/>
                  </w:rPr>
                  <w:t>上线</w:t>
                </w:r>
                <w:bookmarkEnd w:id="2421"/>
              </w:sdtContent>
            </w:sdt>
          </w:p>
        </w:tc>
        <w:tc>
          <w:tcPr>
            <w:tcW w:w="2400" w:type="dxa"/>
            <w:tcBorders>
              <w:tl2br w:val="nil"/>
              <w:tr2bl w:val="nil"/>
            </w:tcBorders>
            <w:vAlign w:val="center"/>
          </w:tcPr>
          <w:p w14:paraId="27E6E520">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42.41</w:t>
            </w:r>
          </w:p>
        </w:tc>
        <w:tc>
          <w:tcPr>
            <w:tcW w:w="2259" w:type="dxa"/>
            <w:tcBorders>
              <w:tl2br w:val="nil"/>
              <w:tr2bl w:val="nil"/>
            </w:tcBorders>
            <w:vAlign w:val="center"/>
          </w:tcPr>
          <w:p w14:paraId="3EAE4B0C">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43.67</w:t>
            </w:r>
          </w:p>
        </w:tc>
      </w:tr>
    </w:tbl>
    <w:p w14:paraId="4E97AC41">
      <w:pPr>
        <w:pStyle w:val="8"/>
        <w:jc w:val="center"/>
        <w:rPr>
          <w:rFonts w:hint="eastAsia" w:ascii="Times New Roman" w:hAnsi="Times New Roman" w:eastAsia="Times New Roman" w:cs="Times New Roman"/>
          <w:b/>
          <w:bCs/>
          <w:color w:val="auto"/>
          <w:spacing w:val="-3"/>
          <w:sz w:val="24"/>
          <w:szCs w:val="24"/>
          <w:highlight w:val="none"/>
          <w:lang w:val="en-US" w:eastAsia="zh-CN"/>
        </w:rPr>
      </w:pPr>
      <w:r>
        <w:rPr>
          <w:rFonts w:hint="eastAsia" w:ascii="Times New Roman" w:hAnsi="Times New Roman" w:eastAsia="Times New Roman" w:cs="Times New Roman"/>
          <w:b/>
          <w:bCs/>
          <w:color w:val="auto"/>
          <w:spacing w:val="-3"/>
          <w:sz w:val="24"/>
          <w:szCs w:val="24"/>
          <w:highlight w:val="none"/>
          <w:lang w:val="en-US" w:eastAsia="zh-CN"/>
        </w:rPr>
        <w:t>表10.3-2  资源能源利用评价指标表</w:t>
      </w:r>
      <w:bookmarkStart w:id="2422" w:name="pindex14897"/>
      <w:bookmarkEnd w:id="2422"/>
    </w:p>
    <w:tbl>
      <w:tblPr>
        <w:tblStyle w:val="2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6"/>
        <w:gridCol w:w="667"/>
        <w:gridCol w:w="2704"/>
        <w:gridCol w:w="1429"/>
        <w:gridCol w:w="1429"/>
        <w:gridCol w:w="1430"/>
      </w:tblGrid>
      <w:tr w14:paraId="02860F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6" w:type="dxa"/>
            <w:tcBorders>
              <w:tl2br w:val="nil"/>
              <w:tr2bl w:val="nil"/>
            </w:tcBorders>
            <w:vAlign w:val="center"/>
          </w:tcPr>
          <w:p w14:paraId="201D6B32">
            <w:pPr>
              <w:pStyle w:val="8"/>
              <w:widowControl w:val="0"/>
              <w:jc w:val="center"/>
              <w:rPr>
                <w:rFonts w:hint="default" w:ascii="Times New Roman" w:hAnsi="Times New Roman" w:eastAsia="Times New Roman" w:cs="Times New Roman"/>
                <w:b/>
                <w:bCs/>
                <w:color w:val="auto"/>
                <w:spacing w:val="-3"/>
                <w:sz w:val="21"/>
                <w:szCs w:val="21"/>
                <w:highlight w:val="none"/>
                <w:vertAlign w:val="baseline"/>
                <w:lang w:val="en-US" w:eastAsia="zh-CN"/>
              </w:rPr>
            </w:pPr>
            <w:r>
              <w:rPr>
                <w:rFonts w:hint="eastAsia" w:ascii="Times New Roman" w:hAnsi="Times New Roman" w:eastAsia="Times New Roman" w:cs="Times New Roman"/>
                <w:b/>
                <w:bCs/>
                <w:color w:val="auto"/>
                <w:spacing w:val="-3"/>
                <w:sz w:val="21"/>
                <w:szCs w:val="21"/>
                <w:highlight w:val="none"/>
                <w:vertAlign w:val="baseline"/>
                <w:lang w:val="en-US" w:eastAsia="zh-CN"/>
              </w:rPr>
              <w:t>主题</w:t>
            </w:r>
          </w:p>
        </w:tc>
        <w:tc>
          <w:tcPr>
            <w:tcW w:w="667" w:type="dxa"/>
            <w:tcBorders>
              <w:tl2br w:val="nil"/>
              <w:tr2bl w:val="nil"/>
            </w:tcBorders>
            <w:vAlign w:val="center"/>
          </w:tcPr>
          <w:p w14:paraId="5C6B6D46">
            <w:pPr>
              <w:pStyle w:val="8"/>
              <w:widowControl w:val="0"/>
              <w:jc w:val="center"/>
              <w:rPr>
                <w:rFonts w:hint="default" w:ascii="Times New Roman" w:hAnsi="Times New Roman" w:eastAsia="Times New Roman" w:cs="Times New Roman"/>
                <w:b/>
                <w:bCs/>
                <w:color w:val="auto"/>
                <w:spacing w:val="-3"/>
                <w:sz w:val="21"/>
                <w:szCs w:val="21"/>
                <w:highlight w:val="none"/>
                <w:vertAlign w:val="baseline"/>
                <w:lang w:val="en-US" w:eastAsia="zh-CN"/>
              </w:rPr>
            </w:pPr>
            <w:r>
              <w:rPr>
                <w:rFonts w:hint="eastAsia" w:ascii="Times New Roman" w:hAnsi="Times New Roman" w:eastAsia="Times New Roman" w:cs="Times New Roman"/>
                <w:b/>
                <w:bCs/>
                <w:color w:val="auto"/>
                <w:spacing w:val="-3"/>
                <w:sz w:val="21"/>
                <w:szCs w:val="21"/>
                <w:highlight w:val="none"/>
                <w:vertAlign w:val="baseline"/>
                <w:lang w:val="en-US" w:eastAsia="zh-CN"/>
              </w:rPr>
              <w:t>序号</w:t>
            </w:r>
          </w:p>
        </w:tc>
        <w:tc>
          <w:tcPr>
            <w:tcW w:w="2704" w:type="dxa"/>
            <w:tcBorders>
              <w:tl2br w:val="nil"/>
              <w:tr2bl w:val="nil"/>
            </w:tcBorders>
            <w:vAlign w:val="center"/>
          </w:tcPr>
          <w:p w14:paraId="7194F5F6">
            <w:pPr>
              <w:pStyle w:val="8"/>
              <w:widowControl w:val="0"/>
              <w:jc w:val="center"/>
              <w:rPr>
                <w:rFonts w:hint="default" w:ascii="Times New Roman" w:hAnsi="Times New Roman" w:eastAsia="Times New Roman" w:cs="Times New Roman"/>
                <w:b/>
                <w:bCs/>
                <w:color w:val="auto"/>
                <w:spacing w:val="-3"/>
                <w:sz w:val="21"/>
                <w:szCs w:val="21"/>
                <w:highlight w:val="none"/>
                <w:vertAlign w:val="baseline"/>
                <w:lang w:val="en-US" w:eastAsia="zh-CN"/>
              </w:rPr>
            </w:pPr>
            <w:r>
              <w:rPr>
                <w:rFonts w:hint="eastAsia" w:ascii="Times New Roman" w:hAnsi="Times New Roman" w:eastAsia="Times New Roman" w:cs="Times New Roman"/>
                <w:b/>
                <w:bCs/>
                <w:color w:val="auto"/>
                <w:spacing w:val="-3"/>
                <w:sz w:val="21"/>
                <w:szCs w:val="21"/>
                <w:highlight w:val="none"/>
                <w:vertAlign w:val="baseline"/>
                <w:lang w:val="en-US" w:eastAsia="zh-CN"/>
              </w:rPr>
              <w:t>评价指标</w:t>
            </w:r>
          </w:p>
        </w:tc>
        <w:tc>
          <w:tcPr>
            <w:tcW w:w="1429" w:type="dxa"/>
            <w:tcBorders>
              <w:tl2br w:val="nil"/>
              <w:tr2bl w:val="nil"/>
            </w:tcBorders>
            <w:vAlign w:val="center"/>
          </w:tcPr>
          <w:p w14:paraId="03EB5925">
            <w:pPr>
              <w:pStyle w:val="8"/>
              <w:widowControl w:val="0"/>
              <w:jc w:val="center"/>
              <w:rPr>
                <w:rFonts w:hint="default" w:ascii="Times New Roman" w:hAnsi="Times New Roman" w:eastAsia="Times New Roman" w:cs="Times New Roman"/>
                <w:b/>
                <w:bCs/>
                <w:color w:val="auto"/>
                <w:spacing w:val="-3"/>
                <w:sz w:val="21"/>
                <w:szCs w:val="21"/>
                <w:highlight w:val="none"/>
                <w:vertAlign w:val="baseline"/>
                <w:lang w:val="en-US" w:eastAsia="zh-CN"/>
              </w:rPr>
            </w:pPr>
            <w:r>
              <w:rPr>
                <w:rFonts w:hint="eastAsia" w:ascii="Times New Roman" w:hAnsi="Times New Roman" w:eastAsia="Times New Roman" w:cs="Times New Roman"/>
                <w:b/>
                <w:bCs/>
                <w:color w:val="auto"/>
                <w:spacing w:val="-3"/>
                <w:sz w:val="21"/>
                <w:szCs w:val="21"/>
                <w:highlight w:val="none"/>
                <w:vertAlign w:val="baseline"/>
                <w:lang w:val="en-US" w:eastAsia="zh-CN"/>
              </w:rPr>
              <w:t>单位</w:t>
            </w:r>
          </w:p>
        </w:tc>
        <w:tc>
          <w:tcPr>
            <w:tcW w:w="1429" w:type="dxa"/>
            <w:tcBorders>
              <w:tl2br w:val="nil"/>
              <w:tr2bl w:val="nil"/>
            </w:tcBorders>
            <w:vAlign w:val="center"/>
          </w:tcPr>
          <w:p w14:paraId="3BE8FD39">
            <w:pPr>
              <w:pStyle w:val="8"/>
              <w:widowControl w:val="0"/>
              <w:jc w:val="center"/>
              <w:rPr>
                <w:rFonts w:hint="eastAsia" w:ascii="Times New Roman" w:hAnsi="Times New Roman" w:eastAsia="Times New Roman" w:cs="Times New Roman"/>
                <w:b/>
                <w:bCs/>
                <w:color w:val="auto"/>
                <w:spacing w:val="-3"/>
                <w:sz w:val="21"/>
                <w:szCs w:val="21"/>
                <w:highlight w:val="none"/>
                <w:vertAlign w:val="baseline"/>
                <w:lang w:val="en-US" w:eastAsia="zh-CN"/>
              </w:rPr>
            </w:pPr>
            <w:r>
              <w:rPr>
                <w:rFonts w:hint="eastAsia" w:ascii="Times New Roman" w:hAnsi="Times New Roman" w:eastAsia="Times New Roman" w:cs="Times New Roman"/>
                <w:b/>
                <w:bCs/>
                <w:color w:val="auto"/>
                <w:spacing w:val="-3"/>
                <w:sz w:val="21"/>
                <w:szCs w:val="21"/>
                <w:highlight w:val="none"/>
                <w:vertAlign w:val="baseline"/>
                <w:lang w:val="en-US" w:eastAsia="zh-CN"/>
              </w:rPr>
              <w:t>规划目标</w:t>
            </w:r>
          </w:p>
          <w:p w14:paraId="0D8D7756">
            <w:pPr>
              <w:pStyle w:val="8"/>
              <w:widowControl w:val="0"/>
              <w:jc w:val="center"/>
              <w:rPr>
                <w:rFonts w:hint="default" w:ascii="Times New Roman" w:hAnsi="Times New Roman" w:eastAsia="Times New Roman" w:cs="Times New Roman"/>
                <w:b/>
                <w:bCs/>
                <w:color w:val="auto"/>
                <w:spacing w:val="-3"/>
                <w:sz w:val="21"/>
                <w:szCs w:val="21"/>
                <w:highlight w:val="none"/>
                <w:vertAlign w:val="baseline"/>
                <w:lang w:val="en-US" w:eastAsia="zh-CN"/>
              </w:rPr>
            </w:pPr>
            <w:r>
              <w:rPr>
                <w:rFonts w:hint="eastAsia" w:ascii="Times New Roman" w:hAnsi="Times New Roman" w:eastAsia="Times New Roman" w:cs="Times New Roman"/>
                <w:b/>
                <w:bCs/>
                <w:color w:val="auto"/>
                <w:spacing w:val="-3"/>
                <w:sz w:val="21"/>
                <w:szCs w:val="21"/>
                <w:highlight w:val="none"/>
                <w:vertAlign w:val="baseline"/>
                <w:lang w:val="en-US" w:eastAsia="zh-CN"/>
              </w:rPr>
              <w:t>（2025年）</w:t>
            </w:r>
          </w:p>
        </w:tc>
        <w:tc>
          <w:tcPr>
            <w:tcW w:w="1430" w:type="dxa"/>
            <w:tcBorders>
              <w:tl2br w:val="nil"/>
              <w:tr2bl w:val="nil"/>
            </w:tcBorders>
            <w:vAlign w:val="center"/>
          </w:tcPr>
          <w:p w14:paraId="147384EB">
            <w:pPr>
              <w:pStyle w:val="8"/>
              <w:widowControl w:val="0"/>
              <w:jc w:val="center"/>
              <w:rPr>
                <w:rFonts w:hint="eastAsia" w:ascii="Times New Roman" w:hAnsi="Times New Roman" w:eastAsia="Times New Roman" w:cs="Times New Roman"/>
                <w:b/>
                <w:bCs/>
                <w:color w:val="auto"/>
                <w:spacing w:val="-3"/>
                <w:sz w:val="21"/>
                <w:szCs w:val="21"/>
                <w:highlight w:val="none"/>
                <w:vertAlign w:val="baseline"/>
                <w:lang w:val="en-US" w:eastAsia="zh-CN"/>
              </w:rPr>
            </w:pPr>
            <w:r>
              <w:rPr>
                <w:rFonts w:hint="eastAsia" w:ascii="Times New Roman" w:hAnsi="Times New Roman" w:eastAsia="Times New Roman" w:cs="Times New Roman"/>
                <w:b/>
                <w:bCs/>
                <w:color w:val="auto"/>
                <w:spacing w:val="-3"/>
                <w:sz w:val="21"/>
                <w:szCs w:val="21"/>
                <w:highlight w:val="none"/>
                <w:vertAlign w:val="baseline"/>
                <w:lang w:val="en-US" w:eastAsia="zh-CN"/>
              </w:rPr>
              <w:t>规划目标</w:t>
            </w:r>
          </w:p>
          <w:p w14:paraId="32DA808F">
            <w:pPr>
              <w:pStyle w:val="8"/>
              <w:widowControl w:val="0"/>
              <w:jc w:val="center"/>
              <w:rPr>
                <w:rFonts w:hint="default" w:ascii="Times New Roman" w:hAnsi="Times New Roman" w:eastAsia="Times New Roman" w:cs="Times New Roman"/>
                <w:b/>
                <w:bCs/>
                <w:color w:val="auto"/>
                <w:spacing w:val="-3"/>
                <w:sz w:val="21"/>
                <w:szCs w:val="21"/>
                <w:highlight w:val="none"/>
                <w:vertAlign w:val="baseline"/>
                <w:lang w:val="en-US" w:eastAsia="zh-CN"/>
              </w:rPr>
            </w:pPr>
            <w:r>
              <w:rPr>
                <w:rFonts w:hint="eastAsia" w:ascii="Times New Roman" w:hAnsi="Times New Roman" w:eastAsia="Times New Roman" w:cs="Times New Roman"/>
                <w:b/>
                <w:bCs/>
                <w:color w:val="auto"/>
                <w:spacing w:val="-3"/>
                <w:sz w:val="21"/>
                <w:szCs w:val="21"/>
                <w:highlight w:val="none"/>
                <w:vertAlign w:val="baseline"/>
                <w:lang w:val="en-US" w:eastAsia="zh-CN"/>
              </w:rPr>
              <w:t>（2035年）</w:t>
            </w:r>
          </w:p>
        </w:tc>
      </w:tr>
      <w:tr w14:paraId="17363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6" w:type="dxa"/>
            <w:vMerge w:val="restart"/>
            <w:tcBorders>
              <w:tl2br w:val="nil"/>
              <w:tr2bl w:val="nil"/>
            </w:tcBorders>
            <w:vAlign w:val="center"/>
          </w:tcPr>
          <w:p w14:paraId="020FA71E">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资源能源利用</w:t>
            </w:r>
          </w:p>
        </w:tc>
        <w:tc>
          <w:tcPr>
            <w:tcW w:w="667" w:type="dxa"/>
            <w:tcBorders>
              <w:tl2br w:val="nil"/>
              <w:tr2bl w:val="nil"/>
            </w:tcBorders>
            <w:vAlign w:val="center"/>
          </w:tcPr>
          <w:p w14:paraId="7ED78E3B">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1</w:t>
            </w:r>
          </w:p>
        </w:tc>
        <w:tc>
          <w:tcPr>
            <w:tcW w:w="2704" w:type="dxa"/>
            <w:tcBorders>
              <w:tl2br w:val="nil"/>
              <w:tr2bl w:val="nil"/>
            </w:tcBorders>
            <w:vAlign w:val="center"/>
          </w:tcPr>
          <w:p w14:paraId="7FE3CD93">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default" w:ascii="Times New Roman" w:hAnsi="Times New Roman" w:eastAsia="Times New Roman" w:cs="Times New Roman"/>
                <w:b w:val="0"/>
                <w:bCs w:val="0"/>
                <w:color w:val="auto"/>
                <w:spacing w:val="-3"/>
                <w:sz w:val="21"/>
                <w:szCs w:val="21"/>
                <w:highlight w:val="none"/>
                <w:vertAlign w:val="baseline"/>
                <w:lang w:val="en-US" w:eastAsia="zh-CN"/>
              </w:rPr>
              <w:t>单位工业用地面积工业增加值</w:t>
            </w:r>
          </w:p>
        </w:tc>
        <w:tc>
          <w:tcPr>
            <w:tcW w:w="1429" w:type="dxa"/>
            <w:tcBorders>
              <w:tl2br w:val="nil"/>
              <w:tr2bl w:val="nil"/>
            </w:tcBorders>
            <w:vAlign w:val="center"/>
          </w:tcPr>
          <w:p w14:paraId="79BCB445">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default" w:ascii="Times New Roman" w:hAnsi="Times New Roman" w:eastAsia="Times New Roman" w:cs="Times New Roman"/>
                <w:b w:val="0"/>
                <w:bCs w:val="0"/>
                <w:color w:val="auto"/>
                <w:spacing w:val="-3"/>
                <w:sz w:val="21"/>
                <w:szCs w:val="21"/>
                <w:highlight w:val="none"/>
                <w:vertAlign w:val="baseline"/>
                <w:lang w:val="en-US" w:eastAsia="zh-CN"/>
              </w:rPr>
              <w:t>亿元/平方公里</w:t>
            </w:r>
          </w:p>
        </w:tc>
        <w:tc>
          <w:tcPr>
            <w:tcW w:w="1429" w:type="dxa"/>
            <w:tcBorders>
              <w:tl2br w:val="nil"/>
              <w:tr2bl w:val="nil"/>
            </w:tcBorders>
            <w:vAlign w:val="center"/>
          </w:tcPr>
          <w:p w14:paraId="7560DFFE">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26</w:t>
            </w:r>
          </w:p>
        </w:tc>
        <w:tc>
          <w:tcPr>
            <w:tcW w:w="1430" w:type="dxa"/>
            <w:tcBorders>
              <w:tl2br w:val="nil"/>
              <w:tr2bl w:val="nil"/>
            </w:tcBorders>
            <w:vAlign w:val="center"/>
          </w:tcPr>
          <w:p w14:paraId="366772DE">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30</w:t>
            </w:r>
          </w:p>
        </w:tc>
      </w:tr>
      <w:tr w14:paraId="32179D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6" w:type="dxa"/>
            <w:vMerge w:val="continue"/>
            <w:tcBorders>
              <w:tl2br w:val="nil"/>
              <w:tr2bl w:val="nil"/>
            </w:tcBorders>
            <w:vAlign w:val="center"/>
          </w:tcPr>
          <w:p w14:paraId="375FFC2B">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p>
        </w:tc>
        <w:tc>
          <w:tcPr>
            <w:tcW w:w="667" w:type="dxa"/>
            <w:tcBorders>
              <w:tl2br w:val="nil"/>
              <w:tr2bl w:val="nil"/>
            </w:tcBorders>
            <w:vAlign w:val="center"/>
          </w:tcPr>
          <w:p w14:paraId="266E182F">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2</w:t>
            </w:r>
          </w:p>
        </w:tc>
        <w:tc>
          <w:tcPr>
            <w:tcW w:w="2704" w:type="dxa"/>
            <w:tcBorders>
              <w:tl2br w:val="nil"/>
              <w:tr2bl w:val="nil"/>
            </w:tcBorders>
            <w:vAlign w:val="center"/>
          </w:tcPr>
          <w:p w14:paraId="023D740B">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default" w:ascii="Times New Roman" w:hAnsi="Times New Roman" w:eastAsia="Times New Roman" w:cs="Times New Roman"/>
                <w:b w:val="0"/>
                <w:bCs w:val="0"/>
                <w:color w:val="auto"/>
                <w:spacing w:val="-3"/>
                <w:sz w:val="21"/>
                <w:szCs w:val="21"/>
                <w:highlight w:val="none"/>
                <w:vertAlign w:val="baseline"/>
                <w:lang w:val="en-US" w:eastAsia="zh-CN"/>
              </w:rPr>
              <w:t>单位工业增加值综合能耗</w:t>
            </w:r>
          </w:p>
        </w:tc>
        <w:tc>
          <w:tcPr>
            <w:tcW w:w="1429" w:type="dxa"/>
            <w:tcBorders>
              <w:tl2br w:val="nil"/>
              <w:tr2bl w:val="nil"/>
            </w:tcBorders>
            <w:vAlign w:val="center"/>
          </w:tcPr>
          <w:p w14:paraId="351D3958">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default" w:ascii="Times New Roman" w:hAnsi="Times New Roman" w:eastAsia="Times New Roman" w:cs="Times New Roman"/>
                <w:b w:val="0"/>
                <w:bCs w:val="0"/>
                <w:color w:val="auto"/>
                <w:spacing w:val="-3"/>
                <w:sz w:val="21"/>
                <w:szCs w:val="21"/>
                <w:highlight w:val="none"/>
                <w:vertAlign w:val="baseline"/>
                <w:lang w:val="en-US" w:eastAsia="zh-CN"/>
              </w:rPr>
              <w:t>吨标煤</w:t>
            </w:r>
            <w:r>
              <w:rPr>
                <w:rFonts w:hint="eastAsia" w:ascii="Times New Roman" w:hAnsi="Times New Roman" w:eastAsia="Times New Roman" w:cs="Times New Roman"/>
                <w:b w:val="0"/>
                <w:bCs w:val="0"/>
                <w:color w:val="auto"/>
                <w:spacing w:val="-3"/>
                <w:sz w:val="21"/>
                <w:szCs w:val="21"/>
                <w:highlight w:val="none"/>
                <w:vertAlign w:val="baseline"/>
                <w:lang w:val="en-US" w:eastAsia="zh-CN"/>
              </w:rPr>
              <w:t>/</w:t>
            </w:r>
            <w:r>
              <w:rPr>
                <w:rFonts w:hint="default" w:ascii="Times New Roman" w:hAnsi="Times New Roman" w:eastAsia="Times New Roman" w:cs="Times New Roman"/>
                <w:b w:val="0"/>
                <w:bCs w:val="0"/>
                <w:color w:val="auto"/>
                <w:spacing w:val="-3"/>
                <w:sz w:val="21"/>
                <w:szCs w:val="21"/>
                <w:highlight w:val="none"/>
                <w:vertAlign w:val="baseline"/>
                <w:lang w:val="en-US" w:eastAsia="zh-CN"/>
              </w:rPr>
              <w:t>万元</w:t>
            </w:r>
          </w:p>
        </w:tc>
        <w:tc>
          <w:tcPr>
            <w:tcW w:w="1429" w:type="dxa"/>
            <w:tcBorders>
              <w:tl2br w:val="nil"/>
              <w:tr2bl w:val="nil"/>
            </w:tcBorders>
            <w:vAlign w:val="center"/>
          </w:tcPr>
          <w:p w14:paraId="45582CBA">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≤0.055</w:t>
            </w:r>
          </w:p>
        </w:tc>
        <w:tc>
          <w:tcPr>
            <w:tcW w:w="1430" w:type="dxa"/>
            <w:tcBorders>
              <w:tl2br w:val="nil"/>
              <w:tr2bl w:val="nil"/>
            </w:tcBorders>
            <w:vAlign w:val="center"/>
          </w:tcPr>
          <w:p w14:paraId="3CAE8EDF">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≤0.05</w:t>
            </w:r>
          </w:p>
        </w:tc>
      </w:tr>
      <w:tr w14:paraId="19ECF6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6" w:type="dxa"/>
            <w:vMerge w:val="continue"/>
            <w:tcBorders>
              <w:tl2br w:val="nil"/>
              <w:tr2bl w:val="nil"/>
            </w:tcBorders>
            <w:vAlign w:val="center"/>
          </w:tcPr>
          <w:p w14:paraId="319863BB">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p>
        </w:tc>
        <w:tc>
          <w:tcPr>
            <w:tcW w:w="667" w:type="dxa"/>
            <w:tcBorders>
              <w:tl2br w:val="nil"/>
              <w:tr2bl w:val="nil"/>
            </w:tcBorders>
            <w:vAlign w:val="center"/>
          </w:tcPr>
          <w:p w14:paraId="1F0269BF">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3</w:t>
            </w:r>
          </w:p>
        </w:tc>
        <w:tc>
          <w:tcPr>
            <w:tcW w:w="2704" w:type="dxa"/>
            <w:tcBorders>
              <w:tl2br w:val="nil"/>
              <w:tr2bl w:val="nil"/>
            </w:tcBorders>
            <w:vAlign w:val="center"/>
          </w:tcPr>
          <w:p w14:paraId="07ACB345">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default" w:ascii="Times New Roman" w:hAnsi="Times New Roman" w:eastAsia="Times New Roman" w:cs="Times New Roman"/>
                <w:b w:val="0"/>
                <w:bCs w:val="0"/>
                <w:color w:val="auto"/>
                <w:spacing w:val="-3"/>
                <w:sz w:val="21"/>
                <w:szCs w:val="21"/>
                <w:highlight w:val="none"/>
                <w:vertAlign w:val="baseline"/>
                <w:lang w:val="en-US" w:eastAsia="zh-CN"/>
              </w:rPr>
              <w:t>单位工业增加值新鲜水耗</w:t>
            </w:r>
          </w:p>
        </w:tc>
        <w:tc>
          <w:tcPr>
            <w:tcW w:w="1429" w:type="dxa"/>
            <w:tcBorders>
              <w:tl2br w:val="nil"/>
              <w:tr2bl w:val="nil"/>
            </w:tcBorders>
            <w:vAlign w:val="center"/>
          </w:tcPr>
          <w:p w14:paraId="00C59DB5">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default" w:ascii="Times New Roman" w:hAnsi="Times New Roman" w:eastAsia="Times New Roman" w:cs="Times New Roman"/>
                <w:b w:val="0"/>
                <w:bCs w:val="0"/>
                <w:color w:val="auto"/>
                <w:spacing w:val="-3"/>
                <w:sz w:val="21"/>
                <w:szCs w:val="21"/>
                <w:highlight w:val="none"/>
                <w:vertAlign w:val="baseline"/>
                <w:lang w:val="en-US" w:eastAsia="zh-CN"/>
              </w:rPr>
              <w:t>立方米</w:t>
            </w:r>
            <w:r>
              <w:rPr>
                <w:rFonts w:hint="eastAsia" w:ascii="Times New Roman" w:hAnsi="Times New Roman" w:eastAsia="Times New Roman" w:cs="Times New Roman"/>
                <w:b w:val="0"/>
                <w:bCs w:val="0"/>
                <w:color w:val="auto"/>
                <w:spacing w:val="-3"/>
                <w:sz w:val="21"/>
                <w:szCs w:val="21"/>
                <w:highlight w:val="none"/>
                <w:vertAlign w:val="baseline"/>
                <w:lang w:val="en-US" w:eastAsia="zh-CN"/>
              </w:rPr>
              <w:t>/</w:t>
            </w:r>
            <w:r>
              <w:rPr>
                <w:rFonts w:hint="default" w:ascii="Times New Roman" w:hAnsi="Times New Roman" w:eastAsia="Times New Roman" w:cs="Times New Roman"/>
                <w:b w:val="0"/>
                <w:bCs w:val="0"/>
                <w:color w:val="auto"/>
                <w:spacing w:val="-3"/>
                <w:sz w:val="21"/>
                <w:szCs w:val="21"/>
                <w:highlight w:val="none"/>
                <w:vertAlign w:val="baseline"/>
                <w:lang w:val="en-US" w:eastAsia="zh-CN"/>
              </w:rPr>
              <w:t>万元</w:t>
            </w:r>
          </w:p>
        </w:tc>
        <w:tc>
          <w:tcPr>
            <w:tcW w:w="1429" w:type="dxa"/>
            <w:tcBorders>
              <w:tl2br w:val="nil"/>
              <w:tr2bl w:val="nil"/>
            </w:tcBorders>
            <w:vAlign w:val="center"/>
          </w:tcPr>
          <w:p w14:paraId="33FABFF6">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≤2</w:t>
            </w:r>
          </w:p>
        </w:tc>
        <w:tc>
          <w:tcPr>
            <w:tcW w:w="1430" w:type="dxa"/>
            <w:tcBorders>
              <w:tl2br w:val="nil"/>
              <w:tr2bl w:val="nil"/>
            </w:tcBorders>
            <w:vAlign w:val="center"/>
          </w:tcPr>
          <w:p w14:paraId="4D9A867B">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≤1.80</w:t>
            </w:r>
          </w:p>
        </w:tc>
      </w:tr>
      <w:tr w14:paraId="030B96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6" w:type="dxa"/>
            <w:vMerge w:val="continue"/>
            <w:tcBorders>
              <w:tl2br w:val="nil"/>
              <w:tr2bl w:val="nil"/>
            </w:tcBorders>
            <w:vAlign w:val="center"/>
          </w:tcPr>
          <w:p w14:paraId="1206EEE4">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p>
        </w:tc>
        <w:tc>
          <w:tcPr>
            <w:tcW w:w="667" w:type="dxa"/>
            <w:tcBorders>
              <w:tl2br w:val="nil"/>
              <w:tr2bl w:val="nil"/>
            </w:tcBorders>
            <w:vAlign w:val="center"/>
          </w:tcPr>
          <w:p w14:paraId="016B31CF">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4</w:t>
            </w:r>
          </w:p>
        </w:tc>
        <w:tc>
          <w:tcPr>
            <w:tcW w:w="2704" w:type="dxa"/>
            <w:tcBorders>
              <w:tl2br w:val="nil"/>
              <w:tr2bl w:val="nil"/>
            </w:tcBorders>
            <w:vAlign w:val="center"/>
          </w:tcPr>
          <w:p w14:paraId="32B4FA46">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default" w:ascii="Times New Roman" w:hAnsi="Times New Roman" w:eastAsia="Times New Roman" w:cs="Times New Roman"/>
                <w:b w:val="0"/>
                <w:bCs w:val="0"/>
                <w:color w:val="auto"/>
                <w:spacing w:val="-3"/>
                <w:sz w:val="21"/>
                <w:szCs w:val="21"/>
                <w:highlight w:val="none"/>
                <w:vertAlign w:val="baseline"/>
                <w:lang w:val="en-US" w:eastAsia="zh-CN"/>
              </w:rPr>
              <w:t>工业用水重复利用率</w:t>
            </w:r>
          </w:p>
        </w:tc>
        <w:tc>
          <w:tcPr>
            <w:tcW w:w="1429" w:type="dxa"/>
            <w:tcBorders>
              <w:tl2br w:val="nil"/>
              <w:tr2bl w:val="nil"/>
            </w:tcBorders>
            <w:vAlign w:val="center"/>
          </w:tcPr>
          <w:p w14:paraId="6D4DE334">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w:t>
            </w:r>
          </w:p>
        </w:tc>
        <w:tc>
          <w:tcPr>
            <w:tcW w:w="1429" w:type="dxa"/>
            <w:tcBorders>
              <w:tl2br w:val="nil"/>
              <w:tr2bl w:val="nil"/>
            </w:tcBorders>
            <w:vAlign w:val="center"/>
          </w:tcPr>
          <w:p w14:paraId="590344BE">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85</w:t>
            </w:r>
          </w:p>
        </w:tc>
        <w:tc>
          <w:tcPr>
            <w:tcW w:w="1430" w:type="dxa"/>
            <w:tcBorders>
              <w:tl2br w:val="nil"/>
              <w:tr2bl w:val="nil"/>
            </w:tcBorders>
            <w:vAlign w:val="center"/>
          </w:tcPr>
          <w:p w14:paraId="689D9918">
            <w:pPr>
              <w:pStyle w:val="8"/>
              <w:widowControl w:val="0"/>
              <w:jc w:val="center"/>
              <w:rPr>
                <w:rFonts w:hint="default" w:ascii="Times New Roman" w:hAnsi="Times New Roman" w:eastAsia="Times New Roman" w:cs="Times New Roman"/>
                <w:b w:val="0"/>
                <w:bCs w:val="0"/>
                <w:color w:val="auto"/>
                <w:spacing w:val="-3"/>
                <w:sz w:val="21"/>
                <w:szCs w:val="21"/>
                <w:highlight w:val="none"/>
                <w:vertAlign w:val="baseline"/>
                <w:lang w:val="en-US" w:eastAsia="zh-CN"/>
              </w:rPr>
            </w:pPr>
            <w:r>
              <w:rPr>
                <w:rFonts w:hint="eastAsia" w:ascii="Times New Roman" w:hAnsi="Times New Roman" w:eastAsia="Times New Roman" w:cs="Times New Roman"/>
                <w:b w:val="0"/>
                <w:bCs w:val="0"/>
                <w:color w:val="auto"/>
                <w:spacing w:val="-3"/>
                <w:sz w:val="21"/>
                <w:szCs w:val="21"/>
                <w:highlight w:val="none"/>
                <w:vertAlign w:val="baseline"/>
                <w:lang w:val="en-US" w:eastAsia="zh-CN"/>
              </w:rPr>
              <w:t>85</w:t>
            </w:r>
          </w:p>
        </w:tc>
      </w:tr>
    </w:tbl>
    <w:p w14:paraId="0C27397C">
      <w:pPr>
        <w:bidi w:val="0"/>
        <w:rPr>
          <w:rFonts w:hint="default" w:ascii="Times New Roman" w:hAnsi="Times New Roman" w:eastAsia="宋体" w:cs="Times New Roman"/>
          <w:b w:val="0"/>
          <w:bCs w:val="0"/>
          <w:color w:val="auto"/>
          <w:lang w:val="en-US" w:eastAsia="zh-CN"/>
        </w:rPr>
      </w:pPr>
      <w:bookmarkStart w:id="2423" w:name="OLE_LINK930"/>
      <w:r>
        <w:rPr>
          <w:rFonts w:hint="default" w:ascii="Times New Roman" w:hAnsi="Times New Roman" w:eastAsia="宋体" w:cs="Times New Roman"/>
          <w:b w:val="0"/>
          <w:bCs w:val="0"/>
          <w:color w:val="auto"/>
          <w:lang w:val="en-US" w:eastAsia="zh-CN"/>
        </w:rPr>
        <w:t>注：上表数据来源于</w:t>
      </w:r>
      <w:r>
        <w:rPr>
          <w:rFonts w:hint="default" w:ascii="Times New Roman" w:hAnsi="Times New Roman" w:eastAsia="宋体" w:cs="Times New Roman"/>
          <w:b w:val="0"/>
          <w:bCs w:val="0"/>
          <w:color w:val="auto"/>
        </w:rPr>
        <w:t>《江宁经济技术开发区总体发展规划（</w:t>
      </w:r>
      <w:sdt>
        <w:sdtPr>
          <w:rPr>
            <w:color w:val="auto"/>
          </w:rPr>
          <w:alias w:val="易错词检查"/>
          <w:tag w:val="auto"/>
          <w:id w:val="61214"/>
        </w:sdtPr>
        <w:sdtEndPr>
          <w:rPr>
            <w:color w:val="auto"/>
          </w:rPr>
        </w:sdtEndPr>
        <w:sdtContent>
          <w:bookmarkStart w:id="2424" w:name="bkReivew61214"/>
          <w:r>
            <w:rPr>
              <w:rFonts w:hint="default" w:ascii="Times New Roman" w:hAnsi="Times New Roman" w:eastAsia="宋体" w:cs="Times New Roman"/>
              <w:b w:val="0"/>
              <w:bCs w:val="0"/>
              <w:color w:val="auto"/>
            </w:rPr>
            <w:t>2020-2035</w:t>
          </w:r>
          <w:bookmarkEnd w:id="2424"/>
        </w:sdtContent>
      </w:sdt>
      <w:r>
        <w:rPr>
          <w:rFonts w:hint="default" w:ascii="Times New Roman" w:hAnsi="Times New Roman" w:eastAsia="宋体" w:cs="Times New Roman"/>
          <w:b w:val="0"/>
          <w:bCs w:val="0"/>
          <w:color w:val="auto"/>
        </w:rPr>
        <w:t>）环境影响报告书》</w:t>
      </w:r>
      <w:r>
        <w:rPr>
          <w:rFonts w:hint="default" w:ascii="Times New Roman" w:hAnsi="Times New Roman" w:eastAsia="宋体" w:cs="Times New Roman"/>
          <w:b w:val="0"/>
          <w:bCs w:val="0"/>
          <w:color w:val="auto"/>
          <w:lang w:eastAsia="zh-CN"/>
        </w:rPr>
        <w:t>。</w:t>
      </w:r>
      <w:bookmarkEnd w:id="2423"/>
    </w:p>
    <w:p w14:paraId="5AAD390F">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jc w:val="both"/>
        <w:textAlignment w:val="baseline"/>
        <w:outlineLvl w:val="2"/>
        <w:rPr>
          <w:rFonts w:hint="default" w:ascii="宋体" w:hAnsi="宋体" w:eastAsia="宋体" w:cs="宋体"/>
          <w:b/>
          <w:bCs/>
          <w:color w:val="auto"/>
          <w:spacing w:val="-1"/>
          <w:sz w:val="24"/>
          <w:szCs w:val="24"/>
          <w:lang w:val="en-US" w:eastAsia="zh-CN"/>
        </w:rPr>
      </w:pPr>
      <w:bookmarkStart w:id="2425" w:name="_Toc10957"/>
      <w:bookmarkStart w:id="2426" w:name="OLE_LINK774"/>
      <w:r>
        <w:rPr>
          <w:rFonts w:hint="eastAsia" w:ascii="Times New Roman" w:hAnsi="Times New Roman" w:eastAsia="宋体" w:cs="Times New Roman"/>
          <w:b/>
          <w:bCs/>
          <w:color w:val="auto"/>
          <w:spacing w:val="-1"/>
          <w:sz w:val="24"/>
          <w:szCs w:val="24"/>
          <w:lang w:val="en-US" w:eastAsia="zh-CN"/>
        </w:rPr>
        <w:t>10</w:t>
      </w:r>
      <w:r>
        <w:rPr>
          <w:rFonts w:ascii="Times New Roman" w:hAnsi="Times New Roman" w:eastAsia="Times New Roman" w:cs="Times New Roman"/>
          <w:b/>
          <w:bCs/>
          <w:color w:val="auto"/>
          <w:spacing w:val="-1"/>
          <w:sz w:val="24"/>
          <w:szCs w:val="24"/>
        </w:rPr>
        <w:t>.</w:t>
      </w:r>
      <w:r>
        <w:rPr>
          <w:rFonts w:hint="eastAsia" w:ascii="Times New Roman" w:hAnsi="Times New Roman" w:eastAsia="宋体" w:cs="Times New Roman"/>
          <w:b/>
          <w:bCs/>
          <w:color w:val="auto"/>
          <w:spacing w:val="-1"/>
          <w:sz w:val="24"/>
          <w:szCs w:val="24"/>
          <w:lang w:val="en-US" w:eastAsia="zh-CN"/>
        </w:rPr>
        <w:t>3</w:t>
      </w:r>
      <w:r>
        <w:rPr>
          <w:rFonts w:ascii="Times New Roman" w:hAnsi="Times New Roman" w:eastAsia="Times New Roman" w:cs="Times New Roman"/>
          <w:b/>
          <w:bCs/>
          <w:color w:val="auto"/>
          <w:spacing w:val="-1"/>
          <w:sz w:val="24"/>
          <w:szCs w:val="24"/>
        </w:rPr>
        <w:t>.</w:t>
      </w:r>
      <w:r>
        <w:rPr>
          <w:rFonts w:hint="eastAsia" w:ascii="Times New Roman" w:hAnsi="Times New Roman" w:eastAsia="宋体" w:cs="Times New Roman"/>
          <w:b/>
          <w:bCs/>
          <w:color w:val="auto"/>
          <w:spacing w:val="-1"/>
          <w:sz w:val="24"/>
          <w:szCs w:val="24"/>
          <w:lang w:val="en-US" w:eastAsia="zh-CN"/>
        </w:rPr>
        <w:t>3</w:t>
      </w:r>
      <w:bookmarkStart w:id="2427" w:name="OLE_LINK773"/>
      <w:r>
        <w:rPr>
          <w:rFonts w:hint="eastAsia" w:ascii="Times New Roman" w:hAnsi="Times New Roman" w:eastAsia="宋体" w:cs="Times New Roman"/>
          <w:b/>
          <w:bCs/>
          <w:color w:val="auto"/>
          <w:spacing w:val="-1"/>
          <w:sz w:val="24"/>
          <w:szCs w:val="24"/>
          <w:lang w:val="en-US" w:eastAsia="zh-CN"/>
        </w:rPr>
        <w:t>能源利用</w:t>
      </w:r>
      <w:sdt>
        <w:sdtPr>
          <w:rPr>
            <w:color w:val="auto"/>
          </w:rPr>
          <w:alias w:val="易错词检查"/>
          <w:tag w:val="auto"/>
          <w:id w:val="1011214"/>
        </w:sdtPr>
        <w:sdtEndPr>
          <w:rPr>
            <w:color w:val="auto"/>
          </w:rPr>
        </w:sdtEndPr>
        <w:sdtContent>
          <w:bookmarkStart w:id="2428" w:name="bkReivew1011214"/>
          <w:r>
            <w:rPr>
              <w:rFonts w:hint="eastAsia" w:ascii="Times New Roman" w:hAnsi="Times New Roman" w:eastAsia="宋体" w:cs="Times New Roman"/>
              <w:b/>
              <w:bCs/>
              <w:color w:val="auto"/>
              <w:spacing w:val="-1"/>
              <w:sz w:val="24"/>
              <w:szCs w:val="24"/>
              <w:lang w:val="en-US" w:eastAsia="zh-CN"/>
            </w:rPr>
            <w:t>上线</w:t>
          </w:r>
          <w:bookmarkEnd w:id="2428"/>
        </w:sdtContent>
      </w:sdt>
      <w:bookmarkEnd w:id="2425"/>
      <w:bookmarkEnd w:id="2427"/>
      <w:bookmarkStart w:id="2429" w:name="pindex14931"/>
      <w:bookmarkEnd w:id="2429"/>
    </w:p>
    <w:bookmarkEnd w:id="2426"/>
    <w:p w14:paraId="5EB47BE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rPr>
      </w:pPr>
      <w:bookmarkStart w:id="2430" w:name="OLE_LINK772"/>
      <w:r>
        <w:rPr>
          <w:rFonts w:hint="default" w:ascii="Times New Roman" w:hAnsi="Times New Roman" w:eastAsia="宋体" w:cs="Times New Roman"/>
          <w:color w:val="auto"/>
          <w:sz w:val="24"/>
          <w:szCs w:val="24"/>
        </w:rPr>
        <w:t>参考《江宁经济技术开发区总体发展规划（</w:t>
      </w:r>
      <w:sdt>
        <w:sdtPr>
          <w:rPr>
            <w:rFonts w:hint="default" w:ascii="Times New Roman" w:hAnsi="Times New Roman" w:eastAsia="宋体" w:cs="Times New Roman"/>
            <w:color w:val="auto"/>
            <w:sz w:val="24"/>
            <w:szCs w:val="24"/>
          </w:rPr>
          <w:alias w:val="易错词检查"/>
          <w:tag w:val="auto"/>
          <w:id w:val="2153243"/>
        </w:sdtPr>
        <w:sdtEndPr>
          <w:rPr>
            <w:rFonts w:hint="default" w:ascii="Times New Roman" w:hAnsi="Times New Roman" w:eastAsia="宋体" w:cs="Times New Roman"/>
            <w:color w:val="auto"/>
            <w:sz w:val="24"/>
            <w:szCs w:val="24"/>
          </w:rPr>
        </w:sdtEndPr>
        <w:sdtContent>
          <w:bookmarkStart w:id="2431" w:name="bkReivew2153243"/>
          <w:r>
            <w:rPr>
              <w:rFonts w:hint="default" w:ascii="Times New Roman" w:hAnsi="Times New Roman" w:eastAsia="宋体" w:cs="Times New Roman"/>
              <w:color w:val="auto"/>
              <w:sz w:val="24"/>
              <w:szCs w:val="24"/>
            </w:rPr>
            <w:t>20</w:t>
          </w:r>
          <w:r>
            <w:rPr>
              <w:rFonts w:hint="default" w:ascii="Times New Roman" w:hAnsi="Times New Roman" w:eastAsia="宋体" w:cs="Times New Roman"/>
              <w:color w:val="auto"/>
              <w:sz w:val="24"/>
              <w:szCs w:val="24"/>
              <w:lang w:val="en-US" w:eastAsia="zh-CN"/>
            </w:rPr>
            <w:t>20</w:t>
          </w:r>
          <w:r>
            <w:rPr>
              <w:rFonts w:hint="default" w:ascii="Times New Roman" w:hAnsi="Times New Roman" w:eastAsia="宋体" w:cs="Times New Roman"/>
              <w:color w:val="auto"/>
              <w:sz w:val="24"/>
              <w:szCs w:val="24"/>
            </w:rPr>
            <w:t>-203</w:t>
          </w:r>
          <w:r>
            <w:rPr>
              <w:rFonts w:hint="default" w:ascii="Times New Roman" w:hAnsi="Times New Roman" w:eastAsia="宋体" w:cs="Times New Roman"/>
              <w:color w:val="auto"/>
              <w:sz w:val="24"/>
              <w:szCs w:val="24"/>
              <w:lang w:val="en-US" w:eastAsia="zh-CN"/>
            </w:rPr>
            <w:t>5</w:t>
          </w:r>
          <w:bookmarkEnd w:id="2431"/>
        </w:sdtContent>
      </w:sdt>
      <w:r>
        <w:rPr>
          <w:rFonts w:hint="default" w:ascii="Times New Roman" w:hAnsi="Times New Roman" w:eastAsia="宋体" w:cs="Times New Roman"/>
          <w:color w:val="auto"/>
          <w:sz w:val="24"/>
          <w:szCs w:val="24"/>
        </w:rPr>
        <w:t>）环境影响报告书》到2035年，单位工业增加值综合能耗不高于0.05吨标煤/万元。</w:t>
      </w:r>
    </w:p>
    <w:p w14:paraId="3E44C9B4">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default" w:ascii="Times New Roman" w:hAnsi="Times New Roman" w:eastAsia="宋体" w:cs="Times New Roman"/>
          <w:color w:val="auto"/>
          <w:sz w:val="24"/>
          <w:szCs w:val="24"/>
        </w:rPr>
      </w:pPr>
      <w:bookmarkStart w:id="2432" w:name="_Toc29786"/>
      <w:bookmarkStart w:id="2433" w:name="OLE_LINK811"/>
      <w:r>
        <w:rPr>
          <w:rFonts w:hint="default" w:ascii="Times New Roman" w:hAnsi="Times New Roman" w:eastAsia="宋体" w:cs="Times New Roman"/>
          <w:b/>
          <w:bCs/>
          <w:color w:val="auto"/>
          <w:spacing w:val="-1"/>
          <w:sz w:val="24"/>
          <w:szCs w:val="24"/>
          <w:lang w:val="en-US" w:eastAsia="zh-CN"/>
        </w:rPr>
        <w:t>10</w:t>
      </w:r>
      <w:r>
        <w:rPr>
          <w:rFonts w:hint="default" w:ascii="Times New Roman" w:hAnsi="Times New Roman" w:eastAsia="宋体" w:cs="Times New Roman"/>
          <w:b/>
          <w:bCs/>
          <w:color w:val="auto"/>
          <w:spacing w:val="-1"/>
          <w:sz w:val="24"/>
          <w:szCs w:val="24"/>
        </w:rPr>
        <w:t>.</w:t>
      </w:r>
      <w:r>
        <w:rPr>
          <w:rFonts w:hint="default" w:ascii="Times New Roman" w:hAnsi="Times New Roman" w:eastAsia="宋体" w:cs="Times New Roman"/>
          <w:b/>
          <w:bCs/>
          <w:color w:val="auto"/>
          <w:spacing w:val="-1"/>
          <w:sz w:val="24"/>
          <w:szCs w:val="24"/>
          <w:lang w:val="en-US" w:eastAsia="zh-CN"/>
        </w:rPr>
        <w:t>3</w:t>
      </w:r>
      <w:r>
        <w:rPr>
          <w:rFonts w:hint="default" w:ascii="Times New Roman" w:hAnsi="Times New Roman" w:eastAsia="宋体" w:cs="Times New Roman"/>
          <w:b/>
          <w:bCs/>
          <w:color w:val="auto"/>
          <w:spacing w:val="-1"/>
          <w:sz w:val="24"/>
          <w:szCs w:val="24"/>
        </w:rPr>
        <w:t>.</w:t>
      </w:r>
      <w:r>
        <w:rPr>
          <w:rFonts w:hint="default" w:ascii="Times New Roman" w:hAnsi="Times New Roman" w:eastAsia="宋体" w:cs="Times New Roman"/>
          <w:b/>
          <w:bCs/>
          <w:color w:val="auto"/>
          <w:spacing w:val="-1"/>
          <w:sz w:val="24"/>
          <w:szCs w:val="24"/>
          <w:lang w:val="en-US" w:eastAsia="zh-CN"/>
        </w:rPr>
        <w:t>4能源</w:t>
      </w:r>
      <w:bookmarkStart w:id="2434" w:name="OLE_LINK810"/>
      <w:r>
        <w:rPr>
          <w:rFonts w:hint="default" w:ascii="Times New Roman" w:hAnsi="Times New Roman" w:eastAsia="宋体" w:cs="Times New Roman"/>
          <w:b/>
          <w:bCs/>
          <w:color w:val="auto"/>
          <w:spacing w:val="-1"/>
          <w:sz w:val="24"/>
          <w:szCs w:val="24"/>
          <w:lang w:val="en-US" w:eastAsia="zh-CN"/>
        </w:rPr>
        <w:t>利用</w:t>
      </w:r>
      <w:bookmarkEnd w:id="2434"/>
      <w:r>
        <w:rPr>
          <w:rFonts w:hint="default" w:ascii="Times New Roman" w:hAnsi="Times New Roman" w:eastAsia="宋体" w:cs="Times New Roman"/>
          <w:b/>
          <w:bCs/>
          <w:color w:val="auto"/>
          <w:spacing w:val="-1"/>
          <w:sz w:val="24"/>
          <w:szCs w:val="24"/>
          <w:lang w:val="en-US" w:eastAsia="zh-CN"/>
        </w:rPr>
        <w:t>总量及效率要求</w:t>
      </w:r>
      <w:bookmarkEnd w:id="2432"/>
      <w:bookmarkStart w:id="2435" w:name="pindex14933"/>
      <w:bookmarkEnd w:id="2435"/>
    </w:p>
    <w:bookmarkEnd w:id="2433"/>
    <w:p w14:paraId="5B8C5CD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2436" w:name="OLE_LINK769"/>
      <w:bookmarkStart w:id="2437" w:name="OLE_LINK622"/>
      <w:r>
        <w:rPr>
          <w:rFonts w:hint="default" w:ascii="Times New Roman" w:hAnsi="Times New Roman" w:eastAsia="宋体" w:cs="Times New Roman"/>
          <w:color w:val="auto"/>
          <w:sz w:val="24"/>
          <w:szCs w:val="24"/>
          <w:highlight w:val="none"/>
        </w:rPr>
        <w:t>产业园区遵循绿色发展的理念，按照“以供定需”的原则，结合各区水资源条件和不同行业特点，参考各行业清洁生产指标体系，制定园区水资源利用</w:t>
      </w:r>
      <w:sdt>
        <w:sdtPr>
          <w:rPr>
            <w:rFonts w:hint="default" w:ascii="Times New Roman" w:hAnsi="Times New Roman" w:eastAsia="宋体" w:cs="Times New Roman"/>
            <w:color w:val="auto"/>
            <w:sz w:val="24"/>
            <w:szCs w:val="24"/>
          </w:rPr>
          <w:alias w:val="易错词检查"/>
          <w:tag w:val="auto"/>
          <w:id w:val="133523"/>
        </w:sdtPr>
        <w:sdtEndPr>
          <w:rPr>
            <w:rFonts w:hint="default" w:ascii="Times New Roman" w:hAnsi="Times New Roman" w:eastAsia="宋体" w:cs="Times New Roman"/>
            <w:color w:val="auto"/>
            <w:sz w:val="24"/>
            <w:szCs w:val="24"/>
          </w:rPr>
        </w:sdtEndPr>
        <w:sdtContent>
          <w:bookmarkStart w:id="2438" w:name="bkReivew133523"/>
          <w:r>
            <w:rPr>
              <w:rFonts w:hint="default" w:ascii="Times New Roman" w:hAnsi="Times New Roman" w:eastAsia="宋体" w:cs="Times New Roman"/>
              <w:color w:val="auto"/>
              <w:sz w:val="24"/>
              <w:szCs w:val="24"/>
              <w:highlight w:val="none"/>
            </w:rPr>
            <w:t>上线</w:t>
          </w:r>
          <w:bookmarkEnd w:id="2438"/>
        </w:sdtContent>
      </w:sdt>
      <w:r>
        <w:rPr>
          <w:rFonts w:hint="default" w:ascii="Times New Roman" w:hAnsi="Times New Roman" w:eastAsia="宋体" w:cs="Times New Roman"/>
          <w:color w:val="auto"/>
          <w:sz w:val="24"/>
          <w:szCs w:val="24"/>
          <w:highlight w:val="none"/>
        </w:rPr>
        <w:t>指标。在实际管理过程中，以产业园区为单位，通过区域用水总量控制、取水许可审批、用水节水计划考核等措施，实现对开发区水资源利用指标的管理。</w:t>
      </w:r>
    </w:p>
    <w:p w14:paraId="07261C59">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highlight w:val="none"/>
        </w:rPr>
        <w:t>实施工业园区节水改造工程，持续推进园区循环化改造，优化企业的产品结构和原料结构，通过增加优质、低耗、高附加值、竞争力强的产品种类和数量，促进产业转型升级。对工业用水大户加强监督管理，建立重点监控用水单位名录，逐步推行用水户分级、分类管理，同行业、同用水环节执行</w:t>
      </w:r>
      <w:r>
        <w:rPr>
          <w:rFonts w:hint="default" w:ascii="Times New Roman" w:hAnsi="Times New Roman" w:eastAsia="宋体" w:cs="Times New Roman"/>
          <w:color w:val="auto"/>
          <w:sz w:val="24"/>
          <w:szCs w:val="24"/>
          <w:highlight w:val="none"/>
          <w:lang w:eastAsia="zh-CN"/>
        </w:rPr>
        <w:t>统一标准</w:t>
      </w:r>
      <w:r>
        <w:rPr>
          <w:rFonts w:hint="default" w:ascii="Times New Roman" w:hAnsi="Times New Roman" w:eastAsia="宋体" w:cs="Times New Roman"/>
          <w:color w:val="auto"/>
          <w:sz w:val="24"/>
          <w:szCs w:val="24"/>
          <w:highlight w:val="none"/>
        </w:rPr>
        <w:t>，加强计划用水管理和考核，定期开展水平衡测试、用水审计工作，建立完善重点用水大户</w:t>
      </w:r>
      <w:r>
        <w:rPr>
          <w:rFonts w:hint="default" w:ascii="Times New Roman" w:hAnsi="Times New Roman" w:eastAsia="宋体" w:cs="Times New Roman"/>
          <w:color w:val="auto"/>
          <w:sz w:val="24"/>
          <w:szCs w:val="24"/>
          <w:highlight w:val="none"/>
          <w:lang w:eastAsia="zh-CN"/>
        </w:rPr>
        <w:t>台账</w:t>
      </w:r>
      <w:r>
        <w:rPr>
          <w:rFonts w:hint="default" w:ascii="Times New Roman" w:hAnsi="Times New Roman" w:eastAsia="宋体" w:cs="Times New Roman"/>
          <w:color w:val="auto"/>
          <w:sz w:val="24"/>
          <w:szCs w:val="24"/>
          <w:highlight w:val="none"/>
        </w:rPr>
        <w:t>，强化用水计量和统计。</w:t>
      </w:r>
      <w:bookmarkEnd w:id="2436"/>
      <w:bookmarkEnd w:id="2437"/>
    </w:p>
    <w:bookmarkEnd w:id="2430"/>
    <w:p w14:paraId="52F9D5EA">
      <w:pPr>
        <w:keepNext w:val="0"/>
        <w:keepLines w:val="0"/>
        <w:pageBreakBefore w:val="0"/>
        <w:widowControl/>
        <w:kinsoku w:val="0"/>
        <w:wordWrap/>
        <w:overflowPunct/>
        <w:topLinePunct w:val="0"/>
        <w:autoSpaceDE w:val="0"/>
        <w:autoSpaceDN w:val="0"/>
        <w:bidi w:val="0"/>
        <w:adjustRightInd w:val="0"/>
        <w:snapToGrid w:val="0"/>
        <w:spacing w:before="40" w:line="360" w:lineRule="auto"/>
        <w:ind w:left="37"/>
        <w:textAlignment w:val="baseline"/>
        <w:outlineLvl w:val="1"/>
        <w:rPr>
          <w:rFonts w:hint="default" w:ascii="Times New Roman" w:hAnsi="Times New Roman" w:eastAsia="宋体" w:cs="Times New Roman"/>
          <w:b/>
          <w:bCs/>
          <w:color w:val="auto"/>
          <w:spacing w:val="-2"/>
          <w:sz w:val="24"/>
          <w:szCs w:val="24"/>
          <w:lang w:val="en-US" w:eastAsia="zh-CN"/>
        </w:rPr>
      </w:pPr>
      <w:bookmarkStart w:id="2439" w:name="_Toc3395"/>
      <w:r>
        <w:rPr>
          <w:rFonts w:hint="default" w:ascii="Times New Roman" w:hAnsi="Times New Roman" w:eastAsia="宋体" w:cs="Times New Roman"/>
          <w:b/>
          <w:bCs/>
          <w:color w:val="auto"/>
          <w:spacing w:val="-2"/>
          <w:sz w:val="24"/>
          <w:szCs w:val="24"/>
          <w:lang w:val="en-US" w:eastAsia="zh-CN"/>
        </w:rPr>
        <w:t>10.4环境准入负面清单</w:t>
      </w:r>
      <w:bookmarkEnd w:id="2439"/>
      <w:bookmarkStart w:id="2440" w:name="pindex14936"/>
      <w:bookmarkEnd w:id="2440"/>
    </w:p>
    <w:p w14:paraId="4A604CBA">
      <w:pPr>
        <w:keepNext w:val="0"/>
        <w:keepLines w:val="0"/>
        <w:pageBreakBefore w:val="0"/>
        <w:widowControl/>
        <w:kinsoku w:val="0"/>
        <w:wordWrap/>
        <w:overflowPunct/>
        <w:topLinePunct w:val="0"/>
        <w:autoSpaceDE w:val="0"/>
        <w:autoSpaceDN w:val="0"/>
        <w:bidi w:val="0"/>
        <w:adjustRightInd w:val="0"/>
        <w:snapToGrid w:val="0"/>
        <w:spacing w:before="33" w:line="360" w:lineRule="auto"/>
        <w:ind w:right="136" w:firstLine="480" w:firstLineChars="200"/>
        <w:jc w:val="both"/>
        <w:textAlignment w:val="baseline"/>
        <w:outlineLvl w:val="9"/>
        <w:rPr>
          <w:rFonts w:hint="default" w:ascii="Times New Roman" w:hAnsi="Times New Roman" w:eastAsia="宋体" w:cs="Times New Roman"/>
          <w:bCs/>
          <w:color w:val="auto"/>
          <w:sz w:val="24"/>
          <w:szCs w:val="24"/>
          <w:lang w:val="en-US" w:eastAsia="zh-CN"/>
        </w:rPr>
      </w:pPr>
      <w:bookmarkStart w:id="2441" w:name="OLE_LINK782"/>
      <w:r>
        <w:rPr>
          <w:rFonts w:hint="default" w:ascii="Times New Roman" w:hAnsi="Times New Roman" w:eastAsia="宋体" w:cs="Times New Roman"/>
          <w:color w:val="auto"/>
          <w:sz w:val="24"/>
          <w:szCs w:val="24"/>
          <w:lang w:eastAsia="zh-CN"/>
        </w:rPr>
        <w:t>区域评估</w:t>
      </w:r>
      <w:r>
        <w:rPr>
          <w:rFonts w:hint="default" w:ascii="Times New Roman" w:hAnsi="Times New Roman" w:eastAsia="宋体" w:cs="Times New Roman"/>
          <w:color w:val="auto"/>
          <w:sz w:val="24"/>
          <w:szCs w:val="24"/>
        </w:rPr>
        <w:t>与</w:t>
      </w:r>
      <w:bookmarkStart w:id="2442" w:name="OLE_LINK784"/>
      <w:r>
        <w:rPr>
          <w:rFonts w:hint="default" w:ascii="Times New Roman" w:hAnsi="Times New Roman" w:eastAsia="宋体" w:cs="Times New Roman"/>
          <w:color w:val="auto"/>
          <w:sz w:val="24"/>
          <w:szCs w:val="24"/>
        </w:rPr>
        <w:t>江苏省</w:t>
      </w:r>
      <w:bookmarkEnd w:id="2442"/>
      <w:r>
        <w:rPr>
          <w:rFonts w:hint="default" w:ascii="Times New Roman" w:hAnsi="Times New Roman" w:eastAsia="宋体" w:cs="Times New Roman"/>
          <w:color w:val="auto"/>
          <w:sz w:val="24"/>
          <w:szCs w:val="24"/>
        </w:rPr>
        <w:t>生态环境管控要求分析见表</w:t>
      </w:r>
      <w:r>
        <w:rPr>
          <w:rFonts w:hint="default" w:ascii="Times New Roman" w:hAnsi="Times New Roman" w:eastAsia="宋体" w:cs="Times New Roman"/>
          <w:color w:val="auto"/>
          <w:sz w:val="24"/>
          <w:szCs w:val="24"/>
          <w:lang w:val="en-US" w:eastAsia="zh-CN"/>
        </w:rPr>
        <w:t>10.4-1；</w:t>
      </w:r>
      <w:r>
        <w:rPr>
          <w:rFonts w:hint="default" w:ascii="Times New Roman" w:hAnsi="Times New Roman" w:eastAsia="宋体" w:cs="Times New Roman"/>
          <w:color w:val="auto"/>
          <w:sz w:val="24"/>
          <w:szCs w:val="24"/>
          <w:lang w:eastAsia="zh-CN"/>
        </w:rPr>
        <w:t>与</w:t>
      </w:r>
      <w:r>
        <w:rPr>
          <w:rFonts w:hint="default" w:ascii="Times New Roman" w:hAnsi="Times New Roman" w:eastAsia="宋体" w:cs="Times New Roman"/>
          <w:color w:val="auto"/>
          <w:sz w:val="24"/>
          <w:szCs w:val="24"/>
          <w:lang w:val="en-US" w:eastAsia="zh-CN"/>
        </w:rPr>
        <w:t>南京市江宁区重点管控单元准入清单</w:t>
      </w:r>
      <w:r>
        <w:rPr>
          <w:rFonts w:hint="default" w:ascii="Times New Roman" w:hAnsi="Times New Roman" w:eastAsia="宋体" w:cs="Times New Roman"/>
          <w:color w:val="auto"/>
          <w:sz w:val="24"/>
          <w:szCs w:val="24"/>
        </w:rPr>
        <w:t>见表</w:t>
      </w:r>
      <w:r>
        <w:rPr>
          <w:rFonts w:hint="default" w:ascii="Times New Roman" w:hAnsi="Times New Roman" w:eastAsia="宋体" w:cs="Times New Roman"/>
          <w:color w:val="auto"/>
          <w:sz w:val="24"/>
          <w:szCs w:val="24"/>
          <w:lang w:val="en-US" w:eastAsia="zh-CN"/>
        </w:rPr>
        <w:t>10.4-2</w:t>
      </w:r>
      <w:r>
        <w:rPr>
          <w:rFonts w:hint="default" w:ascii="Times New Roman" w:hAnsi="Times New Roman" w:eastAsia="宋体" w:cs="Times New Roman"/>
          <w:color w:val="auto"/>
          <w:sz w:val="24"/>
          <w:szCs w:val="24"/>
        </w:rPr>
        <w:t>。</w:t>
      </w:r>
      <w:r>
        <w:rPr>
          <w:rFonts w:hint="default" w:ascii="Times New Roman" w:hAnsi="Times New Roman" w:eastAsia="宋体" w:cs="Times New Roman"/>
          <w:bCs/>
          <w:color w:val="auto"/>
          <w:sz w:val="24"/>
          <w:szCs w:val="24"/>
          <w:lang w:val="en-US" w:eastAsia="zh-CN"/>
        </w:rPr>
        <w:t>本次调查区域内企业均满足重点管控单元准入清单要求，同时要求后续进驻企业满足重点管控单元准入清单要求。</w:t>
      </w:r>
    </w:p>
    <w:bookmarkEnd w:id="2441"/>
    <w:p w14:paraId="4036B1BF">
      <w:pPr>
        <w:pStyle w:val="8"/>
        <w:rPr>
          <w:rFonts w:hint="default"/>
          <w:color w:val="auto"/>
          <w:lang w:val="en-US" w:eastAsia="zh-CN"/>
        </w:rPr>
      </w:pPr>
    </w:p>
    <w:p w14:paraId="39B3E2E5">
      <w:pPr>
        <w:bidi w:val="0"/>
        <w:rPr>
          <w:rFonts w:hint="eastAsia"/>
          <w:color w:val="auto"/>
          <w:lang w:val="en-US" w:eastAsia="zh-CN"/>
        </w:rPr>
      </w:pPr>
    </w:p>
    <w:p w14:paraId="52943DBA">
      <w:pPr>
        <w:spacing w:before="306" w:line="221" w:lineRule="auto"/>
        <w:ind w:left="47"/>
        <w:outlineLvl w:val="9"/>
        <w:rPr>
          <w:rFonts w:hint="eastAsia" w:ascii="Times New Roman" w:hAnsi="Times New Roman" w:eastAsia="宋体" w:cs="Times New Roman"/>
          <w:b/>
          <w:bCs/>
          <w:color w:val="auto"/>
          <w:spacing w:val="-4"/>
          <w:sz w:val="28"/>
          <w:szCs w:val="28"/>
          <w:lang w:val="en-US" w:eastAsia="zh-CN"/>
        </w:rPr>
        <w:sectPr>
          <w:footerReference r:id="rId39" w:type="default"/>
          <w:pgSz w:w="11907" w:h="16839"/>
          <w:pgMar w:top="1175" w:right="1593" w:bottom="1622" w:left="1771" w:header="862" w:footer="1445" w:gutter="0"/>
          <w:pgBorders>
            <w:top w:val="none" w:sz="0" w:space="0"/>
            <w:left w:val="none" w:sz="0" w:space="0"/>
            <w:bottom w:val="none" w:sz="0" w:space="0"/>
            <w:right w:val="none" w:sz="0" w:space="0"/>
          </w:pgBorders>
          <w:pgNumType w:fmt="decimal"/>
          <w:cols w:space="720" w:num="1"/>
        </w:sectPr>
      </w:pPr>
    </w:p>
    <w:p w14:paraId="7A8FC16E">
      <w:pPr>
        <w:bidi w:val="0"/>
        <w:jc w:val="center"/>
        <w:rPr>
          <w:rFonts w:hint="default" w:ascii="Times New Roman" w:hAnsi="Times New Roman" w:eastAsia="宋体" w:cs="Times New Roman"/>
          <w:color w:val="auto"/>
          <w:sz w:val="24"/>
          <w:szCs w:val="24"/>
          <w:highlight w:val="none"/>
        </w:rPr>
      </w:pPr>
      <w:bookmarkStart w:id="2443" w:name="OLE_LINK775"/>
      <w:r>
        <w:rPr>
          <w:rFonts w:hint="default" w:ascii="Times New Roman" w:hAnsi="Times New Roman" w:eastAsia="宋体" w:cs="Times New Roman"/>
          <w:b/>
          <w:bCs/>
          <w:color w:val="auto"/>
          <w:sz w:val="24"/>
          <w:szCs w:val="24"/>
          <w:highlight w:val="none"/>
          <w:lang w:val="en-US" w:eastAsia="zh-CN"/>
        </w:rPr>
        <w:t xml:space="preserve">表10.4-1  </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江苏省</w:t>
      </w:r>
      <w:bookmarkStart w:id="2444" w:name="OLE_LINK783"/>
      <w:bookmarkStart w:id="2445" w:name="OLE_LINK777"/>
      <w:r>
        <w:rPr>
          <w:rFonts w:hint="default" w:ascii="Times New Roman" w:hAnsi="Times New Roman" w:eastAsia="宋体" w:cs="Times New Roman"/>
          <w:b/>
          <w:bCs/>
          <w:color w:val="auto"/>
          <w:sz w:val="24"/>
          <w:szCs w:val="24"/>
          <w:highlight w:val="none"/>
        </w:rPr>
        <w:t>生态环境分区管控</w:t>
      </w:r>
      <w:bookmarkEnd w:id="2444"/>
      <w:r>
        <w:rPr>
          <w:rFonts w:hint="default" w:ascii="Times New Roman" w:hAnsi="Times New Roman" w:eastAsia="宋体" w:cs="Times New Roman"/>
          <w:b/>
          <w:bCs/>
          <w:color w:val="auto"/>
          <w:sz w:val="24"/>
          <w:szCs w:val="24"/>
          <w:highlight w:val="none"/>
          <w:lang w:val="en-US" w:eastAsia="zh-CN"/>
        </w:rPr>
        <w:t>总体要求</w:t>
      </w:r>
      <w:bookmarkEnd w:id="2445"/>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lang w:val="en-US" w:eastAsia="zh-CN"/>
        </w:rPr>
        <w:t>相关</w:t>
      </w:r>
      <w:r>
        <w:rPr>
          <w:rFonts w:hint="default" w:ascii="Times New Roman" w:hAnsi="Times New Roman" w:eastAsia="宋体" w:cs="Times New Roman"/>
          <w:b/>
          <w:bCs/>
          <w:color w:val="auto"/>
          <w:sz w:val="24"/>
          <w:szCs w:val="24"/>
          <w:highlight w:val="none"/>
          <w:lang w:val="en-US" w:eastAsia="zh-CN"/>
        </w:rPr>
        <w:t>要求</w:t>
      </w:r>
      <w:bookmarkStart w:id="2446" w:name="pindex14941"/>
      <w:bookmarkEnd w:id="2446"/>
    </w:p>
    <w:bookmarkEnd w:id="2443"/>
    <w:tbl>
      <w:tblPr>
        <w:tblStyle w:val="20"/>
        <w:tblW w:w="4964"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925"/>
        <w:gridCol w:w="12230"/>
      </w:tblGrid>
      <w:tr w14:paraId="4BCFB1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1" w:hRule="atLeast"/>
        </w:trPr>
        <w:tc>
          <w:tcPr>
            <w:tcW w:w="680" w:type="pct"/>
            <w:tcBorders>
              <w:tl2br w:val="nil"/>
              <w:tr2bl w:val="nil"/>
            </w:tcBorders>
            <w:noWrap w:val="0"/>
            <w:vAlign w:val="center"/>
          </w:tcPr>
          <w:p w14:paraId="02E70A92">
            <w:pPr>
              <w:pStyle w:val="46"/>
              <w:widowControl w:val="0"/>
              <w:adjustRightInd w:val="0"/>
              <w:snapToGrid w:val="0"/>
              <w:spacing w:line="240" w:lineRule="exact"/>
              <w:rPr>
                <w:rFonts w:hint="default" w:ascii="Times New Roman" w:hAnsi="Times New Roman" w:eastAsia="宋体" w:cs="Times New Roman"/>
                <w:b/>
                <w:bCs/>
                <w:color w:val="auto"/>
                <w:sz w:val="21"/>
                <w:szCs w:val="21"/>
                <w:highlight w:val="none"/>
                <w:lang w:val="zh-CN" w:eastAsia="zh-CN"/>
              </w:rPr>
            </w:pPr>
            <w:r>
              <w:rPr>
                <w:rFonts w:hint="default" w:ascii="Times New Roman" w:hAnsi="Times New Roman" w:eastAsia="宋体" w:cs="Times New Roman"/>
                <w:b/>
                <w:bCs/>
                <w:color w:val="auto"/>
                <w:sz w:val="21"/>
                <w:szCs w:val="21"/>
                <w:highlight w:val="none"/>
                <w:lang w:val="zh-CN" w:eastAsia="zh-CN"/>
              </w:rPr>
              <w:t>管控类别</w:t>
            </w:r>
          </w:p>
        </w:tc>
        <w:tc>
          <w:tcPr>
            <w:tcW w:w="4319" w:type="pct"/>
            <w:tcBorders>
              <w:tl2br w:val="nil"/>
              <w:tr2bl w:val="nil"/>
            </w:tcBorders>
            <w:noWrap w:val="0"/>
            <w:vAlign w:val="center"/>
          </w:tcPr>
          <w:p w14:paraId="5B51B557">
            <w:pPr>
              <w:pStyle w:val="46"/>
              <w:widowControl w:val="0"/>
              <w:adjustRightInd w:val="0"/>
              <w:snapToGrid w:val="0"/>
              <w:spacing w:line="240" w:lineRule="exact"/>
              <w:rPr>
                <w:rFonts w:hint="default" w:ascii="Times New Roman" w:hAnsi="Times New Roman" w:eastAsia="宋体" w:cs="Times New Roman"/>
                <w:b/>
                <w:bCs/>
                <w:color w:val="auto"/>
                <w:sz w:val="21"/>
                <w:szCs w:val="21"/>
                <w:highlight w:val="none"/>
                <w:lang w:val="zh-CN" w:eastAsia="zh-CN"/>
              </w:rPr>
            </w:pPr>
            <w:r>
              <w:rPr>
                <w:rFonts w:hint="default" w:ascii="Times New Roman" w:hAnsi="Times New Roman" w:eastAsia="宋体" w:cs="Times New Roman"/>
                <w:b/>
                <w:bCs/>
                <w:color w:val="auto"/>
                <w:sz w:val="21"/>
                <w:szCs w:val="21"/>
                <w:highlight w:val="none"/>
                <w:lang w:val="zh-CN" w:eastAsia="zh-CN"/>
              </w:rPr>
              <w:t>重点管控要求</w:t>
            </w:r>
          </w:p>
        </w:tc>
      </w:tr>
      <w:tr w14:paraId="106C3E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00" w:hRule="atLeast"/>
        </w:trPr>
        <w:tc>
          <w:tcPr>
            <w:tcW w:w="680" w:type="pct"/>
            <w:vMerge w:val="restart"/>
            <w:tcBorders>
              <w:tl2br w:val="nil"/>
              <w:tr2bl w:val="nil"/>
            </w:tcBorders>
            <w:noWrap w:val="0"/>
            <w:vAlign w:val="center"/>
          </w:tcPr>
          <w:p w14:paraId="15B63C40">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bookmarkStart w:id="2447" w:name="OLE_LINK776" w:colFirst="2" w:colLast="2"/>
            <w:r>
              <w:rPr>
                <w:rFonts w:hint="default" w:ascii="Times New Roman" w:hAnsi="Times New Roman" w:eastAsia="宋体" w:cs="Times New Roman"/>
                <w:color w:val="auto"/>
                <w:sz w:val="21"/>
                <w:szCs w:val="21"/>
                <w:highlight w:val="none"/>
                <w:lang w:val="zh-CN" w:eastAsia="zh-CN"/>
              </w:rPr>
              <w:t>空间布局约束</w:t>
            </w:r>
          </w:p>
        </w:tc>
        <w:tc>
          <w:tcPr>
            <w:tcW w:w="4319" w:type="pct"/>
            <w:tcBorders>
              <w:tl2br w:val="nil"/>
              <w:tr2bl w:val="nil"/>
            </w:tcBorders>
            <w:noWrap w:val="0"/>
            <w:vAlign w:val="center"/>
          </w:tcPr>
          <w:p w14:paraId="4AEB4DB7">
            <w:pPr>
              <w:pStyle w:val="46"/>
              <w:widowControl w:val="0"/>
              <w:numPr>
                <w:ilvl w:val="0"/>
                <w:numId w:val="0"/>
              </w:numPr>
              <w:adjustRightInd w:val="0"/>
              <w:snapToGrid w:val="0"/>
              <w:spacing w:line="240" w:lineRule="exact"/>
              <w:ind w:firstLine="0" w:firstLineChars="0"/>
              <w:jc w:val="lef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zh-CN" w:eastAsia="zh-CN"/>
              </w:rPr>
              <w:t>按照《自然资源部 生态环境部 国家林业和草原局关于加强生态保护红线管理的通知（试行）》（自然资发〔2022〕142号）、《省政府关于印发江苏省生态空间管控区域规划的通知》（苏政发〔2020〕1号）、《关于进一步加强生态保护红线监督管理的通知》（苏自然函〔2023〕880号）、《江苏省国土空间规划（2021—2035年）》（国函〔2023〕69号），坚持节约优先、保护优先、自然恢复为主的方针，以改善生态环境质量为核心，以保障和维护生态功能为主线，统筹山水林田湖草一体化保护和修复，严守生态保护红线，实行最严格的生态空间管控制度，确保全省生态功能不降低、面积不减少、性质不改变，切实维护生态安全。生态保护红线不低于1.82万平方千米，其中海洋生态保护红线不低于0.95万平方千米。</w:t>
            </w:r>
          </w:p>
        </w:tc>
      </w:tr>
      <w:tr w14:paraId="445F35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80" w:type="pct"/>
            <w:vMerge w:val="continue"/>
            <w:tcBorders>
              <w:tl2br w:val="nil"/>
              <w:tr2bl w:val="nil"/>
            </w:tcBorders>
            <w:noWrap w:val="0"/>
            <w:vAlign w:val="center"/>
          </w:tcPr>
          <w:p w14:paraId="62F72D54">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p>
        </w:tc>
        <w:tc>
          <w:tcPr>
            <w:tcW w:w="4319" w:type="pct"/>
            <w:tcBorders>
              <w:tl2br w:val="nil"/>
              <w:tr2bl w:val="nil"/>
            </w:tcBorders>
            <w:noWrap w:val="0"/>
            <w:vAlign w:val="center"/>
          </w:tcPr>
          <w:p w14:paraId="19E578DA">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2．牢牢把握推动长江经济带发展“共抓大保护、不搞大开发”战略导向，对省域范围内需要重点保护的岸线、河段和区域实行严格管控，管住控好排放量大、耗能高、产能过剩的产业，推动长江经济带高质量发展。</w:t>
            </w:r>
          </w:p>
        </w:tc>
      </w:tr>
      <w:tr w14:paraId="7C6E42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1" w:hRule="atLeast"/>
        </w:trPr>
        <w:tc>
          <w:tcPr>
            <w:tcW w:w="680" w:type="pct"/>
            <w:vMerge w:val="continue"/>
            <w:tcBorders>
              <w:tl2br w:val="nil"/>
              <w:tr2bl w:val="nil"/>
            </w:tcBorders>
            <w:noWrap w:val="0"/>
            <w:vAlign w:val="center"/>
          </w:tcPr>
          <w:p w14:paraId="7239A5CD">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p>
        </w:tc>
        <w:tc>
          <w:tcPr>
            <w:tcW w:w="4319" w:type="pct"/>
            <w:tcBorders>
              <w:tl2br w:val="nil"/>
              <w:tr2bl w:val="nil"/>
            </w:tcBorders>
            <w:noWrap w:val="0"/>
            <w:vAlign w:val="center"/>
          </w:tcPr>
          <w:p w14:paraId="45EC8EBA">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3．大幅压减沿长江干支流两侧1公里范围内、环境敏感区域、城镇人口密集区、化工园区外和规模以下化工生产企业，着力破解“重化围江”突出问题，高起点同步推进沿江地区战略性转型和沿海地区战略性布局。</w:t>
            </w:r>
          </w:p>
        </w:tc>
      </w:tr>
      <w:tr w14:paraId="4FD243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8" w:hRule="atLeast"/>
        </w:trPr>
        <w:tc>
          <w:tcPr>
            <w:tcW w:w="680" w:type="pct"/>
            <w:vMerge w:val="continue"/>
            <w:tcBorders>
              <w:tl2br w:val="nil"/>
              <w:tr2bl w:val="nil"/>
            </w:tcBorders>
            <w:noWrap w:val="0"/>
            <w:vAlign w:val="center"/>
          </w:tcPr>
          <w:p w14:paraId="21E6A977">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p>
        </w:tc>
        <w:tc>
          <w:tcPr>
            <w:tcW w:w="4319" w:type="pct"/>
            <w:tcBorders>
              <w:tl2br w:val="nil"/>
              <w:tr2bl w:val="nil"/>
            </w:tcBorders>
            <w:noWrap w:val="0"/>
            <w:vAlign w:val="center"/>
          </w:tcPr>
          <w:p w14:paraId="5F5A9A20">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4．全省钢铁行业坚持布局调整和产能整合相结合，坚持企业搬迁与转型升级相结合，鼓励有条件的企业实施跨地区、跨所有制的兼并重组，高起点、高标准规划建设沿海精品钢基地，做精做优沿江特钢产业基地，加快推动全省钢铁行业转型升级优化布局。</w:t>
            </w:r>
          </w:p>
        </w:tc>
      </w:tr>
      <w:tr w14:paraId="4EBE89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8" w:hRule="atLeast"/>
        </w:trPr>
        <w:tc>
          <w:tcPr>
            <w:tcW w:w="680" w:type="pct"/>
            <w:vMerge w:val="continue"/>
            <w:tcBorders>
              <w:tl2br w:val="nil"/>
              <w:tr2bl w:val="nil"/>
            </w:tcBorders>
            <w:noWrap w:val="0"/>
            <w:vAlign w:val="center"/>
          </w:tcPr>
          <w:p w14:paraId="1A54632D">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p>
        </w:tc>
        <w:tc>
          <w:tcPr>
            <w:tcW w:w="4319" w:type="pct"/>
            <w:tcBorders>
              <w:tl2br w:val="nil"/>
              <w:tr2bl w:val="nil"/>
            </w:tcBorders>
            <w:noWrap w:val="0"/>
            <w:vAlign w:val="center"/>
          </w:tcPr>
          <w:p w14:paraId="2B426A2A">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5．对列入国家和省规划，涉及生态保护红线和相关法定保护区的重要民生项目、重大基础设施项目（交通基础设施项目等），应优化空间布局（选线）、主动避让；确实无法避让的，应采取无害化方式（如无害化穿、跨越方式等），依法依规履行行政审批手续，强化减缓生态环境影响和生态补偿措施。</w:t>
            </w:r>
          </w:p>
        </w:tc>
      </w:tr>
      <w:tr w14:paraId="3FAAA1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80" w:type="pct"/>
            <w:vMerge w:val="restart"/>
            <w:tcBorders>
              <w:tl2br w:val="nil"/>
              <w:tr2bl w:val="nil"/>
            </w:tcBorders>
            <w:noWrap w:val="0"/>
            <w:vAlign w:val="center"/>
          </w:tcPr>
          <w:p w14:paraId="2384D0F6">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污染物排放管控</w:t>
            </w:r>
          </w:p>
        </w:tc>
        <w:tc>
          <w:tcPr>
            <w:tcW w:w="4319" w:type="pct"/>
            <w:tcBorders>
              <w:tl2br w:val="nil"/>
              <w:tr2bl w:val="nil"/>
            </w:tcBorders>
            <w:noWrap w:val="0"/>
            <w:vAlign w:val="center"/>
          </w:tcPr>
          <w:p w14:paraId="47A8D814">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1．坚持生态环境质量只能更好、不能变坏，实施污染物总量控制，以环境容量定产业、定项目、定规模，确保开发建设行为不突破生态环境承载力。</w:t>
            </w:r>
          </w:p>
        </w:tc>
      </w:tr>
      <w:bookmarkEnd w:id="2447"/>
      <w:tr w14:paraId="0C2DA8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3" w:hRule="atLeast"/>
        </w:trPr>
        <w:tc>
          <w:tcPr>
            <w:tcW w:w="680" w:type="pct"/>
            <w:vMerge w:val="continue"/>
            <w:tcBorders>
              <w:tl2br w:val="nil"/>
              <w:tr2bl w:val="nil"/>
            </w:tcBorders>
            <w:noWrap w:val="0"/>
            <w:vAlign w:val="center"/>
          </w:tcPr>
          <w:p w14:paraId="13F7D371">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p>
        </w:tc>
        <w:tc>
          <w:tcPr>
            <w:tcW w:w="4319" w:type="pct"/>
            <w:tcBorders>
              <w:tl2br w:val="nil"/>
              <w:tr2bl w:val="nil"/>
            </w:tcBorders>
            <w:noWrap w:val="0"/>
            <w:vAlign w:val="center"/>
          </w:tcPr>
          <w:p w14:paraId="5291FA48">
            <w:pPr>
              <w:pStyle w:val="46"/>
              <w:widowControl w:val="0"/>
              <w:adjustRightInd w:val="0"/>
              <w:snapToGrid w:val="0"/>
              <w:spacing w:line="240" w:lineRule="exact"/>
              <w:jc w:val="lef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2．2025年，主要污染物排放减排完成国家下达任务，单位工业增加值二氧化碳排放量下降20%，主要高耗能行业单位产品二氧化碳排放达到世界先进水平。实施氮氧化物（NOx）和VOCs协同减排，推进多污染物和关联区域联防联控。</w:t>
            </w:r>
          </w:p>
        </w:tc>
      </w:tr>
      <w:tr w14:paraId="68EB84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9" w:hRule="atLeast"/>
        </w:trPr>
        <w:tc>
          <w:tcPr>
            <w:tcW w:w="680" w:type="pct"/>
            <w:vMerge w:val="restart"/>
            <w:tcBorders>
              <w:tl2br w:val="nil"/>
              <w:tr2bl w:val="nil"/>
            </w:tcBorders>
            <w:noWrap w:val="0"/>
            <w:vAlign w:val="center"/>
          </w:tcPr>
          <w:p w14:paraId="5D2EF22F">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环境风险防控</w:t>
            </w:r>
          </w:p>
        </w:tc>
        <w:tc>
          <w:tcPr>
            <w:tcW w:w="4319" w:type="pct"/>
            <w:tcBorders>
              <w:tl2br w:val="nil"/>
              <w:tr2bl w:val="nil"/>
            </w:tcBorders>
            <w:noWrap w:val="0"/>
            <w:vAlign w:val="center"/>
          </w:tcPr>
          <w:p w14:paraId="184F0088">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1．强化饮用水水源环境风险管控。县级以上城市全部建成应急水源或双源供水。</w:t>
            </w:r>
          </w:p>
        </w:tc>
      </w:tr>
      <w:tr w14:paraId="1C01E4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2" w:hRule="atLeast"/>
        </w:trPr>
        <w:tc>
          <w:tcPr>
            <w:tcW w:w="680" w:type="pct"/>
            <w:vMerge w:val="continue"/>
            <w:tcBorders>
              <w:tl2br w:val="nil"/>
              <w:tr2bl w:val="nil"/>
            </w:tcBorders>
            <w:noWrap w:val="0"/>
            <w:vAlign w:val="center"/>
          </w:tcPr>
          <w:p w14:paraId="2A4051EC">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bookmarkStart w:id="2448" w:name="OLE_LINK778" w:colFirst="2" w:colLast="2"/>
            <w:bookmarkStart w:id="2449" w:name="OLE_LINK785" w:colFirst="3" w:colLast="3"/>
          </w:p>
        </w:tc>
        <w:tc>
          <w:tcPr>
            <w:tcW w:w="4319" w:type="pct"/>
            <w:tcBorders>
              <w:tl2br w:val="nil"/>
              <w:tr2bl w:val="nil"/>
            </w:tcBorders>
            <w:noWrap w:val="0"/>
            <w:vAlign w:val="center"/>
          </w:tcPr>
          <w:p w14:paraId="4F5FF422">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2．强化化工行业环境风险管控。重点加强化学工业园区、涉及大宗危化品使用企业、贮存和运输危化品的港口码头、尾矿库、集中式污水处理厂、危废处理企业的环境风险防控；严厉打击危险废物非法转移、处置和倾倒行为；加强关闭搬迁化工企业及遗留地块的调查评估、风险管控、治理修复。</w:t>
            </w:r>
          </w:p>
        </w:tc>
      </w:tr>
      <w:tr w14:paraId="13605A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680" w:type="pct"/>
            <w:vMerge w:val="continue"/>
            <w:tcBorders>
              <w:tl2br w:val="nil"/>
              <w:tr2bl w:val="nil"/>
            </w:tcBorders>
            <w:noWrap w:val="0"/>
            <w:vAlign w:val="center"/>
          </w:tcPr>
          <w:p w14:paraId="082626DE">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p>
        </w:tc>
        <w:tc>
          <w:tcPr>
            <w:tcW w:w="4319" w:type="pct"/>
            <w:tcBorders>
              <w:tl2br w:val="nil"/>
              <w:tr2bl w:val="nil"/>
            </w:tcBorders>
            <w:noWrap w:val="0"/>
            <w:vAlign w:val="center"/>
          </w:tcPr>
          <w:p w14:paraId="408098A4">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3．强化环境事故应急管理。深化跨部门、跨区域环境应急协调联动，分区域建立环境应急物资储备库。各级工业园区（集聚区）和企业的环境应急装备和储备物资应纳入储备体系。</w:t>
            </w:r>
          </w:p>
        </w:tc>
      </w:tr>
      <w:tr w14:paraId="4C3D4A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1" w:hRule="atLeast"/>
        </w:trPr>
        <w:tc>
          <w:tcPr>
            <w:tcW w:w="680" w:type="pct"/>
            <w:vMerge w:val="continue"/>
            <w:tcBorders>
              <w:tl2br w:val="nil"/>
              <w:tr2bl w:val="nil"/>
            </w:tcBorders>
            <w:noWrap w:val="0"/>
            <w:vAlign w:val="center"/>
          </w:tcPr>
          <w:p w14:paraId="2241FA87">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p>
        </w:tc>
        <w:tc>
          <w:tcPr>
            <w:tcW w:w="4319" w:type="pct"/>
            <w:tcBorders>
              <w:tl2br w:val="nil"/>
              <w:tr2bl w:val="nil"/>
            </w:tcBorders>
            <w:noWrap w:val="0"/>
            <w:vAlign w:val="center"/>
          </w:tcPr>
          <w:p w14:paraId="67E77459">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4．强化环境风险防控能力建设。按照统一信息平台、统一监管力度、统一应急等级、协同应急救援的思路，在沿江发展带、沿海发展带、环太湖等地区构建区域性环境风险预警应急响应机制，实施区域突发环境风险预警联防联控。</w:t>
            </w:r>
          </w:p>
        </w:tc>
      </w:tr>
      <w:bookmarkEnd w:id="2448"/>
      <w:tr w14:paraId="2907AF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80" w:type="pct"/>
            <w:vMerge w:val="restart"/>
            <w:tcBorders>
              <w:tl2br w:val="nil"/>
              <w:tr2bl w:val="nil"/>
            </w:tcBorders>
            <w:noWrap w:val="0"/>
            <w:vAlign w:val="center"/>
          </w:tcPr>
          <w:p w14:paraId="3999666D">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资源利用效率要求</w:t>
            </w:r>
          </w:p>
        </w:tc>
        <w:tc>
          <w:tcPr>
            <w:tcW w:w="4319" w:type="pct"/>
            <w:tcBorders>
              <w:tl2br w:val="nil"/>
              <w:tr2bl w:val="nil"/>
            </w:tcBorders>
            <w:noWrap w:val="0"/>
            <w:vAlign w:val="center"/>
          </w:tcPr>
          <w:p w14:paraId="31593B1B">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1．水资源利用总量及效率要求：到2025年，全省用水总量控制在525.9亿立方米以内，万元地区生产总值用水量、万元工业增加值用水量下降完成国家下达目标，农田灌溉水有效利用系数提高到0.625。</w:t>
            </w:r>
          </w:p>
        </w:tc>
      </w:tr>
      <w:bookmarkEnd w:id="2449"/>
      <w:tr w14:paraId="35CD89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80" w:type="pct"/>
            <w:vMerge w:val="continue"/>
            <w:tcBorders>
              <w:tl2br w:val="nil"/>
              <w:tr2bl w:val="nil"/>
            </w:tcBorders>
            <w:noWrap w:val="0"/>
            <w:vAlign w:val="center"/>
          </w:tcPr>
          <w:p w14:paraId="72842557">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p>
        </w:tc>
        <w:tc>
          <w:tcPr>
            <w:tcW w:w="4319" w:type="pct"/>
            <w:tcBorders>
              <w:tl2br w:val="nil"/>
              <w:tr2bl w:val="nil"/>
            </w:tcBorders>
            <w:noWrap w:val="0"/>
            <w:vAlign w:val="center"/>
          </w:tcPr>
          <w:p w14:paraId="1C0557CD">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2．土地资源总量要求：到2025年，江苏省耕地保有量不低于5977万亩，其中永久基本农田保护面积不低于5344万亩。</w:t>
            </w:r>
          </w:p>
        </w:tc>
      </w:tr>
      <w:tr w14:paraId="21E91D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80" w:type="pct"/>
            <w:vMerge w:val="continue"/>
            <w:tcBorders>
              <w:tl2br w:val="nil"/>
              <w:tr2bl w:val="nil"/>
            </w:tcBorders>
            <w:noWrap w:val="0"/>
            <w:vAlign w:val="center"/>
          </w:tcPr>
          <w:p w14:paraId="68489B00">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p>
        </w:tc>
        <w:tc>
          <w:tcPr>
            <w:tcW w:w="4319" w:type="pct"/>
            <w:tcBorders>
              <w:tl2br w:val="nil"/>
              <w:tr2bl w:val="nil"/>
            </w:tcBorders>
            <w:noWrap w:val="0"/>
            <w:vAlign w:val="center"/>
          </w:tcPr>
          <w:p w14:paraId="50801031">
            <w:pPr>
              <w:pStyle w:val="46"/>
              <w:widowControl w:val="0"/>
              <w:adjustRightInd w:val="0"/>
              <w:snapToGrid w:val="0"/>
              <w:spacing w:line="240" w:lineRule="exac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3．禁燃区要求：在禁燃区内，禁止销售、燃用高污染燃料；禁止新建、扩建燃用高污染燃料的设施，已建成的，应当在城市人民政府规定的期限内改用天然气、页岩气、液化石油气、电力或者其他清洁能源。</w:t>
            </w:r>
          </w:p>
        </w:tc>
      </w:tr>
    </w:tbl>
    <w:p w14:paraId="5EACB264">
      <w:pPr>
        <w:bidi w:val="0"/>
        <w:jc w:val="center"/>
        <w:rPr>
          <w:rFonts w:hint="default" w:ascii="Times New Roman" w:hAnsi="Times New Roman" w:eastAsia="宋体" w:cs="Times New Roman"/>
          <w:b/>
          <w:bCs/>
          <w:color w:val="auto"/>
          <w:sz w:val="24"/>
          <w:szCs w:val="24"/>
        </w:rPr>
      </w:pPr>
      <w:bookmarkStart w:id="2450" w:name="OLE_LINK781"/>
      <w:r>
        <w:rPr>
          <w:rFonts w:hint="default" w:ascii="Times New Roman" w:hAnsi="Times New Roman" w:eastAsia="宋体" w:cs="Times New Roman"/>
          <w:b/>
          <w:bCs/>
          <w:color w:val="auto"/>
          <w:sz w:val="24"/>
          <w:szCs w:val="24"/>
          <w:lang w:val="en-US" w:eastAsia="zh-CN"/>
        </w:rPr>
        <w:t xml:space="preserve">表10.4-2  </w:t>
      </w:r>
      <w:r>
        <w:rPr>
          <w:rFonts w:hint="default" w:ascii="Times New Roman" w:hAnsi="Times New Roman" w:eastAsia="宋体" w:cs="Times New Roman"/>
          <w:b/>
          <w:bCs/>
          <w:color w:val="auto"/>
          <w:sz w:val="24"/>
          <w:szCs w:val="24"/>
        </w:rPr>
        <w:t>与《南京市生态环境分区管控实施方案》相符性分析</w:t>
      </w:r>
      <w:bookmarkStart w:id="2451" w:name="pindex14972"/>
      <w:bookmarkEnd w:id="2451"/>
    </w:p>
    <w:bookmarkEnd w:id="2450"/>
    <w:tbl>
      <w:tblPr>
        <w:tblStyle w:val="19"/>
        <w:tblW w:w="4972"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330"/>
        <w:gridCol w:w="4819"/>
        <w:gridCol w:w="2595"/>
        <w:gridCol w:w="3023"/>
        <w:gridCol w:w="2411"/>
      </w:tblGrid>
      <w:tr w14:paraId="6AB3E02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5" w:hRule="atLeast"/>
        </w:trPr>
        <w:tc>
          <w:tcPr>
            <w:tcW w:w="469" w:type="pct"/>
            <w:vMerge w:val="restart"/>
            <w:tcBorders>
              <w:tl2br w:val="nil"/>
              <w:tr2bl w:val="nil"/>
            </w:tcBorders>
            <w:vAlign w:val="center"/>
          </w:tcPr>
          <w:p w14:paraId="03F9110D">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环境管控单元名称</w:t>
            </w:r>
          </w:p>
        </w:tc>
        <w:tc>
          <w:tcPr>
            <w:tcW w:w="4530" w:type="pct"/>
            <w:gridSpan w:val="4"/>
            <w:tcBorders>
              <w:tl2br w:val="nil"/>
              <w:tr2bl w:val="nil"/>
            </w:tcBorders>
            <w:vAlign w:val="center"/>
          </w:tcPr>
          <w:p w14:paraId="07910EB6">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生态环境准入清单</w:t>
            </w:r>
          </w:p>
        </w:tc>
      </w:tr>
      <w:tr w14:paraId="3C79C5C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50" w:hRule="atLeast"/>
        </w:trPr>
        <w:tc>
          <w:tcPr>
            <w:tcW w:w="469" w:type="pct"/>
            <w:vMerge w:val="continue"/>
            <w:tcBorders>
              <w:tl2br w:val="nil"/>
              <w:tr2bl w:val="nil"/>
            </w:tcBorders>
            <w:vAlign w:val="center"/>
          </w:tcPr>
          <w:p w14:paraId="019CE983">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b/>
                <w:bCs/>
                <w:color w:val="auto"/>
                <w:sz w:val="21"/>
                <w:szCs w:val="21"/>
                <w:highlight w:val="none"/>
                <w:lang w:val="en-US" w:eastAsia="zh-CN"/>
              </w:rPr>
            </w:pPr>
            <w:bookmarkStart w:id="2452" w:name="OLE_LINK789" w:colFirst="2" w:colLast="4"/>
          </w:p>
        </w:tc>
        <w:tc>
          <w:tcPr>
            <w:tcW w:w="1699" w:type="pct"/>
            <w:tcBorders>
              <w:tl2br w:val="nil"/>
              <w:tr2bl w:val="nil"/>
            </w:tcBorders>
            <w:vAlign w:val="center"/>
          </w:tcPr>
          <w:p w14:paraId="6998E5D4">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lang w:val="en-US" w:eastAsia="zh-CN" w:bidi="ar"/>
              </w:rPr>
              <w:t>空间布局约束</w:t>
            </w:r>
          </w:p>
        </w:tc>
        <w:tc>
          <w:tcPr>
            <w:tcW w:w="915" w:type="pct"/>
            <w:tcBorders>
              <w:tl2br w:val="nil"/>
              <w:tr2bl w:val="nil"/>
            </w:tcBorders>
            <w:vAlign w:val="center"/>
          </w:tcPr>
          <w:p w14:paraId="025BBE7C">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CN"/>
              </w:rPr>
              <w:t>污染物排放管控</w:t>
            </w:r>
          </w:p>
        </w:tc>
        <w:tc>
          <w:tcPr>
            <w:tcW w:w="1066" w:type="pct"/>
            <w:tcBorders>
              <w:tl2br w:val="nil"/>
              <w:tr2bl w:val="nil"/>
            </w:tcBorders>
            <w:vAlign w:val="center"/>
          </w:tcPr>
          <w:p w14:paraId="76C2BD8B">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CN"/>
              </w:rPr>
              <w:t>环境风险防控</w:t>
            </w:r>
          </w:p>
        </w:tc>
        <w:tc>
          <w:tcPr>
            <w:tcW w:w="849" w:type="pct"/>
            <w:tcBorders>
              <w:tl2br w:val="nil"/>
              <w:tr2bl w:val="nil"/>
            </w:tcBorders>
            <w:vAlign w:val="center"/>
          </w:tcPr>
          <w:p w14:paraId="4CF00CB1">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CN"/>
              </w:rPr>
              <w:t>资源利用效率要求</w:t>
            </w:r>
          </w:p>
        </w:tc>
      </w:tr>
      <w:bookmarkEnd w:id="2452"/>
      <w:tr w14:paraId="288AC34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729" w:hRule="atLeast"/>
        </w:trPr>
        <w:tc>
          <w:tcPr>
            <w:tcW w:w="469" w:type="pct"/>
            <w:tcBorders>
              <w:tl2br w:val="nil"/>
              <w:tr2bl w:val="nil"/>
            </w:tcBorders>
            <w:vAlign w:val="center"/>
          </w:tcPr>
          <w:p w14:paraId="115572DA">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南京江宁经济技术开发区</w:t>
            </w:r>
          </w:p>
        </w:tc>
        <w:tc>
          <w:tcPr>
            <w:tcW w:w="1699" w:type="pct"/>
            <w:tcBorders>
              <w:tl2br w:val="nil"/>
              <w:tr2bl w:val="nil"/>
            </w:tcBorders>
            <w:vAlign w:val="center"/>
          </w:tcPr>
          <w:p w14:paraId="12A03E20">
            <w:pPr>
              <w:pStyle w:val="46"/>
              <w:keepNext w:val="0"/>
              <w:keepLines w:val="0"/>
              <w:pageBreakBefore w:val="0"/>
              <w:widowControl w:val="0"/>
              <w:numPr>
                <w:ilvl w:val="0"/>
                <w:numId w:val="0"/>
              </w:numPr>
              <w:kinsoku/>
              <w:wordWrap/>
              <w:overflowPunct/>
              <w:topLinePunct w:val="0"/>
              <w:autoSpaceDE/>
              <w:autoSpaceDN/>
              <w:bidi w:val="0"/>
              <w:adjustRightInd w:val="0"/>
              <w:snapToGrid w:val="0"/>
              <w:spacing w:line="240" w:lineRule="exact"/>
              <w:ind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lang w:val="en-US" w:eastAsia="en-US" w:bidi="ar-SA"/>
              </w:rPr>
              <w:t>（1）</w:t>
            </w:r>
            <w:r>
              <w:rPr>
                <w:rFonts w:hint="default" w:ascii="Times New Roman" w:hAnsi="Times New Roman" w:eastAsia="宋体" w:cs="Times New Roman"/>
                <w:color w:val="auto"/>
                <w:sz w:val="21"/>
                <w:szCs w:val="21"/>
                <w:highlight w:val="none"/>
              </w:rPr>
              <w:t>执行规划和规划环评及其审查意见相关要求。</w:t>
            </w:r>
          </w:p>
          <w:p w14:paraId="247D902E">
            <w:pPr>
              <w:pStyle w:val="46"/>
              <w:keepNext w:val="0"/>
              <w:keepLines w:val="0"/>
              <w:pageBreakBefore w:val="0"/>
              <w:widowControl w:val="0"/>
              <w:numPr>
                <w:ilvl w:val="0"/>
                <w:numId w:val="0"/>
              </w:numPr>
              <w:kinsoku/>
              <w:wordWrap/>
              <w:overflowPunct/>
              <w:topLinePunct w:val="0"/>
              <w:autoSpaceDE/>
              <w:autoSpaceDN/>
              <w:bidi w:val="0"/>
              <w:adjustRightInd w:val="0"/>
              <w:snapToGrid w:val="0"/>
              <w:spacing w:line="240" w:lineRule="exact"/>
              <w:ind w:left="0" w:leftChars="0" w:firstLine="0" w:firstLineChars="0"/>
              <w:jc w:val="both"/>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snapToGrid w:val="0"/>
                <w:color w:val="auto"/>
                <w:kern w:val="0"/>
                <w:sz w:val="21"/>
                <w:szCs w:val="21"/>
                <w:lang w:val="zh-CN" w:eastAsia="en-US" w:bidi="ar-SA"/>
              </w:rPr>
              <w:t>（2）</w:t>
            </w:r>
            <w:r>
              <w:rPr>
                <w:rFonts w:hint="default" w:ascii="Times New Roman" w:hAnsi="Times New Roman" w:eastAsia="宋体" w:cs="Times New Roman"/>
                <w:color w:val="auto"/>
                <w:sz w:val="21"/>
                <w:szCs w:val="21"/>
                <w:highlight w:val="none"/>
                <w:lang w:val="zh-CN"/>
              </w:rPr>
              <w:t>优先引入：生物医药、新能源、节能环保、新材料、智能电网、绿色智能汽车、新一代信息技术、高端智能制造装备、轨道交通产业、航空制造及临空高科技产业。</w:t>
            </w:r>
          </w:p>
          <w:p w14:paraId="5545E6D1">
            <w:pPr>
              <w:pStyle w:val="46"/>
              <w:keepNext w:val="0"/>
              <w:keepLines w:val="0"/>
              <w:pageBreakBefore w:val="0"/>
              <w:widowControl w:val="0"/>
              <w:numPr>
                <w:ilvl w:val="0"/>
                <w:numId w:val="0"/>
              </w:numPr>
              <w:kinsoku/>
              <w:wordWrap/>
              <w:overflowPunct/>
              <w:topLinePunct w:val="0"/>
              <w:autoSpaceDE/>
              <w:autoSpaceDN/>
              <w:bidi w:val="0"/>
              <w:adjustRightInd w:val="0"/>
              <w:snapToGrid w:val="0"/>
              <w:spacing w:line="240" w:lineRule="exact"/>
              <w:ind w:firstLine="0" w:firstLineChars="0"/>
              <w:jc w:val="both"/>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en-US" w:eastAsia="zh-CN" w:bidi="ar-SA"/>
              </w:rPr>
              <w:t>3</w:t>
            </w:r>
            <w:r>
              <w:rPr>
                <w:rFonts w:hint="default"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sz w:val="21"/>
                <w:szCs w:val="21"/>
                <w:highlight w:val="none"/>
                <w:lang w:val="zh-CN"/>
              </w:rPr>
              <w:t>禁止引入：</w:t>
            </w:r>
          </w:p>
          <w:p w14:paraId="7B0F2E0A">
            <w:pPr>
              <w:pStyle w:val="46"/>
              <w:keepNext w:val="0"/>
              <w:keepLines w:val="0"/>
              <w:pageBreakBefore w:val="0"/>
              <w:widowControl w:val="0"/>
              <w:numPr>
                <w:ilvl w:val="0"/>
                <w:numId w:val="0"/>
              </w:numPr>
              <w:kinsoku/>
              <w:wordWrap/>
              <w:overflowPunct/>
              <w:topLinePunct w:val="0"/>
              <w:autoSpaceDE/>
              <w:autoSpaceDN/>
              <w:bidi w:val="0"/>
              <w:adjustRightInd w:val="0"/>
              <w:snapToGrid w:val="0"/>
              <w:spacing w:line="240" w:lineRule="exact"/>
              <w:jc w:val="left"/>
              <w:textAlignment w:val="auto"/>
              <w:rPr>
                <w:rFonts w:hint="default" w:ascii="Times New Roman" w:hAnsi="Times New Roman" w:eastAsia="宋体" w:cs="Times New Roman"/>
                <w:color w:val="auto"/>
                <w:sz w:val="21"/>
                <w:szCs w:val="21"/>
                <w:highlight w:val="none"/>
                <w:lang w:val="zh-CN"/>
              </w:rPr>
            </w:pPr>
            <w:bookmarkStart w:id="2453" w:name="sys14984049"/>
            <w:r>
              <w:rPr>
                <w:rFonts w:hint="default" w:ascii="Times New Roman" w:hAnsi="Times New Roman" w:eastAsia="宋体" w:cs="Times New Roman"/>
                <w:color w:val="auto"/>
                <w:sz w:val="21"/>
                <w:szCs w:val="21"/>
                <w:highlight w:val="none"/>
                <w:lang w:val="zh-CN"/>
              </w:rPr>
              <w:t>总体：新（扩）建酿造、制革等水污染重的项目，新（扩）建工业生产废水排水量大于1000吨</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zh-CN"/>
              </w:rPr>
              <w:t>日的项目；</w:t>
            </w:r>
            <w:bookmarkEnd w:id="2453"/>
            <w:bookmarkStart w:id="2454" w:name="sys149844937"/>
            <w:r>
              <w:rPr>
                <w:rFonts w:hint="default" w:ascii="Times New Roman" w:hAnsi="Times New Roman" w:eastAsia="宋体" w:cs="Times New Roman"/>
                <w:color w:val="auto"/>
                <w:sz w:val="21"/>
                <w:szCs w:val="21"/>
                <w:highlight w:val="none"/>
                <w:lang w:val="zh-CN"/>
              </w:rPr>
              <w:t>新（扩）建排放含汞、砷、镉、铬、铅等重金属以及持久性有机污染物的工业项目。</w:t>
            </w:r>
            <w:bookmarkEnd w:id="2454"/>
          </w:p>
          <w:p w14:paraId="265BF0F0">
            <w:pPr>
              <w:pStyle w:val="46"/>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生物医药产业：化学原药合成生产等重污染及风险较大的项目；采用珍稀动植物生产中成药项目；建设使用P3、P4实验室（除符合国家生物安全实验室体系规划的项目）。</w:t>
            </w:r>
          </w:p>
          <w:p w14:paraId="7E3526B0">
            <w:pPr>
              <w:pStyle w:val="46"/>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新材料产业：新增化工新材料项目。</w:t>
            </w:r>
          </w:p>
          <w:p w14:paraId="263FDAD6">
            <w:pPr>
              <w:pStyle w:val="46"/>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lang w:val="zh-CN"/>
              </w:rPr>
              <w:t>新能源产业：污染严重的太阳能光伏产业上游企业（单晶、多晶硅棒生产）。</w:t>
            </w:r>
          </w:p>
          <w:p w14:paraId="2E9790EE">
            <w:pPr>
              <w:pStyle w:val="46"/>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智能电网产业：含铅焊接工艺项目。</w:t>
            </w:r>
          </w:p>
          <w:p w14:paraId="4D5EE9F1">
            <w:pPr>
              <w:pStyle w:val="46"/>
              <w:keepNext w:val="0"/>
              <w:keepLines w:val="0"/>
              <w:pageBreakBefore w:val="0"/>
              <w:widowControl w:val="0"/>
              <w:numPr>
                <w:ilvl w:val="0"/>
                <w:numId w:val="0"/>
              </w:numPr>
              <w:kinsoku/>
              <w:wordWrap/>
              <w:overflowPunct/>
              <w:topLinePunct w:val="0"/>
              <w:autoSpaceDE/>
              <w:autoSpaceDN/>
              <w:bidi w:val="0"/>
              <w:adjustRightInd w:val="0"/>
              <w:snapToGrid w:val="0"/>
              <w:spacing w:line="240" w:lineRule="exact"/>
              <w:ind w:left="0" w:leftChars="0" w:firstLine="0" w:firstLineChars="0"/>
              <w:jc w:val="both"/>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绿色智能汽车：4档以下机械式车用自动变速箱。</w:t>
            </w:r>
          </w:p>
          <w:p w14:paraId="1AAA6F70">
            <w:pPr>
              <w:pStyle w:val="46"/>
              <w:keepNext w:val="0"/>
              <w:keepLines w:val="0"/>
              <w:pageBreakBefore w:val="0"/>
              <w:widowControl w:val="0"/>
              <w:numPr>
                <w:ilvl w:val="0"/>
                <w:numId w:val="0"/>
              </w:numPr>
              <w:kinsoku/>
              <w:wordWrap/>
              <w:overflowPunct/>
              <w:topLinePunct w:val="0"/>
              <w:autoSpaceDE/>
              <w:autoSpaceDN/>
              <w:bidi w:val="0"/>
              <w:adjustRightInd w:val="0"/>
              <w:snapToGrid w:val="0"/>
              <w:spacing w:line="240" w:lineRule="exact"/>
              <w:ind w:left="0" w:leftChars="0" w:firstLine="0" w:firstLineChars="0"/>
              <w:jc w:val="both"/>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zh-CN"/>
              </w:rPr>
              <w:t>）邻近生活区的工业用地，禁止引进废气污染物排放量大、无组织污染严重的项目，距离居住用地100m范围内不布置含喷涂、酸洗等排放异味气体的生产工序和危化品仓库。</w:t>
            </w:r>
          </w:p>
        </w:tc>
        <w:tc>
          <w:tcPr>
            <w:tcW w:w="915" w:type="pct"/>
            <w:tcBorders>
              <w:tl2br w:val="nil"/>
              <w:tr2bl w:val="nil"/>
            </w:tcBorders>
            <w:vAlign w:val="center"/>
          </w:tcPr>
          <w:p w14:paraId="2581EE7E">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（1）严格实施主要污染物总量控制，采取有效措施，持续减少主要污染物排放总量，确保区域环境质量持续改善。</w:t>
            </w:r>
          </w:p>
          <w:p w14:paraId="494DB009">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（2）有序推进工业园区开展限值限量管理，实现污染物排放浓度和总量“双控”。</w:t>
            </w:r>
          </w:p>
          <w:p w14:paraId="2D567F26">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（3）加强绿色智能汽车产业、电子信息产业、橡胶和塑料制品业以及装备制造业（含高端装备制造业）的非甲烷总烃排放控制。</w:t>
            </w:r>
          </w:p>
          <w:p w14:paraId="50EF561C">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lang w:val="zh-CN"/>
              </w:rPr>
              <w:t>（4）严格执行重金属污染物排放管控要求。</w:t>
            </w:r>
          </w:p>
        </w:tc>
        <w:tc>
          <w:tcPr>
            <w:tcW w:w="1066" w:type="pct"/>
            <w:tcBorders>
              <w:tl2br w:val="nil"/>
              <w:tr2bl w:val="nil"/>
            </w:tcBorders>
            <w:vAlign w:val="center"/>
          </w:tcPr>
          <w:p w14:paraId="614CD7F3">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（1）建设突发水污染事件应急防控体系，完善“企业—公共管网—区内水体”水污染三级防控基础设施建设。</w:t>
            </w:r>
          </w:p>
          <w:p w14:paraId="28951CF0">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（2）建立监测应急体系，建设省区市上下联动、区域之间左右联动等联动应急响应体系，实行联动防控。</w:t>
            </w:r>
          </w:p>
          <w:p w14:paraId="2F05CC95">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w:t>
            </w:r>
            <w:bookmarkStart w:id="2455" w:name="OLE_LINK788"/>
            <w:r>
              <w:rPr>
                <w:rFonts w:hint="default" w:ascii="Times New Roman" w:hAnsi="Times New Roman" w:eastAsia="宋体" w:cs="Times New Roman"/>
                <w:color w:val="auto"/>
                <w:sz w:val="21"/>
                <w:szCs w:val="21"/>
                <w:highlight w:val="none"/>
                <w:lang w:val="zh-CN"/>
              </w:rPr>
              <w:t>3）生产、使用、储存危险化学品或其他</w:t>
            </w:r>
            <w:bookmarkEnd w:id="2455"/>
            <w:r>
              <w:rPr>
                <w:rFonts w:hint="default" w:ascii="Times New Roman" w:hAnsi="Times New Roman" w:eastAsia="宋体" w:cs="Times New Roman"/>
                <w:color w:val="auto"/>
                <w:sz w:val="21"/>
                <w:szCs w:val="21"/>
                <w:highlight w:val="none"/>
                <w:lang w:val="zh-CN"/>
              </w:rPr>
              <w:t>存在环境风险的企事业单位，制定风险防范措施，编制完善突发环境事件应急预案。</w:t>
            </w:r>
          </w:p>
          <w:p w14:paraId="6872FEB1">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（4）加强环境影响跟踪监测，建立健全各环境要素监控体系，完善并落实园区日常环境监测与污染源监控计划。</w:t>
            </w:r>
          </w:p>
          <w:p w14:paraId="37AB8CA2">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lang w:val="zh-CN"/>
              </w:rPr>
              <w:t>（5）邻近重要湿地等生态红线区域的工业用地，加强入区企业跑冒滴漏管理，设置符合规范的事故应急池，确保企业废水不排入上述敏感区域。</w:t>
            </w:r>
          </w:p>
        </w:tc>
        <w:tc>
          <w:tcPr>
            <w:tcW w:w="849" w:type="pct"/>
            <w:tcBorders>
              <w:tl2br w:val="nil"/>
              <w:tr2bl w:val="nil"/>
            </w:tcBorders>
            <w:vAlign w:val="center"/>
          </w:tcPr>
          <w:p w14:paraId="44E32A15">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（1）引进项目的生产工艺、设备、能耗、污染物排放、资源利用等达到同行业先进水平。</w:t>
            </w:r>
          </w:p>
          <w:p w14:paraId="459370D4">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（2）执行国家和省能耗及水耗限额标准。</w:t>
            </w:r>
          </w:p>
          <w:p w14:paraId="57130657">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（3）强化企业清洁生产改造，推进节水型企业、节水型园区建设，提高资源能源利用效率。</w:t>
            </w:r>
          </w:p>
          <w:p w14:paraId="38E342FA">
            <w:pPr>
              <w:pStyle w:val="46"/>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lang w:val="zh-CN"/>
              </w:rPr>
              <w:t>（4）禁燃区禁止新建、扩建燃用高污染燃料的项目和设施，已建成的应逐步或依法限期改用天然气、电力或者其他清洁能源</w:t>
            </w:r>
          </w:p>
        </w:tc>
      </w:tr>
    </w:tbl>
    <w:p w14:paraId="65F569F0">
      <w:pPr>
        <w:spacing w:before="306" w:line="221" w:lineRule="auto"/>
        <w:ind w:left="47"/>
        <w:outlineLvl w:val="9"/>
        <w:rPr>
          <w:rFonts w:hint="eastAsia" w:ascii="Times New Roman" w:hAnsi="Times New Roman" w:eastAsia="宋体" w:cs="Times New Roman"/>
          <w:b/>
          <w:bCs/>
          <w:color w:val="auto"/>
          <w:spacing w:val="-4"/>
          <w:sz w:val="28"/>
          <w:szCs w:val="28"/>
          <w:lang w:val="en-US" w:eastAsia="zh-CN"/>
        </w:rPr>
        <w:sectPr>
          <w:pgSz w:w="16839" w:h="11907" w:orient="landscape"/>
          <w:pgMar w:top="1771" w:right="1175" w:bottom="1593" w:left="1622" w:header="862" w:footer="1445" w:gutter="0"/>
          <w:pgBorders>
            <w:top w:val="none" w:sz="0" w:space="0"/>
            <w:left w:val="none" w:sz="0" w:space="0"/>
            <w:bottom w:val="none" w:sz="0" w:space="0"/>
            <w:right w:val="none" w:sz="0" w:space="0"/>
          </w:pgBorders>
          <w:pgNumType w:fmt="decimal"/>
          <w:cols w:space="720" w:num="1"/>
        </w:sectPr>
      </w:pPr>
    </w:p>
    <w:p w14:paraId="4FBF98DD">
      <w:pPr>
        <w:spacing w:before="306" w:line="221" w:lineRule="auto"/>
        <w:ind w:left="47"/>
        <w:outlineLvl w:val="0"/>
        <w:rPr>
          <w:rFonts w:ascii="宋体" w:hAnsi="宋体" w:eastAsia="宋体" w:cs="宋体"/>
          <w:color w:val="auto"/>
          <w:sz w:val="28"/>
          <w:szCs w:val="28"/>
        </w:rPr>
      </w:pPr>
      <w:bookmarkStart w:id="2456" w:name="_Toc26057"/>
      <w:r>
        <w:rPr>
          <w:rFonts w:hint="eastAsia" w:ascii="Times New Roman" w:hAnsi="Times New Roman" w:eastAsia="宋体" w:cs="Times New Roman"/>
          <w:b/>
          <w:bCs/>
          <w:color w:val="auto"/>
          <w:spacing w:val="-4"/>
          <w:sz w:val="28"/>
          <w:szCs w:val="28"/>
          <w:highlight w:val="none"/>
          <w:lang w:val="en-US" w:eastAsia="zh-CN"/>
        </w:rPr>
        <w:t>11</w:t>
      </w:r>
      <w:r>
        <w:rPr>
          <w:rFonts w:ascii="宋体" w:hAnsi="宋体" w:eastAsia="宋体" w:cs="宋体"/>
          <w:b/>
          <w:bCs/>
          <w:color w:val="auto"/>
          <w:spacing w:val="-4"/>
          <w:sz w:val="28"/>
          <w:szCs w:val="28"/>
          <w:highlight w:val="none"/>
        </w:rPr>
        <w:t>结论与成果应用</w:t>
      </w:r>
      <w:bookmarkEnd w:id="2456"/>
      <w:bookmarkStart w:id="2457" w:name="pindex15005"/>
      <w:bookmarkEnd w:id="2457"/>
    </w:p>
    <w:p w14:paraId="4FCE1CBD">
      <w:pPr>
        <w:spacing w:before="204" w:line="344" w:lineRule="auto"/>
        <w:ind w:left="45" w:right="28" w:firstLine="473"/>
        <w:rPr>
          <w:rFonts w:ascii="宋体" w:hAnsi="宋体" w:eastAsia="宋体" w:cs="宋体"/>
          <w:color w:val="auto"/>
          <w:sz w:val="24"/>
          <w:szCs w:val="24"/>
          <w:highlight w:val="none"/>
        </w:rPr>
      </w:pPr>
      <w:bookmarkStart w:id="2458" w:name="sys15006071"/>
      <w:r>
        <w:rPr>
          <w:rFonts w:ascii="宋体" w:hAnsi="宋体" w:eastAsia="宋体" w:cs="宋体"/>
          <w:color w:val="auto"/>
          <w:spacing w:val="-2"/>
          <w:sz w:val="24"/>
          <w:szCs w:val="24"/>
          <w:highlight w:val="none"/>
        </w:rPr>
        <w:t>本次环境影响评价区域评估范围为</w:t>
      </w:r>
      <w:r>
        <w:rPr>
          <w:rFonts w:ascii="Times New Roman" w:hAnsi="Times New Roman" w:eastAsia="宋体" w:cs="Times New Roman"/>
          <w:color w:val="auto"/>
          <w:sz w:val="24"/>
          <w:szCs w:val="24"/>
          <w:highlight w:val="none"/>
        </w:rPr>
        <w:t>南京江宁经济技术开发区行政审批范围（含江苏软件园</w:t>
      </w:r>
      <w:r>
        <w:rPr>
          <w:rFonts w:hint="eastAsia" w:ascii="Times New Roman" w:hAnsi="Times New Roman" w:eastAsia="宋体" w:cs="Times New Roman"/>
          <w:color w:val="auto"/>
          <w:sz w:val="24"/>
          <w:szCs w:val="24"/>
          <w:highlight w:val="none"/>
        </w:rPr>
        <w:t>，不含空港开发区及禄口街道</w:t>
      </w:r>
      <w:r>
        <w:rPr>
          <w:rFonts w:ascii="Times New Roman" w:hAnsi="Times New Roman" w:eastAsia="宋体" w:cs="Times New Roman"/>
          <w:color w:val="auto"/>
          <w:sz w:val="24"/>
          <w:szCs w:val="24"/>
          <w:highlight w:val="none"/>
        </w:rPr>
        <w:t>）</w:t>
      </w:r>
      <w:r>
        <w:rPr>
          <w:rFonts w:ascii="宋体" w:hAnsi="宋体" w:eastAsia="宋体" w:cs="宋体"/>
          <w:color w:val="auto"/>
          <w:spacing w:val="-2"/>
          <w:sz w:val="24"/>
          <w:szCs w:val="24"/>
          <w:highlight w:val="none"/>
        </w:rPr>
        <w:t>，</w:t>
      </w:r>
      <w:r>
        <w:rPr>
          <w:rFonts w:hint="eastAsia" w:ascii="Times New Roman" w:hAnsi="Times New Roman" w:eastAsia="宋体" w:cs="Times New Roman"/>
          <w:color w:val="auto"/>
          <w:sz w:val="24"/>
          <w:szCs w:val="24"/>
          <w:highlight w:val="none"/>
          <w:lang w:eastAsia="zh-CN"/>
        </w:rPr>
        <w:t>评估范围</w:t>
      </w:r>
      <w:r>
        <w:rPr>
          <w:rFonts w:ascii="Times New Roman" w:hAnsi="Times New Roman" w:eastAsia="宋体" w:cs="Times New Roman"/>
          <w:color w:val="auto"/>
          <w:sz w:val="24"/>
          <w:szCs w:val="24"/>
          <w:highlight w:val="none"/>
        </w:rPr>
        <w:t>面积合计</w:t>
      </w:r>
      <w:r>
        <w:rPr>
          <w:rFonts w:hint="eastAsia" w:ascii="Times New Roman" w:hAnsi="Times New Roman" w:eastAsia="宋体" w:cs="Times New Roman"/>
          <w:color w:val="auto"/>
          <w:sz w:val="24"/>
          <w:szCs w:val="24"/>
          <w:highlight w:val="none"/>
          <w:lang w:eastAsia="zh-CN"/>
        </w:rPr>
        <w:t>137.3</w:t>
      </w:r>
      <w:r>
        <w:rPr>
          <w:rFonts w:ascii="Times New Roman" w:hAnsi="Times New Roman" w:eastAsia="宋体" w:cs="Times New Roman"/>
          <w:color w:val="auto"/>
          <w:sz w:val="24"/>
          <w:szCs w:val="24"/>
          <w:highlight w:val="none"/>
        </w:rPr>
        <w:t>km</w:t>
      </w:r>
      <w:r>
        <w:rPr>
          <w:rFonts w:ascii="Times New Roman" w:hAnsi="Times New Roman" w:eastAsia="宋体" w:cs="Times New Roman"/>
          <w:color w:val="auto"/>
          <w:sz w:val="24"/>
          <w:szCs w:val="24"/>
          <w:highlight w:val="none"/>
          <w:vertAlign w:val="superscript"/>
        </w:rPr>
        <w:t>2</w:t>
      </w:r>
      <w:r>
        <w:rPr>
          <w:rFonts w:ascii="宋体" w:hAnsi="宋体" w:eastAsia="宋体" w:cs="宋体"/>
          <w:color w:val="auto"/>
          <w:spacing w:val="-3"/>
          <w:sz w:val="24"/>
          <w:szCs w:val="24"/>
          <w:highlight w:val="none"/>
        </w:rPr>
        <w:t>。</w:t>
      </w:r>
      <w:bookmarkEnd w:id="2458"/>
      <w:r>
        <w:rPr>
          <w:rFonts w:ascii="宋体" w:hAnsi="宋体" w:eastAsia="宋体" w:cs="宋体"/>
          <w:color w:val="auto"/>
          <w:spacing w:val="-3"/>
          <w:sz w:val="24"/>
          <w:szCs w:val="24"/>
          <w:highlight w:val="none"/>
        </w:rPr>
        <w:t>根据环境影响评价区域评估综合分析结论和建议如下：</w:t>
      </w:r>
    </w:p>
    <w:p w14:paraId="0AFE1034">
      <w:pPr>
        <w:spacing w:before="38" w:line="221" w:lineRule="auto"/>
        <w:ind w:left="44"/>
        <w:outlineLvl w:val="1"/>
        <w:rPr>
          <w:rFonts w:ascii="宋体" w:hAnsi="宋体" w:eastAsia="宋体" w:cs="宋体"/>
          <w:color w:val="auto"/>
          <w:sz w:val="24"/>
          <w:szCs w:val="24"/>
          <w:highlight w:val="none"/>
        </w:rPr>
      </w:pPr>
      <w:bookmarkStart w:id="2459" w:name="bookmark87"/>
      <w:bookmarkEnd w:id="2459"/>
      <w:bookmarkStart w:id="2460" w:name="_Toc9896"/>
      <w:r>
        <w:rPr>
          <w:rFonts w:hint="eastAsia" w:ascii="Times New Roman" w:hAnsi="Times New Roman" w:eastAsia="宋体" w:cs="Times New Roman"/>
          <w:b/>
          <w:bCs/>
          <w:color w:val="auto"/>
          <w:spacing w:val="-5"/>
          <w:sz w:val="24"/>
          <w:szCs w:val="24"/>
          <w:highlight w:val="none"/>
          <w:lang w:val="en-US" w:eastAsia="zh-CN"/>
        </w:rPr>
        <w:t>11</w:t>
      </w:r>
      <w:r>
        <w:rPr>
          <w:rFonts w:ascii="Times New Roman" w:hAnsi="Times New Roman" w:eastAsia="Times New Roman" w:cs="Times New Roman"/>
          <w:b/>
          <w:bCs/>
          <w:color w:val="auto"/>
          <w:spacing w:val="-5"/>
          <w:sz w:val="24"/>
          <w:szCs w:val="24"/>
          <w:highlight w:val="none"/>
        </w:rPr>
        <w:t>.1</w:t>
      </w:r>
      <w:r>
        <w:rPr>
          <w:rFonts w:ascii="宋体" w:hAnsi="宋体" w:eastAsia="宋体" w:cs="宋体"/>
          <w:b/>
          <w:bCs/>
          <w:color w:val="auto"/>
          <w:spacing w:val="-5"/>
          <w:sz w:val="24"/>
          <w:szCs w:val="24"/>
          <w:highlight w:val="none"/>
        </w:rPr>
        <w:t>结论</w:t>
      </w:r>
      <w:bookmarkEnd w:id="2460"/>
      <w:bookmarkStart w:id="2461" w:name="pindex15007"/>
      <w:bookmarkEnd w:id="2461"/>
    </w:p>
    <w:p w14:paraId="42218B7F">
      <w:pPr>
        <w:spacing w:before="180" w:line="220" w:lineRule="auto"/>
        <w:ind w:left="37"/>
        <w:outlineLvl w:val="2"/>
        <w:rPr>
          <w:rFonts w:ascii="宋体" w:hAnsi="宋体" w:eastAsia="宋体" w:cs="宋体"/>
          <w:color w:val="auto"/>
          <w:sz w:val="24"/>
          <w:szCs w:val="24"/>
          <w:highlight w:val="none"/>
        </w:rPr>
      </w:pPr>
      <w:bookmarkStart w:id="2462" w:name="_Toc10277"/>
      <w:r>
        <w:rPr>
          <w:rFonts w:hint="eastAsia" w:ascii="Times New Roman" w:hAnsi="Times New Roman" w:eastAsia="宋体" w:cs="Times New Roman"/>
          <w:b/>
          <w:bCs/>
          <w:color w:val="auto"/>
          <w:spacing w:val="-2"/>
          <w:sz w:val="24"/>
          <w:szCs w:val="24"/>
          <w:highlight w:val="none"/>
          <w:lang w:val="en-US" w:eastAsia="zh-CN"/>
        </w:rPr>
        <w:t>11</w:t>
      </w:r>
      <w:r>
        <w:rPr>
          <w:rFonts w:ascii="Times New Roman" w:hAnsi="Times New Roman" w:eastAsia="Times New Roman" w:cs="Times New Roman"/>
          <w:b/>
          <w:bCs/>
          <w:color w:val="auto"/>
          <w:spacing w:val="-2"/>
          <w:sz w:val="24"/>
          <w:szCs w:val="24"/>
          <w:highlight w:val="none"/>
        </w:rPr>
        <w:t>.1.1</w:t>
      </w:r>
      <w:r>
        <w:rPr>
          <w:rFonts w:ascii="宋体" w:hAnsi="宋体" w:eastAsia="宋体" w:cs="宋体"/>
          <w:b/>
          <w:bCs/>
          <w:color w:val="auto"/>
          <w:spacing w:val="-2"/>
          <w:sz w:val="24"/>
          <w:szCs w:val="24"/>
          <w:highlight w:val="none"/>
        </w:rPr>
        <w:t>规划概述</w:t>
      </w:r>
      <w:bookmarkEnd w:id="2462"/>
      <w:bookmarkStart w:id="2463" w:name="pindex15008"/>
      <w:bookmarkEnd w:id="2463"/>
    </w:p>
    <w:p w14:paraId="4C3BA022">
      <w:pPr>
        <w:spacing w:before="181" w:line="350" w:lineRule="auto"/>
        <w:ind w:left="39" w:right="26" w:firstLine="479"/>
        <w:jc w:val="both"/>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规划面积：</w:t>
      </w:r>
      <w:r>
        <w:rPr>
          <w:rFonts w:hint="eastAsia" w:ascii="Times New Roman" w:hAnsi="Times New Roman" w:eastAsia="宋体" w:cs="Times New Roman"/>
          <w:color w:val="auto"/>
          <w:sz w:val="24"/>
          <w:szCs w:val="24"/>
          <w:highlight w:val="none"/>
          <w:lang w:eastAsia="zh-CN"/>
        </w:rPr>
        <w:t>137.3</w:t>
      </w:r>
      <w:r>
        <w:rPr>
          <w:rFonts w:ascii="宋体" w:hAnsi="宋体" w:eastAsia="宋体" w:cs="宋体"/>
          <w:color w:val="auto"/>
          <w:spacing w:val="-1"/>
          <w:sz w:val="24"/>
          <w:szCs w:val="24"/>
          <w:highlight w:val="none"/>
        </w:rPr>
        <w:t>平方公里</w:t>
      </w:r>
      <w:r>
        <w:rPr>
          <w:rFonts w:ascii="宋体" w:hAnsi="宋体" w:eastAsia="宋体" w:cs="宋体"/>
          <w:color w:val="auto"/>
          <w:spacing w:val="-2"/>
          <w:sz w:val="24"/>
          <w:szCs w:val="24"/>
          <w:highlight w:val="none"/>
        </w:rPr>
        <w:t>。</w:t>
      </w:r>
    </w:p>
    <w:p w14:paraId="40A4D17E">
      <w:pPr>
        <w:spacing w:before="35" w:line="345" w:lineRule="auto"/>
        <w:ind w:left="37" w:right="32" w:firstLine="503"/>
        <w:rPr>
          <w:rFonts w:ascii="宋体" w:hAnsi="宋体" w:eastAsia="宋体" w:cs="宋体"/>
          <w:color w:val="auto"/>
          <w:spacing w:val="-6"/>
          <w:sz w:val="24"/>
          <w:szCs w:val="24"/>
          <w:highlight w:val="none"/>
        </w:rPr>
      </w:pPr>
      <w:bookmarkStart w:id="2464" w:name="sys15010044"/>
      <w:r>
        <w:rPr>
          <w:rFonts w:ascii="宋体" w:hAnsi="宋体" w:eastAsia="宋体" w:cs="宋体"/>
          <w:color w:val="auto"/>
          <w:spacing w:val="-4"/>
          <w:sz w:val="24"/>
          <w:szCs w:val="24"/>
          <w:highlight w:val="none"/>
        </w:rPr>
        <w:t>四至范围：</w:t>
      </w:r>
      <w:r>
        <w:rPr>
          <w:rFonts w:ascii="Times New Roman" w:hAnsi="Times New Roman" w:eastAsia="宋体" w:cs="Times New Roman"/>
          <w:color w:val="auto"/>
          <w:sz w:val="24"/>
          <w:szCs w:val="24"/>
          <w:highlight w:val="none"/>
        </w:rPr>
        <w:t>东至秦淮河，南至银杏湖大道，北至秦淮新河，西至韩府山、翠屏山、将军山、牛首山</w:t>
      </w:r>
      <w:r>
        <w:rPr>
          <w:rFonts w:ascii="宋体" w:hAnsi="宋体" w:eastAsia="宋体" w:cs="宋体"/>
          <w:color w:val="auto"/>
          <w:spacing w:val="-6"/>
          <w:sz w:val="24"/>
          <w:szCs w:val="24"/>
          <w:highlight w:val="none"/>
        </w:rPr>
        <w:t>。</w:t>
      </w:r>
      <w:bookmarkEnd w:id="2464"/>
    </w:p>
    <w:p w14:paraId="33809E57">
      <w:pPr>
        <w:spacing w:before="35" w:line="345" w:lineRule="auto"/>
        <w:ind w:left="37" w:right="32" w:firstLine="503"/>
        <w:rPr>
          <w:rFonts w:ascii="宋体" w:hAnsi="宋体" w:eastAsia="宋体" w:cs="宋体"/>
          <w:color w:val="auto"/>
          <w:spacing w:val="-2"/>
          <w:sz w:val="24"/>
          <w:szCs w:val="24"/>
          <w:highlight w:val="none"/>
        </w:rPr>
      </w:pPr>
      <w:bookmarkStart w:id="2465" w:name="sys15011073"/>
      <w:r>
        <w:rPr>
          <w:rFonts w:ascii="宋体" w:hAnsi="宋体" w:eastAsia="宋体" w:cs="宋体"/>
          <w:color w:val="auto"/>
          <w:spacing w:val="-3"/>
          <w:sz w:val="24"/>
          <w:szCs w:val="24"/>
          <w:highlight w:val="none"/>
        </w:rPr>
        <w:t>产业定位：</w:t>
      </w:r>
      <w:r>
        <w:rPr>
          <w:rFonts w:hint="eastAsia" w:ascii="宋体" w:hAnsi="宋体" w:eastAsia="宋体" w:cs="宋体"/>
          <w:color w:val="auto"/>
          <w:spacing w:val="-3"/>
          <w:sz w:val="24"/>
          <w:szCs w:val="24"/>
          <w:highlight w:val="none"/>
        </w:rPr>
        <w:t>打造地标产业、壮大新兴产业、提升现代服务业，前瞻布局未来产业，构建形成包含</w:t>
      </w:r>
      <w:r>
        <w:rPr>
          <w:rFonts w:hint="default" w:ascii="Times New Roman" w:hAnsi="Times New Roman" w:eastAsia="宋体" w:cs="Times New Roman"/>
          <w:color w:val="auto"/>
          <w:sz w:val="24"/>
          <w:szCs w:val="24"/>
          <w:highlight w:val="none"/>
          <w:lang w:val="en-US" w:eastAsia="zh-CN"/>
        </w:rPr>
        <w:t>绿色智能汽车、新一代信息技术</w:t>
      </w:r>
      <w:r>
        <w:rPr>
          <w:rFonts w:hint="eastAsia" w:ascii="Times New Roman" w:hAnsi="Times New Roman" w:eastAsia="宋体" w:cs="Times New Roman"/>
          <w:color w:val="auto"/>
          <w:sz w:val="24"/>
          <w:szCs w:val="24"/>
          <w:highlight w:val="none"/>
          <w:lang w:val="en-US" w:eastAsia="zh-CN"/>
        </w:rPr>
        <w:t>、智能制造、智能电网四大主导</w:t>
      </w:r>
      <w:r>
        <w:rPr>
          <w:rFonts w:hint="default" w:ascii="Times New Roman" w:hAnsi="Times New Roman" w:eastAsia="宋体" w:cs="Times New Roman"/>
          <w:color w:val="auto"/>
          <w:sz w:val="24"/>
          <w:szCs w:val="24"/>
          <w:highlight w:val="none"/>
          <w:lang w:val="en-US" w:eastAsia="zh-CN"/>
        </w:rPr>
        <w:t>产业</w:t>
      </w:r>
      <w:r>
        <w:rPr>
          <w:rFonts w:hint="eastAsia" w:ascii="Times New Roman" w:hAnsi="Times New Roman" w:eastAsia="宋体" w:cs="Times New Roman"/>
          <w:color w:val="auto"/>
          <w:sz w:val="24"/>
          <w:szCs w:val="24"/>
          <w:highlight w:val="none"/>
          <w:lang w:val="en-US" w:eastAsia="zh-CN"/>
        </w:rPr>
        <w:t>；</w:t>
      </w:r>
      <w:bookmarkEnd w:id="2465"/>
      <w:bookmarkStart w:id="2466" w:name="sys150117340"/>
      <w:r>
        <w:rPr>
          <w:rFonts w:hint="eastAsia" w:ascii="Times New Roman" w:hAnsi="Times New Roman" w:eastAsia="宋体" w:cs="Times New Roman"/>
          <w:color w:val="auto"/>
          <w:sz w:val="24"/>
          <w:szCs w:val="24"/>
          <w:highlight w:val="none"/>
          <w:lang w:val="en-US" w:eastAsia="zh-CN"/>
        </w:rPr>
        <w:t>临空产业、集成电路产业、医药大健康产业、轨道交通产业及节能环保产业五大新兴产业；</w:t>
      </w:r>
      <w:bookmarkEnd w:id="2466"/>
      <w:bookmarkStart w:id="2467" w:name="sys1501111380"/>
      <w:r>
        <w:rPr>
          <w:rFonts w:hint="default" w:ascii="Times New Roman" w:hAnsi="Times New Roman" w:eastAsia="宋体" w:cs="Times New Roman"/>
          <w:color w:val="auto"/>
          <w:sz w:val="24"/>
          <w:szCs w:val="24"/>
          <w:highlight w:val="none"/>
          <w:lang w:val="en-US" w:eastAsia="zh-CN"/>
        </w:rPr>
        <w:t>高端商务商贸</w:t>
      </w:r>
      <w:r>
        <w:rPr>
          <w:rFonts w:hint="eastAsia" w:ascii="Times New Roman" w:hAnsi="Times New Roman" w:eastAsia="宋体" w:cs="Times New Roman"/>
          <w:color w:val="auto"/>
          <w:sz w:val="24"/>
          <w:szCs w:val="24"/>
          <w:highlight w:val="none"/>
          <w:lang w:val="en-US" w:eastAsia="zh-CN"/>
        </w:rPr>
        <w:t>产</w:t>
      </w:r>
      <w:r>
        <w:rPr>
          <w:rFonts w:hint="default" w:ascii="Times New Roman" w:hAnsi="Times New Roman" w:eastAsia="宋体" w:cs="Times New Roman"/>
          <w:color w:val="auto"/>
          <w:sz w:val="24"/>
          <w:szCs w:val="24"/>
          <w:highlight w:val="none"/>
          <w:lang w:val="en-US" w:eastAsia="zh-CN"/>
        </w:rPr>
        <w:t>业，</w:t>
      </w:r>
      <w:r>
        <w:rPr>
          <w:rFonts w:hint="eastAsia" w:ascii="Times New Roman" w:hAnsi="Times New Roman" w:eastAsia="宋体" w:cs="Times New Roman"/>
          <w:color w:val="auto"/>
          <w:sz w:val="24"/>
          <w:szCs w:val="24"/>
          <w:highlight w:val="none"/>
          <w:lang w:val="en-US" w:eastAsia="zh-CN"/>
        </w:rPr>
        <w:t>新金融产业、文化休旅产业</w:t>
      </w:r>
      <w:r>
        <w:rPr>
          <w:rFonts w:hint="default" w:ascii="Times New Roman" w:hAnsi="Times New Roman" w:eastAsia="宋体" w:cs="Times New Roman"/>
          <w:color w:val="auto"/>
          <w:sz w:val="24"/>
          <w:szCs w:val="24"/>
          <w:highlight w:val="none"/>
          <w:lang w:val="en-US" w:eastAsia="zh-CN"/>
        </w:rPr>
        <w:t>三大现代服务业，</w:t>
      </w:r>
      <w:r>
        <w:rPr>
          <w:rFonts w:hint="eastAsia" w:ascii="Times New Roman" w:hAnsi="Times New Roman" w:eastAsia="宋体" w:cs="Times New Roman"/>
          <w:color w:val="auto"/>
          <w:sz w:val="24"/>
          <w:szCs w:val="24"/>
          <w:highlight w:val="none"/>
          <w:lang w:val="en-US" w:eastAsia="zh-CN"/>
        </w:rPr>
        <w:t>以未来网络、人工智能、未来材料、未来探测为代表的一批未来产业</w:t>
      </w:r>
      <w:r>
        <w:rPr>
          <w:rFonts w:hint="default" w:ascii="Times New Roman" w:hAnsi="Times New Roman" w:eastAsia="宋体" w:cs="Times New Roman"/>
          <w:color w:val="auto"/>
          <w:sz w:val="24"/>
          <w:szCs w:val="24"/>
          <w:highlight w:val="none"/>
          <w:lang w:val="en-US" w:eastAsia="zh-CN"/>
        </w:rPr>
        <w:t>的“</w:t>
      </w:r>
      <w:r>
        <w:rPr>
          <w:rFonts w:hint="eastAsia" w:ascii="Times New Roman" w:hAnsi="Times New Roman" w:eastAsia="宋体" w:cs="Times New Roman"/>
          <w:color w:val="auto"/>
          <w:sz w:val="24"/>
          <w:szCs w:val="24"/>
          <w:highlight w:val="none"/>
          <w:lang w:val="en-US" w:eastAsia="zh-CN"/>
        </w:rPr>
        <w:t>4+5</w:t>
      </w:r>
      <w:r>
        <w:rPr>
          <w:rFonts w:hint="default" w:ascii="Times New Roman" w:hAnsi="Times New Roman" w:eastAsia="宋体" w:cs="Times New Roman"/>
          <w:color w:val="auto"/>
          <w:sz w:val="24"/>
          <w:szCs w:val="24"/>
          <w:highlight w:val="none"/>
          <w:lang w:val="en-US" w:eastAsia="zh-CN"/>
        </w:rPr>
        <w:t>+3+1”</w:t>
      </w:r>
      <w:r>
        <w:rPr>
          <w:rFonts w:hint="eastAsia" w:ascii="宋体" w:hAnsi="宋体" w:eastAsia="宋体" w:cs="宋体"/>
          <w:color w:val="auto"/>
          <w:spacing w:val="-3"/>
          <w:sz w:val="24"/>
          <w:szCs w:val="24"/>
          <w:highlight w:val="none"/>
        </w:rPr>
        <w:t>，推动产业迈向中高端</w:t>
      </w:r>
      <w:r>
        <w:rPr>
          <w:rFonts w:ascii="宋体" w:hAnsi="宋体" w:eastAsia="宋体" w:cs="宋体"/>
          <w:color w:val="auto"/>
          <w:spacing w:val="-2"/>
          <w:sz w:val="24"/>
          <w:szCs w:val="24"/>
          <w:highlight w:val="none"/>
        </w:rPr>
        <w:t>。</w:t>
      </w:r>
      <w:bookmarkEnd w:id="2467"/>
    </w:p>
    <w:p w14:paraId="6A0BAE8D">
      <w:pPr>
        <w:spacing w:before="35" w:line="345" w:lineRule="auto"/>
        <w:ind w:right="32"/>
        <w:outlineLvl w:val="2"/>
        <w:rPr>
          <w:rFonts w:hint="default" w:ascii="Times New Roman" w:hAnsi="Times New Roman" w:eastAsia="宋体" w:cs="Times New Roman"/>
          <w:b/>
          <w:bCs/>
          <w:color w:val="auto"/>
          <w:spacing w:val="-2"/>
          <w:sz w:val="24"/>
          <w:szCs w:val="24"/>
          <w:highlight w:val="none"/>
          <w:lang w:val="en-US" w:eastAsia="zh-CN"/>
        </w:rPr>
      </w:pPr>
      <w:bookmarkStart w:id="2468" w:name="_Toc11538"/>
      <w:r>
        <w:rPr>
          <w:rFonts w:hint="eastAsia" w:ascii="Times New Roman" w:hAnsi="Times New Roman" w:eastAsia="宋体" w:cs="Times New Roman"/>
          <w:b/>
          <w:bCs/>
          <w:color w:val="auto"/>
          <w:spacing w:val="-2"/>
          <w:sz w:val="24"/>
          <w:szCs w:val="24"/>
          <w:highlight w:val="none"/>
          <w:lang w:val="en-US" w:eastAsia="zh-CN"/>
        </w:rPr>
        <w:t>11.1.2区域环境治理现状</w:t>
      </w:r>
      <w:bookmarkEnd w:id="2468"/>
      <w:bookmarkStart w:id="2469" w:name="pindex15012"/>
      <w:bookmarkEnd w:id="2469"/>
    </w:p>
    <w:p w14:paraId="33BA9D9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2" w:firstLineChars="200"/>
        <w:textAlignment w:val="baseline"/>
        <w:outlineLvl w:val="9"/>
        <w:rPr>
          <w:rFonts w:hint="default" w:ascii="Times New Roman" w:hAnsi="Times New Roman" w:eastAsia="宋体" w:cs="Times New Roman"/>
          <w:b/>
          <w:bCs/>
          <w:color w:val="auto"/>
          <w:sz w:val="24"/>
          <w:szCs w:val="24"/>
          <w:highlight w:val="none"/>
        </w:rPr>
      </w:pPr>
      <w:bookmarkStart w:id="2470" w:name="_Toc24339"/>
      <w:r>
        <w:rPr>
          <w:rFonts w:hint="default" w:ascii="Times New Roman" w:hAnsi="Times New Roman" w:eastAsia="宋体" w:cs="Times New Roman"/>
          <w:b/>
          <w:bCs/>
          <w:snapToGrid w:val="0"/>
          <w:color w:val="auto"/>
          <w:kern w:val="0"/>
          <w:sz w:val="24"/>
          <w:szCs w:val="24"/>
          <w:highlight w:val="none"/>
          <w:lang w:val="en-US" w:eastAsia="en-US" w:bidi="ar-SA"/>
        </w:rPr>
        <w:t>1、</w:t>
      </w:r>
      <w:r>
        <w:rPr>
          <w:rFonts w:hint="default" w:ascii="Times New Roman" w:hAnsi="Times New Roman" w:eastAsia="宋体" w:cs="Times New Roman"/>
          <w:b/>
          <w:bCs/>
          <w:color w:val="auto"/>
          <w:sz w:val="24"/>
          <w:szCs w:val="24"/>
          <w:highlight w:val="none"/>
        </w:rPr>
        <w:t>大气环境质量现状</w:t>
      </w:r>
      <w:bookmarkEnd w:id="2470"/>
      <w:bookmarkStart w:id="2471" w:name="pindex15013"/>
      <w:bookmarkEnd w:id="2471"/>
    </w:p>
    <w:p w14:paraId="4FCE3B5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根据《202</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年</w:t>
      </w:r>
      <w:r>
        <w:rPr>
          <w:rFonts w:hint="eastAsia" w:ascii="Times New Roman" w:hAnsi="Times New Roman" w:eastAsia="宋体" w:cs="Times New Roman"/>
          <w:color w:val="auto"/>
          <w:sz w:val="24"/>
          <w:szCs w:val="24"/>
          <w:highlight w:val="none"/>
          <w:lang w:val="en-US" w:eastAsia="zh-CN"/>
        </w:rPr>
        <w:t>上半年</w:t>
      </w:r>
      <w:r>
        <w:rPr>
          <w:rFonts w:hint="default" w:ascii="Times New Roman" w:hAnsi="Times New Roman" w:eastAsia="宋体" w:cs="Times New Roman"/>
          <w:color w:val="auto"/>
          <w:sz w:val="24"/>
          <w:szCs w:val="24"/>
          <w:highlight w:val="none"/>
        </w:rPr>
        <w:t>南京市环境状况公报》，南京江宁经济技术开发区所在区为环境空气质量不达标区域，超标因子为O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w:t>
      </w:r>
    </w:p>
    <w:p w14:paraId="419A36A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2472" w:name="sys15015056"/>
      <w:r>
        <w:rPr>
          <w:rFonts w:hint="default" w:ascii="Times New Roman" w:hAnsi="Times New Roman" w:eastAsia="宋体" w:cs="Times New Roman"/>
          <w:color w:val="auto"/>
          <w:kern w:val="2"/>
          <w:sz w:val="24"/>
          <w:szCs w:val="24"/>
          <w:highlight w:val="none"/>
          <w:lang w:val="en-US" w:eastAsia="zh-CN" w:bidi="ar-SA"/>
        </w:rPr>
        <w:t>大气</w:t>
      </w:r>
      <w:r>
        <w:rPr>
          <w:rFonts w:hint="eastAsia" w:ascii="Times New Roman" w:hAnsi="Times New Roman" w:eastAsia="宋体" w:cs="Times New Roman"/>
          <w:color w:val="auto"/>
          <w:kern w:val="2"/>
          <w:sz w:val="24"/>
          <w:szCs w:val="24"/>
          <w:highlight w:val="none"/>
          <w:lang w:val="en-US" w:eastAsia="zh-CN" w:bidi="ar-SA"/>
        </w:rPr>
        <w:t>现状</w:t>
      </w:r>
      <w:r>
        <w:rPr>
          <w:rFonts w:hint="default" w:ascii="Times New Roman" w:hAnsi="Times New Roman" w:eastAsia="宋体" w:cs="Times New Roman"/>
          <w:color w:val="auto"/>
          <w:kern w:val="2"/>
          <w:sz w:val="24"/>
          <w:szCs w:val="24"/>
          <w:highlight w:val="none"/>
          <w:lang w:val="en-US" w:eastAsia="zh-CN" w:bidi="ar-SA"/>
        </w:rPr>
        <w:t>监测结果表明，</w:t>
      </w:r>
      <w:r>
        <w:rPr>
          <w:rFonts w:hint="default" w:ascii="Times New Roman" w:hAnsi="Times New Roman" w:eastAsia="宋体" w:cs="Times New Roman"/>
          <w:color w:val="auto"/>
          <w:spacing w:val="-1"/>
          <w:sz w:val="24"/>
          <w:szCs w:val="24"/>
          <w:highlight w:val="none"/>
        </w:rPr>
        <w:t>NO</w:t>
      </w:r>
      <w:r>
        <w:rPr>
          <w:rFonts w:hint="eastAsia" w:ascii="Times New Roman" w:hAnsi="Times New Roman" w:eastAsia="宋体" w:cs="Times New Roman"/>
          <w:color w:val="auto"/>
          <w:spacing w:val="-1"/>
          <w:sz w:val="24"/>
          <w:szCs w:val="24"/>
          <w:highlight w:val="none"/>
          <w:vertAlign w:val="subscript"/>
          <w:lang w:val="en-US" w:eastAsia="zh-CN"/>
        </w:rPr>
        <w:t>x</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1"/>
          <w:sz w:val="24"/>
          <w:szCs w:val="24"/>
          <w:highlight w:val="none"/>
          <w:lang w:val="en-US" w:eastAsia="zh-CN"/>
        </w:rPr>
        <w:t>TSP、</w:t>
      </w:r>
      <w:r>
        <w:rPr>
          <w:rFonts w:hint="default" w:ascii="Times New Roman" w:hAnsi="Times New Roman" w:eastAsia="宋体" w:cs="Times New Roman"/>
          <w:color w:val="auto"/>
          <w:spacing w:val="-1"/>
          <w:sz w:val="24"/>
          <w:szCs w:val="24"/>
          <w:highlight w:val="none"/>
        </w:rPr>
        <w:t>氟化物</w:t>
      </w:r>
      <w:r>
        <w:rPr>
          <w:rFonts w:hint="eastAsia" w:ascii="Times New Roman" w:hAnsi="Times New Roman" w:eastAsia="宋体" w:cs="Times New Roman"/>
          <w:color w:val="auto"/>
          <w:spacing w:val="-1"/>
          <w:sz w:val="24"/>
          <w:szCs w:val="24"/>
          <w:highlight w:val="none"/>
          <w:lang w:val="en-US" w:eastAsia="zh-CN"/>
        </w:rPr>
        <w:t>浓度符合</w:t>
      </w:r>
      <w:r>
        <w:rPr>
          <w:rFonts w:hint="default" w:ascii="Times New Roman" w:hAnsi="Times New Roman" w:eastAsia="宋体" w:cs="Times New Roman"/>
          <w:color w:val="auto"/>
          <w:spacing w:val="-1"/>
          <w:sz w:val="24"/>
          <w:szCs w:val="24"/>
          <w:highlight w:val="none"/>
        </w:rPr>
        <w:t>《环境空气质量标准》（GB3095-2012）二级标准</w:t>
      </w:r>
      <w:r>
        <w:rPr>
          <w:rFonts w:hint="eastAsia" w:ascii="Times New Roman" w:hAnsi="Times New Roman" w:eastAsia="宋体" w:cs="Times New Roman"/>
          <w:color w:val="auto"/>
          <w:spacing w:val="-1"/>
          <w:sz w:val="24"/>
          <w:szCs w:val="24"/>
          <w:highlight w:val="none"/>
          <w:lang w:val="en-US" w:eastAsia="zh-CN"/>
        </w:rPr>
        <w:t>要求</w:t>
      </w:r>
      <w:r>
        <w:rPr>
          <w:rFonts w:hint="default" w:ascii="Times New Roman" w:hAnsi="Times New Roman" w:eastAsia="宋体" w:cs="Times New Roman"/>
          <w:color w:val="auto"/>
          <w:spacing w:val="-1"/>
          <w:sz w:val="24"/>
          <w:szCs w:val="24"/>
          <w:highlight w:val="none"/>
        </w:rPr>
        <w:t>；</w:t>
      </w:r>
      <w:bookmarkEnd w:id="2472"/>
      <w:bookmarkStart w:id="2473" w:name="sys150155666"/>
      <w:r>
        <w:rPr>
          <w:rFonts w:hint="default" w:ascii="Times New Roman" w:hAnsi="Times New Roman" w:eastAsia="宋体" w:cs="Times New Roman"/>
          <w:color w:val="auto"/>
          <w:spacing w:val="-1"/>
          <w:sz w:val="24"/>
          <w:szCs w:val="24"/>
          <w:highlight w:val="none"/>
        </w:rPr>
        <w:t>氨、</w:t>
      </w:r>
      <w:r>
        <w:rPr>
          <w:rFonts w:hint="eastAsia" w:ascii="Times New Roman" w:hAnsi="Times New Roman" w:eastAsia="宋体" w:cs="Times New Roman"/>
          <w:color w:val="auto"/>
          <w:spacing w:val="-1"/>
          <w:sz w:val="24"/>
          <w:szCs w:val="24"/>
          <w:highlight w:val="none"/>
          <w:lang w:val="en-US" w:eastAsia="zh-CN"/>
        </w:rPr>
        <w:t>苯</w:t>
      </w:r>
      <w:r>
        <w:rPr>
          <w:rFonts w:hint="default" w:ascii="Times New Roman" w:hAnsi="Times New Roman" w:eastAsia="宋体" w:cs="Times New Roman"/>
          <w:color w:val="auto"/>
          <w:spacing w:val="-1"/>
          <w:sz w:val="24"/>
          <w:szCs w:val="24"/>
          <w:highlight w:val="none"/>
        </w:rPr>
        <w:t>、</w:t>
      </w:r>
      <w:r>
        <w:rPr>
          <w:rFonts w:hint="eastAsia" w:ascii="Times New Roman" w:hAnsi="Times New Roman" w:eastAsia="宋体" w:cs="Times New Roman"/>
          <w:color w:val="auto"/>
          <w:spacing w:val="-1"/>
          <w:sz w:val="24"/>
          <w:szCs w:val="24"/>
          <w:highlight w:val="none"/>
          <w:lang w:val="en-US" w:eastAsia="zh-CN"/>
        </w:rPr>
        <w:t>硫酸</w:t>
      </w:r>
      <w:sdt>
        <w:sdtPr>
          <w:rPr>
            <w:color w:val="auto"/>
            <w:highlight w:val="none"/>
          </w:rPr>
          <w:alias w:val="易错词检查"/>
          <w:tag w:val="auto"/>
          <w:id w:val="1122800"/>
        </w:sdtPr>
        <w:sdtEndPr>
          <w:rPr>
            <w:color w:val="auto"/>
            <w:highlight w:val="none"/>
          </w:rPr>
        </w:sdtEndPr>
        <w:sdtContent>
          <w:bookmarkStart w:id="2474" w:name="bkReivew1122800"/>
          <w:r>
            <w:rPr>
              <w:rFonts w:hint="eastAsia" w:ascii="Times New Roman" w:hAnsi="Times New Roman" w:eastAsia="宋体" w:cs="Times New Roman"/>
              <w:color w:val="auto"/>
              <w:spacing w:val="-1"/>
              <w:sz w:val="24"/>
              <w:szCs w:val="24"/>
              <w:highlight w:val="none"/>
              <w:lang w:val="en-US" w:eastAsia="zh-CN"/>
            </w:rPr>
            <w:t>雾</w:t>
          </w:r>
          <w:bookmarkEnd w:id="2474"/>
        </w:sdtContent>
      </w:sdt>
      <w:r>
        <w:rPr>
          <w:rFonts w:hint="eastAsia" w:ascii="Times New Roman" w:hAnsi="Times New Roman" w:eastAsia="宋体" w:cs="Times New Roman"/>
          <w:color w:val="auto"/>
          <w:spacing w:val="-1"/>
          <w:sz w:val="24"/>
          <w:szCs w:val="24"/>
          <w:highlight w:val="none"/>
          <w:lang w:val="en-US" w:eastAsia="zh-CN"/>
        </w:rPr>
        <w:t>、</w:t>
      </w:r>
      <w:r>
        <w:rPr>
          <w:rFonts w:hint="default" w:ascii="Times New Roman" w:hAnsi="Times New Roman" w:eastAsia="宋体" w:cs="Times New Roman"/>
          <w:color w:val="auto"/>
          <w:spacing w:val="-1"/>
          <w:sz w:val="24"/>
          <w:szCs w:val="24"/>
          <w:highlight w:val="none"/>
        </w:rPr>
        <w:t>氯化氢、硫化氢</w:t>
      </w:r>
      <w:r>
        <w:rPr>
          <w:rFonts w:hint="eastAsia" w:ascii="Times New Roman" w:hAnsi="Times New Roman" w:eastAsia="宋体" w:cs="Times New Roman"/>
          <w:color w:val="auto"/>
          <w:spacing w:val="-1"/>
          <w:sz w:val="24"/>
          <w:szCs w:val="24"/>
          <w:highlight w:val="none"/>
          <w:lang w:val="en-US" w:eastAsia="zh-CN"/>
        </w:rPr>
        <w:t>浓度符合</w:t>
      </w:r>
      <w:r>
        <w:rPr>
          <w:rFonts w:hint="default" w:ascii="Times New Roman" w:hAnsi="Times New Roman" w:eastAsia="宋体" w:cs="Times New Roman"/>
          <w:color w:val="auto"/>
          <w:spacing w:val="-1"/>
          <w:sz w:val="24"/>
          <w:szCs w:val="24"/>
          <w:highlight w:val="none"/>
        </w:rPr>
        <w:t>《环境影响评价技术导则 大气环境》（HJ2.2</w:t>
      </w:r>
      <w:r>
        <w:rPr>
          <w:rFonts w:hint="eastAsia" w:ascii="Times New Roman" w:hAnsi="Times New Roman" w:eastAsia="宋体" w:cs="Times New Roman"/>
          <w:color w:val="auto"/>
          <w:spacing w:val="-1"/>
          <w:sz w:val="24"/>
          <w:szCs w:val="24"/>
          <w:highlight w:val="none"/>
          <w:lang w:val="en-US" w:eastAsia="zh-CN"/>
        </w:rPr>
        <w:t>-</w:t>
      </w:r>
      <w:r>
        <w:rPr>
          <w:rFonts w:hint="default" w:ascii="Times New Roman" w:hAnsi="Times New Roman" w:eastAsia="宋体" w:cs="Times New Roman"/>
          <w:color w:val="auto"/>
          <w:spacing w:val="-1"/>
          <w:sz w:val="24"/>
          <w:szCs w:val="24"/>
          <w:highlight w:val="none"/>
        </w:rPr>
        <w:t>2018）附录D 其他污染物空气质量浓度限值；</w:t>
      </w:r>
      <w:bookmarkEnd w:id="2473"/>
      <w:bookmarkStart w:id="2475" w:name="sys1501512235"/>
      <w:r>
        <w:rPr>
          <w:rFonts w:hint="default" w:ascii="Times New Roman" w:hAnsi="Times New Roman" w:eastAsia="宋体" w:cs="Times New Roman"/>
          <w:color w:val="auto"/>
          <w:spacing w:val="-1"/>
          <w:sz w:val="24"/>
          <w:szCs w:val="24"/>
          <w:highlight w:val="none"/>
        </w:rPr>
        <w:t>非甲烷总烃</w:t>
      </w:r>
      <w:r>
        <w:rPr>
          <w:rFonts w:hint="eastAsia" w:ascii="Times New Roman" w:hAnsi="Times New Roman" w:eastAsia="宋体" w:cs="Times New Roman"/>
          <w:color w:val="auto"/>
          <w:spacing w:val="-1"/>
          <w:sz w:val="24"/>
          <w:szCs w:val="24"/>
          <w:highlight w:val="none"/>
          <w:lang w:val="en-US" w:eastAsia="zh-CN"/>
        </w:rPr>
        <w:t>浓度符合</w:t>
      </w:r>
      <w:r>
        <w:rPr>
          <w:rFonts w:hint="default" w:ascii="Times New Roman" w:hAnsi="Times New Roman" w:eastAsia="宋体" w:cs="Times New Roman"/>
          <w:color w:val="auto"/>
          <w:spacing w:val="-1"/>
          <w:sz w:val="24"/>
          <w:szCs w:val="24"/>
          <w:highlight w:val="none"/>
        </w:rPr>
        <w:t>《大气污染物综合排放标准详解》中的环境质量标准</w:t>
      </w:r>
      <w:r>
        <w:rPr>
          <w:rFonts w:hint="eastAsia" w:ascii="Times New Roman" w:hAnsi="Times New Roman" w:eastAsia="宋体" w:cs="Times New Roman"/>
          <w:color w:val="auto"/>
          <w:spacing w:val="-1"/>
          <w:sz w:val="24"/>
          <w:szCs w:val="24"/>
          <w:highlight w:val="none"/>
          <w:lang w:val="en-US" w:eastAsia="zh-CN"/>
        </w:rPr>
        <w:t>限值</w:t>
      </w:r>
      <w:r>
        <w:rPr>
          <w:rFonts w:hint="eastAsia" w:ascii="Times New Roman" w:hAnsi="Times New Roman" w:eastAsia="宋体" w:cs="Times New Roman"/>
          <w:color w:val="auto"/>
          <w:spacing w:val="-1"/>
          <w:sz w:val="24"/>
          <w:szCs w:val="24"/>
          <w:highlight w:val="none"/>
          <w:lang w:eastAsia="zh-CN"/>
        </w:rPr>
        <w:t>。</w:t>
      </w:r>
      <w:bookmarkEnd w:id="2475"/>
    </w:p>
    <w:p w14:paraId="25C57E2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2" w:firstLineChars="200"/>
        <w:textAlignment w:val="baseline"/>
        <w:outlineLvl w:val="9"/>
        <w:rPr>
          <w:rFonts w:hint="default" w:ascii="Times New Roman" w:hAnsi="Times New Roman" w:eastAsia="宋体" w:cs="Times New Roman"/>
          <w:b/>
          <w:bCs/>
          <w:snapToGrid w:val="0"/>
          <w:color w:val="auto"/>
          <w:kern w:val="0"/>
          <w:sz w:val="24"/>
          <w:szCs w:val="24"/>
          <w:highlight w:val="none"/>
          <w:lang w:val="en-US" w:eastAsia="en-US" w:bidi="ar-SA"/>
        </w:rPr>
      </w:pPr>
      <w:bookmarkStart w:id="2476" w:name="_Toc23405"/>
      <w:r>
        <w:rPr>
          <w:rFonts w:hint="default" w:ascii="Times New Roman" w:hAnsi="Times New Roman" w:eastAsia="宋体" w:cs="Times New Roman"/>
          <w:b/>
          <w:bCs/>
          <w:snapToGrid w:val="0"/>
          <w:color w:val="auto"/>
          <w:kern w:val="0"/>
          <w:sz w:val="24"/>
          <w:szCs w:val="24"/>
          <w:highlight w:val="none"/>
          <w:lang w:val="en-US" w:eastAsia="en-US" w:bidi="ar-SA"/>
        </w:rPr>
        <w:t>2、地表水环境质量现状</w:t>
      </w:r>
      <w:bookmarkEnd w:id="2476"/>
      <w:bookmarkStart w:id="2477" w:name="pindex15016"/>
      <w:bookmarkEnd w:id="2477"/>
    </w:p>
    <w:p w14:paraId="7430590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2478" w:name="sys150170175"/>
      <w:bookmarkStart w:id="2479" w:name="OLE_LINK615"/>
      <w:r>
        <w:rPr>
          <w:rFonts w:hint="default" w:ascii="Times New Roman" w:hAnsi="Times New Roman" w:eastAsia="宋体" w:cs="Times New Roman"/>
          <w:color w:val="auto"/>
          <w:sz w:val="24"/>
          <w:szCs w:val="24"/>
          <w:highlight w:val="none"/>
        </w:rPr>
        <w:t>根据地表水环境质量现状监测结果可知，</w:t>
      </w:r>
      <w:r>
        <w:rPr>
          <w:rFonts w:hint="default" w:ascii="Times New Roman" w:hAnsi="Times New Roman" w:eastAsia="宋体" w:cs="Times New Roman"/>
          <w:color w:val="auto"/>
          <w:sz w:val="24"/>
          <w:szCs w:val="24"/>
          <w:highlight w:val="none"/>
          <w:lang w:val="en-US" w:eastAsia="zh-CN"/>
        </w:rPr>
        <w:t>秦淮河（牛首山</w:t>
      </w:r>
      <w:sdt>
        <w:sdtPr>
          <w:rPr>
            <w:color w:val="auto"/>
            <w:highlight w:val="none"/>
          </w:rPr>
          <w:alias w:val="易错词检查"/>
          <w:tag w:val="auto"/>
          <w:id w:val="150232"/>
        </w:sdtPr>
        <w:sdtEndPr>
          <w:rPr>
            <w:color w:val="auto"/>
            <w:highlight w:val="none"/>
          </w:rPr>
        </w:sdtEndPr>
        <w:sdtContent>
          <w:bookmarkStart w:id="2480" w:name="bkReivew150232"/>
          <w:r>
            <w:rPr>
              <w:rFonts w:hint="default" w:ascii="Times New Roman" w:hAnsi="Times New Roman" w:eastAsia="宋体" w:cs="Times New Roman"/>
              <w:color w:val="auto"/>
              <w:sz w:val="24"/>
              <w:szCs w:val="24"/>
              <w:highlight w:val="none"/>
              <w:lang w:val="en-US" w:eastAsia="zh-CN"/>
            </w:rPr>
            <w:t>河河</w:t>
          </w:r>
          <w:bookmarkEnd w:id="2480"/>
        </w:sdtContent>
      </w:sdt>
      <w:r>
        <w:rPr>
          <w:rFonts w:hint="default" w:ascii="Times New Roman" w:hAnsi="Times New Roman" w:eastAsia="宋体" w:cs="Times New Roman"/>
          <w:color w:val="auto"/>
          <w:sz w:val="24"/>
          <w:szCs w:val="24"/>
          <w:highlight w:val="none"/>
          <w:lang w:val="en-US" w:eastAsia="zh-CN"/>
        </w:rPr>
        <w:t>口-江宁上坊门桥段）、胜利河、百家湖、九龙湖</w:t>
      </w:r>
      <w:r>
        <w:rPr>
          <w:rFonts w:hint="default" w:ascii="Times New Roman" w:hAnsi="Times New Roman" w:eastAsia="宋体" w:cs="Times New Roman"/>
          <w:color w:val="auto"/>
          <w:sz w:val="24"/>
          <w:szCs w:val="24"/>
          <w:highlight w:val="none"/>
        </w:rPr>
        <w:t>监测断面水质监测因子均能</w:t>
      </w:r>
      <w:r>
        <w:rPr>
          <w:rFonts w:hint="eastAsia" w:ascii="Times New Roman" w:hAnsi="Times New Roman" w:eastAsia="宋体" w:cs="Times New Roman"/>
          <w:color w:val="auto"/>
          <w:sz w:val="24"/>
          <w:szCs w:val="24"/>
          <w:highlight w:val="none"/>
          <w:lang w:val="en-US" w:eastAsia="zh-CN"/>
        </w:rPr>
        <w:t>达到</w:t>
      </w:r>
      <w:r>
        <w:rPr>
          <w:rFonts w:hint="default" w:ascii="Times New Roman" w:hAnsi="Times New Roman" w:eastAsia="宋体" w:cs="Times New Roman"/>
          <w:color w:val="auto"/>
          <w:sz w:val="24"/>
          <w:szCs w:val="24"/>
          <w:highlight w:val="none"/>
        </w:rPr>
        <w:t>《地表水环境质量标准》（GB3838-2002）中Ⅳ类水质标准，</w:t>
      </w:r>
      <w:r>
        <w:rPr>
          <w:rFonts w:hint="eastAsia" w:ascii="Times New Roman" w:hAnsi="Times New Roman" w:eastAsia="宋体" w:cs="Times New Roman"/>
          <w:color w:val="auto"/>
          <w:kern w:val="0"/>
          <w:sz w:val="24"/>
          <w:szCs w:val="20"/>
          <w:highlight w:val="none"/>
          <w:lang w:val="en-US" w:eastAsia="zh-CN"/>
        </w:rPr>
        <w:t>秦淮河（云台山</w:t>
      </w:r>
      <w:sdt>
        <w:sdtPr>
          <w:rPr>
            <w:color w:val="auto"/>
            <w:highlight w:val="none"/>
          </w:rPr>
          <w:alias w:val="易错词检查"/>
          <w:tag w:val="auto"/>
          <w:id w:val="3021035"/>
        </w:sdtPr>
        <w:sdtEndPr>
          <w:rPr>
            <w:color w:val="auto"/>
            <w:highlight w:val="none"/>
          </w:rPr>
        </w:sdtEndPr>
        <w:sdtContent>
          <w:bookmarkStart w:id="2481" w:name="bkReivew3021035"/>
          <w:r>
            <w:rPr>
              <w:rFonts w:hint="eastAsia" w:ascii="Times New Roman" w:hAnsi="Times New Roman" w:eastAsia="宋体" w:cs="Times New Roman"/>
              <w:color w:val="auto"/>
              <w:kern w:val="0"/>
              <w:sz w:val="24"/>
              <w:szCs w:val="20"/>
              <w:highlight w:val="none"/>
              <w:lang w:val="en-US" w:eastAsia="zh-CN"/>
            </w:rPr>
            <w:t>河河</w:t>
          </w:r>
          <w:bookmarkEnd w:id="2481"/>
        </w:sdtContent>
      </w:sdt>
      <w:r>
        <w:rPr>
          <w:rFonts w:hint="eastAsia" w:ascii="Times New Roman" w:hAnsi="Times New Roman" w:eastAsia="宋体" w:cs="Times New Roman"/>
          <w:color w:val="auto"/>
          <w:kern w:val="0"/>
          <w:sz w:val="24"/>
          <w:szCs w:val="20"/>
          <w:highlight w:val="none"/>
          <w:lang w:val="en-US" w:eastAsia="zh-CN"/>
        </w:rPr>
        <w:t>口-牛首山河口）、牛首山河、秦淮新河、云台山河</w:t>
      </w:r>
      <w:r>
        <w:rPr>
          <w:rFonts w:hint="eastAsia" w:ascii="Times New Roman" w:hAnsi="Times New Roman" w:eastAsia="宋体" w:cs="Times New Roman"/>
          <w:color w:val="auto"/>
          <w:sz w:val="24"/>
          <w:szCs w:val="24"/>
          <w:highlight w:val="none"/>
          <w:lang w:val="en-US" w:eastAsia="zh-CN"/>
        </w:rPr>
        <w:t>句容河、风波坟水库、谷里水库达到</w:t>
      </w:r>
      <w:r>
        <w:rPr>
          <w:rFonts w:hint="default" w:ascii="Times New Roman" w:hAnsi="Times New Roman" w:eastAsia="宋体" w:cs="Times New Roman"/>
          <w:color w:val="auto"/>
          <w:sz w:val="24"/>
          <w:szCs w:val="24"/>
          <w:highlight w:val="none"/>
        </w:rPr>
        <w:t>《地表水环境质量标准》（GB3838-2002）中</w:t>
      </w:r>
      <w:r>
        <w:rPr>
          <w:rFonts w:hint="default" w:ascii="Times New Roman" w:hAnsi="Times New Roman" w:eastAsia="宋体" w:cs="Times New Roman"/>
          <w:color w:val="auto"/>
          <w:kern w:val="0"/>
          <w:sz w:val="24"/>
          <w:szCs w:val="20"/>
          <w:highlight w:val="none"/>
        </w:rPr>
        <w:t>Ⅲ</w:t>
      </w:r>
      <w:r>
        <w:rPr>
          <w:rFonts w:hint="default" w:ascii="Times New Roman" w:hAnsi="Times New Roman" w:eastAsia="宋体" w:cs="Times New Roman"/>
          <w:color w:val="auto"/>
          <w:sz w:val="24"/>
          <w:szCs w:val="24"/>
          <w:highlight w:val="none"/>
        </w:rPr>
        <w:t>类水质标准。</w:t>
      </w:r>
      <w:bookmarkEnd w:id="2478"/>
    </w:p>
    <w:bookmarkEnd w:id="2479"/>
    <w:p w14:paraId="4DD39FC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2" w:firstLineChars="200"/>
        <w:textAlignment w:val="baseline"/>
        <w:outlineLvl w:val="9"/>
        <w:rPr>
          <w:rFonts w:hint="default" w:ascii="Times New Roman" w:hAnsi="Times New Roman" w:eastAsia="宋体" w:cs="Times New Roman"/>
          <w:b/>
          <w:bCs/>
          <w:snapToGrid w:val="0"/>
          <w:color w:val="auto"/>
          <w:kern w:val="0"/>
          <w:sz w:val="24"/>
          <w:szCs w:val="24"/>
          <w:highlight w:val="none"/>
          <w:lang w:val="en-US" w:eastAsia="en-US" w:bidi="ar-SA"/>
        </w:rPr>
      </w:pPr>
      <w:bookmarkStart w:id="2482" w:name="_Toc254"/>
      <w:r>
        <w:rPr>
          <w:rFonts w:hint="default" w:ascii="Times New Roman" w:hAnsi="Times New Roman" w:eastAsia="宋体" w:cs="Times New Roman"/>
          <w:b/>
          <w:bCs/>
          <w:snapToGrid w:val="0"/>
          <w:color w:val="auto"/>
          <w:kern w:val="0"/>
          <w:sz w:val="24"/>
          <w:szCs w:val="24"/>
          <w:highlight w:val="none"/>
          <w:lang w:val="en-US" w:eastAsia="en-US" w:bidi="ar-SA"/>
        </w:rPr>
        <w:t>3、声环境质量现状</w:t>
      </w:r>
      <w:bookmarkEnd w:id="2482"/>
      <w:bookmarkStart w:id="2483" w:name="pindex15018"/>
      <w:bookmarkEnd w:id="2483"/>
    </w:p>
    <w:p w14:paraId="6C550A3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b w:val="0"/>
          <w:bCs w:val="0"/>
          <w:color w:val="auto"/>
          <w:sz w:val="24"/>
          <w:szCs w:val="24"/>
          <w:highlight w:val="none"/>
        </w:rPr>
      </w:pPr>
      <w:bookmarkStart w:id="2484" w:name="sys15019072"/>
      <w:bookmarkStart w:id="2485" w:name="OLE_LINK616"/>
      <w:r>
        <w:rPr>
          <w:rFonts w:hint="default" w:ascii="Times New Roman" w:hAnsi="Times New Roman" w:eastAsia="宋体" w:cs="Times New Roman"/>
          <w:b w:val="0"/>
          <w:bCs w:val="0"/>
          <w:color w:val="auto"/>
          <w:sz w:val="24"/>
          <w:szCs w:val="24"/>
          <w:highlight w:val="none"/>
        </w:rPr>
        <w:t>根据噪声环境质量现状监测结果，江宁经济技术开发区噪声均达到《声环境质量标准》（GB3096-2008）</w:t>
      </w:r>
      <w:sdt>
        <w:sdtPr>
          <w:rPr>
            <w:color w:val="auto"/>
            <w:highlight w:val="none"/>
          </w:rPr>
          <w:alias w:val="易错词检查"/>
          <w:tag w:val="auto"/>
          <w:id w:val="2032206"/>
        </w:sdtPr>
        <w:sdtEndPr>
          <w:rPr>
            <w:color w:val="auto"/>
            <w:highlight w:val="none"/>
          </w:rPr>
        </w:sdtEndPr>
        <w:sdtContent>
          <w:bookmarkStart w:id="2486" w:name="bkReivew2032206"/>
          <w:r>
            <w:rPr>
              <w:rFonts w:hint="default" w:ascii="Times New Roman" w:hAnsi="Times New Roman" w:eastAsia="宋体" w:cs="Times New Roman"/>
              <w:b w:val="0"/>
              <w:bCs w:val="0"/>
              <w:color w:val="auto"/>
              <w:sz w:val="24"/>
              <w:szCs w:val="24"/>
              <w:highlight w:val="none"/>
            </w:rPr>
            <w:t>中</w:t>
          </w:r>
          <w:bookmarkEnd w:id="2486"/>
        </w:sdtContent>
      </w:sdt>
      <w:r>
        <w:rPr>
          <w:rFonts w:hint="default" w:ascii="Times New Roman" w:hAnsi="Times New Roman" w:eastAsia="宋体" w:cs="Times New Roman"/>
          <w:b w:val="0"/>
          <w:bCs w:val="0"/>
          <w:color w:val="auto"/>
          <w:sz w:val="24"/>
          <w:szCs w:val="24"/>
          <w:highlight w:val="none"/>
        </w:rPr>
        <w:t>相应标准，项目所在地声环境质量现状良好。</w:t>
      </w:r>
      <w:bookmarkEnd w:id="2484"/>
    </w:p>
    <w:bookmarkEnd w:id="2485"/>
    <w:p w14:paraId="2A99034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2" w:firstLineChars="200"/>
        <w:textAlignment w:val="baseline"/>
        <w:outlineLvl w:val="9"/>
        <w:rPr>
          <w:rFonts w:hint="default" w:ascii="Times New Roman" w:hAnsi="Times New Roman" w:eastAsia="宋体" w:cs="Times New Roman"/>
          <w:b/>
          <w:bCs/>
          <w:snapToGrid w:val="0"/>
          <w:color w:val="auto"/>
          <w:kern w:val="0"/>
          <w:sz w:val="24"/>
          <w:szCs w:val="24"/>
          <w:highlight w:val="none"/>
          <w:lang w:val="en-US" w:eastAsia="en-US" w:bidi="ar-SA"/>
        </w:rPr>
      </w:pPr>
      <w:bookmarkStart w:id="2487" w:name="_Toc29153"/>
      <w:r>
        <w:rPr>
          <w:rFonts w:hint="eastAsia" w:ascii="Times New Roman" w:hAnsi="Times New Roman" w:eastAsia="宋体" w:cs="Times New Roman"/>
          <w:b/>
          <w:bCs/>
          <w:snapToGrid w:val="0"/>
          <w:color w:val="auto"/>
          <w:kern w:val="0"/>
          <w:sz w:val="24"/>
          <w:szCs w:val="24"/>
          <w:highlight w:val="none"/>
          <w:lang w:val="en-US" w:eastAsia="zh-CN" w:bidi="ar-SA"/>
        </w:rPr>
        <w:t>4、</w:t>
      </w:r>
      <w:r>
        <w:rPr>
          <w:rFonts w:hint="default" w:ascii="Times New Roman" w:hAnsi="Times New Roman" w:eastAsia="宋体" w:cs="Times New Roman"/>
          <w:b/>
          <w:bCs/>
          <w:snapToGrid w:val="0"/>
          <w:color w:val="auto"/>
          <w:kern w:val="0"/>
          <w:sz w:val="24"/>
          <w:szCs w:val="24"/>
          <w:highlight w:val="none"/>
          <w:lang w:val="en-US" w:eastAsia="en-US" w:bidi="ar-SA"/>
        </w:rPr>
        <w:t>地下水环境质量现状</w:t>
      </w:r>
      <w:bookmarkEnd w:id="2487"/>
      <w:bookmarkStart w:id="2488" w:name="pindex15020"/>
      <w:bookmarkEnd w:id="2488"/>
    </w:p>
    <w:p w14:paraId="088F44B6">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b w:val="0"/>
          <w:bCs w:val="0"/>
          <w:color w:val="auto"/>
          <w:sz w:val="24"/>
          <w:szCs w:val="24"/>
          <w:highlight w:val="none"/>
        </w:rPr>
      </w:pPr>
      <w:bookmarkStart w:id="2489" w:name="sys150210113"/>
      <w:bookmarkStart w:id="2490" w:name="OLE_LINK617"/>
      <w:r>
        <w:rPr>
          <w:rFonts w:hint="default" w:ascii="Times New Roman" w:hAnsi="Times New Roman" w:eastAsia="宋体" w:cs="Times New Roman"/>
          <w:b w:val="0"/>
          <w:bCs w:val="0"/>
          <w:color w:val="auto"/>
          <w:sz w:val="24"/>
          <w:szCs w:val="24"/>
          <w:highlight w:val="none"/>
        </w:rPr>
        <w:t>根据地下水环境质量现状监测结果可知，所测地下水监测点，</w:t>
      </w:r>
      <w:r>
        <w:rPr>
          <w:rFonts w:ascii="Times New Roman" w:hAnsi="Times New Roman" w:eastAsia="宋体" w:cs="Times New Roman"/>
          <w:color w:val="auto"/>
          <w:sz w:val="24"/>
          <w:szCs w:val="24"/>
          <w:highlight w:val="none"/>
        </w:rPr>
        <w:t>pH值、</w:t>
      </w:r>
      <w:r>
        <w:rPr>
          <w:rFonts w:hint="eastAsia" w:ascii="Times New Roman" w:hAnsi="Times New Roman" w:eastAsia="宋体" w:cs="Times New Roman"/>
          <w:color w:val="auto"/>
          <w:sz w:val="24"/>
          <w:szCs w:val="24"/>
          <w:highlight w:val="none"/>
          <w:lang w:val="en-US" w:eastAsia="zh-CN"/>
        </w:rPr>
        <w:t>钠、硝酸盐氮离子、</w:t>
      </w:r>
      <w:r>
        <w:rPr>
          <w:rFonts w:hint="default" w:ascii="Times New Roman" w:hAnsi="Times New Roman" w:eastAsia="宋体" w:cs="Times New Roman"/>
          <w:color w:val="auto"/>
          <w:sz w:val="24"/>
          <w:szCs w:val="24"/>
          <w:highlight w:val="none"/>
        </w:rPr>
        <w:t>亚硝酸盐氮离子</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挥发酚</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氰化物</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sz w:val="24"/>
          <w:szCs w:val="24"/>
          <w:highlight w:val="none"/>
        </w:rPr>
        <w:t>砷</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六价铬</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sz w:val="24"/>
          <w:szCs w:val="24"/>
          <w:highlight w:val="none"/>
        </w:rPr>
        <w:t>铅</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氟化物</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铁</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锰</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耗氧量</w:t>
      </w:r>
      <w:r>
        <w:rPr>
          <w:rFonts w:ascii="Times New Roman" w:hAnsi="Times New Roman" w:eastAsia="宋体" w:cs="Times New Roman"/>
          <w:color w:val="auto"/>
          <w:sz w:val="24"/>
          <w:szCs w:val="24"/>
          <w:highlight w:val="none"/>
        </w:rPr>
        <w:t>等因子满足《地下水质量标准》（GB/T 14848-2017）I类水质要求；</w:t>
      </w:r>
      <w:bookmarkEnd w:id="2489"/>
      <w:bookmarkStart w:id="2491" w:name="sys1502111351"/>
      <w:r>
        <w:rPr>
          <w:rFonts w:hint="default" w:ascii="Times New Roman" w:hAnsi="Times New Roman" w:eastAsia="宋体" w:cs="Times New Roman"/>
          <w:color w:val="auto"/>
          <w:sz w:val="24"/>
          <w:szCs w:val="24"/>
          <w:highlight w:val="none"/>
        </w:rPr>
        <w:t>氯离子</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氯化物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氨氮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镉铁等因子满足《地下水质量标准》（GB/T 14848-2017）</w:t>
      </w:r>
      <w:r>
        <w:rPr>
          <w:rFonts w:hint="default" w:ascii="Times New Roman" w:hAnsi="Times New Roman" w:eastAsia="宋体" w:cs="Times New Roman"/>
          <w:color w:val="auto"/>
          <w:sz w:val="24"/>
          <w:szCs w:val="24"/>
          <w:highlight w:val="none"/>
          <w:lang w:eastAsia="zh-CN"/>
        </w:rPr>
        <w:t>Ⅱ</w:t>
      </w:r>
      <w:r>
        <w:rPr>
          <w:rFonts w:hint="default" w:ascii="Times New Roman" w:hAnsi="Times New Roman" w:eastAsia="宋体" w:cs="Times New Roman"/>
          <w:color w:val="auto"/>
          <w:sz w:val="24"/>
          <w:szCs w:val="24"/>
          <w:highlight w:val="none"/>
        </w:rPr>
        <w:t>类水质要求；</w:t>
      </w:r>
      <w:bookmarkEnd w:id="2491"/>
      <w:bookmarkStart w:id="2492" w:name="sys1502116461"/>
      <w:r>
        <w:rPr>
          <w:rFonts w:hint="default" w:ascii="Times New Roman" w:hAnsi="Times New Roman" w:eastAsia="宋体" w:cs="Times New Roman"/>
          <w:color w:val="auto"/>
          <w:sz w:val="24"/>
          <w:szCs w:val="24"/>
          <w:highlight w:val="none"/>
        </w:rPr>
        <w:t>硫酸根离子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硫酸盐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汞</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总硬度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i w:val="0"/>
          <w:iCs w:val="0"/>
          <w:color w:val="auto"/>
          <w:kern w:val="0"/>
          <w:sz w:val="24"/>
          <w:szCs w:val="24"/>
          <w:highlight w:val="none"/>
          <w:u w:val="none"/>
          <w:lang w:val="en-US" w:eastAsia="zh-CN" w:bidi="ar"/>
        </w:rPr>
        <w:t>溶解性固体总量</w:t>
      </w:r>
      <w:r>
        <w:rPr>
          <w:rFonts w:hint="default" w:ascii="Times New Roman" w:hAnsi="Times New Roman" w:eastAsia="宋体" w:cs="Times New Roman"/>
          <w:color w:val="auto"/>
          <w:sz w:val="24"/>
          <w:szCs w:val="24"/>
          <w:highlight w:val="none"/>
        </w:rPr>
        <w:t>等因子满足《地下水质量标准》（GB/T 14848-2017）</w:t>
      </w:r>
      <w:r>
        <w:rPr>
          <w:rFonts w:hint="default" w:ascii="Times New Roman" w:hAnsi="Times New Roman" w:eastAsia="宋体" w:cs="Times New Roman"/>
          <w:color w:val="auto"/>
          <w:sz w:val="24"/>
          <w:szCs w:val="24"/>
          <w:highlight w:val="none"/>
          <w:lang w:eastAsia="zh-CN"/>
        </w:rPr>
        <w:t>Ⅲ</w:t>
      </w:r>
      <w:r>
        <w:rPr>
          <w:rFonts w:hint="default" w:ascii="Times New Roman" w:hAnsi="Times New Roman" w:eastAsia="宋体" w:cs="Times New Roman"/>
          <w:color w:val="auto"/>
          <w:sz w:val="24"/>
          <w:szCs w:val="24"/>
          <w:highlight w:val="none"/>
        </w:rPr>
        <w:t>类</w:t>
      </w:r>
      <w:r>
        <w:rPr>
          <w:rFonts w:ascii="Times New Roman" w:hAnsi="Times New Roman" w:eastAsia="宋体" w:cs="Times New Roman"/>
          <w:color w:val="auto"/>
          <w:sz w:val="24"/>
          <w:szCs w:val="24"/>
          <w:highlight w:val="none"/>
        </w:rPr>
        <w:t>水质要求；</w:t>
      </w:r>
      <w:bookmarkEnd w:id="2492"/>
      <w:bookmarkStart w:id="2493" w:name="sys1502122542"/>
      <w:r>
        <w:rPr>
          <w:rFonts w:hint="default" w:ascii="Times New Roman" w:hAnsi="Times New Roman" w:eastAsia="宋体" w:cs="Times New Roman"/>
          <w:color w:val="auto"/>
          <w:sz w:val="24"/>
          <w:szCs w:val="24"/>
          <w:highlight w:val="none"/>
        </w:rPr>
        <w:t>细菌总数</w:t>
      </w:r>
      <w:r>
        <w:rPr>
          <w:rFonts w:ascii="Times New Roman" w:hAnsi="Times New Roman" w:eastAsia="宋体" w:cs="Times New Roman"/>
          <w:color w:val="auto"/>
          <w:sz w:val="24"/>
          <w:szCs w:val="24"/>
          <w:highlight w:val="none"/>
        </w:rPr>
        <w:t>等因子满足《地下水质量标准》（GB/T 14848-2017）Ⅳ类水质要求</w:t>
      </w:r>
      <w:r>
        <w:rPr>
          <w:rFonts w:hint="eastAsia" w:ascii="Times New Roman" w:hAnsi="Times New Roman" w:eastAsia="宋体" w:cs="Times New Roman"/>
          <w:color w:val="auto"/>
          <w:sz w:val="24"/>
          <w:szCs w:val="24"/>
          <w:highlight w:val="none"/>
          <w:lang w:eastAsia="zh-CN"/>
        </w:rPr>
        <w:t>；</w:t>
      </w:r>
      <w:bookmarkEnd w:id="2493"/>
      <w:bookmarkStart w:id="2494" w:name="sys1502126740"/>
      <w:r>
        <w:rPr>
          <w:rFonts w:hint="eastAsia" w:ascii="Times New Roman" w:hAnsi="Times New Roman" w:eastAsia="宋体" w:cs="Times New Roman"/>
          <w:color w:val="auto"/>
          <w:sz w:val="24"/>
          <w:szCs w:val="24"/>
          <w:highlight w:val="none"/>
          <w:lang w:eastAsia="zh-CN"/>
        </w:rPr>
        <w:t>总大肠菌群</w:t>
      </w:r>
      <w:r>
        <w:rPr>
          <w:rFonts w:ascii="Times New Roman" w:hAnsi="Times New Roman" w:eastAsia="宋体" w:cs="Times New Roman"/>
          <w:color w:val="auto"/>
          <w:sz w:val="24"/>
          <w:szCs w:val="24"/>
          <w:highlight w:val="none"/>
        </w:rPr>
        <w:t>满足《地下水质量标准》（GB/T 14848-2017）</w:t>
      </w:r>
      <w:r>
        <w:rPr>
          <w:rFonts w:hint="default" w:ascii="Times New Roman" w:hAnsi="Times New Roman" w:eastAsia="宋体" w:cs="Times New Roman"/>
          <w:color w:val="auto"/>
          <w:sz w:val="24"/>
          <w:szCs w:val="24"/>
          <w:highlight w:val="none"/>
          <w:lang w:val="en-US" w:eastAsia="zh-CN"/>
        </w:rPr>
        <w:t>Ⅴ</w:t>
      </w:r>
      <w:r>
        <w:rPr>
          <w:rFonts w:ascii="Times New Roman" w:hAnsi="Times New Roman" w:eastAsia="宋体" w:cs="Times New Roman"/>
          <w:color w:val="auto"/>
          <w:sz w:val="24"/>
          <w:szCs w:val="24"/>
          <w:highlight w:val="none"/>
        </w:rPr>
        <w:t>类水质要求</w:t>
      </w:r>
      <w:r>
        <w:rPr>
          <w:rFonts w:hint="default" w:ascii="Times New Roman" w:hAnsi="Times New Roman" w:eastAsia="宋体" w:cs="Times New Roman"/>
          <w:b w:val="0"/>
          <w:bCs w:val="0"/>
          <w:color w:val="auto"/>
          <w:sz w:val="24"/>
          <w:szCs w:val="24"/>
          <w:highlight w:val="none"/>
        </w:rPr>
        <w:t>。</w:t>
      </w:r>
      <w:bookmarkEnd w:id="2494"/>
    </w:p>
    <w:bookmarkEnd w:id="2490"/>
    <w:p w14:paraId="303598CB">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2" w:firstLineChars="200"/>
        <w:textAlignment w:val="baseline"/>
        <w:outlineLvl w:val="9"/>
        <w:rPr>
          <w:rFonts w:hint="default" w:ascii="Times New Roman" w:hAnsi="Times New Roman" w:eastAsia="宋体" w:cs="Times New Roman"/>
          <w:b/>
          <w:bCs/>
          <w:snapToGrid w:val="0"/>
          <w:color w:val="auto"/>
          <w:kern w:val="0"/>
          <w:sz w:val="24"/>
          <w:szCs w:val="24"/>
          <w:highlight w:val="none"/>
          <w:lang w:val="en-US" w:eastAsia="zh-CN" w:bidi="ar-SA"/>
        </w:rPr>
      </w:pPr>
      <w:bookmarkStart w:id="2495" w:name="_Toc9762"/>
      <w:r>
        <w:rPr>
          <w:rFonts w:hint="eastAsia" w:ascii="Times New Roman" w:hAnsi="Times New Roman" w:eastAsia="宋体" w:cs="Times New Roman"/>
          <w:b/>
          <w:bCs/>
          <w:snapToGrid w:val="0"/>
          <w:color w:val="auto"/>
          <w:kern w:val="0"/>
          <w:sz w:val="24"/>
          <w:szCs w:val="24"/>
          <w:highlight w:val="none"/>
          <w:lang w:val="en-US" w:eastAsia="zh-CN" w:bidi="ar-SA"/>
        </w:rPr>
        <w:t>5、</w:t>
      </w:r>
      <w:r>
        <w:rPr>
          <w:rFonts w:hint="default" w:ascii="Times New Roman" w:hAnsi="Times New Roman" w:eastAsia="宋体" w:cs="Times New Roman"/>
          <w:b/>
          <w:bCs/>
          <w:snapToGrid w:val="0"/>
          <w:color w:val="auto"/>
          <w:kern w:val="0"/>
          <w:sz w:val="24"/>
          <w:szCs w:val="24"/>
          <w:highlight w:val="none"/>
          <w:lang w:val="en-US" w:eastAsia="zh-CN" w:bidi="ar-SA"/>
        </w:rPr>
        <w:t>土壤环境质量现状</w:t>
      </w:r>
      <w:bookmarkEnd w:id="2495"/>
      <w:bookmarkStart w:id="2496" w:name="pindex15022"/>
      <w:bookmarkEnd w:id="2496"/>
    </w:p>
    <w:p w14:paraId="11B7BC07">
      <w:pPr>
        <w:keepNext w:val="0"/>
        <w:keepLines w:val="0"/>
        <w:pageBreakBefore w:val="0"/>
        <w:widowControl/>
        <w:numPr>
          <w:ilvl w:val="0"/>
          <w:numId w:val="0"/>
        </w:numPr>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b w:val="0"/>
          <w:bCs w:val="0"/>
          <w:color w:val="auto"/>
          <w:sz w:val="24"/>
          <w:szCs w:val="24"/>
          <w:highlight w:val="none"/>
        </w:rPr>
      </w:pPr>
      <w:bookmarkStart w:id="2497" w:name="sys150230155"/>
      <w:bookmarkStart w:id="2498" w:name="OLE_LINK618"/>
      <w:r>
        <w:rPr>
          <w:rFonts w:hint="default" w:ascii="Times New Roman" w:hAnsi="Times New Roman" w:eastAsia="宋体" w:cs="Times New Roman"/>
          <w:b w:val="0"/>
          <w:bCs w:val="0"/>
          <w:color w:val="auto"/>
          <w:sz w:val="24"/>
          <w:szCs w:val="24"/>
          <w:highlight w:val="none"/>
        </w:rPr>
        <w:t>根据土壤环境质量现状监测结果可知，土壤中各指标均低于评价标准，符合国家《土壤环境质量</w:t>
      </w:r>
      <w:r>
        <w:rPr>
          <w:rFonts w:hint="eastAsia"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rPr>
        <w:t>建设用地土壤污染风险管控标准》（试行）（GB36600-2018）中的一类用地标准</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二类用地标准</w:t>
      </w:r>
      <w:r>
        <w:rPr>
          <w:rFonts w:hint="eastAsia" w:ascii="Times New Roman" w:hAnsi="Times New Roman" w:eastAsia="宋体" w:cs="Times New Roman"/>
          <w:b w:val="0"/>
          <w:bCs w:val="0"/>
          <w:color w:val="auto"/>
          <w:sz w:val="24"/>
          <w:szCs w:val="24"/>
          <w:highlight w:val="none"/>
          <w:lang w:val="en-US" w:eastAsia="zh-CN"/>
        </w:rPr>
        <w:t>及</w:t>
      </w:r>
      <w:r>
        <w:rPr>
          <w:rFonts w:hint="default" w:ascii="宋体" w:hAnsi="宋体" w:eastAsia="宋体" w:cs="宋体"/>
          <w:color w:val="auto"/>
          <w:spacing w:val="-6"/>
          <w:sz w:val="24"/>
          <w:szCs w:val="24"/>
          <w:highlight w:val="none"/>
        </w:rPr>
        <w:t>《土壤环境质量</w:t>
      </w:r>
      <w:r>
        <w:rPr>
          <w:rFonts w:hint="eastAsia" w:ascii="宋体" w:hAnsi="宋体" w:eastAsia="宋体" w:cs="宋体"/>
          <w:color w:val="auto"/>
          <w:spacing w:val="-6"/>
          <w:sz w:val="24"/>
          <w:szCs w:val="24"/>
          <w:highlight w:val="none"/>
          <w:lang w:val="en-US" w:eastAsia="zh-CN"/>
        </w:rPr>
        <w:t xml:space="preserve"> </w:t>
      </w:r>
      <w:r>
        <w:rPr>
          <w:rFonts w:hint="default" w:ascii="宋体" w:hAnsi="宋体" w:eastAsia="宋体" w:cs="宋体"/>
          <w:color w:val="auto"/>
          <w:spacing w:val="-6"/>
          <w:sz w:val="24"/>
          <w:szCs w:val="24"/>
          <w:highlight w:val="none"/>
        </w:rPr>
        <w:t>农用地土壤污染风险管控标准（试行）》</w:t>
      </w:r>
      <w:r>
        <w:rPr>
          <w:rFonts w:hint="default" w:ascii="Times New Roman" w:hAnsi="Times New Roman" w:eastAsia="宋体" w:cs="Times New Roman"/>
          <w:color w:val="auto"/>
          <w:spacing w:val="-6"/>
          <w:sz w:val="24"/>
          <w:szCs w:val="24"/>
          <w:highlight w:val="none"/>
        </w:rPr>
        <w:t>（GB15618-2018）</w:t>
      </w:r>
      <w:r>
        <w:rPr>
          <w:rFonts w:hint="eastAsia" w:ascii="Times New Roman" w:hAnsi="Times New Roman" w:eastAsia="宋体" w:cs="Times New Roman"/>
          <w:color w:val="auto"/>
          <w:spacing w:val="-6"/>
          <w:sz w:val="24"/>
          <w:szCs w:val="24"/>
          <w:highlight w:val="none"/>
          <w:lang w:val="en-US" w:eastAsia="zh-CN"/>
        </w:rPr>
        <w:t>风险筛选值标准</w:t>
      </w:r>
      <w:r>
        <w:rPr>
          <w:rFonts w:hint="default" w:ascii="Times New Roman" w:hAnsi="Times New Roman" w:eastAsia="宋体" w:cs="Times New Roman"/>
          <w:b w:val="0"/>
          <w:bCs w:val="0"/>
          <w:color w:val="auto"/>
          <w:sz w:val="24"/>
          <w:szCs w:val="24"/>
          <w:highlight w:val="none"/>
        </w:rPr>
        <w:t>，表明区内土壤环境质量现状较好。</w:t>
      </w:r>
      <w:bookmarkEnd w:id="2497"/>
    </w:p>
    <w:bookmarkEnd w:id="2498"/>
    <w:p w14:paraId="7646C22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2" w:firstLineChars="200"/>
        <w:textAlignment w:val="baseline"/>
        <w:outlineLvl w:val="9"/>
        <w:rPr>
          <w:rFonts w:hint="default" w:ascii="Times New Roman" w:hAnsi="Times New Roman" w:eastAsia="宋体" w:cs="Times New Roman"/>
          <w:b/>
          <w:bCs/>
          <w:snapToGrid w:val="0"/>
          <w:color w:val="auto"/>
          <w:kern w:val="0"/>
          <w:sz w:val="24"/>
          <w:szCs w:val="24"/>
          <w:highlight w:val="none"/>
          <w:lang w:val="en-US" w:eastAsia="zh-CN" w:bidi="ar-SA"/>
        </w:rPr>
      </w:pPr>
      <w:bookmarkStart w:id="2499" w:name="_Toc12689"/>
      <w:r>
        <w:rPr>
          <w:rFonts w:hint="default" w:ascii="Times New Roman" w:hAnsi="Times New Roman" w:eastAsia="宋体" w:cs="Times New Roman"/>
          <w:b/>
          <w:bCs/>
          <w:snapToGrid w:val="0"/>
          <w:color w:val="auto"/>
          <w:kern w:val="0"/>
          <w:sz w:val="24"/>
          <w:szCs w:val="24"/>
          <w:highlight w:val="none"/>
          <w:lang w:val="en-US" w:eastAsia="en-US" w:bidi="ar-SA"/>
        </w:rPr>
        <w:t>6、</w:t>
      </w:r>
      <w:r>
        <w:rPr>
          <w:rFonts w:hint="default" w:ascii="Times New Roman" w:hAnsi="Times New Roman" w:eastAsia="宋体" w:cs="Times New Roman"/>
          <w:b/>
          <w:bCs/>
          <w:snapToGrid w:val="0"/>
          <w:color w:val="auto"/>
          <w:kern w:val="0"/>
          <w:sz w:val="24"/>
          <w:szCs w:val="24"/>
          <w:highlight w:val="none"/>
          <w:lang w:val="en-US" w:eastAsia="zh-CN" w:bidi="ar-SA"/>
        </w:rPr>
        <w:t>底泥环境质量现状</w:t>
      </w:r>
      <w:bookmarkEnd w:id="2499"/>
      <w:bookmarkStart w:id="2500" w:name="pindex15024"/>
      <w:bookmarkEnd w:id="2500"/>
    </w:p>
    <w:p w14:paraId="646E89CC">
      <w:pPr>
        <w:keepNext w:val="0"/>
        <w:keepLines w:val="0"/>
        <w:pageBreakBefore w:val="0"/>
        <w:widowControl/>
        <w:numPr>
          <w:ilvl w:val="0"/>
          <w:numId w:val="0"/>
        </w:numPr>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b w:val="0"/>
          <w:bCs w:val="0"/>
          <w:color w:val="auto"/>
          <w:sz w:val="24"/>
          <w:szCs w:val="24"/>
          <w:highlight w:val="none"/>
        </w:rPr>
      </w:pPr>
      <w:bookmarkStart w:id="2501" w:name="sys15025071"/>
      <w:r>
        <w:rPr>
          <w:rFonts w:hint="default" w:ascii="Times New Roman" w:hAnsi="Times New Roman" w:eastAsia="宋体" w:cs="Times New Roman"/>
          <w:b w:val="0"/>
          <w:bCs w:val="0"/>
          <w:color w:val="auto"/>
          <w:sz w:val="24"/>
          <w:szCs w:val="24"/>
          <w:highlight w:val="none"/>
        </w:rPr>
        <w:t>底泥中各指标均符合《土壤环境质量</w:t>
      </w:r>
      <w:r>
        <w:rPr>
          <w:rFonts w:hint="eastAsia"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rPr>
        <w:t>农用地土壤污染风险管控标准（试行）》（GB15618-2018）中风险筛选值，表明区内底泥环境质量现状较好。</w:t>
      </w:r>
      <w:bookmarkEnd w:id="2501"/>
    </w:p>
    <w:p w14:paraId="7863B5D3">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default" w:ascii="Times New Roman" w:hAnsi="Times New Roman" w:cs="Times New Roman"/>
          <w:b/>
          <w:bCs/>
          <w:color w:val="auto"/>
          <w:sz w:val="24"/>
          <w:szCs w:val="24"/>
          <w:highlight w:val="none"/>
          <w:lang w:val="en-US" w:eastAsia="zh-CN"/>
        </w:rPr>
      </w:pPr>
      <w:bookmarkStart w:id="2502" w:name="_Toc16658"/>
      <w:bookmarkStart w:id="2503" w:name="_Toc8161"/>
      <w:bookmarkStart w:id="2504" w:name="OLE_LINK790"/>
      <w:r>
        <w:rPr>
          <w:rFonts w:hint="eastAsia" w:ascii="Times New Roman" w:hAnsi="Times New Roman" w:cs="Times New Roman"/>
          <w:b/>
          <w:bCs/>
          <w:color w:val="auto"/>
          <w:sz w:val="24"/>
          <w:szCs w:val="24"/>
          <w:highlight w:val="none"/>
          <w:lang w:val="en-US" w:eastAsia="zh-CN"/>
        </w:rPr>
        <w:t>11</w:t>
      </w:r>
      <w:r>
        <w:rPr>
          <w:rFonts w:hint="default" w:ascii="Times New Roman" w:hAnsi="Times New Roman" w:cs="Times New Roman"/>
          <w:b/>
          <w:bCs/>
          <w:color w:val="auto"/>
          <w:sz w:val="24"/>
          <w:szCs w:val="24"/>
          <w:highlight w:val="none"/>
          <w:lang w:val="en-US" w:eastAsia="zh-CN"/>
        </w:rPr>
        <w:t>.1.3区域发展现状及污染物排放情况</w:t>
      </w:r>
      <w:bookmarkEnd w:id="2502"/>
      <w:bookmarkEnd w:id="2503"/>
      <w:bookmarkStart w:id="2505" w:name="pindex15026"/>
      <w:bookmarkEnd w:id="2505"/>
    </w:p>
    <w:bookmarkEnd w:id="2504"/>
    <w:p w14:paraId="49A5ED4C">
      <w:pPr>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ascii="宋体" w:hAnsi="宋体" w:eastAsia="宋体" w:cs="宋体"/>
          <w:color w:val="auto"/>
          <w:spacing w:val="-5"/>
          <w:sz w:val="24"/>
          <w:szCs w:val="24"/>
          <w:highlight w:val="none"/>
        </w:rPr>
      </w:pPr>
      <w:r>
        <w:rPr>
          <w:rFonts w:ascii="宋体" w:hAnsi="宋体" w:eastAsia="宋体" w:cs="宋体"/>
          <w:color w:val="auto"/>
          <w:spacing w:val="-3"/>
          <w:sz w:val="24"/>
          <w:szCs w:val="24"/>
          <w:highlight w:val="none"/>
        </w:rPr>
        <w:t>本</w:t>
      </w:r>
      <w:bookmarkStart w:id="2506" w:name="OLE_LINK791"/>
      <w:r>
        <w:rPr>
          <w:rFonts w:ascii="宋体" w:hAnsi="宋体" w:eastAsia="宋体" w:cs="宋体"/>
          <w:color w:val="auto"/>
          <w:spacing w:val="-3"/>
          <w:sz w:val="24"/>
          <w:szCs w:val="24"/>
          <w:highlight w:val="none"/>
        </w:rPr>
        <w:t>次评估范围内企业以</w:t>
      </w:r>
      <w:r>
        <w:rPr>
          <w:rFonts w:hint="default" w:ascii="Times New Roman" w:hAnsi="Times New Roman" w:eastAsia="宋体" w:cs="Times New Roman"/>
          <w:color w:val="auto"/>
          <w:sz w:val="24"/>
          <w:szCs w:val="24"/>
          <w:highlight w:val="none"/>
        </w:rPr>
        <w:t>装备制造</w:t>
      </w:r>
      <w:r>
        <w:rPr>
          <w:rFonts w:ascii="宋体" w:hAnsi="宋体" w:eastAsia="宋体" w:cs="宋体"/>
          <w:color w:val="auto"/>
          <w:spacing w:val="-3"/>
          <w:sz w:val="24"/>
          <w:szCs w:val="24"/>
          <w:highlight w:val="none"/>
        </w:rPr>
        <w:t>（含高端智能装备）、</w:t>
      </w:r>
      <w:r>
        <w:rPr>
          <w:rFonts w:hint="default" w:ascii="宋体" w:hAnsi="宋体" w:eastAsia="宋体" w:cs="宋体"/>
          <w:color w:val="auto"/>
          <w:spacing w:val="-3"/>
          <w:sz w:val="24"/>
          <w:szCs w:val="24"/>
          <w:highlight w:val="none"/>
          <w:lang w:val="en-US" w:eastAsia="zh-CN"/>
        </w:rPr>
        <w:t>汽车制造业</w:t>
      </w:r>
      <w:r>
        <w:rPr>
          <w:rFonts w:ascii="宋体" w:hAnsi="宋体" w:eastAsia="宋体" w:cs="宋体"/>
          <w:color w:val="auto"/>
          <w:spacing w:val="-4"/>
          <w:sz w:val="24"/>
          <w:szCs w:val="24"/>
          <w:highlight w:val="none"/>
        </w:rPr>
        <w:t>、</w:t>
      </w:r>
      <w:r>
        <w:rPr>
          <w:rFonts w:hint="default" w:ascii="宋体" w:hAnsi="宋体" w:eastAsia="宋体" w:cs="宋体"/>
          <w:color w:val="auto"/>
          <w:spacing w:val="-4"/>
          <w:sz w:val="24"/>
          <w:szCs w:val="24"/>
          <w:highlight w:val="none"/>
          <w:lang w:val="en-US" w:eastAsia="zh-CN"/>
        </w:rPr>
        <w:t>计算机、通信和其他电子设备制造业</w:t>
      </w:r>
      <w:r>
        <w:rPr>
          <w:rFonts w:ascii="宋体" w:hAnsi="宋体" w:eastAsia="宋体" w:cs="宋体"/>
          <w:color w:val="auto"/>
          <w:spacing w:val="-5"/>
          <w:sz w:val="24"/>
          <w:szCs w:val="24"/>
          <w:highlight w:val="none"/>
        </w:rPr>
        <w:t>为主</w:t>
      </w:r>
      <w:bookmarkEnd w:id="2506"/>
      <w:r>
        <w:rPr>
          <w:rFonts w:ascii="宋体" w:hAnsi="宋体" w:eastAsia="宋体" w:cs="宋体"/>
          <w:color w:val="auto"/>
          <w:spacing w:val="-5"/>
          <w:sz w:val="24"/>
          <w:szCs w:val="24"/>
          <w:highlight w:val="none"/>
        </w:rPr>
        <w:t>。</w:t>
      </w:r>
    </w:p>
    <w:p w14:paraId="1837FF6C">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default" w:ascii="Times New Roman" w:hAnsi="Times New Roman" w:cs="Times New Roman"/>
          <w:b/>
          <w:bCs/>
          <w:color w:val="auto"/>
          <w:sz w:val="24"/>
          <w:szCs w:val="24"/>
          <w:lang w:val="en-US" w:eastAsia="zh-CN"/>
        </w:rPr>
      </w:pPr>
      <w:bookmarkStart w:id="2507" w:name="_Toc8173"/>
      <w:r>
        <w:rPr>
          <w:rFonts w:hint="eastAsia" w:ascii="Times New Roman" w:hAnsi="Times New Roman" w:cs="Times New Roman"/>
          <w:b/>
          <w:bCs/>
          <w:color w:val="auto"/>
          <w:sz w:val="24"/>
          <w:szCs w:val="24"/>
          <w:highlight w:val="none"/>
          <w:lang w:val="en-US" w:eastAsia="zh-CN"/>
        </w:rPr>
        <w:t>11</w:t>
      </w:r>
      <w:r>
        <w:rPr>
          <w:rFonts w:hint="default" w:ascii="Times New Roman" w:hAnsi="Times New Roman" w:cs="Times New Roman"/>
          <w:b/>
          <w:bCs/>
          <w:color w:val="auto"/>
          <w:sz w:val="24"/>
          <w:szCs w:val="24"/>
          <w:highlight w:val="none"/>
          <w:lang w:val="en-US" w:eastAsia="zh-CN"/>
        </w:rPr>
        <w:t>.1.</w:t>
      </w:r>
      <w:r>
        <w:rPr>
          <w:rFonts w:hint="eastAsia" w:ascii="Times New Roman" w:hAnsi="Times New Roman" w:cs="Times New Roman"/>
          <w:b/>
          <w:bCs/>
          <w:color w:val="auto"/>
          <w:sz w:val="24"/>
          <w:szCs w:val="24"/>
          <w:highlight w:val="none"/>
          <w:lang w:val="en-US" w:eastAsia="zh-CN"/>
        </w:rPr>
        <w:t>4污染源调查</w:t>
      </w:r>
      <w:bookmarkEnd w:id="2507"/>
      <w:bookmarkStart w:id="2508" w:name="pindex15028"/>
      <w:bookmarkEnd w:id="2508"/>
    </w:p>
    <w:p w14:paraId="2DF1FB2E">
      <w:pPr>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ascii="宋体" w:hAnsi="宋体" w:eastAsia="宋体" w:cs="宋体"/>
          <w:color w:val="auto"/>
          <w:spacing w:val="-3"/>
          <w:sz w:val="24"/>
          <w:szCs w:val="24"/>
          <w:highlight w:val="none"/>
        </w:rPr>
      </w:pPr>
      <w:r>
        <w:rPr>
          <w:rFonts w:hint="default" w:ascii="宋体" w:hAnsi="宋体" w:eastAsia="宋体" w:cs="宋体"/>
          <w:color w:val="auto"/>
          <w:spacing w:val="-3"/>
          <w:sz w:val="24"/>
          <w:szCs w:val="24"/>
          <w:highlight w:val="none"/>
        </w:rPr>
        <w:t>根据</w:t>
      </w:r>
      <w:r>
        <w:rPr>
          <w:rFonts w:hint="default" w:ascii="宋体" w:hAnsi="宋体" w:eastAsia="宋体" w:cs="宋体"/>
          <w:color w:val="auto"/>
          <w:spacing w:val="-3"/>
          <w:sz w:val="24"/>
          <w:szCs w:val="24"/>
          <w:highlight w:val="none"/>
          <w:lang w:eastAsia="zh-CN"/>
        </w:rPr>
        <w:t>区域</w:t>
      </w:r>
      <w:r>
        <w:rPr>
          <w:rFonts w:hint="default" w:ascii="宋体" w:hAnsi="宋体" w:eastAsia="宋体" w:cs="宋体"/>
          <w:color w:val="auto"/>
          <w:spacing w:val="-3"/>
          <w:sz w:val="24"/>
          <w:szCs w:val="24"/>
          <w:highlight w:val="none"/>
        </w:rPr>
        <w:t>相关数据统计可知，</w:t>
      </w:r>
      <w:r>
        <w:rPr>
          <w:rFonts w:hint="default" w:ascii="宋体" w:hAnsi="宋体" w:eastAsia="宋体" w:cs="宋体"/>
          <w:color w:val="auto"/>
          <w:spacing w:val="-3"/>
          <w:sz w:val="24"/>
          <w:szCs w:val="24"/>
          <w:highlight w:val="none"/>
          <w:lang w:eastAsia="zh-CN"/>
        </w:rPr>
        <w:t>区域</w:t>
      </w:r>
      <w:r>
        <w:rPr>
          <w:rFonts w:hint="default" w:ascii="宋体" w:hAnsi="宋体" w:eastAsia="宋体" w:cs="宋体"/>
          <w:color w:val="auto"/>
          <w:spacing w:val="-3"/>
          <w:sz w:val="24"/>
          <w:szCs w:val="24"/>
          <w:highlight w:val="none"/>
        </w:rPr>
        <w:t>重点污染物排放总量及地方特征污染物排放总量均不超过国家或地方的总量控制指标，仍有余量为后期入驻项目服务。</w:t>
      </w:r>
    </w:p>
    <w:p w14:paraId="08B72F10">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default" w:ascii="Times New Roman" w:hAnsi="Times New Roman" w:cs="Times New Roman"/>
          <w:b/>
          <w:bCs/>
          <w:color w:val="auto"/>
          <w:sz w:val="24"/>
          <w:szCs w:val="24"/>
          <w:highlight w:val="none"/>
          <w:lang w:val="en-US" w:eastAsia="zh-CN"/>
        </w:rPr>
      </w:pPr>
      <w:bookmarkStart w:id="2509" w:name="_Toc26939"/>
      <w:bookmarkStart w:id="2510" w:name="_Toc18310"/>
      <w:r>
        <w:rPr>
          <w:rFonts w:hint="eastAsia" w:ascii="Times New Roman" w:hAnsi="Times New Roman" w:cs="Times New Roman"/>
          <w:b/>
          <w:bCs/>
          <w:color w:val="auto"/>
          <w:sz w:val="24"/>
          <w:szCs w:val="24"/>
          <w:highlight w:val="none"/>
          <w:lang w:val="en-US" w:eastAsia="zh-CN"/>
        </w:rPr>
        <w:t>11</w:t>
      </w:r>
      <w:r>
        <w:rPr>
          <w:rFonts w:hint="default" w:ascii="Times New Roman" w:hAnsi="Times New Roman" w:cs="Times New Roman"/>
          <w:b/>
          <w:bCs/>
          <w:color w:val="auto"/>
          <w:sz w:val="24"/>
          <w:szCs w:val="24"/>
          <w:highlight w:val="none"/>
          <w:lang w:val="en-US" w:eastAsia="zh-CN"/>
        </w:rPr>
        <w:t>.1.</w:t>
      </w:r>
      <w:r>
        <w:rPr>
          <w:rFonts w:hint="eastAsia" w:ascii="Times New Roman" w:hAnsi="Times New Roman" w:cs="Times New Roman"/>
          <w:b/>
          <w:bCs/>
          <w:color w:val="auto"/>
          <w:sz w:val="24"/>
          <w:szCs w:val="24"/>
          <w:highlight w:val="none"/>
          <w:lang w:val="en-US" w:eastAsia="zh-CN"/>
        </w:rPr>
        <w:t>5</w:t>
      </w:r>
      <w:r>
        <w:rPr>
          <w:rFonts w:hint="default" w:ascii="Times New Roman" w:hAnsi="Times New Roman" w:cs="Times New Roman"/>
          <w:b/>
          <w:bCs/>
          <w:color w:val="auto"/>
          <w:sz w:val="24"/>
          <w:szCs w:val="24"/>
          <w:highlight w:val="none"/>
          <w:lang w:val="en-US" w:eastAsia="zh-CN"/>
        </w:rPr>
        <w:t>园区基础设施</w:t>
      </w:r>
      <w:bookmarkEnd w:id="2509"/>
      <w:bookmarkEnd w:id="2510"/>
      <w:bookmarkStart w:id="2511" w:name="pindex15030"/>
      <w:bookmarkEnd w:id="2511"/>
    </w:p>
    <w:p w14:paraId="569A0932">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2512" w:name="_Toc19336"/>
      <w:r>
        <w:rPr>
          <w:rFonts w:hint="default" w:ascii="Times New Roman" w:hAnsi="Times New Roman" w:eastAsia="宋体" w:cs="Times New Roman"/>
          <w:snapToGrid w:val="0"/>
          <w:color w:val="auto"/>
          <w:kern w:val="0"/>
          <w:sz w:val="24"/>
          <w:szCs w:val="24"/>
          <w:highlight w:val="none"/>
          <w:lang w:val="en-US" w:eastAsia="en-US" w:bidi="ar-SA"/>
        </w:rPr>
        <w:t>1、</w:t>
      </w:r>
      <w:r>
        <w:rPr>
          <w:rFonts w:hint="default" w:ascii="Times New Roman" w:hAnsi="Times New Roman" w:eastAsia="宋体" w:cs="Times New Roman"/>
          <w:color w:val="auto"/>
          <w:sz w:val="24"/>
          <w:szCs w:val="24"/>
          <w:highlight w:val="none"/>
        </w:rPr>
        <w:t>排水</w:t>
      </w:r>
      <w:bookmarkEnd w:id="2512"/>
      <w:bookmarkStart w:id="2513" w:name="pindex15031"/>
      <w:bookmarkEnd w:id="2513"/>
    </w:p>
    <w:p w14:paraId="117D311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52" w:firstLineChars="200"/>
        <w:textAlignment w:val="baseline"/>
        <w:rPr>
          <w:rFonts w:ascii="宋体" w:hAnsi="宋体" w:eastAsia="宋体" w:cs="宋体"/>
          <w:color w:val="auto"/>
          <w:sz w:val="24"/>
          <w:szCs w:val="24"/>
          <w:highlight w:val="none"/>
        </w:rPr>
      </w:pPr>
      <w:r>
        <w:rPr>
          <w:rFonts w:ascii="宋体" w:hAnsi="宋体" w:eastAsia="宋体" w:cs="宋体"/>
          <w:color w:val="auto"/>
          <w:spacing w:val="-7"/>
          <w:sz w:val="24"/>
          <w:szCs w:val="24"/>
          <w:highlight w:val="none"/>
        </w:rPr>
        <w:t>区域排水系统基本已形成雨、污分流制，开发区废水排入</w:t>
      </w:r>
      <w:r>
        <w:rPr>
          <w:rFonts w:hint="default" w:ascii="宋体" w:hAnsi="宋体" w:eastAsia="宋体" w:cs="宋体"/>
          <w:color w:val="auto"/>
          <w:spacing w:val="-7"/>
          <w:sz w:val="24"/>
          <w:szCs w:val="24"/>
          <w:highlight w:val="none"/>
          <w:lang w:val="en-US" w:eastAsia="zh-CN"/>
        </w:rPr>
        <w:t>开发区污水处理厂</w:t>
      </w:r>
      <w:r>
        <w:rPr>
          <w:rFonts w:hint="eastAsia" w:ascii="宋体" w:hAnsi="宋体" w:eastAsia="宋体" w:cs="宋体"/>
          <w:color w:val="auto"/>
          <w:spacing w:val="-7"/>
          <w:sz w:val="24"/>
          <w:szCs w:val="24"/>
          <w:highlight w:val="none"/>
          <w:lang w:val="en-US" w:eastAsia="zh-CN"/>
        </w:rPr>
        <w:t>（区内）、南区污水处理厂（区外）</w:t>
      </w:r>
      <w:r>
        <w:rPr>
          <w:rFonts w:ascii="宋体" w:hAnsi="宋体" w:eastAsia="宋体" w:cs="宋体"/>
          <w:color w:val="auto"/>
          <w:spacing w:val="-3"/>
          <w:sz w:val="24"/>
          <w:szCs w:val="24"/>
          <w:highlight w:val="none"/>
        </w:rPr>
        <w:t>。</w:t>
      </w:r>
    </w:p>
    <w:p w14:paraId="2DF910FC">
      <w:pPr>
        <w:spacing w:before="9" w:line="348" w:lineRule="auto"/>
        <w:ind w:left="40" w:right="29" w:firstLine="479"/>
        <w:rPr>
          <w:rFonts w:ascii="宋体" w:hAnsi="宋体" w:eastAsia="宋体" w:cs="宋体"/>
          <w:color w:val="auto"/>
          <w:sz w:val="24"/>
          <w:szCs w:val="24"/>
          <w:highlight w:val="none"/>
        </w:rPr>
      </w:pPr>
      <w:bookmarkStart w:id="2514" w:name="sys15033031"/>
      <w:r>
        <w:rPr>
          <w:rFonts w:hint="default" w:ascii="宋体" w:hAnsi="宋体" w:eastAsia="宋体" w:cs="宋体"/>
          <w:color w:val="auto"/>
          <w:spacing w:val="-7"/>
          <w:sz w:val="24"/>
          <w:szCs w:val="24"/>
          <w:highlight w:val="none"/>
          <w:lang w:val="en-US" w:eastAsia="zh-CN"/>
        </w:rPr>
        <w:t>开发区污水处理厂</w:t>
      </w:r>
      <w:r>
        <w:rPr>
          <w:rFonts w:ascii="宋体" w:hAnsi="宋体" w:eastAsia="宋体" w:cs="宋体"/>
          <w:color w:val="auto"/>
          <w:spacing w:val="-3"/>
          <w:sz w:val="24"/>
          <w:szCs w:val="24"/>
          <w:highlight w:val="none"/>
        </w:rPr>
        <w:t>现有设计规模</w:t>
      </w:r>
      <w:r>
        <w:rPr>
          <w:rFonts w:hint="eastAsia" w:ascii="Times New Roman" w:hAnsi="Times New Roman" w:eastAsia="宋体" w:cs="Times New Roman"/>
          <w:color w:val="auto"/>
          <w:spacing w:val="-3"/>
          <w:sz w:val="24"/>
          <w:szCs w:val="24"/>
          <w:highlight w:val="none"/>
          <w:lang w:val="en-US" w:eastAsia="zh-CN"/>
        </w:rPr>
        <w:t>8</w:t>
      </w:r>
      <w:r>
        <w:rPr>
          <w:rFonts w:ascii="宋体" w:hAnsi="宋体" w:eastAsia="宋体" w:cs="宋体"/>
          <w:color w:val="auto"/>
          <w:spacing w:val="-3"/>
          <w:sz w:val="24"/>
          <w:szCs w:val="24"/>
          <w:highlight w:val="none"/>
        </w:rPr>
        <w:t>万</w:t>
      </w:r>
      <w:r>
        <w:rPr>
          <w:rFonts w:ascii="Times New Roman" w:hAnsi="Times New Roman" w:eastAsia="Times New Roman" w:cs="Times New Roman"/>
          <w:color w:val="auto"/>
          <w:spacing w:val="-3"/>
          <w:sz w:val="24"/>
          <w:szCs w:val="24"/>
          <w:highlight w:val="none"/>
        </w:rPr>
        <w:t>m</w:t>
      </w:r>
      <w:r>
        <w:rPr>
          <w:rFonts w:ascii="Times New Roman" w:hAnsi="Times New Roman" w:eastAsia="Times New Roman" w:cs="Times New Roman"/>
          <w:color w:val="auto"/>
          <w:spacing w:val="-3"/>
          <w:position w:val="9"/>
          <w:sz w:val="24"/>
          <w:szCs w:val="24"/>
          <w:highlight w:val="none"/>
        </w:rPr>
        <w:t>3</w:t>
      </w:r>
      <w:r>
        <w:rPr>
          <w:rFonts w:ascii="Times New Roman" w:hAnsi="Times New Roman" w:eastAsia="Times New Roman" w:cs="Times New Roman"/>
          <w:color w:val="auto"/>
          <w:spacing w:val="-3"/>
          <w:sz w:val="24"/>
          <w:szCs w:val="24"/>
          <w:highlight w:val="none"/>
        </w:rPr>
        <w:t>/d</w:t>
      </w:r>
      <w:r>
        <w:rPr>
          <w:rFonts w:ascii="宋体" w:hAnsi="宋体" w:eastAsia="宋体" w:cs="宋体"/>
          <w:color w:val="auto"/>
          <w:spacing w:val="-3"/>
          <w:sz w:val="24"/>
          <w:szCs w:val="24"/>
          <w:highlight w:val="none"/>
        </w:rPr>
        <w:t>，远期</w:t>
      </w:r>
      <w:r>
        <w:rPr>
          <w:rFonts w:ascii="Times New Roman" w:hAnsi="Times New Roman" w:eastAsia="Times New Roman" w:cs="Times New Roman"/>
          <w:color w:val="auto"/>
          <w:spacing w:val="-3"/>
          <w:sz w:val="24"/>
          <w:szCs w:val="24"/>
          <w:highlight w:val="none"/>
        </w:rPr>
        <w:t>1</w:t>
      </w:r>
      <w:r>
        <w:rPr>
          <w:rFonts w:hint="eastAsia" w:ascii="Times New Roman" w:hAnsi="Times New Roman" w:eastAsia="宋体" w:cs="Times New Roman"/>
          <w:color w:val="auto"/>
          <w:spacing w:val="-3"/>
          <w:sz w:val="24"/>
          <w:szCs w:val="24"/>
          <w:highlight w:val="none"/>
          <w:lang w:val="en-US" w:eastAsia="zh-CN"/>
        </w:rPr>
        <w:t>6</w:t>
      </w:r>
      <w:r>
        <w:rPr>
          <w:rFonts w:ascii="宋体" w:hAnsi="宋体" w:eastAsia="宋体" w:cs="宋体"/>
          <w:color w:val="auto"/>
          <w:spacing w:val="-4"/>
          <w:sz w:val="24"/>
          <w:szCs w:val="24"/>
          <w:highlight w:val="none"/>
        </w:rPr>
        <w:t>万</w:t>
      </w:r>
      <w:r>
        <w:rPr>
          <w:rFonts w:ascii="Times New Roman" w:hAnsi="Times New Roman" w:eastAsia="Times New Roman" w:cs="Times New Roman"/>
          <w:color w:val="auto"/>
          <w:spacing w:val="-4"/>
          <w:sz w:val="24"/>
          <w:szCs w:val="24"/>
          <w:highlight w:val="none"/>
        </w:rPr>
        <w:t>m</w:t>
      </w:r>
      <w:r>
        <w:rPr>
          <w:rFonts w:ascii="Times New Roman" w:hAnsi="Times New Roman" w:eastAsia="Times New Roman" w:cs="Times New Roman"/>
          <w:color w:val="auto"/>
          <w:spacing w:val="-4"/>
          <w:position w:val="9"/>
          <w:sz w:val="24"/>
          <w:szCs w:val="24"/>
          <w:highlight w:val="none"/>
        </w:rPr>
        <w:t>3</w:t>
      </w:r>
      <w:r>
        <w:rPr>
          <w:rFonts w:ascii="Times New Roman" w:hAnsi="Times New Roman" w:eastAsia="Times New Roman" w:cs="Times New Roman"/>
          <w:color w:val="auto"/>
          <w:spacing w:val="-4"/>
          <w:sz w:val="24"/>
          <w:szCs w:val="24"/>
          <w:highlight w:val="none"/>
        </w:rPr>
        <w:t>/d</w:t>
      </w:r>
      <w:r>
        <w:rPr>
          <w:rFonts w:hint="eastAsia" w:ascii="Times New Roman" w:hAnsi="Times New Roman" w:eastAsia="宋体" w:cs="Times New Roman"/>
          <w:color w:val="auto"/>
          <w:spacing w:val="-4"/>
          <w:sz w:val="24"/>
          <w:szCs w:val="24"/>
          <w:highlight w:val="none"/>
          <w:lang w:eastAsia="zh-CN"/>
        </w:rPr>
        <w:t>；</w:t>
      </w:r>
      <w:bookmarkEnd w:id="2514"/>
      <w:bookmarkStart w:id="2515" w:name="sys150333131"/>
      <w:r>
        <w:rPr>
          <w:rFonts w:hint="eastAsia" w:ascii="Times New Roman" w:hAnsi="Times New Roman" w:eastAsia="宋体" w:cs="Times New Roman"/>
          <w:color w:val="auto"/>
          <w:spacing w:val="-4"/>
          <w:sz w:val="24"/>
          <w:szCs w:val="24"/>
          <w:highlight w:val="none"/>
          <w:lang w:val="en-US" w:eastAsia="zh-CN"/>
        </w:rPr>
        <w:t>南区污水处理厂</w:t>
      </w:r>
      <w:r>
        <w:rPr>
          <w:rFonts w:ascii="宋体" w:hAnsi="宋体" w:eastAsia="宋体" w:cs="宋体"/>
          <w:color w:val="auto"/>
          <w:spacing w:val="-3"/>
          <w:sz w:val="24"/>
          <w:szCs w:val="24"/>
          <w:highlight w:val="none"/>
        </w:rPr>
        <w:t>现有设计规模</w:t>
      </w:r>
      <w:r>
        <w:rPr>
          <w:rFonts w:hint="eastAsia" w:ascii="Times New Roman" w:hAnsi="Times New Roman" w:eastAsia="宋体" w:cs="Times New Roman"/>
          <w:color w:val="auto"/>
          <w:spacing w:val="-3"/>
          <w:sz w:val="24"/>
          <w:szCs w:val="24"/>
          <w:highlight w:val="none"/>
          <w:lang w:val="en-US" w:eastAsia="zh-CN"/>
        </w:rPr>
        <w:t>15</w:t>
      </w:r>
      <w:r>
        <w:rPr>
          <w:rFonts w:ascii="宋体" w:hAnsi="宋体" w:eastAsia="宋体" w:cs="宋体"/>
          <w:color w:val="auto"/>
          <w:spacing w:val="-3"/>
          <w:sz w:val="24"/>
          <w:szCs w:val="24"/>
          <w:highlight w:val="none"/>
        </w:rPr>
        <w:t>万</w:t>
      </w:r>
      <w:r>
        <w:rPr>
          <w:rFonts w:ascii="Times New Roman" w:hAnsi="Times New Roman" w:eastAsia="Times New Roman" w:cs="Times New Roman"/>
          <w:color w:val="auto"/>
          <w:spacing w:val="-3"/>
          <w:sz w:val="24"/>
          <w:szCs w:val="24"/>
          <w:highlight w:val="none"/>
        </w:rPr>
        <w:t>m</w:t>
      </w:r>
      <w:r>
        <w:rPr>
          <w:rFonts w:ascii="Times New Roman" w:hAnsi="Times New Roman" w:eastAsia="Times New Roman" w:cs="Times New Roman"/>
          <w:color w:val="auto"/>
          <w:spacing w:val="-3"/>
          <w:position w:val="9"/>
          <w:sz w:val="24"/>
          <w:szCs w:val="24"/>
          <w:highlight w:val="none"/>
        </w:rPr>
        <w:t>3</w:t>
      </w:r>
      <w:r>
        <w:rPr>
          <w:rFonts w:ascii="Times New Roman" w:hAnsi="Times New Roman" w:eastAsia="Times New Roman" w:cs="Times New Roman"/>
          <w:color w:val="auto"/>
          <w:spacing w:val="-3"/>
          <w:sz w:val="24"/>
          <w:szCs w:val="24"/>
          <w:highlight w:val="none"/>
        </w:rPr>
        <w:t>/d</w:t>
      </w:r>
      <w:r>
        <w:rPr>
          <w:rFonts w:ascii="宋体" w:hAnsi="宋体" w:eastAsia="宋体" w:cs="宋体"/>
          <w:color w:val="auto"/>
          <w:spacing w:val="-3"/>
          <w:sz w:val="24"/>
          <w:szCs w:val="24"/>
          <w:highlight w:val="none"/>
        </w:rPr>
        <w:t>，远期</w:t>
      </w:r>
      <w:r>
        <w:rPr>
          <w:rFonts w:ascii="Times New Roman" w:hAnsi="Times New Roman" w:eastAsia="Times New Roman" w:cs="Times New Roman"/>
          <w:color w:val="auto"/>
          <w:spacing w:val="-3"/>
          <w:sz w:val="24"/>
          <w:szCs w:val="24"/>
          <w:highlight w:val="none"/>
        </w:rPr>
        <w:t>15</w:t>
      </w:r>
      <w:r>
        <w:rPr>
          <w:rFonts w:ascii="宋体" w:hAnsi="宋体" w:eastAsia="宋体" w:cs="宋体"/>
          <w:color w:val="auto"/>
          <w:spacing w:val="-4"/>
          <w:sz w:val="24"/>
          <w:szCs w:val="24"/>
          <w:highlight w:val="none"/>
        </w:rPr>
        <w:t>万</w:t>
      </w:r>
      <w:r>
        <w:rPr>
          <w:rFonts w:ascii="Times New Roman" w:hAnsi="Times New Roman" w:eastAsia="Times New Roman" w:cs="Times New Roman"/>
          <w:color w:val="auto"/>
          <w:spacing w:val="-4"/>
          <w:sz w:val="24"/>
          <w:szCs w:val="24"/>
          <w:highlight w:val="none"/>
        </w:rPr>
        <w:t>m</w:t>
      </w:r>
      <w:r>
        <w:rPr>
          <w:rFonts w:ascii="Times New Roman" w:hAnsi="Times New Roman" w:eastAsia="Times New Roman" w:cs="Times New Roman"/>
          <w:color w:val="auto"/>
          <w:spacing w:val="-4"/>
          <w:position w:val="9"/>
          <w:sz w:val="24"/>
          <w:szCs w:val="24"/>
          <w:highlight w:val="none"/>
        </w:rPr>
        <w:t>3</w:t>
      </w:r>
      <w:r>
        <w:rPr>
          <w:rFonts w:ascii="Times New Roman" w:hAnsi="Times New Roman" w:eastAsia="Times New Roman" w:cs="Times New Roman"/>
          <w:color w:val="auto"/>
          <w:spacing w:val="-4"/>
          <w:sz w:val="24"/>
          <w:szCs w:val="24"/>
          <w:highlight w:val="none"/>
        </w:rPr>
        <w:t>/d</w:t>
      </w:r>
      <w:r>
        <w:rPr>
          <w:rFonts w:ascii="宋体" w:hAnsi="宋体" w:eastAsia="宋体" w:cs="宋体"/>
          <w:color w:val="auto"/>
          <w:spacing w:val="-3"/>
          <w:sz w:val="24"/>
          <w:szCs w:val="24"/>
          <w:highlight w:val="none"/>
        </w:rPr>
        <w:t>。</w:t>
      </w:r>
      <w:bookmarkEnd w:id="2515"/>
    </w:p>
    <w:p w14:paraId="5019672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snapToGrid w:val="0"/>
          <w:color w:val="auto"/>
          <w:kern w:val="0"/>
          <w:sz w:val="24"/>
          <w:szCs w:val="24"/>
          <w:highlight w:val="none"/>
          <w:lang w:val="en-US" w:eastAsia="en-US" w:bidi="ar-SA"/>
        </w:rPr>
      </w:pPr>
      <w:bookmarkStart w:id="2516" w:name="_Toc5791"/>
      <w:r>
        <w:rPr>
          <w:rFonts w:hint="eastAsia" w:ascii="Times New Roman" w:hAnsi="Times New Roman" w:eastAsia="宋体" w:cs="Times New Roman"/>
          <w:snapToGrid w:val="0"/>
          <w:color w:val="auto"/>
          <w:kern w:val="0"/>
          <w:sz w:val="24"/>
          <w:szCs w:val="24"/>
          <w:highlight w:val="none"/>
          <w:lang w:val="en-US" w:eastAsia="zh-CN" w:bidi="ar-SA"/>
        </w:rPr>
        <w:t>2</w:t>
      </w:r>
      <w:r>
        <w:rPr>
          <w:rFonts w:hint="default" w:ascii="Times New Roman" w:hAnsi="Times New Roman" w:eastAsia="宋体" w:cs="Times New Roman"/>
          <w:snapToGrid w:val="0"/>
          <w:color w:val="auto"/>
          <w:kern w:val="0"/>
          <w:sz w:val="24"/>
          <w:szCs w:val="24"/>
          <w:highlight w:val="none"/>
          <w:lang w:val="en-US" w:eastAsia="en-US" w:bidi="ar-SA"/>
        </w:rPr>
        <w:t>、供热</w:t>
      </w:r>
      <w:bookmarkEnd w:id="2516"/>
      <w:bookmarkStart w:id="2517" w:name="pindex15034"/>
      <w:bookmarkEnd w:id="2517"/>
    </w:p>
    <w:p w14:paraId="0BAC948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ascii="宋体" w:hAnsi="宋体" w:eastAsia="宋体" w:cs="宋体"/>
          <w:color w:val="auto"/>
          <w:sz w:val="24"/>
          <w:szCs w:val="24"/>
          <w:highlight w:val="none"/>
        </w:rPr>
      </w:pPr>
      <w:bookmarkStart w:id="2518" w:name="sys150350116"/>
      <w:r>
        <w:rPr>
          <w:rFonts w:hint="default" w:ascii="Times New Roman" w:hAnsi="Times New Roman" w:eastAsia="宋体" w:cs="Times New Roman"/>
          <w:snapToGrid w:val="0"/>
          <w:color w:val="auto"/>
          <w:kern w:val="0"/>
          <w:sz w:val="24"/>
          <w:szCs w:val="24"/>
          <w:highlight w:val="none"/>
          <w:lang w:val="en-US" w:eastAsia="en-US" w:bidi="ar-SA"/>
        </w:rPr>
        <w:t>江宁开发区规划范围内已实行集中供热，目前已经关停南京协鑫生活污泥发电有限公司燃煤机组，区内</w:t>
      </w:r>
      <w:r>
        <w:rPr>
          <w:rFonts w:ascii="Times New Roman" w:hAnsi="Times New Roman" w:eastAsia="宋体" w:cs="Times New Roman"/>
          <w:bCs/>
          <w:color w:val="auto"/>
          <w:kern w:val="0"/>
          <w:sz w:val="24"/>
          <w:szCs w:val="24"/>
          <w:highlight w:val="none"/>
        </w:rPr>
        <w:t>所有供热均依托南京协鑫燃机热电有限公司现有燃气机组，并对规划区内企业自备锅炉完成了禁煤改造，规划区内目前燃煤锅炉已全部关停或进行了煤改气改造。</w:t>
      </w:r>
      <w:bookmarkEnd w:id="2518"/>
      <w:r>
        <w:rPr>
          <w:rFonts w:ascii="Times New Roman" w:hAnsi="Times New Roman" w:eastAsia="宋体" w:cs="Times New Roman"/>
          <w:bCs/>
          <w:color w:val="auto"/>
          <w:kern w:val="0"/>
          <w:sz w:val="24"/>
          <w:szCs w:val="24"/>
          <w:highlight w:val="none"/>
        </w:rPr>
        <w:t>远期开发区供热范围内逐步淘汰企业自备锅炉。</w:t>
      </w:r>
    </w:p>
    <w:p w14:paraId="316E7E8A">
      <w:pPr>
        <w:keepNext w:val="0"/>
        <w:keepLines w:val="0"/>
        <w:pageBreakBefore w:val="0"/>
        <w:widowControl/>
        <w:kinsoku w:val="0"/>
        <w:wordWrap/>
        <w:overflowPunct/>
        <w:topLinePunct w:val="0"/>
        <w:autoSpaceDE w:val="0"/>
        <w:autoSpaceDN w:val="0"/>
        <w:bidi w:val="0"/>
        <w:adjustRightInd w:val="0"/>
        <w:snapToGrid w:val="0"/>
        <w:spacing w:before="34" w:line="360" w:lineRule="auto"/>
        <w:ind w:left="512"/>
        <w:textAlignment w:val="baseline"/>
        <w:outlineLvl w:val="9"/>
        <w:rPr>
          <w:rFonts w:ascii="宋体" w:hAnsi="宋体" w:eastAsia="宋体" w:cs="宋体"/>
          <w:color w:val="auto"/>
          <w:sz w:val="24"/>
          <w:szCs w:val="24"/>
          <w:highlight w:val="none"/>
        </w:rPr>
      </w:pPr>
      <w:bookmarkStart w:id="2519" w:name="_Toc6196"/>
      <w:r>
        <w:rPr>
          <w:rFonts w:hint="eastAsia" w:ascii="Times New Roman" w:hAnsi="Times New Roman" w:eastAsia="宋体" w:cs="Times New Roman"/>
          <w:color w:val="auto"/>
          <w:spacing w:val="-7"/>
          <w:sz w:val="24"/>
          <w:szCs w:val="24"/>
          <w:highlight w:val="none"/>
          <w:lang w:val="en-US" w:eastAsia="zh-CN"/>
        </w:rPr>
        <w:t>3</w:t>
      </w:r>
      <w:r>
        <w:rPr>
          <w:rFonts w:ascii="宋体" w:hAnsi="宋体" w:eastAsia="宋体" w:cs="宋体"/>
          <w:color w:val="auto"/>
          <w:spacing w:val="-7"/>
          <w:sz w:val="24"/>
          <w:szCs w:val="24"/>
          <w:highlight w:val="none"/>
        </w:rPr>
        <w:t>、燃气</w:t>
      </w:r>
      <w:bookmarkEnd w:id="2519"/>
      <w:bookmarkStart w:id="2520" w:name="pindex15036"/>
      <w:bookmarkEnd w:id="2520"/>
    </w:p>
    <w:p w14:paraId="0E57E256">
      <w:pPr>
        <w:keepNext w:val="0"/>
        <w:keepLines w:val="0"/>
        <w:pageBreakBefore w:val="0"/>
        <w:widowControl/>
        <w:kinsoku w:val="0"/>
        <w:wordWrap/>
        <w:overflowPunct/>
        <w:topLinePunct w:val="0"/>
        <w:autoSpaceDE w:val="0"/>
        <w:autoSpaceDN w:val="0"/>
        <w:bidi w:val="0"/>
        <w:adjustRightInd w:val="0"/>
        <w:snapToGrid w:val="0"/>
        <w:spacing w:before="39" w:line="360" w:lineRule="auto"/>
        <w:ind w:left="520"/>
        <w:textAlignment w:val="baseline"/>
        <w:rPr>
          <w:rFonts w:hint="eastAsia" w:ascii="Times New Roman" w:hAnsi="Times New Roman" w:eastAsia="宋体" w:cs="Times New Roman"/>
          <w:color w:val="auto"/>
          <w:spacing w:val="-4"/>
          <w:sz w:val="24"/>
          <w:szCs w:val="24"/>
          <w:highlight w:val="none"/>
          <w:lang w:val="en-US" w:eastAsia="zh-CN"/>
        </w:rPr>
      </w:pPr>
      <w:r>
        <w:rPr>
          <w:rFonts w:hint="eastAsia" w:ascii="Times New Roman" w:hAnsi="Times New Roman" w:eastAsia="宋体" w:cs="Times New Roman"/>
          <w:color w:val="auto"/>
          <w:spacing w:val="-4"/>
          <w:sz w:val="24"/>
          <w:szCs w:val="24"/>
          <w:highlight w:val="none"/>
          <w:lang w:val="en-US" w:eastAsia="zh-CN"/>
        </w:rPr>
        <w:t>开发区使用“川气东送”天然气，“西气东输”作为备用气源。</w:t>
      </w:r>
    </w:p>
    <w:p w14:paraId="4AE2EA4C">
      <w:pPr>
        <w:keepNext w:val="0"/>
        <w:keepLines w:val="0"/>
        <w:pageBreakBefore w:val="0"/>
        <w:widowControl/>
        <w:kinsoku w:val="0"/>
        <w:wordWrap/>
        <w:overflowPunct/>
        <w:topLinePunct w:val="0"/>
        <w:autoSpaceDE w:val="0"/>
        <w:autoSpaceDN w:val="0"/>
        <w:bidi w:val="0"/>
        <w:adjustRightInd w:val="0"/>
        <w:snapToGrid w:val="0"/>
        <w:spacing w:before="39" w:line="360" w:lineRule="auto"/>
        <w:ind w:left="520"/>
        <w:textAlignment w:val="baseline"/>
        <w:outlineLvl w:val="9"/>
        <w:rPr>
          <w:rFonts w:ascii="宋体" w:hAnsi="宋体" w:eastAsia="宋体" w:cs="宋体"/>
          <w:color w:val="auto"/>
          <w:sz w:val="24"/>
          <w:szCs w:val="24"/>
          <w:highlight w:val="none"/>
        </w:rPr>
      </w:pPr>
      <w:bookmarkStart w:id="2521" w:name="_Toc29268"/>
      <w:r>
        <w:rPr>
          <w:rFonts w:hint="eastAsia" w:ascii="Times New Roman" w:hAnsi="Times New Roman" w:eastAsia="宋体" w:cs="Times New Roman"/>
          <w:color w:val="auto"/>
          <w:spacing w:val="-4"/>
          <w:sz w:val="24"/>
          <w:szCs w:val="24"/>
          <w:highlight w:val="none"/>
          <w:lang w:val="en-US" w:eastAsia="zh-CN"/>
        </w:rPr>
        <w:t>4</w:t>
      </w:r>
      <w:r>
        <w:rPr>
          <w:rFonts w:ascii="宋体" w:hAnsi="宋体" w:eastAsia="宋体" w:cs="宋体"/>
          <w:color w:val="auto"/>
          <w:spacing w:val="-4"/>
          <w:sz w:val="24"/>
          <w:szCs w:val="24"/>
          <w:highlight w:val="none"/>
        </w:rPr>
        <w:t>、固废处置</w:t>
      </w:r>
      <w:bookmarkEnd w:id="2521"/>
      <w:bookmarkStart w:id="2522" w:name="pindex15038"/>
      <w:bookmarkEnd w:id="2522"/>
    </w:p>
    <w:p w14:paraId="69C2ECB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ascii="Times New Roman" w:hAnsi="Times New Roman" w:eastAsia="宋体" w:cs="Times New Roman"/>
          <w:bCs/>
          <w:color w:val="auto"/>
          <w:kern w:val="0"/>
          <w:sz w:val="24"/>
          <w:szCs w:val="24"/>
          <w:highlight w:val="none"/>
        </w:rPr>
      </w:pPr>
      <w:bookmarkStart w:id="2523" w:name="sys15039077"/>
      <w:r>
        <w:rPr>
          <w:rFonts w:ascii="Times New Roman" w:hAnsi="Times New Roman" w:eastAsia="宋体" w:cs="Times New Roman"/>
          <w:bCs/>
          <w:color w:val="auto"/>
          <w:kern w:val="0"/>
          <w:sz w:val="24"/>
          <w:szCs w:val="24"/>
          <w:highlight w:val="none"/>
        </w:rPr>
        <w:t>江宁开发区规划范围内生活垃圾均依托南京江南静脉产业园光大生活垃圾焚烧发电厂进行处理，该厂处理目前日处理垃圾3600吨，位于江宁区铜井社区（不在开发区内）。</w:t>
      </w:r>
      <w:bookmarkEnd w:id="2523"/>
    </w:p>
    <w:p w14:paraId="2C75044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ascii="Times New Roman" w:hAnsi="Times New Roman" w:eastAsia="宋体" w:cs="Times New Roman"/>
          <w:bCs/>
          <w:color w:val="auto"/>
          <w:kern w:val="0"/>
          <w:sz w:val="24"/>
          <w:szCs w:val="24"/>
          <w:highlight w:val="none"/>
        </w:rPr>
      </w:pPr>
      <w:r>
        <w:rPr>
          <w:rFonts w:ascii="Times New Roman" w:hAnsi="Times New Roman" w:eastAsia="宋体" w:cs="Times New Roman"/>
          <w:bCs/>
          <w:color w:val="auto"/>
          <w:kern w:val="0"/>
          <w:sz w:val="24"/>
          <w:szCs w:val="24"/>
          <w:highlight w:val="none"/>
        </w:rPr>
        <w:t>江宁开发区内不设置危废处置中心及暂存中心，规划区内企业产生的危险固废均交由有资质的危险固废处置单位进行处理，危险固废暂存均</w:t>
      </w:r>
      <w:r>
        <w:rPr>
          <w:rFonts w:hint="eastAsia" w:ascii="Times New Roman" w:hAnsi="Times New Roman" w:eastAsia="宋体" w:cs="Times New Roman"/>
          <w:bCs/>
          <w:color w:val="auto"/>
          <w:kern w:val="0"/>
          <w:sz w:val="24"/>
          <w:szCs w:val="24"/>
          <w:highlight w:val="none"/>
          <w:lang w:eastAsia="zh-CN"/>
        </w:rPr>
        <w:t>由</w:t>
      </w:r>
      <w:r>
        <w:rPr>
          <w:rFonts w:ascii="Times New Roman" w:hAnsi="Times New Roman" w:eastAsia="宋体" w:cs="Times New Roman"/>
          <w:bCs/>
          <w:color w:val="auto"/>
          <w:kern w:val="0"/>
          <w:sz w:val="24"/>
          <w:szCs w:val="24"/>
          <w:highlight w:val="none"/>
        </w:rPr>
        <w:t>相关企业按规定自行贮存。</w:t>
      </w:r>
    </w:p>
    <w:p w14:paraId="5C9213F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2524" w:name="OLE_LINK793"/>
      <w:r>
        <w:rPr>
          <w:rFonts w:hint="default" w:ascii="Times New Roman" w:hAnsi="Times New Roman" w:eastAsia="宋体" w:cs="Times New Roman"/>
          <w:color w:val="auto"/>
          <w:sz w:val="24"/>
          <w:szCs w:val="24"/>
          <w:highlight w:val="none"/>
        </w:rPr>
        <w:t>目前</w:t>
      </w:r>
      <w:r>
        <w:rPr>
          <w:rFonts w:hint="default" w:ascii="Times New Roman" w:hAnsi="Times New Roman" w:eastAsia="宋体" w:cs="Times New Roman"/>
          <w:color w:val="auto"/>
          <w:sz w:val="24"/>
          <w:szCs w:val="24"/>
          <w:highlight w:val="none"/>
          <w:lang w:eastAsia="zh-CN"/>
        </w:rPr>
        <w:t>区域</w:t>
      </w:r>
      <w:r>
        <w:rPr>
          <w:rFonts w:hint="default" w:ascii="Times New Roman" w:hAnsi="Times New Roman" w:eastAsia="宋体" w:cs="Times New Roman"/>
          <w:color w:val="auto"/>
          <w:sz w:val="24"/>
          <w:szCs w:val="24"/>
          <w:highlight w:val="none"/>
        </w:rPr>
        <w:t>污水工程、供水工程、供热工程、供气工程、环境卫生、交通等基础设施完备，满足现状及今后发展需要。</w:t>
      </w:r>
      <w:bookmarkEnd w:id="2524"/>
      <w:bookmarkStart w:id="2525" w:name="_Toc28936"/>
    </w:p>
    <w:p w14:paraId="4EEEE88E">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eastAsia" w:ascii="Times New Roman" w:hAnsi="Times New Roman" w:eastAsia="宋体" w:cs="Times New Roman"/>
          <w:b/>
          <w:bCs/>
          <w:color w:val="auto"/>
          <w:spacing w:val="-2"/>
          <w:sz w:val="24"/>
          <w:szCs w:val="24"/>
          <w:highlight w:val="none"/>
          <w:lang w:eastAsia="zh-CN"/>
        </w:rPr>
      </w:pPr>
      <w:bookmarkStart w:id="2526" w:name="_Toc30819"/>
      <w:r>
        <w:rPr>
          <w:rFonts w:hint="eastAsia" w:ascii="Times New Roman" w:hAnsi="Times New Roman" w:eastAsia="宋体" w:cs="Times New Roman"/>
          <w:b/>
          <w:bCs/>
          <w:color w:val="auto"/>
          <w:spacing w:val="-2"/>
          <w:sz w:val="24"/>
          <w:szCs w:val="24"/>
          <w:highlight w:val="none"/>
          <w:lang w:val="en-US" w:eastAsia="zh-CN"/>
        </w:rPr>
        <w:t>11.</w:t>
      </w:r>
      <w:r>
        <w:rPr>
          <w:rFonts w:ascii="Times New Roman" w:hAnsi="Times New Roman" w:eastAsia="Times New Roman" w:cs="Times New Roman"/>
          <w:b/>
          <w:bCs/>
          <w:color w:val="auto"/>
          <w:spacing w:val="-2"/>
          <w:sz w:val="24"/>
          <w:szCs w:val="24"/>
          <w:highlight w:val="none"/>
        </w:rPr>
        <w:t>1.</w:t>
      </w:r>
      <w:r>
        <w:rPr>
          <w:rFonts w:hint="eastAsia" w:ascii="Times New Roman" w:hAnsi="Times New Roman" w:eastAsia="宋体" w:cs="Times New Roman"/>
          <w:b/>
          <w:bCs/>
          <w:color w:val="auto"/>
          <w:spacing w:val="-2"/>
          <w:sz w:val="24"/>
          <w:szCs w:val="24"/>
          <w:highlight w:val="none"/>
          <w:lang w:val="en-US" w:eastAsia="zh-CN"/>
        </w:rPr>
        <w:t>6</w:t>
      </w:r>
      <w:r>
        <w:rPr>
          <w:rFonts w:ascii="宋体" w:hAnsi="宋体" w:eastAsia="宋体" w:cs="宋体"/>
          <w:b/>
          <w:bCs/>
          <w:color w:val="auto"/>
          <w:spacing w:val="-2"/>
          <w:sz w:val="24"/>
          <w:szCs w:val="24"/>
          <w:highlight w:val="none"/>
        </w:rPr>
        <w:t>三线一单</w:t>
      </w:r>
      <w:bookmarkEnd w:id="2525"/>
      <w:r>
        <w:rPr>
          <w:rFonts w:hint="eastAsia" w:ascii="宋体" w:hAnsi="宋体" w:eastAsia="宋体" w:cs="宋体"/>
          <w:b/>
          <w:bCs/>
          <w:color w:val="auto"/>
          <w:spacing w:val="-2"/>
          <w:sz w:val="24"/>
          <w:szCs w:val="24"/>
          <w:highlight w:val="none"/>
          <w:lang w:val="en-US" w:eastAsia="zh-CN"/>
        </w:rPr>
        <w:t>要求</w:t>
      </w:r>
      <w:bookmarkEnd w:id="2526"/>
      <w:bookmarkStart w:id="2527" w:name="pindex15042"/>
      <w:bookmarkEnd w:id="2527"/>
    </w:p>
    <w:p w14:paraId="67C195B8">
      <w:pPr>
        <w:keepNext w:val="0"/>
        <w:keepLines w:val="0"/>
        <w:pageBreakBefore w:val="0"/>
        <w:widowControl/>
        <w:numPr>
          <w:ilvl w:val="0"/>
          <w:numId w:val="13"/>
        </w:numPr>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生态红线</w:t>
      </w:r>
      <w:bookmarkStart w:id="2528" w:name="pindex15043"/>
      <w:bookmarkEnd w:id="2528"/>
    </w:p>
    <w:p w14:paraId="0335676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56" w:firstLineChars="200"/>
        <w:textAlignment w:val="baseline"/>
        <w:outlineLvl w:val="9"/>
        <w:rPr>
          <w:rFonts w:hint="eastAsia" w:ascii="Times New Roman" w:hAnsi="Times New Roman" w:eastAsia="宋体" w:cs="Times New Roman"/>
          <w:color w:val="auto"/>
          <w:sz w:val="24"/>
          <w:szCs w:val="24"/>
          <w:highlight w:val="none"/>
          <w:lang w:eastAsia="zh-CN"/>
        </w:rPr>
      </w:pPr>
      <w:bookmarkStart w:id="2529" w:name="sys150440226"/>
      <w:bookmarkStart w:id="2530" w:name="OLE_LINK795"/>
      <w:r>
        <w:rPr>
          <w:rFonts w:hint="default" w:ascii="Times New Roman" w:hAnsi="Times New Roman" w:eastAsia="宋体" w:cs="Times New Roman"/>
          <w:color w:val="auto"/>
          <w:spacing w:val="-6"/>
          <w:sz w:val="24"/>
          <w:szCs w:val="24"/>
          <w:highlight w:val="none"/>
          <w:lang w:val="en-US" w:eastAsia="zh-CN"/>
        </w:rPr>
        <w:t>对照《自然资源部办公厅关于北京等省（区、市）启用“三区三线”划定成果作为报批建设项目用地用海依据的函》（自然资办函〔2022〕2207号）、南京市“三区三线”划定成果、《南京市江宁区2023年度生态空间管控区调整方案》《江苏省自然资源厅关于南京市江宁区2023年度生态空间管控区调整方案的复函》（苏自然资函〔2023〕1058号）</w:t>
      </w:r>
      <w:r>
        <w:rPr>
          <w:rFonts w:hint="default" w:ascii="Times New Roman" w:hAnsi="Times New Roman" w:eastAsia="宋体" w:cs="Times New Roman"/>
          <w:color w:val="auto"/>
          <w:spacing w:val="-6"/>
          <w:sz w:val="24"/>
          <w:szCs w:val="24"/>
          <w:highlight w:val="none"/>
        </w:rPr>
        <w:t>进行确定，</w:t>
      </w:r>
      <w:bookmarkStart w:id="2531" w:name="OLE_LINK796"/>
      <w:r>
        <w:rPr>
          <w:rFonts w:hint="default" w:ascii="Times New Roman" w:hAnsi="Times New Roman" w:eastAsia="宋体" w:cs="Times New Roman"/>
          <w:color w:val="auto"/>
          <w:spacing w:val="-7"/>
          <w:sz w:val="24"/>
          <w:szCs w:val="24"/>
          <w:highlight w:val="none"/>
        </w:rPr>
        <w:t>开发区片区范围内</w:t>
      </w:r>
      <w:r>
        <w:rPr>
          <w:rFonts w:hint="default" w:ascii="Times New Roman" w:hAnsi="Times New Roman" w:eastAsia="宋体" w:cs="Times New Roman"/>
          <w:color w:val="auto"/>
          <w:spacing w:val="-7"/>
          <w:sz w:val="24"/>
          <w:szCs w:val="24"/>
          <w:highlight w:val="none"/>
          <w:lang w:val="en-US" w:eastAsia="zh-CN"/>
        </w:rPr>
        <w:t>及周边</w:t>
      </w:r>
      <w:bookmarkEnd w:id="2531"/>
      <w:r>
        <w:rPr>
          <w:rFonts w:hint="default" w:ascii="Times New Roman" w:hAnsi="Times New Roman" w:eastAsia="宋体" w:cs="Times New Roman"/>
          <w:color w:val="auto"/>
          <w:spacing w:val="-7"/>
          <w:sz w:val="24"/>
          <w:szCs w:val="24"/>
          <w:highlight w:val="none"/>
        </w:rPr>
        <w:t>生态</w:t>
      </w:r>
      <w:r>
        <w:rPr>
          <w:rFonts w:hint="default" w:ascii="Times New Roman" w:hAnsi="Times New Roman" w:eastAsia="宋体" w:cs="Times New Roman"/>
          <w:color w:val="auto"/>
          <w:spacing w:val="-3"/>
          <w:sz w:val="24"/>
          <w:szCs w:val="24"/>
          <w:highlight w:val="none"/>
        </w:rPr>
        <w:t>保护红线区域</w:t>
      </w:r>
      <w:r>
        <w:rPr>
          <w:rFonts w:hint="eastAsia" w:ascii="Times New Roman" w:hAnsi="Times New Roman" w:eastAsia="宋体" w:cs="Times New Roman"/>
          <w:color w:val="auto"/>
          <w:spacing w:val="-3"/>
          <w:sz w:val="24"/>
          <w:szCs w:val="24"/>
          <w:highlight w:val="none"/>
          <w:lang w:eastAsia="zh-CN"/>
        </w:rPr>
        <w:t>、</w:t>
      </w:r>
      <w:r>
        <w:rPr>
          <w:rFonts w:hint="default" w:ascii="Times New Roman" w:hAnsi="Times New Roman" w:eastAsia="宋体" w:cs="Times New Roman"/>
          <w:color w:val="auto"/>
          <w:spacing w:val="-3"/>
          <w:sz w:val="24"/>
          <w:szCs w:val="24"/>
          <w:highlight w:val="none"/>
        </w:rPr>
        <w:t>生态空间管控区域</w:t>
      </w:r>
      <w:r>
        <w:rPr>
          <w:rFonts w:hint="default" w:ascii="Times New Roman" w:hAnsi="Times New Roman" w:eastAsia="宋体" w:cs="Times New Roman"/>
          <w:color w:val="auto"/>
          <w:spacing w:val="-4"/>
          <w:sz w:val="24"/>
          <w:szCs w:val="24"/>
          <w:highlight w:val="none"/>
        </w:rPr>
        <w:t>共有</w:t>
      </w:r>
      <w:r>
        <w:rPr>
          <w:rFonts w:hint="eastAsia" w:ascii="Times New Roman" w:hAnsi="Times New Roman" w:eastAsia="宋体" w:cs="Times New Roman"/>
          <w:color w:val="auto"/>
          <w:spacing w:val="-4"/>
          <w:sz w:val="24"/>
          <w:szCs w:val="24"/>
          <w:highlight w:val="none"/>
          <w:lang w:val="en-US" w:eastAsia="zh-CN"/>
        </w:rPr>
        <w:t>7</w:t>
      </w:r>
      <w:r>
        <w:rPr>
          <w:rFonts w:hint="default" w:ascii="Times New Roman" w:hAnsi="Times New Roman" w:eastAsia="宋体" w:cs="Times New Roman"/>
          <w:color w:val="auto"/>
          <w:spacing w:val="-4"/>
          <w:sz w:val="24"/>
          <w:szCs w:val="24"/>
          <w:highlight w:val="none"/>
        </w:rPr>
        <w:t>个生态敏感目标</w:t>
      </w:r>
      <w:r>
        <w:rPr>
          <w:rFonts w:hint="eastAsia" w:ascii="Times New Roman" w:hAnsi="Times New Roman" w:eastAsia="宋体" w:cs="Times New Roman"/>
          <w:color w:val="auto"/>
          <w:spacing w:val="-4"/>
          <w:sz w:val="24"/>
          <w:szCs w:val="24"/>
          <w:highlight w:val="none"/>
          <w:lang w:eastAsia="zh-CN"/>
        </w:rPr>
        <w:t>，</w:t>
      </w:r>
      <w:r>
        <w:rPr>
          <w:rFonts w:hint="eastAsia" w:ascii="Times New Roman" w:hAnsi="Times New Roman" w:eastAsia="宋体" w:cs="Times New Roman"/>
          <w:color w:val="auto"/>
          <w:kern w:val="44"/>
          <w:sz w:val="24"/>
          <w:szCs w:val="24"/>
          <w:highlight w:val="none"/>
          <w:lang w:val="en-US" w:eastAsia="zh-CN"/>
        </w:rPr>
        <w:t>后续建设项目</w:t>
      </w:r>
      <w:r>
        <w:rPr>
          <w:rFonts w:hint="default" w:ascii="Times New Roman" w:hAnsi="Times New Roman" w:eastAsia="宋体" w:cs="Times New Roman"/>
          <w:color w:val="auto"/>
          <w:kern w:val="2"/>
          <w:sz w:val="24"/>
          <w:szCs w:val="24"/>
          <w:highlight w:val="none"/>
          <w:lang w:val="en-US" w:eastAsia="zh-CN" w:bidi="ar-SA"/>
        </w:rPr>
        <w:t>不</w:t>
      </w:r>
      <w:r>
        <w:rPr>
          <w:rFonts w:hint="eastAsia" w:ascii="Times New Roman" w:hAnsi="Times New Roman" w:eastAsia="宋体" w:cs="Times New Roman"/>
          <w:color w:val="auto"/>
          <w:kern w:val="2"/>
          <w:sz w:val="24"/>
          <w:szCs w:val="24"/>
          <w:highlight w:val="none"/>
          <w:lang w:val="en-US" w:eastAsia="zh-CN" w:bidi="ar-SA"/>
        </w:rPr>
        <w:t>得</w:t>
      </w:r>
      <w:r>
        <w:rPr>
          <w:rFonts w:hint="default" w:ascii="Times New Roman" w:hAnsi="Times New Roman" w:eastAsia="宋体" w:cs="Times New Roman"/>
          <w:color w:val="auto"/>
          <w:kern w:val="2"/>
          <w:sz w:val="24"/>
          <w:szCs w:val="24"/>
          <w:highlight w:val="none"/>
          <w:lang w:val="en-US" w:eastAsia="zh-CN" w:bidi="ar-SA"/>
        </w:rPr>
        <w:t>在其生态管控区内</w:t>
      </w:r>
      <w:r>
        <w:rPr>
          <w:rFonts w:hint="eastAsia" w:ascii="Times New Roman" w:hAnsi="Times New Roman" w:eastAsia="宋体" w:cs="Times New Roman"/>
          <w:color w:val="auto"/>
          <w:spacing w:val="-4"/>
          <w:sz w:val="24"/>
          <w:szCs w:val="24"/>
          <w:highlight w:val="none"/>
          <w:lang w:eastAsia="zh-CN"/>
        </w:rPr>
        <w:t>。</w:t>
      </w:r>
      <w:bookmarkEnd w:id="2529"/>
    </w:p>
    <w:bookmarkEnd w:id="2530"/>
    <w:p w14:paraId="1AA0944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（2）环境质量底线</w:t>
      </w:r>
      <w:bookmarkStart w:id="2532" w:name="pindex15045"/>
      <w:bookmarkEnd w:id="2532"/>
    </w:p>
    <w:p w14:paraId="6DC1F681">
      <w:pPr>
        <w:keepNext w:val="0"/>
        <w:keepLines w:val="0"/>
        <w:pageBreakBefore w:val="0"/>
        <w:widowControl w:val="0"/>
        <w:kinsoku/>
        <w:wordWrap/>
        <w:overflowPunct/>
        <w:topLinePunct w:val="0"/>
        <w:autoSpaceDE/>
        <w:autoSpaceDN/>
        <w:bidi w:val="0"/>
        <w:adjustRightInd/>
        <w:snapToGrid w:val="0"/>
        <w:spacing w:line="360" w:lineRule="auto"/>
        <w:ind w:left="0" w:right="0" w:firstLine="480" w:firstLineChars="200"/>
        <w:contextualSpacing/>
        <w:textAlignment w:val="auto"/>
        <w:outlineLvl w:val="9"/>
        <w:rPr>
          <w:rFonts w:hint="default" w:ascii="Times New Roman" w:hAnsi="Times New Roman" w:cs="Times New Roman"/>
          <w:color w:val="auto"/>
          <w:sz w:val="24"/>
          <w:szCs w:val="24"/>
          <w:highlight w:val="none"/>
        </w:rPr>
      </w:pPr>
      <w:bookmarkStart w:id="2533" w:name="OLE_LINK797"/>
      <w:r>
        <w:rPr>
          <w:rFonts w:hint="eastAsia" w:ascii="Times New Roman" w:hAnsi="Times New Roman" w:eastAsia="宋体" w:cs="Times New Roman"/>
          <w:color w:val="auto"/>
          <w:kern w:val="44"/>
          <w:sz w:val="24"/>
          <w:szCs w:val="24"/>
          <w:highlight w:val="none"/>
          <w:lang w:val="en-US" w:eastAsia="zh-CN"/>
        </w:rPr>
        <w:t>后续建设项目</w:t>
      </w:r>
      <w:r>
        <w:rPr>
          <w:rFonts w:hint="eastAsia" w:ascii="Times New Roman" w:hAnsi="Times New Roman" w:eastAsia="宋体" w:cs="Times New Roman"/>
          <w:color w:val="auto"/>
          <w:sz w:val="24"/>
          <w:szCs w:val="24"/>
          <w:highlight w:val="none"/>
          <w:lang w:val="en-US" w:eastAsia="zh-CN"/>
        </w:rPr>
        <w:t>不得</w:t>
      </w:r>
      <w:r>
        <w:rPr>
          <w:rFonts w:hint="default" w:ascii="Times New Roman" w:hAnsi="Times New Roman" w:cs="Times New Roman"/>
          <w:color w:val="auto"/>
          <w:sz w:val="24"/>
          <w:szCs w:val="24"/>
          <w:highlight w:val="none"/>
          <w:lang w:eastAsia="zh-CN"/>
        </w:rPr>
        <w:t>超过</w:t>
      </w:r>
      <w:r>
        <w:rPr>
          <w:rFonts w:hint="default" w:ascii="Times New Roman" w:hAnsi="Times New Roman" w:cs="Times New Roman"/>
          <w:color w:val="auto"/>
          <w:sz w:val="24"/>
          <w:szCs w:val="24"/>
          <w:highlight w:val="none"/>
        </w:rPr>
        <w:t>环境质量底线。</w:t>
      </w:r>
    </w:p>
    <w:bookmarkEnd w:id="2533"/>
    <w:p w14:paraId="4E9FF3D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（3）资源利用</w:t>
      </w:r>
      <w:sdt>
        <w:sdtPr>
          <w:rPr>
            <w:color w:val="auto"/>
            <w:sz w:val="24"/>
            <w:szCs w:val="24"/>
            <w:highlight w:val="none"/>
          </w:rPr>
          <w:alias w:val="易错词检查"/>
          <w:tag w:val="auto"/>
          <w:id w:val="150355"/>
        </w:sdtPr>
        <w:sdtEndPr>
          <w:rPr>
            <w:color w:val="auto"/>
            <w:sz w:val="24"/>
            <w:szCs w:val="24"/>
            <w:highlight w:val="none"/>
          </w:rPr>
        </w:sdtEndPr>
        <w:sdtContent>
          <w:bookmarkStart w:id="2534" w:name="bkReivew150355"/>
          <w:r>
            <w:rPr>
              <w:rFonts w:hint="default" w:ascii="Times New Roman" w:hAnsi="Times New Roman" w:eastAsia="宋体" w:cs="Times New Roman"/>
              <w:color w:val="auto"/>
              <w:sz w:val="24"/>
              <w:szCs w:val="24"/>
              <w:highlight w:val="none"/>
            </w:rPr>
            <w:t>上线</w:t>
          </w:r>
          <w:bookmarkEnd w:id="2534"/>
        </w:sdtContent>
      </w:sdt>
      <w:bookmarkStart w:id="2535" w:name="pindex15047"/>
      <w:bookmarkEnd w:id="2535"/>
    </w:p>
    <w:p w14:paraId="06347177">
      <w:pPr>
        <w:keepNext w:val="0"/>
        <w:keepLines w:val="0"/>
        <w:pageBreakBefore w:val="0"/>
        <w:widowControl w:val="0"/>
        <w:kinsoku/>
        <w:wordWrap/>
        <w:overflowPunct/>
        <w:topLinePunct w:val="0"/>
        <w:autoSpaceDE/>
        <w:autoSpaceDN/>
        <w:bidi w:val="0"/>
        <w:adjustRightInd/>
        <w:snapToGrid w:val="0"/>
        <w:spacing w:line="360" w:lineRule="auto"/>
        <w:ind w:left="0" w:right="0" w:firstLine="480" w:firstLineChars="200"/>
        <w:contextualSpacing/>
        <w:textAlignment w:val="auto"/>
        <w:outlineLvl w:val="9"/>
        <w:rPr>
          <w:rFonts w:hint="default" w:ascii="Times New Roman" w:hAnsi="Times New Roman" w:cs="Times New Roman"/>
          <w:color w:val="auto"/>
          <w:kern w:val="44"/>
          <w:sz w:val="24"/>
          <w:szCs w:val="24"/>
          <w:highlight w:val="none"/>
        </w:rPr>
      </w:pPr>
      <w:r>
        <w:rPr>
          <w:rFonts w:hint="default" w:ascii="Times New Roman" w:hAnsi="Times New Roman" w:cs="Times New Roman"/>
          <w:color w:val="auto"/>
          <w:kern w:val="44"/>
          <w:sz w:val="24"/>
          <w:szCs w:val="24"/>
          <w:highlight w:val="none"/>
        </w:rPr>
        <w:t>运营过程中耗电量、耗水量和工业蒸汽均</w:t>
      </w:r>
      <w:r>
        <w:rPr>
          <w:rFonts w:hint="eastAsia" w:ascii="Times New Roman" w:hAnsi="Times New Roman" w:eastAsia="宋体" w:cs="Times New Roman"/>
          <w:color w:val="auto"/>
          <w:kern w:val="44"/>
          <w:sz w:val="24"/>
          <w:szCs w:val="24"/>
          <w:highlight w:val="none"/>
          <w:lang w:eastAsia="zh-CN"/>
        </w:rPr>
        <w:t>在</w:t>
      </w:r>
      <w:r>
        <w:rPr>
          <w:rFonts w:hint="default" w:ascii="Times New Roman" w:hAnsi="Times New Roman" w:cs="Times New Roman"/>
          <w:color w:val="auto"/>
          <w:kern w:val="44"/>
          <w:sz w:val="24"/>
          <w:szCs w:val="24"/>
          <w:highlight w:val="none"/>
        </w:rPr>
        <w:t>城市供电、供水、供气、供热负荷范围内，</w:t>
      </w:r>
      <w:r>
        <w:rPr>
          <w:rFonts w:hint="eastAsia" w:ascii="Times New Roman" w:hAnsi="Times New Roman" w:eastAsia="宋体" w:cs="Times New Roman"/>
          <w:color w:val="auto"/>
          <w:kern w:val="44"/>
          <w:sz w:val="24"/>
          <w:szCs w:val="24"/>
          <w:highlight w:val="none"/>
          <w:lang w:val="en-US" w:eastAsia="zh-CN"/>
        </w:rPr>
        <w:t>后续建设项目</w:t>
      </w:r>
      <w:r>
        <w:rPr>
          <w:rFonts w:hint="default" w:ascii="Times New Roman" w:hAnsi="Times New Roman" w:cs="Times New Roman"/>
          <w:color w:val="auto"/>
          <w:kern w:val="44"/>
          <w:sz w:val="24"/>
          <w:szCs w:val="24"/>
          <w:highlight w:val="none"/>
        </w:rPr>
        <w:t>不</w:t>
      </w:r>
      <w:r>
        <w:rPr>
          <w:rFonts w:hint="eastAsia" w:ascii="Times New Roman" w:hAnsi="Times New Roman" w:eastAsia="宋体" w:cs="Times New Roman"/>
          <w:color w:val="auto"/>
          <w:kern w:val="44"/>
          <w:sz w:val="24"/>
          <w:szCs w:val="24"/>
          <w:highlight w:val="none"/>
          <w:lang w:val="en-US" w:eastAsia="zh-CN"/>
        </w:rPr>
        <w:t>得</w:t>
      </w:r>
      <w:r>
        <w:rPr>
          <w:rFonts w:hint="default" w:ascii="Times New Roman" w:hAnsi="Times New Roman" w:cs="Times New Roman"/>
          <w:color w:val="auto"/>
          <w:kern w:val="44"/>
          <w:sz w:val="24"/>
          <w:szCs w:val="24"/>
          <w:highlight w:val="none"/>
        </w:rPr>
        <w:t>超出资源利用</w:t>
      </w:r>
      <w:sdt>
        <w:sdtPr>
          <w:rPr>
            <w:color w:val="auto"/>
            <w:sz w:val="24"/>
            <w:szCs w:val="24"/>
            <w:highlight w:val="none"/>
          </w:rPr>
          <w:alias w:val="易错词检查"/>
          <w:tag w:val="auto"/>
          <w:id w:val="2115"/>
        </w:sdtPr>
        <w:sdtEndPr>
          <w:rPr>
            <w:color w:val="auto"/>
            <w:sz w:val="24"/>
            <w:szCs w:val="24"/>
            <w:highlight w:val="none"/>
          </w:rPr>
        </w:sdtEndPr>
        <w:sdtContent>
          <w:bookmarkStart w:id="2536" w:name="bkReivew2115"/>
          <w:r>
            <w:rPr>
              <w:rFonts w:hint="default" w:ascii="Times New Roman" w:hAnsi="Times New Roman" w:cs="Times New Roman"/>
              <w:color w:val="auto"/>
              <w:kern w:val="44"/>
              <w:sz w:val="24"/>
              <w:szCs w:val="24"/>
              <w:highlight w:val="none"/>
            </w:rPr>
            <w:t>上线</w:t>
          </w:r>
          <w:bookmarkEnd w:id="2536"/>
        </w:sdtContent>
      </w:sdt>
      <w:r>
        <w:rPr>
          <w:rFonts w:hint="default" w:ascii="Times New Roman" w:hAnsi="Times New Roman" w:cs="Times New Roman"/>
          <w:color w:val="auto"/>
          <w:kern w:val="44"/>
          <w:sz w:val="24"/>
          <w:szCs w:val="24"/>
          <w:highlight w:val="none"/>
        </w:rPr>
        <w:t>。</w:t>
      </w:r>
    </w:p>
    <w:p w14:paraId="3568661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2537" w:name="OLE_LINK808"/>
      <w:r>
        <w:rPr>
          <w:rFonts w:hint="default" w:ascii="Times New Roman" w:hAnsi="Times New Roman" w:eastAsia="宋体" w:cs="Times New Roman"/>
          <w:color w:val="auto"/>
          <w:sz w:val="24"/>
          <w:szCs w:val="24"/>
          <w:highlight w:val="none"/>
        </w:rPr>
        <w:t>（4）环境准入清单相符性</w:t>
      </w:r>
      <w:bookmarkEnd w:id="2537"/>
      <w:bookmarkStart w:id="2538" w:name="pindex15049"/>
      <w:bookmarkEnd w:id="2538"/>
    </w:p>
    <w:p w14:paraId="45937880">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lang w:eastAsia="zh-CN"/>
        </w:rPr>
      </w:pPr>
      <w:bookmarkStart w:id="2539" w:name="OLE_LINK798"/>
      <w:r>
        <w:rPr>
          <w:rFonts w:hint="eastAsia" w:ascii="Times New Roman" w:hAnsi="Times New Roman" w:eastAsia="宋体" w:cs="Times New Roman"/>
          <w:color w:val="auto"/>
          <w:kern w:val="44"/>
          <w:sz w:val="24"/>
          <w:szCs w:val="24"/>
          <w:highlight w:val="none"/>
          <w:lang w:val="en-US" w:eastAsia="zh-CN"/>
        </w:rPr>
        <w:t>后续建设项目需</w:t>
      </w:r>
      <w:r>
        <w:rPr>
          <w:rFonts w:hint="default" w:ascii="Times New Roman" w:hAnsi="Times New Roman" w:cs="Times New Roman"/>
          <w:color w:val="auto"/>
          <w:kern w:val="44"/>
          <w:sz w:val="24"/>
          <w:szCs w:val="24"/>
          <w:highlight w:val="none"/>
        </w:rPr>
        <w:t>对照</w:t>
      </w:r>
      <w:r>
        <w:rPr>
          <w:rFonts w:hint="default" w:ascii="Times New Roman" w:hAnsi="Times New Roman" w:eastAsia="宋体" w:cs="Times New Roman"/>
          <w:bCs/>
          <w:color w:val="auto"/>
          <w:sz w:val="24"/>
          <w:szCs w:val="24"/>
          <w:highlight w:val="none"/>
          <w:lang w:val="zh-CN" w:eastAsia="zh-CN"/>
        </w:rPr>
        <w:t>江宁经济技术开</w:t>
      </w:r>
      <w:r>
        <w:rPr>
          <w:rFonts w:hint="default" w:ascii="Times New Roman" w:hAnsi="Times New Roman" w:eastAsia="宋体" w:cs="Times New Roman"/>
          <w:color w:val="auto"/>
          <w:sz w:val="24"/>
          <w:szCs w:val="24"/>
          <w:highlight w:val="none"/>
          <w:lang w:val="zh-CN" w:eastAsia="zh-CN"/>
        </w:rPr>
        <w:t>发区内重点管控单元</w:t>
      </w:r>
      <w:r>
        <w:rPr>
          <w:rFonts w:hint="default" w:ascii="Times New Roman" w:hAnsi="Times New Roman" w:eastAsia="宋体" w:cs="Times New Roman"/>
          <w:color w:val="auto"/>
          <w:sz w:val="24"/>
          <w:szCs w:val="24"/>
          <w:highlight w:val="none"/>
          <w:lang w:val="en-US" w:eastAsia="zh-CN"/>
        </w:rPr>
        <w:t>生态环境准入清单，</w:t>
      </w:r>
      <w:r>
        <w:rPr>
          <w:rFonts w:hint="eastAsia" w:ascii="Times New Roman" w:hAnsi="Times New Roman" w:eastAsia="宋体" w:cs="Times New Roman"/>
          <w:color w:val="auto"/>
          <w:sz w:val="24"/>
          <w:szCs w:val="24"/>
          <w:highlight w:val="none"/>
          <w:lang w:val="en-US" w:eastAsia="zh-CN"/>
        </w:rPr>
        <w:t>并</w:t>
      </w:r>
      <w:r>
        <w:rPr>
          <w:rFonts w:hint="default" w:ascii="Times New Roman" w:hAnsi="Times New Roman" w:eastAsia="宋体" w:cs="Times New Roman"/>
          <w:color w:val="auto"/>
          <w:sz w:val="24"/>
          <w:szCs w:val="24"/>
          <w:highlight w:val="none"/>
          <w:lang w:val="en-US" w:eastAsia="zh-CN"/>
        </w:rPr>
        <w:t>满足要求</w:t>
      </w:r>
      <w:r>
        <w:rPr>
          <w:rFonts w:hint="default" w:ascii="Times New Roman" w:hAnsi="Times New Roman" w:eastAsia="宋体" w:cs="Times New Roman"/>
          <w:color w:val="auto"/>
          <w:sz w:val="24"/>
          <w:szCs w:val="24"/>
          <w:highlight w:val="none"/>
          <w:lang w:eastAsia="zh-CN"/>
        </w:rPr>
        <w:t>。</w:t>
      </w:r>
      <w:bookmarkEnd w:id="2539"/>
      <w:bookmarkStart w:id="2540" w:name="bookmark89"/>
      <w:bookmarkEnd w:id="2540"/>
      <w:bookmarkStart w:id="2541" w:name="OLE_LINK721"/>
    </w:p>
    <w:p w14:paraId="6832E395">
      <w:pPr>
        <w:keepNext w:val="0"/>
        <w:keepLines w:val="0"/>
        <w:pageBreakBefore w:val="0"/>
        <w:widowControl/>
        <w:kinsoku/>
        <w:wordWrap/>
        <w:overflowPunct/>
        <w:topLinePunct w:val="0"/>
        <w:autoSpaceDE w:val="0"/>
        <w:autoSpaceDN w:val="0"/>
        <w:bidi w:val="0"/>
        <w:adjustRightInd w:val="0"/>
        <w:snapToGrid w:val="0"/>
        <w:spacing w:line="360" w:lineRule="auto"/>
        <w:textAlignment w:val="baseline"/>
        <w:outlineLvl w:val="1"/>
        <w:rPr>
          <w:rFonts w:ascii="Times New Roman" w:hAnsi="Times New Roman" w:eastAsia="Times New Roman" w:cs="Times New Roman"/>
          <w:b/>
          <w:bCs/>
          <w:color w:val="auto"/>
          <w:spacing w:val="-2"/>
          <w:sz w:val="24"/>
          <w:szCs w:val="24"/>
          <w:highlight w:val="none"/>
        </w:rPr>
      </w:pPr>
      <w:bookmarkStart w:id="2542" w:name="_Toc29605"/>
      <w:r>
        <w:rPr>
          <w:rFonts w:hint="eastAsia" w:ascii="Times New Roman" w:hAnsi="Times New Roman" w:eastAsia="宋体" w:cs="Times New Roman"/>
          <w:b/>
          <w:bCs/>
          <w:color w:val="auto"/>
          <w:spacing w:val="-2"/>
          <w:sz w:val="24"/>
          <w:szCs w:val="24"/>
          <w:highlight w:val="none"/>
          <w:lang w:val="en-US" w:eastAsia="zh-CN"/>
        </w:rPr>
        <w:t>11</w:t>
      </w:r>
      <w:r>
        <w:rPr>
          <w:rFonts w:ascii="Times New Roman" w:hAnsi="Times New Roman" w:eastAsia="Times New Roman" w:cs="Times New Roman"/>
          <w:b/>
          <w:bCs/>
          <w:color w:val="auto"/>
          <w:spacing w:val="-2"/>
          <w:sz w:val="24"/>
          <w:szCs w:val="24"/>
          <w:highlight w:val="none"/>
        </w:rPr>
        <w:t>.2成果应用</w:t>
      </w:r>
      <w:bookmarkEnd w:id="2542"/>
      <w:bookmarkStart w:id="2543" w:name="pindex15051"/>
      <w:bookmarkEnd w:id="2543"/>
    </w:p>
    <w:bookmarkEnd w:id="2541"/>
    <w:p w14:paraId="1277D05E">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hint="eastAsia" w:ascii="Times New Roman" w:hAnsi="Times New Roman" w:eastAsia="宋体" w:cs="Times New Roman"/>
          <w:b/>
          <w:bCs/>
          <w:color w:val="auto"/>
          <w:sz w:val="24"/>
          <w:szCs w:val="24"/>
          <w:highlight w:val="none"/>
          <w:lang w:val="en-US" w:eastAsia="zh-CN"/>
        </w:rPr>
      </w:pPr>
      <w:bookmarkStart w:id="2544" w:name="_Toc2528"/>
      <w:bookmarkStart w:id="2545" w:name="_Toc29749"/>
      <w:r>
        <w:rPr>
          <w:rFonts w:hint="eastAsia" w:ascii="Times New Roman" w:hAnsi="Times New Roman" w:eastAsia="宋体" w:cs="Times New Roman"/>
          <w:b/>
          <w:bCs/>
          <w:color w:val="auto"/>
          <w:sz w:val="24"/>
          <w:szCs w:val="24"/>
          <w:highlight w:val="none"/>
          <w:lang w:val="en-US" w:eastAsia="zh-CN"/>
        </w:rPr>
        <w:t>11.2.1资料共享</w:t>
      </w:r>
      <w:bookmarkEnd w:id="2544"/>
      <w:bookmarkEnd w:id="2545"/>
      <w:bookmarkStart w:id="2546" w:name="pindex15052"/>
      <w:bookmarkEnd w:id="2546"/>
    </w:p>
    <w:p w14:paraId="18B6900D">
      <w:pPr>
        <w:keepNext w:val="0"/>
        <w:keepLines w:val="0"/>
        <w:pageBreakBefore w:val="0"/>
        <w:widowControl/>
        <w:kinsoku w:val="0"/>
        <w:wordWrap/>
        <w:overflowPunct/>
        <w:topLinePunct w:val="0"/>
        <w:autoSpaceDE w:val="0"/>
        <w:autoSpaceDN w:val="0"/>
        <w:bidi w:val="0"/>
        <w:adjustRightInd w:val="0"/>
        <w:snapToGrid w:val="0"/>
        <w:spacing w:line="360" w:lineRule="auto"/>
        <w:ind w:firstLine="468" w:firstLineChars="200"/>
        <w:textAlignment w:val="baseline"/>
        <w:rPr>
          <w:rFonts w:ascii="宋体" w:hAnsi="宋体" w:eastAsia="宋体" w:cs="宋体"/>
          <w:color w:val="auto"/>
          <w:spacing w:val="-3"/>
          <w:sz w:val="24"/>
          <w:szCs w:val="24"/>
          <w:highlight w:val="none"/>
        </w:rPr>
      </w:pPr>
      <w:bookmarkStart w:id="2547" w:name="sys15053083"/>
      <w:r>
        <w:rPr>
          <w:rFonts w:ascii="宋体" w:hAnsi="宋体" w:eastAsia="宋体" w:cs="宋体"/>
          <w:color w:val="auto"/>
          <w:spacing w:val="-3"/>
          <w:sz w:val="24"/>
          <w:szCs w:val="24"/>
          <w:highlight w:val="none"/>
        </w:rPr>
        <w:t>对于入区的建设项目，区域评估报告中环境质量现状、污染源调</w:t>
      </w:r>
      <w:r>
        <w:rPr>
          <w:rFonts w:ascii="宋体" w:hAnsi="宋体" w:eastAsia="宋体" w:cs="宋体"/>
          <w:color w:val="auto"/>
          <w:spacing w:val="-4"/>
          <w:sz w:val="24"/>
          <w:szCs w:val="24"/>
          <w:highlight w:val="none"/>
        </w:rPr>
        <w:t>查、自然环</w:t>
      </w:r>
      <w:r>
        <w:rPr>
          <w:rFonts w:ascii="宋体" w:hAnsi="宋体" w:eastAsia="宋体" w:cs="宋体"/>
          <w:color w:val="auto"/>
          <w:spacing w:val="-1"/>
          <w:sz w:val="24"/>
          <w:szCs w:val="24"/>
          <w:highlight w:val="none"/>
        </w:rPr>
        <w:t>境概况、基础设施建设、园区现有同类企业先进经验等</w:t>
      </w:r>
      <w:r>
        <w:rPr>
          <w:rFonts w:ascii="宋体" w:hAnsi="宋体" w:eastAsia="宋体" w:cs="宋体"/>
          <w:color w:val="auto"/>
          <w:spacing w:val="-2"/>
          <w:sz w:val="24"/>
          <w:szCs w:val="24"/>
          <w:highlight w:val="none"/>
        </w:rPr>
        <w:t>可供建设项目环评共享，</w:t>
      </w:r>
      <w:r>
        <w:rPr>
          <w:rFonts w:ascii="宋体" w:hAnsi="宋体" w:eastAsia="宋体" w:cs="宋体"/>
          <w:color w:val="auto"/>
          <w:spacing w:val="-3"/>
          <w:sz w:val="24"/>
          <w:szCs w:val="24"/>
          <w:highlight w:val="none"/>
        </w:rPr>
        <w:t>以减轻企业负担，节约社会资源。</w:t>
      </w:r>
      <w:bookmarkEnd w:id="2547"/>
    </w:p>
    <w:p w14:paraId="2E1867D1">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ascii="Times New Roman" w:hAnsi="Times New Roman" w:eastAsia="Times New Roman" w:cs="Times New Roman"/>
          <w:b/>
          <w:bCs/>
          <w:color w:val="auto"/>
          <w:spacing w:val="-2"/>
          <w:sz w:val="24"/>
          <w:szCs w:val="24"/>
          <w:highlight w:val="none"/>
        </w:rPr>
      </w:pPr>
      <w:bookmarkStart w:id="2548" w:name="_Toc26783"/>
      <w:bookmarkStart w:id="2549" w:name="_Toc32628"/>
      <w:r>
        <w:rPr>
          <w:rFonts w:hint="eastAsia" w:ascii="Times New Roman" w:hAnsi="Times New Roman" w:eastAsia="宋体" w:cs="Times New Roman"/>
          <w:b/>
          <w:bCs/>
          <w:color w:val="auto"/>
          <w:spacing w:val="-2"/>
          <w:sz w:val="24"/>
          <w:szCs w:val="24"/>
          <w:highlight w:val="none"/>
          <w:lang w:val="en-US" w:eastAsia="zh-CN"/>
        </w:rPr>
        <w:t>11</w:t>
      </w:r>
      <w:r>
        <w:rPr>
          <w:rFonts w:ascii="Times New Roman" w:hAnsi="Times New Roman" w:eastAsia="Times New Roman" w:cs="Times New Roman"/>
          <w:b/>
          <w:bCs/>
          <w:color w:val="auto"/>
          <w:spacing w:val="-2"/>
          <w:sz w:val="24"/>
          <w:szCs w:val="24"/>
          <w:highlight w:val="none"/>
        </w:rPr>
        <w:t>.2.2简化环评编制内容</w:t>
      </w:r>
      <w:bookmarkEnd w:id="2548"/>
      <w:bookmarkEnd w:id="2549"/>
      <w:bookmarkStart w:id="2550" w:name="pindex15054"/>
      <w:bookmarkEnd w:id="2550"/>
    </w:p>
    <w:p w14:paraId="5D02E53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区内与规划环评审查意见相符的建设项目，其环境影响报告可适当简化，部分结论、编制依据、环境质量现状、污染源调查、自然环境概况等相关内容和数据可以直接引用区域评估成果。</w:t>
      </w:r>
    </w:p>
    <w:p w14:paraId="2016408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2551" w:name="_Toc22895"/>
      <w:r>
        <w:rPr>
          <w:rFonts w:hint="default" w:ascii="Times New Roman" w:hAnsi="Times New Roman" w:eastAsia="宋体" w:cs="Times New Roman"/>
          <w:color w:val="auto"/>
          <w:sz w:val="24"/>
          <w:szCs w:val="24"/>
          <w:highlight w:val="none"/>
        </w:rPr>
        <w:t>1．直接引用区域评估内容</w:t>
      </w:r>
      <w:bookmarkEnd w:id="2551"/>
      <w:bookmarkStart w:id="2552" w:name="pindex15056"/>
      <w:bookmarkEnd w:id="2552"/>
    </w:p>
    <w:p w14:paraId="2C508741">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（1）部分结论直接引用。</w:t>
      </w:r>
      <w:bookmarkStart w:id="2553" w:name="sys1505712187"/>
      <w:r>
        <w:rPr>
          <w:rFonts w:hint="default" w:ascii="Times New Roman" w:hAnsi="Times New Roman" w:eastAsia="宋体" w:cs="Times New Roman"/>
          <w:color w:val="auto"/>
          <w:sz w:val="24"/>
          <w:szCs w:val="24"/>
          <w:highlight w:val="none"/>
        </w:rPr>
        <w:t>区域评估范围内项目环评报告直接引用区域评估成果结论，相关内容不再逐一展开比对分析：建设项目选址选线、规模、性质和工艺路线等与国家和地方有关环境保护法律法规、标准、政策、规范、相关规划、规划环境影响评价结论及审查意见的比对分析；与生态保护红线、环境质量底线、资源利用上线和环境准入清单的比对分析；项目建设与省市各项管理工作要求、环境基础设施依托、环境承载力及影响等的比对分析。</w:t>
      </w:r>
      <w:bookmarkEnd w:id="2553"/>
      <w:bookmarkStart w:id="2554" w:name="pindex15057"/>
      <w:bookmarkEnd w:id="2554"/>
    </w:p>
    <w:p w14:paraId="3852737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（2）编制依据直接引用。</w:t>
      </w:r>
      <w:bookmarkStart w:id="2555" w:name="sys150581272"/>
      <w:r>
        <w:rPr>
          <w:rFonts w:hint="default" w:ascii="Times New Roman" w:hAnsi="Times New Roman" w:eastAsia="宋体" w:cs="Times New Roman"/>
          <w:color w:val="auto"/>
          <w:sz w:val="24"/>
          <w:szCs w:val="24"/>
          <w:highlight w:val="none"/>
        </w:rPr>
        <w:t>项目环评报告编制涉及的国家和地方有关环境保护法律法规、标准、政策、规范、政府管理文件、技术导则、技术指南、排放标准直接引用区域评估成果相关内容。</w:t>
      </w:r>
      <w:bookmarkEnd w:id="2555"/>
      <w:bookmarkStart w:id="2556" w:name="pindex15058"/>
      <w:bookmarkEnd w:id="2556"/>
    </w:p>
    <w:p w14:paraId="5C979AA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（3）现状评价直接引用。</w:t>
      </w:r>
      <w:bookmarkStart w:id="2557" w:name="sys1505912100"/>
      <w:r>
        <w:rPr>
          <w:rFonts w:hint="default" w:ascii="Times New Roman" w:hAnsi="Times New Roman" w:eastAsia="宋体" w:cs="Times New Roman"/>
          <w:color w:val="auto"/>
          <w:sz w:val="24"/>
          <w:szCs w:val="24"/>
          <w:highlight w:val="none"/>
        </w:rPr>
        <w:t>项目环评报告中现状调查与评价相关内容直接引用区域评估成果，具体包括：自然环境现状调查与评价（包括地形地貌、气候与气象、地质、水文、大气、地表水、地下水、声、生态、土壤、海洋、放射性及辐射等调查内容）；</w:t>
      </w:r>
      <w:bookmarkEnd w:id="2557"/>
      <w:r>
        <w:rPr>
          <w:rFonts w:hint="default" w:ascii="Times New Roman" w:hAnsi="Times New Roman" w:eastAsia="宋体" w:cs="Times New Roman"/>
          <w:color w:val="auto"/>
          <w:sz w:val="24"/>
          <w:szCs w:val="24"/>
          <w:highlight w:val="none"/>
        </w:rPr>
        <w:t>环境质量现状调查与评价；区域污染源调查等。</w:t>
      </w:r>
      <w:bookmarkStart w:id="2558" w:name="pindex15059"/>
      <w:bookmarkEnd w:id="2558"/>
    </w:p>
    <w:p w14:paraId="4681D63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2559" w:name="_Toc3720"/>
      <w:r>
        <w:rPr>
          <w:rFonts w:hint="default" w:ascii="Times New Roman" w:hAnsi="Times New Roman" w:eastAsia="宋体" w:cs="Times New Roman"/>
          <w:color w:val="auto"/>
          <w:sz w:val="24"/>
          <w:szCs w:val="24"/>
          <w:highlight w:val="none"/>
        </w:rPr>
        <w:t>2．充分利用其他评估成果</w:t>
      </w:r>
      <w:bookmarkEnd w:id="2559"/>
      <w:bookmarkStart w:id="2560" w:name="pindex15060"/>
      <w:bookmarkEnd w:id="2560"/>
    </w:p>
    <w:p w14:paraId="0FE57B1D">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2561" w:name="sys150610101"/>
      <w:r>
        <w:rPr>
          <w:rFonts w:hint="default" w:ascii="Times New Roman" w:hAnsi="Times New Roman" w:eastAsia="宋体" w:cs="Times New Roman"/>
          <w:color w:val="auto"/>
          <w:sz w:val="24"/>
          <w:szCs w:val="24"/>
          <w:highlight w:val="none"/>
        </w:rPr>
        <w:t>项目环评报告中现状调查及环境影响预测涉及的，与地形地貌、气候与气象、地质、水文、大气、地表水、地下水、声、生态、土壤等相关内容，可充分利用该区域同步开展的其他评估事项的区域评估成果，直接引用相关的内容。</w:t>
      </w:r>
      <w:bookmarkEnd w:id="2561"/>
    </w:p>
    <w:p w14:paraId="0557609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2562" w:name="_Toc17299"/>
      <w:r>
        <w:rPr>
          <w:rFonts w:hint="default" w:ascii="Times New Roman" w:hAnsi="Times New Roman" w:eastAsia="宋体" w:cs="Times New Roman"/>
          <w:color w:val="auto"/>
          <w:sz w:val="24"/>
          <w:szCs w:val="24"/>
          <w:highlight w:val="none"/>
        </w:rPr>
        <w:t>3．参考各项经验成果</w:t>
      </w:r>
      <w:bookmarkEnd w:id="2562"/>
      <w:bookmarkStart w:id="2563" w:name="pindex15062"/>
      <w:bookmarkEnd w:id="2563"/>
    </w:p>
    <w:p w14:paraId="17E555F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2564" w:name="sys150630143"/>
      <w:r>
        <w:rPr>
          <w:rFonts w:hint="default" w:ascii="Times New Roman" w:hAnsi="Times New Roman" w:eastAsia="宋体" w:cs="Times New Roman"/>
          <w:color w:val="auto"/>
          <w:sz w:val="24"/>
          <w:szCs w:val="24"/>
          <w:highlight w:val="none"/>
        </w:rPr>
        <w:t>在项目环评报告编制阶段，在符合保密要求前提下，可充分参考项目所在周边区域现有同类企业污染治理技术、污染防治措施、环境风险防控经验，作为论证本项目拟采取措施的技术可行性、经济合理性、长期稳定运行和达标排放的可靠性、满足环境质量改善和排污许可要求的可行性、生态保护和恢复效果的可达性的依据。</w:t>
      </w:r>
      <w:bookmarkEnd w:id="2564"/>
    </w:p>
    <w:p w14:paraId="7860F028">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2"/>
        <w:rPr>
          <w:rFonts w:ascii="Times New Roman" w:hAnsi="Times New Roman" w:eastAsia="Times New Roman" w:cs="Times New Roman"/>
          <w:b/>
          <w:bCs/>
          <w:color w:val="auto"/>
          <w:spacing w:val="-2"/>
          <w:sz w:val="24"/>
          <w:szCs w:val="24"/>
          <w:highlight w:val="none"/>
        </w:rPr>
      </w:pPr>
      <w:bookmarkStart w:id="2565" w:name="_Toc31679"/>
      <w:bookmarkStart w:id="2566" w:name="_Toc3870"/>
      <w:r>
        <w:rPr>
          <w:rFonts w:hint="eastAsia" w:ascii="Times New Roman" w:hAnsi="Times New Roman" w:eastAsia="宋体" w:cs="Times New Roman"/>
          <w:b/>
          <w:bCs/>
          <w:color w:val="auto"/>
          <w:sz w:val="24"/>
          <w:szCs w:val="24"/>
          <w:highlight w:val="none"/>
          <w:lang w:val="en-US" w:eastAsia="zh-CN"/>
        </w:rPr>
        <w:t>11</w:t>
      </w:r>
      <w:r>
        <w:rPr>
          <w:rFonts w:ascii="Times New Roman" w:hAnsi="Times New Roman" w:eastAsia="Times New Roman" w:cs="Times New Roman"/>
          <w:b/>
          <w:bCs/>
          <w:color w:val="auto"/>
          <w:spacing w:val="-2"/>
          <w:sz w:val="24"/>
          <w:szCs w:val="24"/>
          <w:highlight w:val="none"/>
        </w:rPr>
        <w:t>.2.3简化环评审批流程</w:t>
      </w:r>
      <w:bookmarkEnd w:id="2565"/>
      <w:bookmarkEnd w:id="2566"/>
      <w:bookmarkStart w:id="2567" w:name="pindex15064"/>
      <w:bookmarkEnd w:id="2567"/>
    </w:p>
    <w:p w14:paraId="54FF5B1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2568" w:name="_Toc30053"/>
      <w:r>
        <w:rPr>
          <w:rFonts w:hint="default" w:ascii="Times New Roman" w:hAnsi="Times New Roman" w:eastAsia="宋体" w:cs="Times New Roman"/>
          <w:color w:val="auto"/>
          <w:sz w:val="24"/>
          <w:szCs w:val="24"/>
          <w:highlight w:val="none"/>
        </w:rPr>
        <w:t>1．简化公众参与方式</w:t>
      </w:r>
      <w:bookmarkEnd w:id="2568"/>
      <w:bookmarkStart w:id="2569" w:name="pindex15065"/>
      <w:bookmarkEnd w:id="2569"/>
    </w:p>
    <w:p w14:paraId="1284074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bookmarkStart w:id="2570" w:name="sys150660223"/>
      <w:r>
        <w:rPr>
          <w:rFonts w:hint="default" w:ascii="Times New Roman" w:hAnsi="Times New Roman" w:eastAsia="宋体" w:cs="Times New Roman"/>
          <w:color w:val="auto"/>
          <w:sz w:val="24"/>
          <w:szCs w:val="24"/>
          <w:highlight w:val="none"/>
        </w:rPr>
        <w:t>与规划环评及审查意见（如有）相符的建设项目，建设单位在开展公众参与时，可根据《环境影响评价公众参与办法》规定的方式予以简化。具体方式：免予开展《环境影响评价公众参与办法》第九条规定的公开程序，相关应当公开的内容纳入《环境影响评价公众参与办法》第十条规定的公开内容一并公开；《环境影响评价公众参与办法》第十条第二款和第十一条第一款规定的10个工作日的期限减为5个工作日；免予采用《环境影响评价公众参与办法》第十一条第一款第三项规定的张贴公告的方式。</w:t>
      </w:r>
      <w:bookmarkEnd w:id="2570"/>
    </w:p>
    <w:p w14:paraId="679FCF3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2571" w:name="_Toc3339"/>
      <w:r>
        <w:rPr>
          <w:rFonts w:hint="default" w:ascii="Times New Roman" w:hAnsi="Times New Roman" w:eastAsia="宋体" w:cs="Times New Roman"/>
          <w:color w:val="auto"/>
          <w:sz w:val="24"/>
          <w:szCs w:val="24"/>
          <w:highlight w:val="none"/>
        </w:rPr>
        <w:t>2．加快评估流程</w:t>
      </w:r>
      <w:bookmarkEnd w:id="2571"/>
      <w:bookmarkStart w:id="2572" w:name="pindex15067"/>
      <w:bookmarkEnd w:id="2572"/>
    </w:p>
    <w:p w14:paraId="4E34DB7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需编制环评报告表的项目不再进行技术评估；</w:t>
      </w:r>
      <w:bookmarkStart w:id="2573" w:name="sys150682079"/>
      <w:r>
        <w:rPr>
          <w:rFonts w:hint="default" w:ascii="Times New Roman" w:hAnsi="Times New Roman" w:eastAsia="宋体" w:cs="Times New Roman"/>
          <w:color w:val="auto"/>
          <w:sz w:val="24"/>
          <w:szCs w:val="24"/>
          <w:highlight w:val="none"/>
        </w:rPr>
        <w:t>需编制环评报告书的项目评估机构即到即受理，对需要进行现场踏勘的，充分运用视频、互联网等信息化手段开展工作，专家咨询可以通过函审方式进行，最大限度缩短评估时限。</w:t>
      </w:r>
      <w:bookmarkEnd w:id="2573"/>
    </w:p>
    <w:p w14:paraId="4FC04CA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default" w:ascii="Times New Roman" w:hAnsi="Times New Roman" w:eastAsia="宋体" w:cs="Times New Roman"/>
          <w:color w:val="auto"/>
          <w:sz w:val="24"/>
          <w:szCs w:val="24"/>
          <w:highlight w:val="none"/>
        </w:rPr>
      </w:pPr>
      <w:bookmarkStart w:id="2574" w:name="_Toc14107"/>
      <w:r>
        <w:rPr>
          <w:rFonts w:hint="default" w:ascii="Times New Roman" w:hAnsi="Times New Roman" w:eastAsia="宋体" w:cs="Times New Roman"/>
          <w:color w:val="auto"/>
          <w:sz w:val="24"/>
          <w:szCs w:val="24"/>
          <w:highlight w:val="none"/>
        </w:rPr>
        <w:t>3．压缩审批时限</w:t>
      </w:r>
      <w:bookmarkEnd w:id="2574"/>
      <w:bookmarkStart w:id="2575" w:name="pindex15069"/>
      <w:bookmarkEnd w:id="2575"/>
    </w:p>
    <w:p w14:paraId="454F6BAC">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textAlignment w:val="baseline"/>
        <w:rPr>
          <w:color w:val="auto"/>
          <w:sz w:val="24"/>
          <w:szCs w:val="24"/>
          <w:highlight w:val="none"/>
        </w:rPr>
      </w:pPr>
      <w:bookmarkStart w:id="2576" w:name="sys15070035"/>
      <w:r>
        <w:rPr>
          <w:rFonts w:hint="default" w:ascii="Times New Roman" w:hAnsi="Times New Roman" w:eastAsia="宋体" w:cs="Times New Roman"/>
          <w:color w:val="auto"/>
          <w:sz w:val="24"/>
          <w:szCs w:val="24"/>
          <w:highlight w:val="none"/>
        </w:rPr>
        <w:t>区域评估范围内建设项目纳入环评审批“绿色通道”，最大限度提高审批效率。</w:t>
      </w:r>
      <w:bookmarkEnd w:id="2576"/>
    </w:p>
    <w:p w14:paraId="3C2801B6">
      <w:pPr>
        <w:spacing w:before="175" w:line="357" w:lineRule="auto"/>
        <w:ind w:left="36" w:right="127" w:firstLine="481"/>
        <w:jc w:val="both"/>
        <w:rPr>
          <w:rFonts w:ascii="宋体" w:hAnsi="宋体" w:eastAsia="宋体" w:cs="宋体"/>
          <w:color w:val="auto"/>
          <w:spacing w:val="-1"/>
          <w:sz w:val="24"/>
          <w:szCs w:val="24"/>
          <w:highlight w:val="none"/>
        </w:rPr>
        <w:sectPr>
          <w:pgSz w:w="11907" w:h="16839"/>
          <w:pgMar w:top="1175" w:right="1593" w:bottom="1622" w:left="1771" w:header="862" w:footer="1445" w:gutter="0"/>
          <w:pgBorders>
            <w:top w:val="none" w:sz="0" w:space="0"/>
            <w:left w:val="none" w:sz="0" w:space="0"/>
            <w:bottom w:val="none" w:sz="0" w:space="0"/>
            <w:right w:val="none" w:sz="0" w:space="0"/>
          </w:pgBorders>
          <w:pgNumType w:fmt="decimal"/>
          <w:cols w:space="720" w:num="1"/>
        </w:sectPr>
      </w:pPr>
    </w:p>
    <w:p w14:paraId="7A1E52AB">
      <w:pPr>
        <w:spacing w:before="175" w:line="357" w:lineRule="auto"/>
        <w:ind w:right="127"/>
        <w:jc w:val="both"/>
        <w:outlineLvl w:val="0"/>
        <w:rPr>
          <w:rFonts w:hint="eastAsia" w:ascii="宋体" w:hAnsi="宋体" w:eastAsia="宋体" w:cs="宋体"/>
          <w:b/>
          <w:bCs/>
          <w:color w:val="auto"/>
          <w:spacing w:val="-1"/>
          <w:sz w:val="28"/>
          <w:szCs w:val="28"/>
          <w:highlight w:val="none"/>
          <w:lang w:val="en-US" w:eastAsia="zh-CN"/>
        </w:rPr>
      </w:pPr>
      <w:bookmarkStart w:id="2577" w:name="_Toc14649"/>
      <w:r>
        <w:rPr>
          <w:rFonts w:hint="eastAsia" w:ascii="宋体" w:hAnsi="宋体" w:eastAsia="宋体" w:cs="宋体"/>
          <w:b/>
          <w:bCs/>
          <w:color w:val="auto"/>
          <w:spacing w:val="-1"/>
          <w:sz w:val="28"/>
          <w:szCs w:val="28"/>
          <w:highlight w:val="none"/>
          <w:lang w:val="en-US" w:eastAsia="zh-CN"/>
        </w:rPr>
        <w:t>附表、附图、附件</w:t>
      </w:r>
      <w:bookmarkEnd w:id="2577"/>
    </w:p>
    <w:p w14:paraId="559AC45D">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附表：</w:t>
      </w:r>
    </w:p>
    <w:p w14:paraId="0A3972A0">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附表1  开发区企业基本情况表</w:t>
      </w:r>
      <w:bookmarkStart w:id="2578" w:name="pindex15074"/>
      <w:bookmarkEnd w:id="2578"/>
    </w:p>
    <w:p w14:paraId="13D1F80F">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附表2  开发区企业废气污染物排放情况表</w:t>
      </w:r>
      <w:bookmarkStart w:id="2579" w:name="pindex15075"/>
      <w:bookmarkEnd w:id="2579"/>
    </w:p>
    <w:p w14:paraId="2FC41846">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附表3  开发区企业废水污染物排放情况表</w:t>
      </w:r>
      <w:bookmarkStart w:id="2580" w:name="pindex15076"/>
      <w:bookmarkEnd w:id="2580"/>
    </w:p>
    <w:p w14:paraId="2543B67E">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附表4  开发区企业固废污染物排放情况表</w:t>
      </w:r>
      <w:bookmarkStart w:id="2581" w:name="pindex15077"/>
      <w:bookmarkEnd w:id="2581"/>
    </w:p>
    <w:p w14:paraId="3E303364">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宋体" w:hAnsi="宋体" w:eastAsia="宋体" w:cs="宋体"/>
          <w:color w:val="auto"/>
          <w:spacing w:val="-1"/>
          <w:sz w:val="24"/>
          <w:szCs w:val="24"/>
          <w:highlight w:val="yellow"/>
          <w:lang w:val="en-US" w:eastAsia="zh-CN"/>
        </w:rPr>
        <w:sectPr>
          <w:pgSz w:w="11907" w:h="16839"/>
          <w:pgMar w:top="1175" w:right="1593" w:bottom="1622" w:left="1771" w:header="862" w:footer="1445" w:gutter="0"/>
          <w:pgBorders>
            <w:top w:val="none" w:sz="0" w:space="0"/>
            <w:left w:val="none" w:sz="0" w:space="0"/>
            <w:bottom w:val="none" w:sz="0" w:space="0"/>
            <w:right w:val="none" w:sz="0" w:space="0"/>
          </w:pgBorders>
          <w:pgNumType w:fmt="decimal"/>
          <w:cols w:space="720" w:num="1"/>
        </w:sectPr>
      </w:pPr>
    </w:p>
    <w:p w14:paraId="0668D184">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default" w:ascii="Times New Roman" w:hAnsi="Times New Roman" w:eastAsia="宋体" w:cs="Times New Roman"/>
          <w:color w:val="auto"/>
          <w:spacing w:val="-1"/>
          <w:sz w:val="24"/>
          <w:szCs w:val="24"/>
          <w:highlight w:val="none"/>
          <w:lang w:val="en-US" w:eastAsia="zh-CN"/>
        </w:rPr>
      </w:pPr>
      <w:r>
        <w:rPr>
          <w:rFonts w:hint="default" w:ascii="Times New Roman" w:hAnsi="Times New Roman" w:eastAsia="宋体" w:cs="Times New Roman"/>
          <w:color w:val="auto"/>
          <w:spacing w:val="-1"/>
          <w:sz w:val="24"/>
          <w:szCs w:val="24"/>
          <w:highlight w:val="none"/>
          <w:lang w:val="en-US" w:eastAsia="zh-CN"/>
        </w:rPr>
        <w:t>附图：</w:t>
      </w:r>
    </w:p>
    <w:p w14:paraId="2C69B2C6">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ascii="Times New Roman" w:hAnsi="Times New Roman" w:eastAsia="宋体" w:cs="Times New Roman"/>
          <w:color w:val="auto"/>
          <w:sz w:val="24"/>
          <w:szCs w:val="24"/>
          <w:highlight w:val="none"/>
        </w:rPr>
      </w:pPr>
      <w:bookmarkStart w:id="2582" w:name="OLE_LINK1132"/>
      <w:r>
        <w:rPr>
          <w:rFonts w:hint="default" w:ascii="Times New Roman" w:hAnsi="Times New Roman" w:eastAsia="宋体" w:cs="Times New Roman"/>
          <w:color w:val="auto"/>
          <w:spacing w:val="-1"/>
          <w:sz w:val="24"/>
          <w:szCs w:val="24"/>
          <w:highlight w:val="none"/>
          <w:lang w:val="en-US" w:eastAsia="zh-CN"/>
        </w:rPr>
        <w:t>附图1</w:t>
      </w:r>
      <w:r>
        <w:rPr>
          <w:rFonts w:hint="eastAsia" w:ascii="Times New Roman" w:hAnsi="Times New Roman" w:eastAsia="宋体" w:cs="Times New Roman"/>
          <w:color w:val="auto"/>
          <w:spacing w:val="-1"/>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开发区</w:t>
      </w:r>
      <w:r>
        <w:rPr>
          <w:rFonts w:hint="default" w:ascii="Times New Roman" w:hAnsi="Times New Roman" w:eastAsia="宋体" w:cs="Times New Roman"/>
          <w:color w:val="auto"/>
          <w:sz w:val="24"/>
          <w:szCs w:val="24"/>
          <w:highlight w:val="none"/>
          <w:lang w:val="en-US" w:eastAsia="zh-CN"/>
        </w:rPr>
        <w:t>区域</w:t>
      </w:r>
      <w:r>
        <w:rPr>
          <w:rFonts w:hint="eastAsia" w:ascii="Times New Roman" w:hAnsi="Times New Roman" w:eastAsia="宋体" w:cs="Times New Roman"/>
          <w:color w:val="auto"/>
          <w:sz w:val="24"/>
          <w:szCs w:val="24"/>
          <w:highlight w:val="none"/>
          <w:lang w:val="en-US" w:eastAsia="zh-CN"/>
        </w:rPr>
        <w:t>评估范围</w:t>
      </w:r>
      <w:r>
        <w:rPr>
          <w:rFonts w:hint="default" w:ascii="Times New Roman" w:hAnsi="Times New Roman" w:eastAsia="宋体" w:cs="Times New Roman"/>
          <w:color w:val="auto"/>
          <w:sz w:val="24"/>
          <w:szCs w:val="24"/>
          <w:highlight w:val="none"/>
        </w:rPr>
        <w:t>图</w:t>
      </w:r>
      <w:bookmarkStart w:id="2583" w:name="pindex15080"/>
      <w:bookmarkEnd w:id="2583"/>
    </w:p>
    <w:p w14:paraId="4D48DC2B">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Times New Roman" w:hAnsi="Times New Roman" w:eastAsia="宋体" w:cs="Times New Roman"/>
          <w:color w:val="auto"/>
          <w:sz w:val="24"/>
          <w:szCs w:val="24"/>
          <w:highlight w:val="none"/>
          <w:lang w:val="en-US" w:eastAsia="zh-CN"/>
        </w:rPr>
      </w:pPr>
      <w:bookmarkStart w:id="2584" w:name="OLE_LINK812"/>
      <w:bookmarkStart w:id="2585" w:name="OLE_LINK594"/>
      <w:r>
        <w:rPr>
          <w:rFonts w:hint="eastAsia" w:ascii="Times New Roman" w:hAnsi="Times New Roman" w:eastAsia="宋体" w:cs="Times New Roman"/>
          <w:color w:val="auto"/>
          <w:sz w:val="24"/>
          <w:szCs w:val="24"/>
          <w:highlight w:val="none"/>
          <w:lang w:val="en-US" w:eastAsia="zh-CN"/>
        </w:rPr>
        <w:t xml:space="preserve">附图2  </w:t>
      </w:r>
      <w:r>
        <w:rPr>
          <w:rFonts w:hint="eastAsia" w:ascii="Times New Roman" w:hAnsi="Times New Roman" w:eastAsia="宋体" w:cs="Times New Roman"/>
          <w:color w:val="auto"/>
          <w:sz w:val="24"/>
          <w:szCs w:val="24"/>
          <w:highlight w:val="none"/>
        </w:rPr>
        <w:t>开发区污水管</w:t>
      </w:r>
      <w:bookmarkStart w:id="2586" w:name="OLE_LINK813"/>
      <w:r>
        <w:rPr>
          <w:rFonts w:hint="eastAsia" w:ascii="Times New Roman" w:hAnsi="Times New Roman" w:eastAsia="宋体" w:cs="Times New Roman"/>
          <w:color w:val="auto"/>
          <w:sz w:val="24"/>
          <w:szCs w:val="24"/>
          <w:highlight w:val="none"/>
        </w:rPr>
        <w:t>网</w:t>
      </w:r>
      <w:r>
        <w:rPr>
          <w:rFonts w:hint="eastAsia" w:ascii="Times New Roman" w:hAnsi="Times New Roman" w:eastAsia="宋体" w:cs="Times New Roman"/>
          <w:color w:val="auto"/>
          <w:sz w:val="24"/>
          <w:szCs w:val="24"/>
          <w:highlight w:val="none"/>
          <w:lang w:val="en-US" w:eastAsia="zh-CN"/>
        </w:rPr>
        <w:t>图</w:t>
      </w:r>
      <w:bookmarkStart w:id="2587" w:name="pindex15081"/>
      <w:bookmarkEnd w:id="2587"/>
    </w:p>
    <w:p w14:paraId="7AE532FB">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附图3  </w:t>
      </w:r>
      <w:r>
        <w:rPr>
          <w:rFonts w:hint="eastAsia" w:ascii="Times New Roman" w:hAnsi="Times New Roman" w:eastAsia="宋体" w:cs="Times New Roman"/>
          <w:color w:val="auto"/>
          <w:sz w:val="24"/>
          <w:szCs w:val="24"/>
          <w:highlight w:val="none"/>
        </w:rPr>
        <w:t>开发区供热管网</w:t>
      </w:r>
      <w:r>
        <w:rPr>
          <w:rFonts w:hint="eastAsia" w:ascii="Times New Roman" w:hAnsi="Times New Roman" w:eastAsia="宋体" w:cs="Times New Roman"/>
          <w:color w:val="auto"/>
          <w:sz w:val="24"/>
          <w:szCs w:val="24"/>
          <w:highlight w:val="none"/>
          <w:lang w:val="en-US" w:eastAsia="zh-CN"/>
        </w:rPr>
        <w:t>图</w:t>
      </w:r>
      <w:bookmarkStart w:id="2588" w:name="pindex15082"/>
      <w:bookmarkEnd w:id="2588"/>
    </w:p>
    <w:bookmarkEnd w:id="2582"/>
    <w:bookmarkEnd w:id="2586"/>
    <w:p w14:paraId="60EE4FC3">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Times New Roman" w:hAnsi="Times New Roman" w:eastAsia="宋体" w:cs="Times New Roman"/>
          <w:color w:val="auto"/>
          <w:sz w:val="24"/>
          <w:szCs w:val="24"/>
          <w:highlight w:val="none"/>
          <w:lang w:val="en-US" w:eastAsia="zh-CN"/>
        </w:rPr>
      </w:pPr>
      <w:bookmarkStart w:id="2589" w:name="OLE_LINK933"/>
      <w:bookmarkStart w:id="2590" w:name="OLE_LINK1131"/>
      <w:r>
        <w:rPr>
          <w:rFonts w:hint="eastAsia" w:ascii="Times New Roman" w:hAnsi="Times New Roman" w:eastAsia="宋体" w:cs="Times New Roman"/>
          <w:color w:val="auto"/>
          <w:sz w:val="24"/>
          <w:szCs w:val="24"/>
          <w:highlight w:val="none"/>
          <w:lang w:val="en-US" w:eastAsia="zh-CN"/>
        </w:rPr>
        <w:t>附图4  开发区水系图</w:t>
      </w:r>
      <w:bookmarkStart w:id="2591" w:name="pindex15083"/>
      <w:bookmarkEnd w:id="2591"/>
    </w:p>
    <w:bookmarkEnd w:id="2589"/>
    <w:p w14:paraId="64B2CF52">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Times New Roman" w:hAnsi="Times New Roman" w:eastAsia="宋体" w:cs="Times New Roman"/>
          <w:color w:val="auto"/>
          <w:sz w:val="24"/>
          <w:szCs w:val="24"/>
          <w:highlight w:val="none"/>
          <w:lang w:val="en-US" w:eastAsia="zh-CN"/>
        </w:rPr>
      </w:pPr>
      <w:bookmarkStart w:id="2592" w:name="OLE_LINK1140"/>
      <w:r>
        <w:rPr>
          <w:rFonts w:hint="eastAsia" w:ascii="Times New Roman" w:hAnsi="Times New Roman" w:eastAsia="宋体" w:cs="Times New Roman"/>
          <w:color w:val="auto"/>
          <w:sz w:val="24"/>
          <w:szCs w:val="24"/>
          <w:highlight w:val="none"/>
          <w:lang w:val="en-US" w:eastAsia="zh-CN"/>
        </w:rPr>
        <w:t xml:space="preserve">附图5  </w:t>
      </w:r>
      <w:bookmarkStart w:id="2593" w:name="OLE_LINK934"/>
      <w:r>
        <w:rPr>
          <w:rFonts w:hint="eastAsia" w:ascii="Times New Roman" w:hAnsi="Times New Roman" w:eastAsia="宋体" w:cs="Times New Roman"/>
          <w:color w:val="auto"/>
          <w:sz w:val="24"/>
          <w:szCs w:val="24"/>
          <w:highlight w:val="none"/>
          <w:lang w:val="en-US" w:eastAsia="zh-CN"/>
        </w:rPr>
        <w:t>环境质量现状监测</w:t>
      </w:r>
      <w:bookmarkEnd w:id="2593"/>
      <w:r>
        <w:rPr>
          <w:rFonts w:hint="eastAsia" w:ascii="Times New Roman" w:hAnsi="Times New Roman" w:eastAsia="宋体" w:cs="Times New Roman"/>
          <w:color w:val="auto"/>
          <w:sz w:val="24"/>
          <w:szCs w:val="24"/>
          <w:highlight w:val="none"/>
          <w:lang w:val="en-US" w:eastAsia="zh-CN"/>
        </w:rPr>
        <w:t>点位图</w:t>
      </w:r>
      <w:bookmarkStart w:id="2594" w:name="pindex15084"/>
      <w:bookmarkEnd w:id="2594"/>
    </w:p>
    <w:bookmarkEnd w:id="2584"/>
    <w:bookmarkEnd w:id="2590"/>
    <w:bookmarkEnd w:id="2592"/>
    <w:p w14:paraId="0F91C4E0">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Times New Roman" w:hAnsi="Times New Roman" w:eastAsia="宋体" w:cs="Times New Roman"/>
          <w:color w:val="auto"/>
          <w:sz w:val="24"/>
          <w:szCs w:val="24"/>
          <w:highlight w:val="none"/>
          <w:lang w:val="en-US" w:eastAsia="zh-CN"/>
        </w:rPr>
      </w:pPr>
      <w:bookmarkStart w:id="2595" w:name="OLE_LINK1133"/>
      <w:r>
        <w:rPr>
          <w:rFonts w:hint="eastAsia" w:ascii="Times New Roman" w:hAnsi="Times New Roman" w:eastAsia="宋体" w:cs="Times New Roman"/>
          <w:color w:val="auto"/>
          <w:sz w:val="24"/>
          <w:szCs w:val="24"/>
          <w:highlight w:val="none"/>
          <w:lang w:val="en-US" w:eastAsia="zh-CN"/>
        </w:rPr>
        <w:t>附图6  开发区生态红线和生态空间管控区域</w:t>
      </w:r>
      <w:bookmarkEnd w:id="2585"/>
      <w:r>
        <w:rPr>
          <w:rFonts w:hint="eastAsia" w:ascii="Times New Roman" w:hAnsi="Times New Roman" w:eastAsia="宋体" w:cs="Times New Roman"/>
          <w:color w:val="auto"/>
          <w:sz w:val="24"/>
          <w:szCs w:val="24"/>
          <w:highlight w:val="none"/>
          <w:lang w:val="en-US" w:eastAsia="zh-CN"/>
        </w:rPr>
        <w:t>分布图</w:t>
      </w:r>
      <w:bookmarkStart w:id="2596" w:name="pindex15085"/>
      <w:bookmarkEnd w:id="2596"/>
    </w:p>
    <w:bookmarkEnd w:id="2595"/>
    <w:p w14:paraId="54B7967A">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附图7  污水处理厂收水范围图</w:t>
      </w:r>
      <w:bookmarkStart w:id="2597" w:name="pindex15086"/>
      <w:bookmarkEnd w:id="2597"/>
    </w:p>
    <w:p w14:paraId="14994810">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default" w:ascii="Times New Roman" w:hAnsi="Times New Roman" w:eastAsia="宋体" w:cs="Times New Roman"/>
          <w:color w:val="auto"/>
          <w:sz w:val="24"/>
          <w:szCs w:val="24"/>
          <w:lang w:val="en-US" w:eastAsia="zh-CN"/>
        </w:rPr>
        <w:sectPr>
          <w:pgSz w:w="11907" w:h="16839"/>
          <w:pgMar w:top="1175" w:right="1593" w:bottom="1622" w:left="1771" w:header="862" w:footer="1445" w:gutter="0"/>
          <w:pgBorders>
            <w:top w:val="none" w:sz="0" w:space="0"/>
            <w:left w:val="none" w:sz="0" w:space="0"/>
            <w:bottom w:val="none" w:sz="0" w:space="0"/>
            <w:right w:val="none" w:sz="0" w:space="0"/>
          </w:pgBorders>
          <w:pgNumType w:fmt="decimal"/>
          <w:cols w:space="720" w:num="1"/>
        </w:sectPr>
      </w:pPr>
    </w:p>
    <w:p w14:paraId="6C90C3D4">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宋体" w:hAnsi="宋体" w:eastAsia="宋体" w:cs="宋体"/>
          <w:color w:val="auto"/>
          <w:spacing w:val="-1"/>
          <w:sz w:val="24"/>
          <w:szCs w:val="24"/>
          <w:highlight w:val="none"/>
          <w:lang w:val="en-US" w:eastAsia="zh-CN"/>
        </w:rPr>
      </w:pPr>
      <w:r>
        <w:rPr>
          <w:rFonts w:hint="eastAsia" w:ascii="宋体" w:hAnsi="宋体" w:eastAsia="宋体" w:cs="宋体"/>
          <w:color w:val="auto"/>
          <w:spacing w:val="-1"/>
          <w:sz w:val="24"/>
          <w:szCs w:val="24"/>
          <w:highlight w:val="none"/>
          <w:lang w:val="en-US" w:eastAsia="zh-CN"/>
        </w:rPr>
        <w:t>附件：</w:t>
      </w:r>
      <w:bookmarkStart w:id="2598" w:name="pindex15088"/>
      <w:bookmarkEnd w:id="2598"/>
    </w:p>
    <w:p w14:paraId="2FEF7EA7">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附件1  南京江宁</w:t>
      </w:r>
      <w:bookmarkStart w:id="2599" w:name="OLE_LINK1134"/>
      <w:r>
        <w:rPr>
          <w:rFonts w:hint="eastAsia" w:ascii="Times New Roman" w:hAnsi="Times New Roman" w:eastAsia="宋体" w:cs="Times New Roman"/>
          <w:color w:val="auto"/>
          <w:sz w:val="24"/>
          <w:szCs w:val="24"/>
          <w:highlight w:val="none"/>
          <w:lang w:val="en-US" w:eastAsia="zh-CN"/>
        </w:rPr>
        <w:t>开发区污水处理厂相关环评手续</w:t>
      </w:r>
      <w:bookmarkEnd w:id="2599"/>
      <w:bookmarkStart w:id="2600" w:name="pindex15089"/>
      <w:bookmarkEnd w:id="2600"/>
    </w:p>
    <w:p w14:paraId="5D4AC078">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附件2  南京市江宁区</w:t>
      </w:r>
      <w:bookmarkStart w:id="2601" w:name="OLE_LINK1135"/>
      <w:r>
        <w:rPr>
          <w:rFonts w:hint="eastAsia" w:ascii="Times New Roman" w:hAnsi="Times New Roman" w:eastAsia="宋体" w:cs="Times New Roman"/>
          <w:color w:val="auto"/>
          <w:sz w:val="24"/>
          <w:szCs w:val="24"/>
          <w:highlight w:val="none"/>
          <w:lang w:val="en-US" w:eastAsia="zh-CN"/>
        </w:rPr>
        <w:t>南区污水处理厂相关环评手续</w:t>
      </w:r>
      <w:bookmarkEnd w:id="2601"/>
      <w:bookmarkStart w:id="2602" w:name="pindex15090"/>
      <w:bookmarkEnd w:id="2602"/>
    </w:p>
    <w:p w14:paraId="7A39EA7A">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Times New Roman" w:hAnsi="Times New Roman" w:eastAsia="宋体" w:cs="Times New Roman"/>
          <w:color w:val="auto"/>
          <w:sz w:val="24"/>
          <w:szCs w:val="24"/>
          <w:highlight w:val="none"/>
          <w:lang w:val="en-US" w:eastAsia="zh-CN"/>
        </w:rPr>
      </w:pPr>
      <w:bookmarkStart w:id="2603" w:name="sys15091061"/>
      <w:r>
        <w:rPr>
          <w:rFonts w:hint="eastAsia" w:ascii="Times New Roman" w:hAnsi="Times New Roman" w:eastAsia="宋体" w:cs="Times New Roman"/>
          <w:color w:val="auto"/>
          <w:sz w:val="24"/>
          <w:szCs w:val="24"/>
          <w:highlight w:val="none"/>
          <w:lang w:val="en-US" w:eastAsia="zh-CN"/>
        </w:rPr>
        <w:t xml:space="preserve">附件3  </w:t>
      </w:r>
      <w:bookmarkStart w:id="2604" w:name="OLE_LINK1136"/>
      <w:r>
        <w:rPr>
          <w:rFonts w:hint="eastAsia" w:ascii="Times New Roman" w:hAnsi="Times New Roman" w:eastAsia="宋体" w:cs="Times New Roman"/>
          <w:color w:val="auto"/>
          <w:sz w:val="24"/>
          <w:szCs w:val="24"/>
          <w:highlight w:val="none"/>
          <w:lang w:val="en-US" w:eastAsia="zh-CN"/>
        </w:rPr>
        <w:t>关于《江宁经济技术开发区总体发展规划（</w:t>
      </w:r>
      <w:sdt>
        <w:sdtPr>
          <w:rPr>
            <w:color w:val="auto"/>
            <w:highlight w:val="none"/>
          </w:rPr>
          <w:alias w:val="易错词检查"/>
          <w:tag w:val="auto"/>
          <w:id w:val="2001345"/>
        </w:sdtPr>
        <w:sdtEndPr>
          <w:rPr>
            <w:color w:val="auto"/>
            <w:highlight w:val="none"/>
          </w:rPr>
        </w:sdtEndPr>
        <w:sdtContent>
          <w:bookmarkStart w:id="2605" w:name="bkReivew2001345"/>
          <w:r>
            <w:rPr>
              <w:rFonts w:hint="eastAsia" w:ascii="Times New Roman" w:hAnsi="Times New Roman" w:eastAsia="宋体" w:cs="Times New Roman"/>
              <w:color w:val="auto"/>
              <w:sz w:val="24"/>
              <w:szCs w:val="24"/>
              <w:highlight w:val="none"/>
              <w:lang w:val="en-US" w:eastAsia="zh-CN"/>
            </w:rPr>
            <w:t>2020-2035</w:t>
          </w:r>
          <w:bookmarkEnd w:id="2605"/>
        </w:sdtContent>
      </w:sdt>
      <w:r>
        <w:rPr>
          <w:rFonts w:hint="eastAsia" w:ascii="Times New Roman" w:hAnsi="Times New Roman" w:eastAsia="宋体" w:cs="Times New Roman"/>
          <w:color w:val="auto"/>
          <w:sz w:val="24"/>
          <w:szCs w:val="24"/>
          <w:highlight w:val="none"/>
          <w:lang w:val="en-US" w:eastAsia="zh-CN"/>
        </w:rPr>
        <w:t>）环境影响报告书》的审查意见 （环审〔2022〕46号）</w:t>
      </w:r>
      <w:bookmarkEnd w:id="2603"/>
      <w:bookmarkEnd w:id="2604"/>
      <w:bookmarkStart w:id="2606" w:name="pindex15091"/>
      <w:bookmarkEnd w:id="2606"/>
    </w:p>
    <w:p w14:paraId="5C51E40B">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outlineLvl w:val="9"/>
        <w:rPr>
          <w:color w:val="auto"/>
        </w:rPr>
      </w:pPr>
      <w:bookmarkStart w:id="2607" w:name="OLE_LINK386"/>
      <w:r>
        <w:rPr>
          <w:rFonts w:hint="eastAsia" w:ascii="Times New Roman" w:hAnsi="Times New Roman" w:eastAsia="宋体" w:cs="Times New Roman"/>
          <w:color w:val="auto"/>
          <w:sz w:val="24"/>
          <w:szCs w:val="24"/>
          <w:highlight w:val="none"/>
          <w:lang w:val="en-US" w:eastAsia="zh-CN"/>
        </w:rPr>
        <w:t>附件4-1  环境质量现状监测报告</w:t>
      </w:r>
      <w:bookmarkEnd w:id="2607"/>
    </w:p>
    <w:p w14:paraId="1D787218">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outlineLvl w:val="9"/>
        <w:rPr>
          <w:color w:val="auto"/>
        </w:rPr>
      </w:pPr>
      <w:bookmarkStart w:id="2608" w:name="OLE_LINK932"/>
      <w:r>
        <w:rPr>
          <w:rFonts w:hint="eastAsia" w:ascii="Times New Roman" w:hAnsi="Times New Roman" w:eastAsia="宋体" w:cs="Times New Roman"/>
          <w:color w:val="auto"/>
          <w:sz w:val="24"/>
          <w:szCs w:val="24"/>
          <w:highlight w:val="none"/>
          <w:lang w:val="en-US" w:eastAsia="zh-CN"/>
        </w:rPr>
        <w:t>附件4-2  环境质量</w:t>
      </w:r>
      <w:bookmarkStart w:id="2609" w:name="OLE_LINK420"/>
      <w:r>
        <w:rPr>
          <w:rFonts w:hint="eastAsia" w:ascii="Times New Roman" w:hAnsi="Times New Roman" w:eastAsia="宋体" w:cs="Times New Roman"/>
          <w:color w:val="auto"/>
          <w:sz w:val="24"/>
          <w:szCs w:val="24"/>
          <w:highlight w:val="none"/>
          <w:lang w:val="en-US" w:eastAsia="zh-CN"/>
        </w:rPr>
        <w:t>现状</w:t>
      </w:r>
      <w:bookmarkEnd w:id="2609"/>
      <w:r>
        <w:rPr>
          <w:rFonts w:hint="eastAsia" w:ascii="Times New Roman" w:hAnsi="Times New Roman" w:eastAsia="宋体" w:cs="Times New Roman"/>
          <w:color w:val="auto"/>
          <w:sz w:val="24"/>
          <w:szCs w:val="24"/>
          <w:highlight w:val="none"/>
          <w:lang w:val="en-US" w:eastAsia="zh-CN"/>
        </w:rPr>
        <w:t>引用监测报告</w:t>
      </w:r>
      <w:bookmarkEnd w:id="2608"/>
    </w:p>
    <w:p w14:paraId="54305277">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附件5  园区应急预案备案表</w:t>
      </w:r>
      <w:bookmarkStart w:id="2610" w:name="pindex15094"/>
      <w:bookmarkEnd w:id="2610"/>
    </w:p>
    <w:p w14:paraId="4B00C8C1">
      <w:pPr>
        <w:keepNext w:val="0"/>
        <w:keepLines w:val="0"/>
        <w:pageBreakBefore w:val="0"/>
        <w:widowControl/>
        <w:kinsoku w:val="0"/>
        <w:wordWrap/>
        <w:overflowPunct/>
        <w:topLinePunct w:val="0"/>
        <w:autoSpaceDE w:val="0"/>
        <w:autoSpaceDN w:val="0"/>
        <w:bidi w:val="0"/>
        <w:adjustRightInd w:val="0"/>
        <w:snapToGrid w:val="0"/>
        <w:spacing w:before="175" w:line="360" w:lineRule="auto"/>
        <w:ind w:right="125"/>
        <w:jc w:val="both"/>
        <w:textAlignment w:val="baseline"/>
        <w:rPr>
          <w:rFonts w:hint="default" w:ascii="宋体" w:hAnsi="宋体" w:eastAsia="宋体" w:cs="宋体"/>
          <w:color w:val="auto"/>
          <w:spacing w:val="-1"/>
          <w:sz w:val="24"/>
          <w:szCs w:val="24"/>
          <w:highlight w:val="yellow"/>
          <w:lang w:val="en-US" w:eastAsia="zh-CN"/>
        </w:rPr>
      </w:pPr>
      <w:r>
        <w:rPr>
          <w:rFonts w:hint="eastAsia" w:ascii="Times New Roman" w:hAnsi="Times New Roman" w:eastAsia="宋体" w:cs="Times New Roman"/>
          <w:color w:val="auto"/>
          <w:sz w:val="24"/>
          <w:szCs w:val="24"/>
          <w:highlight w:val="none"/>
          <w:lang w:val="en-US" w:eastAsia="zh-CN"/>
        </w:rPr>
        <w:t>附件6  专家咨询意见</w:t>
      </w:r>
      <w:bookmarkStart w:id="2611" w:name="pindex15095"/>
      <w:bookmarkEnd w:id="2611"/>
    </w:p>
    <w:p w14:paraId="70DD2530">
      <w:pPr>
        <w:pStyle w:val="8"/>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附件7  专家复核意见</w:t>
      </w:r>
    </w:p>
    <w:sectPr>
      <w:pgSz w:w="11907" w:h="16839"/>
      <w:pgMar w:top="1175" w:right="1593" w:bottom="1622" w:left="1771" w:header="862" w:footer="1445" w:gutter="0"/>
      <w:pgBorders>
        <w:top w:val="none" w:sz="0" w:space="0"/>
        <w:left w:val="none" w:sz="0" w:space="0"/>
        <w:bottom w:val="none" w:sz="0" w:space="0"/>
        <w:right w:val="none" w:sz="0" w:space="0"/>
      </w:pgBorders>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Arial Unicode MS">
    <w:altName w:val="宋体"/>
    <w:panose1 w:val="020B0604020202020204"/>
    <w:charset w:val="86"/>
    <w:family w:val="swiss"/>
    <w:pitch w:val="default"/>
    <w:sig w:usb0="00000000" w:usb1="00000000" w:usb2="0000003F" w:usb3="00000000" w:csb0="603F01FF" w:csb1="FFFF0000"/>
  </w:font>
  <w:font w:name="仿宋_GB2312">
    <w:altName w:val="仿宋"/>
    <w:panose1 w:val="0201060903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微软雅黑 Light">
    <w:panose1 w:val="020B0502040204020203"/>
    <w:charset w:val="86"/>
    <w:family w:val="auto"/>
    <w:pitch w:val="default"/>
    <w:sig w:usb0="80000287" w:usb1="2ACF001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C3338E">
    <w:pPr>
      <w:spacing w:line="230" w:lineRule="auto"/>
      <w:ind w:left="4253"/>
      <w:rPr>
        <w:rFonts w:ascii="宋体" w:hAnsi="宋体" w:eastAsia="宋体" w:cs="宋体"/>
        <w:sz w:val="18"/>
        <w:szCs w:val="18"/>
      </w:rPr>
    </w:pPr>
    <w:bookmarkStart w:id="2612" w:name="OLE_LINK11"/>
    <w:r>
      <w:rPr>
        <w:sz w:val="18"/>
      </w:rPr>
      <mc:AlternateContent>
        <mc:Choice Requires="wps">
          <w:drawing>
            <wp:anchor distT="0" distB="0" distL="114300" distR="114300" simplePos="0" relativeHeight="2516910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C934A1">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10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OaguM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OaguMzAgAAYwQAAA4AAAAAAAAAAQAgAAAAHwEAAGRycy9lMm9Eb2MueG1sUEsF&#10;BgAAAAAGAAYAWQEAAMQFAAAAAA==&#10;">
              <v:fill on="f" focussize="0,0"/>
              <v:stroke on="f" weight="0.5pt"/>
              <v:imagedata o:title=""/>
              <o:lock v:ext="edit" aspectratio="f"/>
              <v:textbox inset="0mm,0mm,0mm,0mm" style="mso-fit-shape-to-text:t;">
                <w:txbxContent>
                  <w:p w14:paraId="1EC934A1">
                    <w:pPr>
                      <w:pStyle w:val="11"/>
                    </w:pPr>
                    <w:r>
                      <w:fldChar w:fldCharType="begin"/>
                    </w:r>
                    <w:r>
                      <w:instrText xml:space="preserve"> PAGE  \* MERGEFORMAT </w:instrText>
                    </w:r>
                    <w:r>
                      <w:fldChar w:fldCharType="separate"/>
                    </w:r>
                    <w:r>
                      <w:t>1</w:t>
                    </w:r>
                    <w:r>
                      <w:fldChar w:fldCharType="end"/>
                    </w:r>
                  </w:p>
                </w:txbxContent>
              </v:textbox>
            </v:shape>
          </w:pict>
        </mc:Fallback>
      </mc:AlternateContent>
    </w:r>
    <w:r>
      <w:rPr>
        <w:rFonts w:ascii="宋体" w:hAnsi="宋体" w:eastAsia="宋体" w:cs="宋体"/>
        <w:sz w:val="18"/>
        <w:szCs w:val="18"/>
      </w:rPr>
      <w:t>i</w:t>
    </w:r>
    <w:bookmarkEnd w:id="2612"/>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89B4AD">
    <w:pPr>
      <w:spacing w:line="170" w:lineRule="auto"/>
      <w:ind w:left="4095"/>
      <w:rPr>
        <w:rFonts w:ascii="宋体" w:hAnsi="宋体" w:eastAsia="宋体" w:cs="宋体"/>
        <w:sz w:val="18"/>
        <w:szCs w:val="18"/>
      </w:rPr>
    </w:pPr>
    <w:r>
      <w:rPr>
        <w:sz w:val="18"/>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3F813A">
                          <w:pPr>
                            <w:pStyle w:val="11"/>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p w14:paraId="713F813A">
                    <w:pPr>
                      <w:pStyle w:val="11"/>
                    </w:pPr>
                    <w:r>
                      <w:fldChar w:fldCharType="begin"/>
                    </w:r>
                    <w:r>
                      <w:instrText xml:space="preserve"> PAGE  \* MERGEFORMAT </w:instrText>
                    </w:r>
                    <w:r>
                      <w:fldChar w:fldCharType="separate"/>
                    </w:r>
                    <w:r>
                      <w:t>60</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F18B9B">
    <w:pPr>
      <w:spacing w:line="170" w:lineRule="auto"/>
      <w:ind w:left="4095"/>
      <w:rPr>
        <w:rFonts w:ascii="宋体" w:hAnsi="宋体" w:eastAsia="宋体" w:cs="宋体"/>
        <w:sz w:val="18"/>
        <w:szCs w:val="18"/>
      </w:rPr>
    </w:pPr>
    <w:r>
      <w:rPr>
        <w:sz w:val="18"/>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7879BD">
                          <w:pPr>
                            <w:pStyle w:val="11"/>
                          </w:pPr>
                          <w:r>
                            <w:fldChar w:fldCharType="begin"/>
                          </w:r>
                          <w:r>
                            <w:instrText xml:space="preserve"> PAGE  \* MERGEFORMAT </w:instrText>
                          </w:r>
                          <w:r>
                            <w:fldChar w:fldCharType="separate"/>
                          </w:r>
                          <w:r>
                            <w:t>74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14:paraId="4F7879BD">
                    <w:pPr>
                      <w:pStyle w:val="11"/>
                    </w:pPr>
                    <w:r>
                      <w:fldChar w:fldCharType="begin"/>
                    </w:r>
                    <w:r>
                      <w:instrText xml:space="preserve"> PAGE  \* MERGEFORMAT </w:instrText>
                    </w:r>
                    <w:r>
                      <w:fldChar w:fldCharType="separate"/>
                    </w:r>
                    <w:r>
                      <w:t>74</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A93A8D">
    <w:pPr>
      <w:spacing w:line="170" w:lineRule="auto"/>
      <w:ind w:left="6925"/>
      <w:rPr>
        <w:rFonts w:ascii="宋体" w:hAnsi="宋体" w:eastAsia="宋体" w:cs="宋体"/>
        <w:sz w:val="18"/>
        <w:szCs w:val="18"/>
      </w:rPr>
    </w:pPr>
    <w:r>
      <w:rPr>
        <w:sz w:val="18"/>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7E4A98">
                          <w:pPr>
                            <w:pStyle w:val="11"/>
                          </w:pPr>
                          <w:r>
                            <w:fldChar w:fldCharType="begin"/>
                          </w:r>
                          <w:r>
                            <w:instrText xml:space="preserve"> PAGE  \* MERGEFORMAT </w:instrText>
                          </w:r>
                          <w:r>
                            <w:fldChar w:fldCharType="separate"/>
                          </w:r>
                          <w:r>
                            <w:t>78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0J0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0J0zAgAAYwQAAA4AAAAAAAAAAQAgAAAAHwEAAGRycy9lMm9Eb2MueG1sUEsF&#10;BgAAAAAGAAYAWQEAAMQFAAAAAA==&#10;">
              <v:fill on="f" focussize="0,0"/>
              <v:stroke on="f" weight="0.5pt"/>
              <v:imagedata o:title=""/>
              <o:lock v:ext="edit" aspectratio="f"/>
              <v:textbox inset="0mm,0mm,0mm,0mm" style="mso-fit-shape-to-text:t;">
                <w:txbxContent>
                  <w:p w14:paraId="0E7E4A98">
                    <w:pPr>
                      <w:pStyle w:val="11"/>
                    </w:pPr>
                    <w:r>
                      <w:fldChar w:fldCharType="begin"/>
                    </w:r>
                    <w:r>
                      <w:instrText xml:space="preserve"> PAGE  \* MERGEFORMAT </w:instrText>
                    </w:r>
                    <w:r>
                      <w:fldChar w:fldCharType="separate"/>
                    </w:r>
                    <w:r>
                      <w:t>78</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AD440A">
    <w:pPr>
      <w:spacing w:line="171" w:lineRule="auto"/>
      <w:ind w:left="4062"/>
      <w:rPr>
        <w:rFonts w:ascii="宋体" w:hAnsi="宋体" w:eastAsia="宋体" w:cs="宋体"/>
        <w:sz w:val="18"/>
        <w:szCs w:val="18"/>
      </w:rPr>
    </w:pPr>
    <w:r>
      <w:rPr>
        <w:sz w:val="18"/>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C138A1">
                          <w:pPr>
                            <w:pStyle w:val="11"/>
                          </w:pPr>
                          <w:r>
                            <w:fldChar w:fldCharType="begin"/>
                          </w:r>
                          <w:r>
                            <w:instrText xml:space="preserve"> PAGE  \* MERGEFORMAT </w:instrText>
                          </w:r>
                          <w:r>
                            <w:fldChar w:fldCharType="separate"/>
                          </w:r>
                          <w:r>
                            <w:t>80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Sb3G8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Sb3G8zAgAAYwQAAA4AAAAAAAAAAQAgAAAAHwEAAGRycy9lMm9Eb2MueG1sUEsF&#10;BgAAAAAGAAYAWQEAAMQFAAAAAA==&#10;">
              <v:fill on="f" focussize="0,0"/>
              <v:stroke on="f" weight="0.5pt"/>
              <v:imagedata o:title=""/>
              <o:lock v:ext="edit" aspectratio="f"/>
              <v:textbox inset="0mm,0mm,0mm,0mm" style="mso-fit-shape-to-text:t;">
                <w:txbxContent>
                  <w:p w14:paraId="2BC138A1">
                    <w:pPr>
                      <w:pStyle w:val="11"/>
                    </w:pPr>
                    <w:r>
                      <w:fldChar w:fldCharType="begin"/>
                    </w:r>
                    <w:r>
                      <w:instrText xml:space="preserve"> PAGE  \* MERGEFORMAT </w:instrText>
                    </w:r>
                    <w:r>
                      <w:fldChar w:fldCharType="separate"/>
                    </w:r>
                    <w:r>
                      <w:t>80</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93BC5E">
    <w:pPr>
      <w:spacing w:line="171" w:lineRule="auto"/>
      <w:ind w:left="6892"/>
      <w:rPr>
        <w:rFonts w:ascii="宋体" w:hAnsi="宋体" w:eastAsia="宋体" w:cs="宋体"/>
        <w:sz w:val="18"/>
        <w:szCs w:val="18"/>
      </w:rPr>
    </w:pPr>
    <w:r>
      <w:rPr>
        <w:sz w:val="18"/>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E10137">
                          <w:pPr>
                            <w:pStyle w:val="11"/>
                          </w:pPr>
                          <w:r>
                            <w:fldChar w:fldCharType="begin"/>
                          </w:r>
                          <w:r>
                            <w:instrText xml:space="preserve"> PAGE  \* MERGEFORMAT </w:instrText>
                          </w:r>
                          <w:r>
                            <w:fldChar w:fldCharType="separate"/>
                          </w:r>
                          <w:r>
                            <w:t>85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YzS4A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YzS4AzAgAAYwQAAA4AAAAAAAAAAQAgAAAAHwEAAGRycy9lMm9Eb2MueG1sUEsF&#10;BgAAAAAGAAYAWQEAAMQFAAAAAA==&#10;">
              <v:fill on="f" focussize="0,0"/>
              <v:stroke on="f" weight="0.5pt"/>
              <v:imagedata o:title=""/>
              <o:lock v:ext="edit" aspectratio="f"/>
              <v:textbox inset="0mm,0mm,0mm,0mm" style="mso-fit-shape-to-text:t;">
                <w:txbxContent>
                  <w:p w14:paraId="18E10137">
                    <w:pPr>
                      <w:pStyle w:val="11"/>
                    </w:pPr>
                    <w:r>
                      <w:fldChar w:fldCharType="begin"/>
                    </w:r>
                    <w:r>
                      <w:instrText xml:space="preserve"> PAGE  \* MERGEFORMAT </w:instrText>
                    </w:r>
                    <w:r>
                      <w:fldChar w:fldCharType="separate"/>
                    </w:r>
                    <w:r>
                      <w:t>85</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9599AD">
    <w:pPr>
      <w:spacing w:line="171" w:lineRule="auto"/>
      <w:ind w:left="4266"/>
      <w:rPr>
        <w:rFonts w:ascii="宋体" w:hAnsi="宋体" w:eastAsia="宋体" w:cs="宋体"/>
        <w:sz w:val="18"/>
        <w:szCs w:val="18"/>
      </w:rPr>
    </w:pPr>
    <w:r>
      <w:rPr>
        <w:sz w:val="18"/>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DCCF7A">
                          <w:pPr>
                            <w:pStyle w:val="11"/>
                          </w:pPr>
                          <w:r>
                            <w:fldChar w:fldCharType="begin"/>
                          </w:r>
                          <w:r>
                            <w:instrText xml:space="preserve"> PAGE  \* MERGEFORMAT </w:instrText>
                          </w:r>
                          <w:r>
                            <w:fldChar w:fldCharType="separate"/>
                          </w:r>
                          <w:r>
                            <w:t>89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xhYO8zAgAAYw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lTYphGx08/vp9+&#10;Ppx+fSM4g0CNCzPE3TtExvadbTE2w3nAYeLdVl6nLxgR+CHv8SKvaCPh6dJ0Mp3mcHH4hg3ws8fr&#10;zof4XlhNklFQj/51srLDJsQ+dAhJ2YxdS6W6HipDmoJevX6b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xhYO8zAgAAYwQAAA4AAAAAAAAAAQAgAAAAHwEAAGRycy9lMm9Eb2MueG1sUEsF&#10;BgAAAAAGAAYAWQEAAMQFAAAAAA==&#10;">
              <v:fill on="f" focussize="0,0"/>
              <v:stroke on="f" weight="0.5pt"/>
              <v:imagedata o:title=""/>
              <o:lock v:ext="edit" aspectratio="f"/>
              <v:textbox inset="0mm,0mm,0mm,0mm" style="mso-fit-shape-to-text:t;">
                <w:txbxContent>
                  <w:p w14:paraId="71DCCF7A">
                    <w:pPr>
                      <w:pStyle w:val="11"/>
                    </w:pPr>
                    <w:r>
                      <w:fldChar w:fldCharType="begin"/>
                    </w:r>
                    <w:r>
                      <w:instrText xml:space="preserve"> PAGE  \* MERGEFORMAT </w:instrText>
                    </w:r>
                    <w:r>
                      <w:fldChar w:fldCharType="separate"/>
                    </w:r>
                    <w:r>
                      <w:t>89</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8CE49C">
    <w:pPr>
      <w:spacing w:line="171" w:lineRule="auto"/>
      <w:ind w:left="6892"/>
      <w:rPr>
        <w:rFonts w:ascii="宋体" w:hAnsi="宋体" w:eastAsia="宋体" w:cs="宋体"/>
        <w:sz w:val="18"/>
        <w:szCs w:val="18"/>
      </w:rPr>
    </w:pPr>
    <w:r>
      <w:rPr>
        <w:sz w:val="18"/>
      </w:rP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4DC00B">
                          <w:pPr>
                            <w:pStyle w:val="11"/>
                          </w:pPr>
                          <w:r>
                            <w:fldChar w:fldCharType="begin"/>
                          </w:r>
                          <w:r>
                            <w:instrText xml:space="preserve"> PAGE  \* MERGEFORMAT </w:instrText>
                          </w:r>
                          <w:r>
                            <w:fldChar w:fldCharType="separate"/>
                          </w:r>
                          <w:r>
                            <w:t>102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k3Pus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PUV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k3PuszAgAAYwQAAA4AAAAAAAAAAQAgAAAAHwEAAGRycy9lMm9Eb2MueG1sUEsF&#10;BgAAAAAGAAYAWQEAAMQFAAAAAA==&#10;">
              <v:fill on="f" focussize="0,0"/>
              <v:stroke on="f" weight="0.5pt"/>
              <v:imagedata o:title=""/>
              <o:lock v:ext="edit" aspectratio="f"/>
              <v:textbox inset="0mm,0mm,0mm,0mm" style="mso-fit-shape-to-text:t;">
                <w:txbxContent>
                  <w:p w14:paraId="1A4DC00B">
                    <w:pPr>
                      <w:pStyle w:val="11"/>
                    </w:pPr>
                    <w:r>
                      <w:fldChar w:fldCharType="begin"/>
                    </w:r>
                    <w:r>
                      <w:instrText xml:space="preserve"> PAGE  \* MERGEFORMAT </w:instrText>
                    </w:r>
                    <w:r>
                      <w:fldChar w:fldCharType="separate"/>
                    </w:r>
                    <w:r>
                      <w:t>102</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532A49">
    <w:pPr>
      <w:spacing w:line="171" w:lineRule="auto"/>
      <w:ind w:left="4067"/>
      <w:rPr>
        <w:rFonts w:ascii="宋体" w:hAnsi="宋体" w:eastAsia="宋体" w:cs="宋体"/>
        <w:sz w:val="18"/>
        <w:szCs w:val="18"/>
      </w:rPr>
    </w:pPr>
    <w:r>
      <w:rPr>
        <w:sz w:val="18"/>
      </w:rP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D57074">
                          <w:pPr>
                            <w:pStyle w:val="11"/>
                          </w:pPr>
                          <w:r>
                            <w:fldChar w:fldCharType="begin"/>
                          </w:r>
                          <w:r>
                            <w:instrText xml:space="preserve"> PAGE  \* MERGEFORMAT </w:instrText>
                          </w:r>
                          <w:r>
                            <w:fldChar w:fldCharType="separate"/>
                          </w:r>
                          <w:r>
                            <w:t>103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p w14:paraId="53D57074">
                    <w:pPr>
                      <w:pStyle w:val="11"/>
                    </w:pPr>
                    <w:r>
                      <w:fldChar w:fldCharType="begin"/>
                    </w:r>
                    <w:r>
                      <w:instrText xml:space="preserve"> PAGE  \* MERGEFORMAT </w:instrText>
                    </w:r>
                    <w:r>
                      <w:fldChar w:fldCharType="separate"/>
                    </w:r>
                    <w:r>
                      <w:t>103</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1FF50F">
    <w:pPr>
      <w:spacing w:line="171" w:lineRule="auto"/>
      <w:ind w:left="4067"/>
      <w:rPr>
        <w:rFonts w:ascii="宋体" w:hAnsi="宋体" w:eastAsia="宋体" w:cs="宋体"/>
        <w:sz w:val="18"/>
        <w:szCs w:val="18"/>
      </w:rPr>
    </w:pPr>
    <w:r>
      <w:rPr>
        <w:sz w:val="18"/>
      </w:rPr>
      <mc:AlternateContent>
        <mc:Choice Requires="wps">
          <w:drawing>
            <wp:anchor distT="0" distB="0" distL="114300" distR="114300" simplePos="0" relativeHeight="2516869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89D935">
                          <w:pPr>
                            <w:pStyle w:val="11"/>
                          </w:pPr>
                          <w:r>
                            <w:fldChar w:fldCharType="begin"/>
                          </w:r>
                          <w:r>
                            <w:instrText xml:space="preserve"> PAGE  \* MERGEFORMAT </w:instrText>
                          </w:r>
                          <w:r>
                            <w:fldChar w:fldCharType="separate"/>
                          </w:r>
                          <w:r>
                            <w:t>125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6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M3OczAgAAY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bM3OczAgAAYwQAAA4AAAAAAAAAAQAgAAAAHwEAAGRycy9lMm9Eb2MueG1sUEsF&#10;BgAAAAAGAAYAWQEAAMQFAAAAAA==&#10;">
              <v:fill on="f" focussize="0,0"/>
              <v:stroke on="f" weight="0.5pt"/>
              <v:imagedata o:title=""/>
              <o:lock v:ext="edit" aspectratio="f"/>
              <v:textbox inset="0mm,0mm,0mm,0mm" style="mso-fit-shape-to-text:t;">
                <w:txbxContent>
                  <w:p w14:paraId="5D89D935">
                    <w:pPr>
                      <w:pStyle w:val="11"/>
                    </w:pPr>
                    <w:r>
                      <w:fldChar w:fldCharType="begin"/>
                    </w:r>
                    <w:r>
                      <w:instrText xml:space="preserve"> PAGE  \* MERGEFORMAT </w:instrText>
                    </w:r>
                    <w:r>
                      <w:fldChar w:fldCharType="separate"/>
                    </w:r>
                    <w:r>
                      <w:t>125</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86F41C">
    <w:pPr>
      <w:spacing w:line="171" w:lineRule="auto"/>
      <w:ind w:left="4067"/>
      <w:rPr>
        <w:rFonts w:ascii="宋体" w:hAnsi="宋体" w:eastAsia="宋体" w:cs="宋体"/>
        <w:sz w:val="18"/>
        <w:szCs w:val="18"/>
      </w:rPr>
    </w:pPr>
    <w:r>
      <w:rPr>
        <w:sz w:val="18"/>
      </w:rP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166712">
                          <w:pPr>
                            <w:pStyle w:val="11"/>
                          </w:pPr>
                          <w:r>
                            <w:fldChar w:fldCharType="begin"/>
                          </w:r>
                          <w:r>
                            <w:instrText xml:space="preserve"> PAGE  \* MERGEFORMAT </w:instrText>
                          </w:r>
                          <w:r>
                            <w:fldChar w:fldCharType="separate"/>
                          </w:r>
                          <w:r>
                            <w:t>128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79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yFQwzAgAAY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EyFQwzAgAAYwQAAA4AAAAAAAAAAQAgAAAAHwEAAGRycy9lMm9Eb2MueG1sUEsF&#10;BgAAAAAGAAYAWQEAAMQFAAAAAA==&#10;">
              <v:fill on="f" focussize="0,0"/>
              <v:stroke on="f" weight="0.5pt"/>
              <v:imagedata o:title=""/>
              <o:lock v:ext="edit" aspectratio="f"/>
              <v:textbox inset="0mm,0mm,0mm,0mm" style="mso-fit-shape-to-text:t;">
                <w:txbxContent>
                  <w:p w14:paraId="0F166712">
                    <w:pPr>
                      <w:pStyle w:val="11"/>
                    </w:pPr>
                    <w:r>
                      <w:fldChar w:fldCharType="begin"/>
                    </w:r>
                    <w:r>
                      <w:instrText xml:space="preserve"> PAGE  \* MERGEFORMAT </w:instrText>
                    </w:r>
                    <w:r>
                      <w:fldChar w:fldCharType="separate"/>
                    </w:r>
                    <w:r>
                      <w:t>128</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CBBE79">
    <w:pPr>
      <w:spacing w:line="170" w:lineRule="auto"/>
      <w:ind w:left="4142"/>
      <w:rPr>
        <w:rFonts w:ascii="宋体" w:hAnsi="宋体" w:eastAsia="宋体" w:cs="宋体"/>
        <w:sz w:val="18"/>
        <w:szCs w:val="18"/>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16B5AB">
                          <w:pPr>
                            <w:pStyle w:val="11"/>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14:paraId="3F16B5AB">
                    <w:pPr>
                      <w:pStyle w:val="11"/>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64BD76">
    <w:pPr>
      <w:spacing w:line="170" w:lineRule="auto"/>
      <w:ind w:left="4063"/>
      <w:rPr>
        <w:rFonts w:ascii="宋体" w:hAnsi="宋体" w:eastAsia="宋体" w:cs="宋体"/>
        <w:sz w:val="18"/>
        <w:szCs w:val="18"/>
      </w:rPr>
    </w:pPr>
    <w:r>
      <w:rPr>
        <w:sz w:val="18"/>
      </w:rP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639370">
                          <w:pPr>
                            <w:pStyle w:val="11"/>
                          </w:pPr>
                          <w:r>
                            <w:fldChar w:fldCharType="begin"/>
                          </w:r>
                          <w:r>
                            <w:instrText xml:space="preserve"> PAGE  \* MERGEFORMAT </w:instrText>
                          </w:r>
                          <w:r>
                            <w:fldChar w:fldCharType="separate"/>
                          </w:r>
                          <w:r>
                            <w:t>149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8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g6Gf4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g6Gf4zAgAAYwQAAA4AAAAAAAAAAQAgAAAAHwEAAGRycy9lMm9Eb2MueG1sUEsF&#10;BgAAAAAGAAYAWQEAAMQFAAAAAA==&#10;">
              <v:fill on="f" focussize="0,0"/>
              <v:stroke on="f" weight="0.5pt"/>
              <v:imagedata o:title=""/>
              <o:lock v:ext="edit" aspectratio="f"/>
              <v:textbox inset="0mm,0mm,0mm,0mm" style="mso-fit-shape-to-text:t;">
                <w:txbxContent>
                  <w:p w14:paraId="1C639370">
                    <w:pPr>
                      <w:pStyle w:val="11"/>
                    </w:pPr>
                    <w:r>
                      <w:fldChar w:fldCharType="begin"/>
                    </w:r>
                    <w:r>
                      <w:instrText xml:space="preserve"> PAGE  \* MERGEFORMAT </w:instrText>
                    </w:r>
                    <w:r>
                      <w:fldChar w:fldCharType="separate"/>
                    </w:r>
                    <w:r>
                      <w:t>149</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458AE">
    <w:pPr>
      <w:spacing w:line="171" w:lineRule="auto"/>
      <w:ind w:left="4056"/>
      <w:rPr>
        <w:rFonts w:ascii="宋体" w:hAnsi="宋体" w:eastAsia="宋体" w:cs="宋体"/>
        <w:sz w:val="18"/>
        <w:szCs w:val="18"/>
      </w:rPr>
    </w:pPr>
    <w:r>
      <w:rPr>
        <w:sz w:val="18"/>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20A3E4">
                          <w:pPr>
                            <w:pStyle w:val="11"/>
                          </w:pPr>
                          <w:r>
                            <w:fldChar w:fldCharType="begin"/>
                          </w:r>
                          <w:r>
                            <w:instrText xml:space="preserve"> PAGE  \* MERGEFORMAT </w:instrText>
                          </w:r>
                          <w:r>
                            <w:fldChar w:fldCharType="separate"/>
                          </w:r>
                          <w:r>
                            <w:t>153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14:paraId="1D20A3E4">
                    <w:pPr>
                      <w:pStyle w:val="11"/>
                    </w:pPr>
                    <w:r>
                      <w:fldChar w:fldCharType="begin"/>
                    </w:r>
                    <w:r>
                      <w:instrText xml:space="preserve"> PAGE  \* MERGEFORMAT </w:instrText>
                    </w:r>
                    <w:r>
                      <w:fldChar w:fldCharType="separate"/>
                    </w:r>
                    <w:r>
                      <w:t>153</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407DA5">
    <w:pPr>
      <w:spacing w:line="170" w:lineRule="auto"/>
      <w:ind w:left="4144"/>
      <w:rPr>
        <w:rFonts w:ascii="宋体" w:hAnsi="宋体" w:eastAsia="宋体" w:cs="宋体"/>
        <w:sz w:val="18"/>
        <w:szCs w:val="18"/>
      </w:rPr>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C13ACF">
                          <w:pPr>
                            <w:pStyle w:val="11"/>
                          </w:pPr>
                          <w:r>
                            <w:fldChar w:fldCharType="begin"/>
                          </w:r>
                          <w:r>
                            <w:instrText xml:space="preserve"> PAGE  \* MERGEFORMAT </w:instrText>
                          </w:r>
                          <w:r>
                            <w:fldChar w:fldCharType="separate"/>
                          </w:r>
                          <w:r>
                            <w:t>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aJO4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7aJO4zAgAAYwQAAA4AAAAAAAAAAQAgAAAAHwEAAGRycy9lMm9Eb2MueG1sUEsF&#10;BgAAAAAGAAYAWQEAAMQFAAAAAA==&#10;">
              <v:fill on="f" focussize="0,0"/>
              <v:stroke on="f" weight="0.5pt"/>
              <v:imagedata o:title=""/>
              <o:lock v:ext="edit" aspectratio="f"/>
              <v:textbox inset="0mm,0mm,0mm,0mm" style="mso-fit-shape-to-text:t;">
                <w:txbxContent>
                  <w:p w14:paraId="04C13ACF">
                    <w:pPr>
                      <w:pStyle w:val="11"/>
                    </w:pPr>
                    <w:r>
                      <w:fldChar w:fldCharType="begin"/>
                    </w:r>
                    <w:r>
                      <w:instrText xml:space="preserve"> PAGE  \* MERGEFORMAT </w:instrText>
                    </w:r>
                    <w:r>
                      <w:fldChar w:fldCharType="separate"/>
                    </w:r>
                    <w:r>
                      <w:t>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5279D">
    <w:pPr>
      <w:spacing w:line="171" w:lineRule="auto"/>
      <w:ind w:left="4112"/>
      <w:rPr>
        <w:rFonts w:ascii="宋体" w:hAnsi="宋体" w:eastAsia="宋体" w:cs="宋体"/>
        <w:sz w:val="18"/>
        <w:szCs w:val="18"/>
      </w:rPr>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10FEB0">
                          <w:pPr>
                            <w:pStyle w:val="11"/>
                          </w:pPr>
                          <w:r>
                            <w:fldChar w:fldCharType="begin"/>
                          </w:r>
                          <w:r>
                            <w:instrText xml:space="preserve"> PAGE  \* MERGEFORMAT </w:instrText>
                          </w:r>
                          <w:r>
                            <w:fldChar w:fldCharType="separate"/>
                          </w:r>
                          <w:r>
                            <w:t>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14:paraId="4C10FEB0">
                    <w:pPr>
                      <w:pStyle w:val="11"/>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235D5E">
    <w:pPr>
      <w:spacing w:line="171" w:lineRule="auto"/>
      <w:ind w:left="4112"/>
      <w:rPr>
        <w:rFonts w:ascii="宋体" w:hAnsi="宋体" w:eastAsia="宋体" w:cs="宋体"/>
        <w:sz w:val="18"/>
        <w:szCs w:val="18"/>
      </w:rPr>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83E936">
                          <w:pPr>
                            <w:pStyle w:val="11"/>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Meuo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m4x66jICAABjBAAADgAAAAAAAAABACAAAAAfAQAAZHJzL2Uyb0RvYy54bWxQSwUG&#10;AAAAAAYABgBZAQAAwwUAAAAA&#10;">
              <v:fill on="f" focussize="0,0"/>
              <v:stroke on="f" weight="0.5pt"/>
              <v:imagedata o:title=""/>
              <o:lock v:ext="edit" aspectratio="f"/>
              <v:textbox inset="0mm,0mm,0mm,0mm" style="mso-fit-shape-to-text:t;">
                <w:txbxContent>
                  <w:p w14:paraId="5383E936">
                    <w:pPr>
                      <w:pStyle w:val="11"/>
                    </w:pPr>
                    <w:r>
                      <w:fldChar w:fldCharType="begin"/>
                    </w:r>
                    <w:r>
                      <w:instrText xml:space="preserve"> PAGE  \* MERGEFORMAT </w:instrText>
                    </w:r>
                    <w:r>
                      <w:fldChar w:fldCharType="separate"/>
                    </w:r>
                    <w:r>
                      <w:t>20</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B7F751">
    <w:pPr>
      <w:spacing w:line="170" w:lineRule="auto"/>
      <w:ind w:left="4101"/>
      <w:rPr>
        <w:rFonts w:ascii="宋体" w:hAnsi="宋体" w:eastAsia="宋体" w:cs="宋体"/>
        <w:sz w:val="18"/>
        <w:szCs w:val="18"/>
      </w:rPr>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6A28EE">
                          <w:pPr>
                            <w:pStyle w:val="11"/>
                          </w:pPr>
                          <w:r>
                            <w:fldChar w:fldCharType="begin"/>
                          </w:r>
                          <w:r>
                            <w:instrText xml:space="preserve"> PAGE  \* MERGEFORMAT </w:instrText>
                          </w:r>
                          <w:r>
                            <w:fldChar w:fldCharType="separate"/>
                          </w:r>
                          <w:r>
                            <w:t>22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p w14:paraId="726A28EE">
                    <w:pPr>
                      <w:pStyle w:val="11"/>
                    </w:pPr>
                    <w:r>
                      <w:fldChar w:fldCharType="begin"/>
                    </w:r>
                    <w:r>
                      <w:instrText xml:space="preserve"> PAGE  \* MERGEFORMAT </w:instrText>
                    </w:r>
                    <w:r>
                      <w:fldChar w:fldCharType="separate"/>
                    </w:r>
                    <w:r>
                      <w:t>22</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31CD4B">
    <w:pPr>
      <w:spacing w:line="170" w:lineRule="auto"/>
      <w:ind w:left="4094"/>
      <w:rPr>
        <w:rFonts w:ascii="宋体" w:hAnsi="宋体" w:eastAsia="宋体" w:cs="宋体"/>
        <w:sz w:val="18"/>
        <w:szCs w:val="18"/>
      </w:rPr>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EE409D">
                          <w:pPr>
                            <w:pStyle w:val="11"/>
                          </w:pPr>
                          <w:r>
                            <w:fldChar w:fldCharType="begin"/>
                          </w:r>
                          <w:r>
                            <w:instrText xml:space="preserve"> PAGE  \* MERGEFORMAT </w:instrText>
                          </w:r>
                          <w:r>
                            <w:fldChar w:fldCharType="separate"/>
                          </w:r>
                          <w:r>
                            <w:t>33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14:paraId="0FEE409D">
                    <w:pPr>
                      <w:pStyle w:val="11"/>
                    </w:pPr>
                    <w:r>
                      <w:fldChar w:fldCharType="begin"/>
                    </w:r>
                    <w:r>
                      <w:instrText xml:space="preserve"> PAGE  \* MERGEFORMAT </w:instrText>
                    </w:r>
                    <w:r>
                      <w:fldChar w:fldCharType="separate"/>
                    </w:r>
                    <w:r>
                      <w:t>33</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F43CA3">
    <w:pPr>
      <w:spacing w:line="170" w:lineRule="auto"/>
      <w:ind w:left="4103"/>
      <w:rPr>
        <w:rFonts w:ascii="宋体" w:hAnsi="宋体" w:eastAsia="宋体" w:cs="宋体"/>
        <w:sz w:val="18"/>
        <w:szCs w:val="18"/>
      </w:rPr>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9F1BED">
                          <w:pPr>
                            <w:pStyle w:val="11"/>
                          </w:pPr>
                          <w:r>
                            <w:fldChar w:fldCharType="begin"/>
                          </w:r>
                          <w:r>
                            <w:instrText xml:space="preserve"> PAGE  \* MERGEFORMAT </w:instrText>
                          </w:r>
                          <w:r>
                            <w:fldChar w:fldCharType="separate"/>
                          </w:r>
                          <w:r>
                            <w:t>36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14:paraId="3F9F1BED">
                    <w:pPr>
                      <w:pStyle w:val="11"/>
                    </w:pPr>
                    <w:r>
                      <w:fldChar w:fldCharType="begin"/>
                    </w:r>
                    <w:r>
                      <w:instrText xml:space="preserve"> PAGE  \* MERGEFORMAT </w:instrText>
                    </w:r>
                    <w:r>
                      <w:fldChar w:fldCharType="separate"/>
                    </w:r>
                    <w:r>
                      <w:t>36</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5EEBDA">
    <w:pPr>
      <w:spacing w:line="171" w:lineRule="auto"/>
      <w:ind w:left="4099"/>
      <w:rPr>
        <w:rFonts w:ascii="宋体" w:hAnsi="宋体" w:eastAsia="宋体" w:cs="宋体"/>
        <w:sz w:val="18"/>
        <w:szCs w:val="18"/>
      </w:rPr>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9AFDE5">
                          <w:pPr>
                            <w:pStyle w:val="11"/>
                          </w:pPr>
                          <w:r>
                            <w:fldChar w:fldCharType="begin"/>
                          </w:r>
                          <w:r>
                            <w:instrText xml:space="preserve"> PAGE  \* MERGEFORMAT </w:instrText>
                          </w:r>
                          <w:r>
                            <w:fldChar w:fldCharType="separate"/>
                          </w:r>
                          <w:r>
                            <w:t>42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299AFDE5">
                    <w:pPr>
                      <w:pStyle w:val="11"/>
                    </w:pPr>
                    <w:r>
                      <w:fldChar w:fldCharType="begin"/>
                    </w:r>
                    <w:r>
                      <w:instrText xml:space="preserve"> PAGE  \* MERGEFORMAT </w:instrText>
                    </w:r>
                    <w:r>
                      <w:fldChar w:fldCharType="separate"/>
                    </w:r>
                    <w:r>
                      <w:t>42</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C85518">
    <w:pPr>
      <w:pBdr>
        <w:bottom w:val="single" w:color="auto" w:sz="4" w:space="0"/>
      </w:pBdr>
      <w:spacing w:before="16" w:line="218" w:lineRule="auto"/>
      <w:jc w:val="center"/>
      <w:rPr>
        <w:rFonts w:ascii="宋体" w:hAnsi="宋体" w:eastAsia="宋体" w:cs="宋体"/>
        <w:sz w:val="18"/>
        <w:szCs w:val="18"/>
      </w:rPr>
    </w:pPr>
    <w:r>
      <w:rPr>
        <w:rFonts w:ascii="宋体" w:hAnsi="宋体" w:eastAsia="宋体" w:cs="宋体"/>
        <w:spacing w:val="-1"/>
        <w:sz w:val="18"/>
        <w:szCs w:val="18"/>
      </w:rPr>
      <w:t>南京</w:t>
    </w:r>
    <w:r>
      <w:rPr>
        <w:rFonts w:hint="eastAsia" w:ascii="宋体" w:hAnsi="宋体" w:eastAsia="宋体" w:cs="宋体"/>
        <w:spacing w:val="-1"/>
        <w:sz w:val="18"/>
        <w:szCs w:val="18"/>
        <w:lang w:val="en-US" w:eastAsia="zh-CN"/>
      </w:rPr>
      <w:t>江宁</w:t>
    </w:r>
    <w:r>
      <w:rPr>
        <w:rFonts w:ascii="宋体" w:hAnsi="宋体" w:eastAsia="宋体" w:cs="宋体"/>
        <w:spacing w:val="-1"/>
        <w:sz w:val="18"/>
        <w:szCs w:val="18"/>
      </w:rPr>
      <w:t>经济</w:t>
    </w:r>
    <w:r>
      <w:rPr>
        <w:rFonts w:hint="eastAsia" w:ascii="宋体" w:hAnsi="宋体" w:eastAsia="宋体" w:cs="宋体"/>
        <w:spacing w:val="-1"/>
        <w:sz w:val="18"/>
        <w:szCs w:val="18"/>
        <w:lang w:val="en-US" w:eastAsia="zh-CN"/>
      </w:rPr>
      <w:t>技术</w:t>
    </w:r>
    <w:r>
      <w:rPr>
        <w:rFonts w:ascii="宋体" w:hAnsi="宋体" w:eastAsia="宋体" w:cs="宋体"/>
        <w:spacing w:val="-1"/>
        <w:sz w:val="18"/>
        <w:szCs w:val="18"/>
      </w:rPr>
      <w:t>开发区环境影响评价区域评估报告</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AF5092">
    <w:pPr>
      <w:spacing w:before="19" w:line="219" w:lineRule="auto"/>
      <w:ind w:left="2185"/>
      <w:rPr>
        <w:rFonts w:ascii="宋体" w:hAnsi="宋体" w:eastAsia="宋体" w:cs="宋体"/>
        <w:sz w:val="21"/>
        <w:szCs w:val="21"/>
      </w:rPr>
    </w:pPr>
    <w:r>
      <w:pict>
        <v:shape id="_x0000_s2115" o:spid="_x0000_s2115" style="position:absolute;left:0pt;margin-left:88.55pt;margin-top:57.1pt;height:0.75pt;width:418.3pt;mso-position-horizontal-relative:page;mso-position-vertical-relative:page;z-index:251663360;mso-width-relative:page;mso-height-relative:page;" fillcolor="#000000" filled="t" stroked="f" coordsize="8365,15" o:allowincell="f" path="m0,14l8365,14,8365,0,0,0,0,14xe">
          <v:path/>
          <v:fill on="t" focussize="0,0"/>
          <v:stroke on="f"/>
          <v:imagedata o:title=""/>
          <o:lock v:ext="edit"/>
        </v:shape>
      </w:pict>
    </w:r>
    <w:r>
      <w:rPr>
        <w:rFonts w:ascii="宋体" w:hAnsi="宋体" w:eastAsia="宋体" w:cs="宋体"/>
        <w:spacing w:val="-1"/>
        <w:sz w:val="21"/>
        <w:szCs w:val="21"/>
      </w:rPr>
      <w:t>南京</w:t>
    </w:r>
    <w:r>
      <w:rPr>
        <w:rFonts w:hint="eastAsia" w:ascii="宋体" w:hAnsi="宋体" w:eastAsia="宋体" w:cs="宋体"/>
        <w:spacing w:val="-1"/>
        <w:sz w:val="21"/>
        <w:szCs w:val="21"/>
        <w:lang w:val="en-US" w:eastAsia="zh-CN"/>
      </w:rPr>
      <w:t>江宁经济技术</w:t>
    </w:r>
    <w:r>
      <w:rPr>
        <w:rFonts w:ascii="宋体" w:hAnsi="宋体" w:eastAsia="宋体" w:cs="宋体"/>
        <w:spacing w:val="-1"/>
        <w:sz w:val="21"/>
        <w:szCs w:val="21"/>
      </w:rPr>
      <w:t>开发区环境影响评价区域评估报告</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5E2832">
    <w:pPr>
      <w:spacing w:before="19" w:line="219" w:lineRule="auto"/>
      <w:ind w:left="4814"/>
      <w:rPr>
        <w:rFonts w:ascii="宋体" w:hAnsi="宋体" w:eastAsia="宋体" w:cs="宋体"/>
        <w:sz w:val="21"/>
        <w:szCs w:val="21"/>
      </w:rPr>
    </w:pPr>
    <w:r>
      <w:pict>
        <v:shape id="_x0000_s2116" o:spid="_x0000_s2116" style="position:absolute;left:0pt;margin-left:70.55pt;margin-top:50.5pt;height:0.75pt;width:700.95pt;mso-position-horizontal-relative:page;mso-position-vertical-relative:page;z-index:251664384;mso-width-relative:page;mso-height-relative:page;" fillcolor="#000000" filled="t" stroked="f" coordsize="14019,15" o:allowincell="f" path="m0,14l14018,14,14018,0,0,0,0,14xe">
          <v:path/>
          <v:fill on="t" focussize="0,0"/>
          <v:stroke on="f"/>
          <v:imagedata o:title=""/>
          <o:lock v:ext="edit"/>
        </v:shape>
      </w:pict>
    </w:r>
    <w:r>
      <w:rPr>
        <w:rFonts w:ascii="宋体" w:hAnsi="宋体" w:eastAsia="宋体" w:cs="宋体"/>
        <w:spacing w:val="-1"/>
        <w:sz w:val="21"/>
        <w:szCs w:val="21"/>
      </w:rPr>
      <w:t>南京</w:t>
    </w:r>
    <w:r>
      <w:rPr>
        <w:rFonts w:hint="eastAsia" w:ascii="宋体" w:hAnsi="宋体" w:eastAsia="宋体" w:cs="宋体"/>
        <w:spacing w:val="-1"/>
        <w:sz w:val="21"/>
        <w:szCs w:val="21"/>
        <w:lang w:val="en-US" w:eastAsia="zh-CN"/>
      </w:rPr>
      <w:t>江宁经济技术</w:t>
    </w:r>
    <w:r>
      <w:rPr>
        <w:rFonts w:ascii="宋体" w:hAnsi="宋体" w:eastAsia="宋体" w:cs="宋体"/>
        <w:spacing w:val="-1"/>
        <w:sz w:val="21"/>
        <w:szCs w:val="21"/>
      </w:rPr>
      <w:t>开发区环境影响评价区域评估报告</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300D6B">
    <w:pPr>
      <w:pBdr>
        <w:bottom w:val="single" w:color="auto" w:sz="4" w:space="0"/>
      </w:pBdr>
      <w:spacing w:before="19" w:line="219" w:lineRule="auto"/>
      <w:jc w:val="center"/>
      <w:rPr>
        <w:rFonts w:ascii="宋体" w:hAnsi="宋体" w:eastAsia="宋体" w:cs="宋体"/>
        <w:sz w:val="21"/>
        <w:szCs w:val="21"/>
      </w:rPr>
    </w:pPr>
    <w:r>
      <w:pict>
        <v:shape id="_x0000_s2137" o:spid="_x0000_s2137" style="position:absolute;left:0pt;margin-left:88.55pt;margin-top:57.1pt;height:0.75pt;width:418.3pt;mso-position-horizontal-relative:page;mso-position-vertical-relative:page;z-index:251665408;mso-width-relative:page;mso-height-relative:page;" fillcolor="#000000" filled="t" stroked="f" coordsize="8365,15" o:allowincell="f" path="m0,14l8365,14,8365,0,0,0,0,14xe">
          <v:path/>
          <v:fill on="t" focussize="0,0"/>
          <v:stroke on="f"/>
          <v:imagedata o:title=""/>
          <o:lock v:ext="edit"/>
        </v:shape>
      </w:pict>
    </w:r>
    <w:r>
      <w:rPr>
        <w:rFonts w:ascii="宋体" w:hAnsi="宋体" w:eastAsia="宋体" w:cs="宋体"/>
        <w:spacing w:val="-1"/>
        <w:sz w:val="21"/>
        <w:szCs w:val="21"/>
      </w:rPr>
      <w:t>南京</w:t>
    </w:r>
    <w:r>
      <w:rPr>
        <w:rFonts w:hint="eastAsia" w:ascii="宋体" w:hAnsi="宋体" w:eastAsia="宋体" w:cs="宋体"/>
        <w:spacing w:val="-1"/>
        <w:sz w:val="21"/>
        <w:szCs w:val="21"/>
        <w:lang w:val="en-US" w:eastAsia="zh-CN"/>
      </w:rPr>
      <w:t>江宁经济技术</w:t>
    </w:r>
    <w:r>
      <w:rPr>
        <w:rFonts w:ascii="宋体" w:hAnsi="宋体" w:eastAsia="宋体" w:cs="宋体"/>
        <w:spacing w:val="-1"/>
        <w:sz w:val="21"/>
        <w:szCs w:val="21"/>
      </w:rPr>
      <w:t>开发区环境影响评价区域评估报告</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BA5F98">
    <w:pPr>
      <w:spacing w:before="19" w:line="219" w:lineRule="auto"/>
      <w:jc w:val="center"/>
      <w:rPr>
        <w:rFonts w:ascii="宋体" w:hAnsi="宋体" w:eastAsia="宋体" w:cs="宋体"/>
        <w:sz w:val="21"/>
        <w:szCs w:val="21"/>
      </w:rPr>
    </w:pPr>
    <w:r>
      <w:rPr>
        <w:sz w:val="21"/>
      </w:rPr>
      <mc:AlternateContent>
        <mc:Choice Requires="wps">
          <w:drawing>
            <wp:anchor distT="0" distB="0" distL="114300" distR="114300" simplePos="0" relativeHeight="251666432" behindDoc="0" locked="0" layoutInCell="1" allowOverlap="1">
              <wp:simplePos x="0" y="0"/>
              <wp:positionH relativeFrom="column">
                <wp:posOffset>21590</wp:posOffset>
              </wp:positionH>
              <wp:positionV relativeFrom="paragraph">
                <wp:posOffset>200660</wp:posOffset>
              </wp:positionV>
              <wp:extent cx="8886825" cy="0"/>
              <wp:effectExtent l="0" t="6350" r="0" b="6350"/>
              <wp:wrapNone/>
              <wp:docPr id="16" name="直接连接符 16"/>
              <wp:cNvGraphicFramePr/>
              <a:graphic xmlns:a="http://schemas.openxmlformats.org/drawingml/2006/main">
                <a:graphicData uri="http://schemas.microsoft.com/office/word/2010/wordprocessingShape">
                  <wps:wsp>
                    <wps:cNvCnPr/>
                    <wps:spPr>
                      <a:xfrm>
                        <a:off x="1051560" y="748030"/>
                        <a:ext cx="8886825" cy="0"/>
                      </a:xfrm>
                      <a:prstGeom prst="line">
                        <a:avLst/>
                      </a:prstGeom>
                      <a:ln w="12700" cmpd="sng">
                        <a:solidFill>
                          <a:schemeClr val="tx1"/>
                        </a:solidFill>
                        <a:prstDash val="solid"/>
                      </a:ln>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7pt;margin-top:15.8pt;height:0pt;width:699.75pt;z-index:251666432;mso-width-relative:page;mso-height-relative:page;" filled="f" stroked="t" coordsize="21600,21600" o:gfxdata="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JBRKwnXAAAA&#10;CAEAAA8AAAAAAAAAAQAgAAAAIgAAAGRycy9kb3ducmV2LnhtbFBLAQIUABQAAAAIAIdO4kDVvjiH&#10;5QEAAKgDAAAOAAAAAAAAAAEAIAAAACYBAABkcnMvZTJvRG9jLnhtbFBLBQYAAAAABgAGAFkBAAB9&#10;BQAAAAA=&#10;">
              <v:fill on="f" focussize="0,0"/>
              <v:stroke weight="1pt" color="#000000 [3213]" joinstyle="round"/>
              <v:imagedata o:title=""/>
              <o:lock v:ext="edit" aspectratio="f"/>
            </v:line>
          </w:pict>
        </mc:Fallback>
      </mc:AlternateContent>
    </w:r>
    <w:r>
      <w:rPr>
        <w:rFonts w:ascii="宋体" w:hAnsi="宋体" w:eastAsia="宋体" w:cs="宋体"/>
        <w:spacing w:val="-1"/>
        <w:sz w:val="21"/>
        <w:szCs w:val="21"/>
      </w:rPr>
      <w:t>南京</w:t>
    </w:r>
    <w:r>
      <w:rPr>
        <w:rFonts w:hint="eastAsia" w:ascii="宋体" w:hAnsi="宋体" w:eastAsia="宋体" w:cs="宋体"/>
        <w:spacing w:val="-1"/>
        <w:sz w:val="21"/>
        <w:szCs w:val="21"/>
        <w:lang w:val="en-US" w:eastAsia="zh-CN"/>
      </w:rPr>
      <w:t>江宁经济技术</w:t>
    </w:r>
    <w:r>
      <w:rPr>
        <w:rFonts w:ascii="宋体" w:hAnsi="宋体" w:eastAsia="宋体" w:cs="宋体"/>
        <w:spacing w:val="-1"/>
        <w:sz w:val="21"/>
        <w:szCs w:val="21"/>
      </w:rPr>
      <w:t>开发区环境影响评价区域评估报告</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F1572A">
    <w:pPr>
      <w:pBdr>
        <w:bottom w:val="single" w:color="auto" w:sz="4" w:space="0"/>
      </w:pBdr>
      <w:spacing w:before="19" w:line="219" w:lineRule="auto"/>
      <w:jc w:val="center"/>
      <w:rPr>
        <w:rFonts w:ascii="宋体" w:hAnsi="宋体" w:eastAsia="宋体" w:cs="宋体"/>
        <w:sz w:val="21"/>
        <w:szCs w:val="21"/>
      </w:rPr>
    </w:pPr>
    <w:r>
      <w:rPr>
        <w:rFonts w:ascii="宋体" w:hAnsi="宋体" w:eastAsia="宋体" w:cs="宋体"/>
        <w:spacing w:val="-1"/>
        <w:sz w:val="21"/>
        <w:szCs w:val="21"/>
      </w:rPr>
      <w:t>南京</w:t>
    </w:r>
    <w:r>
      <w:rPr>
        <w:rFonts w:hint="eastAsia" w:ascii="宋体" w:hAnsi="宋体" w:eastAsia="宋体" w:cs="宋体"/>
        <w:spacing w:val="-1"/>
        <w:sz w:val="21"/>
        <w:szCs w:val="21"/>
        <w:lang w:val="en-US" w:eastAsia="zh-CN"/>
      </w:rPr>
      <w:t>江宁经济技术</w:t>
    </w:r>
    <w:r>
      <w:rPr>
        <w:rFonts w:ascii="宋体" w:hAnsi="宋体" w:eastAsia="宋体" w:cs="宋体"/>
        <w:spacing w:val="-1"/>
        <w:sz w:val="21"/>
        <w:szCs w:val="21"/>
      </w:rPr>
      <w:t>开发区环境影响评价区域评估报告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AD2940">
    <w:pPr>
      <w:pBdr>
        <w:bottom w:val="single" w:color="auto" w:sz="4" w:space="0"/>
      </w:pBdr>
      <w:spacing w:before="16" w:line="218" w:lineRule="auto"/>
      <w:jc w:val="center"/>
      <w:rPr>
        <w:rFonts w:ascii="宋体" w:hAnsi="宋体" w:eastAsia="宋体" w:cs="宋体"/>
        <w:sz w:val="18"/>
        <w:szCs w:val="18"/>
      </w:rPr>
    </w:pPr>
    <w:r>
      <w:rPr>
        <w:rFonts w:ascii="宋体" w:hAnsi="宋体" w:eastAsia="宋体" w:cs="宋体"/>
        <w:spacing w:val="-1"/>
        <w:sz w:val="18"/>
        <w:szCs w:val="18"/>
      </w:rPr>
      <w:t>南京</w:t>
    </w:r>
    <w:r>
      <w:rPr>
        <w:rFonts w:hint="eastAsia" w:ascii="宋体" w:hAnsi="宋体" w:eastAsia="宋体" w:cs="宋体"/>
        <w:spacing w:val="-1"/>
        <w:sz w:val="18"/>
        <w:szCs w:val="18"/>
        <w:lang w:val="en-US" w:eastAsia="zh-CN"/>
      </w:rPr>
      <w:t>江宁</w:t>
    </w:r>
    <w:r>
      <w:rPr>
        <w:rFonts w:ascii="宋体" w:hAnsi="宋体" w:eastAsia="宋体" w:cs="宋体"/>
        <w:spacing w:val="-1"/>
        <w:sz w:val="18"/>
        <w:szCs w:val="18"/>
      </w:rPr>
      <w:t>经济</w:t>
    </w:r>
    <w:r>
      <w:rPr>
        <w:rFonts w:hint="eastAsia" w:ascii="宋体" w:hAnsi="宋体" w:eastAsia="宋体" w:cs="宋体"/>
        <w:spacing w:val="-1"/>
        <w:sz w:val="18"/>
        <w:szCs w:val="18"/>
        <w:lang w:val="en-US" w:eastAsia="zh-CN"/>
      </w:rPr>
      <w:t>技术</w:t>
    </w:r>
    <w:r>
      <w:rPr>
        <w:rFonts w:ascii="宋体" w:hAnsi="宋体" w:eastAsia="宋体" w:cs="宋体"/>
        <w:spacing w:val="-1"/>
        <w:sz w:val="18"/>
        <w:szCs w:val="18"/>
      </w:rPr>
      <w:t>开发区环境影响评价区域评估报告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E3A50F">
    <w:pPr>
      <w:spacing w:before="16" w:line="218" w:lineRule="auto"/>
      <w:ind w:left="2296"/>
      <w:rPr>
        <w:rFonts w:ascii="宋体" w:hAnsi="宋体" w:eastAsia="宋体" w:cs="宋体"/>
        <w:sz w:val="18"/>
        <w:szCs w:val="18"/>
      </w:rPr>
    </w:pPr>
    <w:r>
      <w:rPr>
        <w:rFonts w:ascii="宋体" w:hAnsi="宋体" w:eastAsia="宋体" w:cs="宋体"/>
        <w:spacing w:val="-1"/>
        <w:sz w:val="18"/>
        <w:szCs w:val="18"/>
      </w:rPr>
      <w:t>南京江宁经济技术开发区</w:t>
    </w:r>
    <w:r>
      <w:rPr>
        <w:rFonts w:ascii="宋体" w:hAnsi="宋体" w:eastAsia="宋体" w:cs="宋体"/>
        <w:spacing w:val="-1"/>
        <w:sz w:val="18"/>
        <w:szCs w:val="18"/>
      </w:rPr>
      <w:pict>
        <v:shape id="_x0000_s2078" o:spid="_x0000_s2078" style="position:absolute;left:0pt;margin-left:88.7pt;margin-top:55.2pt;height:0.75pt;width:417.95pt;mso-position-horizontal-relative:page;mso-position-vertical-relative:page;z-index:251659264;mso-width-relative:page;mso-height-relative:page;" fillcolor="#000000" filled="t" stroked="f" coordsize="8359,15" o:allowincell="f" path="m0,14l8358,14,8358,0,0,0,0,14xe">
          <v:path/>
          <v:fill on="t" focussize="0,0"/>
          <v:stroke on="f"/>
          <v:imagedata o:title=""/>
          <o:lock v:ext="edit"/>
        </v:shape>
      </w:pict>
    </w:r>
    <w:r>
      <w:rPr>
        <w:rFonts w:ascii="宋体" w:hAnsi="宋体" w:eastAsia="宋体" w:cs="宋体"/>
        <w:spacing w:val="-1"/>
        <w:sz w:val="18"/>
        <w:szCs w:val="18"/>
      </w:rPr>
      <w:t>环境影响评价区域评估报告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4DD836">
    <w:pPr>
      <w:spacing w:before="16" w:line="218" w:lineRule="auto"/>
      <w:jc w:val="center"/>
      <w:rPr>
        <w:rFonts w:ascii="宋体" w:hAnsi="宋体" w:eastAsia="宋体" w:cs="宋体"/>
        <w:sz w:val="18"/>
        <w:szCs w:val="18"/>
      </w:rPr>
    </w:pPr>
    <w:r>
      <w:rPr>
        <w:rFonts w:ascii="宋体" w:hAnsi="宋体" w:eastAsia="宋体" w:cs="宋体"/>
        <w:spacing w:val="-1"/>
        <w:sz w:val="18"/>
        <w:szCs w:val="18"/>
      </w:rPr>
      <w:t>南京江宁经济技术开发区</w:t>
    </w:r>
    <w:r>
      <w:rPr>
        <w:rFonts w:ascii="宋体" w:hAnsi="宋体" w:eastAsia="宋体" w:cs="宋体"/>
        <w:spacing w:val="-1"/>
        <w:sz w:val="18"/>
        <w:szCs w:val="18"/>
      </w:rPr>
      <mc:AlternateContent>
        <mc:Choice Requires="wps">
          <w:drawing>
            <wp:anchor distT="0" distB="0" distL="114300" distR="114300" simplePos="0" relativeHeight="251667456" behindDoc="0" locked="0" layoutInCell="0" allowOverlap="1">
              <wp:simplePos x="0" y="0"/>
              <wp:positionH relativeFrom="page">
                <wp:posOffset>1124585</wp:posOffset>
              </wp:positionH>
              <wp:positionV relativeFrom="page">
                <wp:posOffset>701040</wp:posOffset>
              </wp:positionV>
              <wp:extent cx="5312410" cy="9525"/>
              <wp:effectExtent l="0" t="0" r="0" b="0"/>
              <wp:wrapNone/>
              <wp:docPr id="17" name="任意多边形 17"/>
              <wp:cNvGraphicFramePr/>
              <a:graphic xmlns:a="http://schemas.openxmlformats.org/drawingml/2006/main">
                <a:graphicData uri="http://schemas.microsoft.com/office/word/2010/wordprocessingShape">
                  <wps:wsp>
                    <wps:cNvSpPr/>
                    <wps:spPr>
                      <a:xfrm>
                        <a:off x="0" y="0"/>
                        <a:ext cx="5312410" cy="9525"/>
                      </a:xfrm>
                      <a:custGeom>
                        <a:avLst/>
                        <a:gdLst/>
                        <a:ahLst/>
                        <a:cxnLst/>
                        <a:pathLst>
                          <a:path w="8365" h="15">
                            <a:moveTo>
                              <a:pt x="0" y="14"/>
                            </a:moveTo>
                            <a:lnTo>
                              <a:pt x="8365" y="14"/>
                            </a:lnTo>
                            <a:lnTo>
                              <a:pt x="8365" y="0"/>
                            </a:lnTo>
                            <a:lnTo>
                              <a:pt x="0" y="0"/>
                            </a:lnTo>
                            <a:lnTo>
                              <a:pt x="0" y="14"/>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8.55pt;margin-top:55.2pt;height:0.75pt;width:418.3pt;mso-position-horizontal-relative:page;mso-position-vertical-relative:page;z-index:251667456;mso-width-relative:page;mso-height-relative:page;" fillcolor="#000000" filled="t" stroked="f" coordsize="8365,15" o:allowincell="f" o:gfxdata="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kkZXvYAAAADAEAAA8AAAAA&#10;AAAAAQAgAAAAIgAAAGRycy9kb3ducmV2LnhtbFBLAQIUABQAAAAIAIdO4kC2xY5zFAIAAH4EAAAO&#10;AAAAAAAAAAEAIAAAACcBAABkcnMvZTJvRG9jLnhtbFBLBQYAAAAABgAGAFkBAACtBQAAAAA=&#10;" path="m0,14l8365,14,8365,0,0,0,0,14xe">
              <v:fill on="t" focussize="0,0"/>
              <v:stroke on="f"/>
              <v:imagedata o:title=""/>
              <o:lock v:ext="edit" aspectratio="f"/>
            </v:shape>
          </w:pict>
        </mc:Fallback>
      </mc:AlternateContent>
    </w:r>
    <w:r>
      <w:rPr>
        <w:rFonts w:ascii="宋体" w:hAnsi="宋体" w:eastAsia="宋体" w:cs="宋体"/>
        <w:spacing w:val="-1"/>
        <w:sz w:val="18"/>
        <w:szCs w:val="18"/>
      </w:rPr>
      <w:t>环境影响评价区域评估报告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3086EA">
    <w:pPr>
      <w:pBdr>
        <w:bottom w:val="single" w:color="auto" w:sz="4" w:space="0"/>
      </w:pBdr>
      <w:spacing w:before="16" w:line="218" w:lineRule="auto"/>
      <w:jc w:val="center"/>
      <w:rPr>
        <w:rFonts w:ascii="宋体" w:hAnsi="宋体" w:eastAsia="宋体" w:cs="宋体"/>
        <w:sz w:val="18"/>
        <w:szCs w:val="18"/>
      </w:rPr>
    </w:pPr>
    <w:r>
      <w:rPr>
        <w:rFonts w:ascii="宋体" w:hAnsi="宋体" w:eastAsia="宋体" w:cs="宋体"/>
        <w:spacing w:val="-1"/>
        <w:sz w:val="18"/>
        <w:szCs w:val="18"/>
      </w:rPr>
      <w:t>南京江宁经济技术开发区环境影响评价区域评估报告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EDA45">
    <w:pPr>
      <w:spacing w:before="19" w:line="219" w:lineRule="auto"/>
      <w:ind w:left="1984"/>
      <w:rPr>
        <w:rFonts w:ascii="宋体" w:hAnsi="宋体" w:eastAsia="宋体" w:cs="宋体"/>
        <w:sz w:val="21"/>
        <w:szCs w:val="21"/>
      </w:rPr>
    </w:pPr>
    <w:r>
      <w:rPr>
        <w:rFonts w:ascii="宋体" w:hAnsi="宋体" w:eastAsia="宋体" w:cs="宋体"/>
        <w:spacing w:val="-1"/>
        <w:sz w:val="21"/>
        <w:szCs w:val="21"/>
      </w:rPr>
      <w:pict>
        <v:shape id="_x0000_s2106" o:spid="_x0000_s2106" style="position:absolute;left:0pt;margin-left:92.4pt;margin-top:58.6pt;height:0.75pt;width:417.95pt;mso-position-horizontal-relative:page;mso-position-vertical-relative:page;z-index:251661312;mso-width-relative:page;mso-height-relative:page;" fillcolor="#000000" filled="t" stroked="f" coordsize="8359,15" o:allowincell="f" path="m0,14l8358,14,8358,0,0,0,0,14xe">
          <v:path/>
          <v:fill on="t" focussize="0,0"/>
          <v:stroke on="f"/>
          <v:imagedata o:title=""/>
          <o:lock v:ext="edit"/>
        </v:shape>
      </w:pict>
    </w:r>
    <w:r>
      <w:rPr>
        <w:rFonts w:ascii="宋体" w:hAnsi="宋体" w:eastAsia="宋体" w:cs="宋体"/>
        <w:spacing w:val="-1"/>
        <w:sz w:val="21"/>
        <w:szCs w:val="21"/>
      </w:rPr>
      <w:t>南京江宁经济技术开发区环境影响评价区域评估报告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EE25E0">
    <w:pPr>
      <w:spacing w:before="19" w:line="219" w:lineRule="auto"/>
      <w:ind w:left="4814"/>
      <w:rPr>
        <w:rFonts w:ascii="宋体" w:hAnsi="宋体" w:eastAsia="宋体" w:cs="宋体"/>
        <w:sz w:val="21"/>
        <w:szCs w:val="21"/>
      </w:rPr>
    </w:pPr>
    <w:r>
      <w:pict>
        <v:shape id="_x0000_s2107" o:spid="_x0000_s2107" style="position:absolute;left:0pt;margin-left:70.55pt;margin-top:57.1pt;height:0.75pt;width:700.95pt;mso-position-horizontal-relative:page;mso-position-vertical-relative:page;z-index:251662336;mso-width-relative:page;mso-height-relative:page;" fillcolor="#000000" filled="t" stroked="f" coordsize="14019,15" o:allowincell="f" path="m0,14l14018,14,14018,0,0,0,0,14xe">
          <v:path/>
          <v:fill on="t" focussize="0,0"/>
          <v:stroke on="f"/>
          <v:imagedata o:title=""/>
          <o:lock v:ext="edit"/>
        </v:shape>
      </w:pict>
    </w:r>
    <w:r>
      <w:rPr>
        <w:rFonts w:ascii="宋体" w:hAnsi="宋体" w:eastAsia="宋体" w:cs="宋体"/>
        <w:spacing w:val="-1"/>
        <w:sz w:val="21"/>
        <w:szCs w:val="21"/>
      </w:rPr>
      <w:t>南京</w:t>
    </w:r>
    <w:r>
      <w:rPr>
        <w:rFonts w:hint="eastAsia" w:ascii="宋体" w:hAnsi="宋体" w:eastAsia="宋体" w:cs="宋体"/>
        <w:spacing w:val="-1"/>
        <w:sz w:val="21"/>
        <w:szCs w:val="21"/>
        <w:lang w:val="en-US" w:eastAsia="zh-CN"/>
      </w:rPr>
      <w:t>江宁经济技术</w:t>
    </w:r>
    <w:r>
      <w:rPr>
        <w:rFonts w:ascii="宋体" w:hAnsi="宋体" w:eastAsia="宋体" w:cs="宋体"/>
        <w:spacing w:val="-1"/>
        <w:sz w:val="21"/>
        <w:szCs w:val="21"/>
      </w:rPr>
      <w:t>开发区环境影响评价区域评估报告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A080A6">
    <w:pPr>
      <w:spacing w:before="19" w:line="219" w:lineRule="auto"/>
      <w:ind w:left="1984"/>
      <w:rPr>
        <w:rFonts w:ascii="宋体" w:hAnsi="宋体" w:eastAsia="宋体" w:cs="宋体"/>
        <w:sz w:val="21"/>
        <w:szCs w:val="21"/>
      </w:rPr>
    </w:pPr>
    <w:r>
      <w:pict>
        <v:shape id="_x0000_s2112" o:spid="_x0000_s2112" style="position:absolute;left:0pt;margin-left:88.7pt;margin-top:57.1pt;height:0.75pt;width:417.95pt;mso-position-horizontal-relative:page;mso-position-vertical-relative:page;z-index:251660288;mso-width-relative:page;mso-height-relative:page;" fillcolor="#000000" filled="t" stroked="f" coordsize="8359,15" o:allowincell="f" path="m0,14l8358,14,8358,0,0,0,0,14xe">
          <v:path/>
          <v:fill on="t" focussize="0,0"/>
          <v:stroke on="f"/>
          <v:imagedata o:title=""/>
          <o:lock v:ext="edit"/>
        </v:shape>
      </w:pict>
    </w:r>
    <w:r>
      <w:rPr>
        <w:rFonts w:ascii="宋体" w:hAnsi="宋体" w:eastAsia="宋体" w:cs="宋体"/>
        <w:spacing w:val="-1"/>
        <w:sz w:val="21"/>
        <w:szCs w:val="21"/>
      </w:rPr>
      <w:t>南京</w:t>
    </w:r>
    <w:r>
      <w:rPr>
        <w:rFonts w:hint="eastAsia" w:ascii="宋体" w:hAnsi="宋体" w:eastAsia="宋体" w:cs="宋体"/>
        <w:spacing w:val="-1"/>
        <w:sz w:val="21"/>
        <w:szCs w:val="21"/>
        <w:lang w:val="en-US" w:eastAsia="zh-CN"/>
      </w:rPr>
      <w:t>江宁经济技术</w:t>
    </w:r>
    <w:r>
      <w:rPr>
        <w:rFonts w:ascii="宋体" w:hAnsi="宋体" w:eastAsia="宋体" w:cs="宋体"/>
        <w:spacing w:val="-1"/>
        <w:sz w:val="21"/>
        <w:szCs w:val="21"/>
      </w:rPr>
      <w:t>开发区环境影响评价区域评估报告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CB04B3">
    <w:pPr>
      <w:spacing w:before="19" w:line="219" w:lineRule="auto"/>
      <w:ind w:left="4814"/>
      <w:rPr>
        <w:rFonts w:ascii="宋体" w:hAnsi="宋体" w:eastAsia="宋体" w:cs="宋体"/>
        <w:sz w:val="21"/>
        <w:szCs w:val="21"/>
      </w:rPr>
    </w:pPr>
    <w:r>
      <w:pict>
        <v:shape id="_x0000_s2113" o:spid="_x0000_s2113" style="position:absolute;left:0pt;margin-left:70.55pt;margin-top:57.1pt;height:0.75pt;width:700.95pt;mso-position-horizontal-relative:page;mso-position-vertical-relative:page;z-index:251662336;mso-width-relative:page;mso-height-relative:page;" fillcolor="#000000" filled="t" stroked="f" coordsize="14019,15" o:allowincell="f" path="m0,14l14018,14,14018,0,0,0,0,14xe">
          <v:path/>
          <v:fill on="t" focussize="0,0"/>
          <v:stroke on="f"/>
          <v:imagedata o:title=""/>
          <o:lock v:ext="edit"/>
        </v:shape>
      </w:pict>
    </w:r>
    <w:r>
      <w:rPr>
        <w:rFonts w:ascii="宋体" w:hAnsi="宋体" w:eastAsia="宋体" w:cs="宋体"/>
        <w:spacing w:val="-1"/>
        <w:sz w:val="21"/>
        <w:szCs w:val="21"/>
      </w:rPr>
      <w:t>南京</w:t>
    </w:r>
    <w:r>
      <w:rPr>
        <w:rFonts w:hint="eastAsia" w:ascii="宋体" w:hAnsi="宋体" w:eastAsia="宋体" w:cs="宋体"/>
        <w:spacing w:val="-1"/>
        <w:sz w:val="21"/>
        <w:szCs w:val="21"/>
        <w:lang w:val="en-US" w:eastAsia="zh-CN"/>
      </w:rPr>
      <w:t>江宁经济技术</w:t>
    </w:r>
    <w:r>
      <w:rPr>
        <w:rFonts w:ascii="宋体" w:hAnsi="宋体" w:eastAsia="宋体" w:cs="宋体"/>
        <w:spacing w:val="-1"/>
        <w:sz w:val="21"/>
        <w:szCs w:val="21"/>
      </w:rPr>
      <w:t>开发区环境影响评价区域评估报告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6E99634"/>
    <w:multiLevelType w:val="singleLevel"/>
    <w:tmpl w:val="96E99634"/>
    <w:lvl w:ilvl="0" w:tentative="0">
      <w:start w:val="1"/>
      <w:numFmt w:val="decimal"/>
      <w:suff w:val="nothing"/>
      <w:lvlText w:val="（%1）"/>
      <w:lvlJc w:val="left"/>
    </w:lvl>
  </w:abstractNum>
  <w:abstractNum w:abstractNumId="1">
    <w:nsid w:val="A248E906"/>
    <w:multiLevelType w:val="singleLevel"/>
    <w:tmpl w:val="A248E906"/>
    <w:lvl w:ilvl="0" w:tentative="0">
      <w:start w:val="1"/>
      <w:numFmt w:val="decimal"/>
      <w:suff w:val="nothing"/>
      <w:lvlText w:val="（%1）"/>
      <w:lvlJc w:val="left"/>
    </w:lvl>
  </w:abstractNum>
  <w:abstractNum w:abstractNumId="2">
    <w:nsid w:val="B1F4DA07"/>
    <w:multiLevelType w:val="singleLevel"/>
    <w:tmpl w:val="B1F4DA07"/>
    <w:lvl w:ilvl="0" w:tentative="0">
      <w:start w:val="1"/>
      <w:numFmt w:val="decimal"/>
      <w:pStyle w:val="45"/>
      <w:suff w:val="space"/>
      <w:lvlText w:val="表1-%1"/>
      <w:lvlJc w:val="center"/>
      <w:pPr>
        <w:tabs>
          <w:tab w:val="left" w:pos="0"/>
        </w:tabs>
        <w:ind w:left="0" w:leftChars="0" w:firstLine="0" w:firstLineChars="0"/>
      </w:pPr>
      <w:rPr>
        <w:rFonts w:hint="default" w:ascii="Times New Roman" w:hAnsi="Times New Roman" w:cs="Times New Roman"/>
        <w:sz w:val="21"/>
        <w:szCs w:val="21"/>
      </w:rPr>
    </w:lvl>
  </w:abstractNum>
  <w:abstractNum w:abstractNumId="3">
    <w:nsid w:val="D1106BEB"/>
    <w:multiLevelType w:val="singleLevel"/>
    <w:tmpl w:val="D1106BEB"/>
    <w:lvl w:ilvl="0" w:tentative="0">
      <w:start w:val="4"/>
      <w:numFmt w:val="decimal"/>
      <w:suff w:val="nothing"/>
      <w:lvlText w:val="%1）"/>
      <w:lvlJc w:val="left"/>
    </w:lvl>
  </w:abstractNum>
  <w:abstractNum w:abstractNumId="4">
    <w:nsid w:val="DF595D5C"/>
    <w:multiLevelType w:val="singleLevel"/>
    <w:tmpl w:val="DF595D5C"/>
    <w:lvl w:ilvl="0" w:tentative="0">
      <w:start w:val="1"/>
      <w:numFmt w:val="decimal"/>
      <w:suff w:val="nothing"/>
      <w:lvlText w:val="（%1）"/>
      <w:lvlJc w:val="left"/>
    </w:lvl>
  </w:abstractNum>
  <w:abstractNum w:abstractNumId="5">
    <w:nsid w:val="E092AFF2"/>
    <w:multiLevelType w:val="singleLevel"/>
    <w:tmpl w:val="E092AFF2"/>
    <w:lvl w:ilvl="0" w:tentative="0">
      <w:start w:val="1"/>
      <w:numFmt w:val="decimal"/>
      <w:lvlText w:val="(%1)"/>
      <w:lvlJc w:val="left"/>
      <w:pPr>
        <w:tabs>
          <w:tab w:val="left" w:pos="312"/>
        </w:tabs>
      </w:pPr>
    </w:lvl>
  </w:abstractNum>
  <w:abstractNum w:abstractNumId="6">
    <w:nsid w:val="E71CC001"/>
    <w:multiLevelType w:val="multilevel"/>
    <w:tmpl w:val="E71CC001"/>
    <w:lvl w:ilvl="0" w:tentative="0">
      <w:start w:val="1"/>
      <w:numFmt w:val="decimal"/>
      <w:suff w:val="space"/>
      <w:lvlText w:val="%1"/>
      <w:lvlJc w:val="left"/>
      <w:pPr>
        <w:tabs>
          <w:tab w:val="left" w:pos="0"/>
        </w:tabs>
        <w:ind w:left="0" w:leftChars="0" w:firstLine="0" w:firstLineChars="0"/>
      </w:pPr>
      <w:rPr>
        <w:rFonts w:hint="default" w:ascii="宋体" w:hAnsi="宋体" w:eastAsia="宋体" w:cs="宋体"/>
      </w:rPr>
    </w:lvl>
    <w:lvl w:ilvl="1" w:tentative="0">
      <w:start w:val="1"/>
      <w:numFmt w:val="decimal"/>
      <w:suff w:val="space"/>
      <w:lvlText w:val="%1.%2"/>
      <w:lvlJc w:val="left"/>
      <w:pPr>
        <w:tabs>
          <w:tab w:val="left" w:pos="0"/>
        </w:tabs>
        <w:ind w:left="0" w:leftChars="0" w:firstLine="0" w:firstLineChars="0"/>
      </w:pPr>
      <w:rPr>
        <w:rFonts w:hint="default" w:ascii="宋体" w:hAnsi="宋体" w:eastAsia="宋体" w:cs="宋体"/>
      </w:rPr>
    </w:lvl>
    <w:lvl w:ilvl="2" w:tentative="0">
      <w:start w:val="1"/>
      <w:numFmt w:val="decimal"/>
      <w:suff w:val="space"/>
      <w:lvlText w:val="%1.%2.%3"/>
      <w:lvlJc w:val="left"/>
      <w:pPr>
        <w:tabs>
          <w:tab w:val="left" w:pos="0"/>
        </w:tabs>
        <w:ind w:left="0" w:leftChars="0" w:firstLine="0" w:firstLineChars="0"/>
      </w:pPr>
      <w:rPr>
        <w:rFonts w:hint="default" w:ascii="宋体" w:hAnsi="宋体" w:eastAsia="宋体" w:cs="宋体"/>
        <w:b/>
        <w:color w:val="auto"/>
        <w:sz w:val="24"/>
        <w:szCs w:val="24"/>
      </w:rPr>
    </w:lvl>
    <w:lvl w:ilvl="3" w:tentative="0">
      <w:start w:val="1"/>
      <w:numFmt w:val="decimal"/>
      <w:lvlText w:val="%1.%2.%3.%4"/>
      <w:lvlJc w:val="left"/>
      <w:pPr>
        <w:tabs>
          <w:tab w:val="left" w:pos="420"/>
        </w:tabs>
        <w:ind w:left="1494" w:hanging="864"/>
      </w:pPr>
      <w:rPr>
        <w:rFonts w:hint="default" w:ascii="宋体" w:hAnsi="宋体" w:eastAsia="宋体" w:cs="宋体"/>
      </w:rPr>
    </w:lvl>
    <w:lvl w:ilvl="4" w:tentative="0">
      <w:start w:val="1"/>
      <w:numFmt w:val="decimal"/>
      <w:lvlRestart w:val="2"/>
      <w:pStyle w:val="5"/>
      <w:suff w:val="space"/>
      <w:lvlText w:val="表%1.%2-%5"/>
      <w:lvlJc w:val="center"/>
      <w:pPr>
        <w:tabs>
          <w:tab w:val="left" w:pos="420"/>
        </w:tabs>
        <w:ind w:left="0" w:leftChars="0" w:firstLine="0" w:firstLineChars="0"/>
      </w:pPr>
      <w:rPr>
        <w:rFonts w:hint="default" w:ascii="宋体" w:hAnsi="宋体" w:eastAsia="宋体" w:cs="宋体"/>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7">
    <w:nsid w:val="10798ED3"/>
    <w:multiLevelType w:val="singleLevel"/>
    <w:tmpl w:val="10798ED3"/>
    <w:lvl w:ilvl="0" w:tentative="0">
      <w:start w:val="1"/>
      <w:numFmt w:val="decimal"/>
      <w:suff w:val="nothing"/>
      <w:lvlText w:val="（%1）"/>
      <w:lvlJc w:val="left"/>
    </w:lvl>
  </w:abstractNum>
  <w:abstractNum w:abstractNumId="8">
    <w:nsid w:val="27E84D89"/>
    <w:multiLevelType w:val="multilevel"/>
    <w:tmpl w:val="27E84D89"/>
    <w:lvl w:ilvl="0" w:tentative="0">
      <w:start w:val="1"/>
      <w:numFmt w:val="decimal"/>
      <w:pStyle w:val="6"/>
      <w:isLgl/>
      <w:lvlText w:val="表3-%1"/>
      <w:lvlJc w:val="center"/>
      <w:pPr>
        <w:tabs>
          <w:tab w:val="left" w:pos="0"/>
        </w:tabs>
        <w:ind w:left="2310" w:hanging="2310"/>
      </w:pPr>
      <w:rPr>
        <w:rFonts w:hint="default" w:ascii="Times New Roman" w:hAnsi="Times New Roman" w:eastAsia="宋体" w:cs="宋体"/>
        <w:b/>
        <w:sz w:val="21"/>
        <w:szCs w:val="24"/>
      </w:rPr>
    </w:lvl>
    <w:lvl w:ilvl="1" w:tentative="0">
      <w:start w:val="1"/>
      <w:numFmt w:val="decimal"/>
      <w:suff w:val="nothing"/>
      <w:lvlText w:val="表2-%2"/>
      <w:lvlJc w:val="left"/>
      <w:pPr>
        <w:tabs>
          <w:tab w:val="left" w:pos="0"/>
        </w:tabs>
        <w:ind w:left="0" w:firstLine="0"/>
      </w:pPr>
      <w:rPr>
        <w:rFonts w:hint="default" w:ascii="宋体" w:hAnsi="宋体" w:eastAsia="宋体" w:cs="Times New Roman"/>
      </w:rPr>
    </w:lvl>
    <w:lvl w:ilvl="2" w:tentative="0">
      <w:start w:val="1"/>
      <w:numFmt w:val="decimal"/>
      <w:lvlText w:val="%1.1.1%3"/>
      <w:lvlJc w:val="left"/>
      <w:pPr>
        <w:tabs>
          <w:tab w:val="left" w:pos="0"/>
        </w:tabs>
        <w:ind w:left="0" w:firstLine="0"/>
      </w:pPr>
      <w:rPr>
        <w:rFonts w:hint="default" w:ascii="宋体" w:hAnsi="宋体" w:eastAsia="宋体" w:cs="Times New Roman"/>
        <w:color w:val="auto"/>
      </w:rPr>
    </w:lvl>
    <w:lvl w:ilvl="3" w:tentative="0">
      <w:start w:val="1"/>
      <w:numFmt w:val="decimal"/>
      <w:lvlText w:val="%1.%2.%3.%4"/>
      <w:lvlJc w:val="left"/>
      <w:pPr>
        <w:tabs>
          <w:tab w:val="left" w:pos="1080"/>
        </w:tabs>
        <w:ind w:left="0" w:firstLine="0"/>
      </w:pPr>
      <w:rPr>
        <w:rFonts w:hint="default" w:ascii="宋体" w:hAnsi="宋体" w:eastAsia="宋体" w:cs="Times New Roman"/>
      </w:rPr>
    </w:lvl>
    <w:lvl w:ilvl="4" w:tentative="0">
      <w:start w:val="1"/>
      <w:numFmt w:val="decimal"/>
      <w:lvlText w:val="%1.%2.%3.%4.%5"/>
      <w:lvlJc w:val="left"/>
      <w:pPr>
        <w:tabs>
          <w:tab w:val="left" w:pos="0"/>
        </w:tabs>
        <w:ind w:left="0" w:firstLine="0"/>
      </w:pPr>
      <w:rPr>
        <w:rFonts w:hint="eastAsia"/>
      </w:rPr>
    </w:lvl>
    <w:lvl w:ilvl="5" w:tentative="0">
      <w:start w:val="1"/>
      <w:numFmt w:val="decimal"/>
      <w:lvlText w:val="%1.%2.%3.%4.%5.%6"/>
      <w:lvlJc w:val="left"/>
      <w:pPr>
        <w:tabs>
          <w:tab w:val="left" w:pos="0"/>
        </w:tabs>
        <w:ind w:left="0" w:firstLine="0"/>
      </w:pPr>
      <w:rPr>
        <w:rFonts w:hint="eastAsia"/>
      </w:rPr>
    </w:lvl>
    <w:lvl w:ilvl="6" w:tentative="0">
      <w:start w:val="1"/>
      <w:numFmt w:val="decimal"/>
      <w:lvlRestart w:val="2"/>
      <w:suff w:val="space"/>
      <w:lvlText w:val="表1-%1.%2%7"/>
      <w:lvlJc w:val="left"/>
      <w:pPr>
        <w:tabs>
          <w:tab w:val="left" w:pos="0"/>
        </w:tabs>
        <w:ind w:left="0" w:firstLine="0"/>
      </w:pPr>
      <w:rPr>
        <w:rFonts w:hint="default" w:ascii="宋体" w:hAnsi="宋体" w:eastAsia="宋体" w:cs="Times New Roman"/>
      </w:rPr>
    </w:lvl>
    <w:lvl w:ilvl="7" w:tentative="0">
      <w:start w:val="1"/>
      <w:numFmt w:val="decimal"/>
      <w:lvlText w:val="%1.%2.%3.%4.%5.%6.%7.%8"/>
      <w:lvlJc w:val="left"/>
      <w:pPr>
        <w:tabs>
          <w:tab w:val="left" w:pos="0"/>
        </w:tabs>
        <w:ind w:left="0" w:firstLine="0"/>
      </w:pPr>
      <w:rPr>
        <w:rFonts w:hint="eastAsia"/>
      </w:rPr>
    </w:lvl>
    <w:lvl w:ilvl="8" w:tentative="0">
      <w:start w:val="1"/>
      <w:numFmt w:val="decimal"/>
      <w:lvlText w:val="%1.%2.%3.%4.%5.%6.%7.%8.%9"/>
      <w:lvlJc w:val="left"/>
      <w:pPr>
        <w:tabs>
          <w:tab w:val="left" w:pos="0"/>
        </w:tabs>
        <w:ind w:left="0" w:firstLine="0"/>
      </w:pPr>
      <w:rPr>
        <w:rFonts w:hint="eastAsia"/>
      </w:rPr>
    </w:lvl>
  </w:abstractNum>
  <w:abstractNum w:abstractNumId="9">
    <w:nsid w:val="3E5A5500"/>
    <w:multiLevelType w:val="multilevel"/>
    <w:tmpl w:val="3E5A5500"/>
    <w:lvl w:ilvl="0" w:tentative="0">
      <w:start w:val="1"/>
      <w:numFmt w:val="decimal"/>
      <w:lvlText w:val="表6－%1"/>
      <w:lvlJc w:val="center"/>
      <w:pPr>
        <w:tabs>
          <w:tab w:val="left" w:pos="0"/>
        </w:tabs>
        <w:ind w:left="0" w:firstLine="0"/>
      </w:pPr>
      <w:rPr>
        <w:rFonts w:hint="eastAsia"/>
      </w:rPr>
    </w:lvl>
    <w:lvl w:ilvl="1" w:tentative="0">
      <w:start w:val="1"/>
      <w:numFmt w:val="lowerLetter"/>
      <w:lvlText w:val="%2)"/>
      <w:lvlJc w:val="left"/>
      <w:pPr>
        <w:tabs>
          <w:tab w:val="left" w:pos="840"/>
        </w:tabs>
        <w:ind w:left="840" w:hanging="420"/>
      </w:pPr>
    </w:lvl>
    <w:lvl w:ilvl="2" w:tentative="0">
      <w:start w:val="1"/>
      <w:numFmt w:val="lowerRoman"/>
      <w:pStyle w:val="4"/>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0">
    <w:nsid w:val="468C9879"/>
    <w:multiLevelType w:val="singleLevel"/>
    <w:tmpl w:val="468C9879"/>
    <w:lvl w:ilvl="0" w:tentative="0">
      <w:start w:val="1"/>
      <w:numFmt w:val="decimal"/>
      <w:suff w:val="nothing"/>
      <w:lvlText w:val="（%1）"/>
      <w:lvlJc w:val="left"/>
    </w:lvl>
  </w:abstractNum>
  <w:abstractNum w:abstractNumId="11">
    <w:nsid w:val="56C734C6"/>
    <w:multiLevelType w:val="singleLevel"/>
    <w:tmpl w:val="56C734C6"/>
    <w:lvl w:ilvl="0" w:tentative="0">
      <w:start w:val="1"/>
      <w:numFmt w:val="decimal"/>
      <w:suff w:val="nothing"/>
      <w:lvlText w:val="（%1）"/>
      <w:lvlJc w:val="left"/>
    </w:lvl>
  </w:abstractNum>
  <w:abstractNum w:abstractNumId="12">
    <w:nsid w:val="74F8A623"/>
    <w:multiLevelType w:val="singleLevel"/>
    <w:tmpl w:val="74F8A623"/>
    <w:lvl w:ilvl="0" w:tentative="0">
      <w:start w:val="1"/>
      <w:numFmt w:val="decimal"/>
      <w:suff w:val="nothing"/>
      <w:lvlText w:val="（%1）"/>
      <w:lvlJc w:val="left"/>
    </w:lvl>
  </w:abstractNum>
  <w:num w:numId="1">
    <w:abstractNumId w:val="9"/>
  </w:num>
  <w:num w:numId="2">
    <w:abstractNumId w:val="6"/>
  </w:num>
  <w:num w:numId="3">
    <w:abstractNumId w:val="8"/>
  </w:num>
  <w:num w:numId="4">
    <w:abstractNumId w:val="2"/>
  </w:num>
  <w:num w:numId="5">
    <w:abstractNumId w:val="12"/>
  </w:num>
  <w:num w:numId="6">
    <w:abstractNumId w:val="11"/>
  </w:num>
  <w:num w:numId="7">
    <w:abstractNumId w:val="5"/>
  </w:num>
  <w:num w:numId="8">
    <w:abstractNumId w:val="10"/>
  </w:num>
  <w:num w:numId="9">
    <w:abstractNumId w:val="3"/>
  </w:num>
  <w:num w:numId="10">
    <w:abstractNumId w:val="0"/>
  </w:num>
  <w:num w:numId="11">
    <w:abstractNumId w:val="4"/>
  </w:num>
  <w:num w:numId="12">
    <w:abstractNumId w:val="7"/>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2ZkMTg1ODVjMjc4NjQ4OWFjYmU2ZjkyNTkzOGVkMzMifQ=="/>
  </w:docVars>
  <w:rsids>
    <w:rsidRoot w:val="00000000"/>
    <w:rsid w:val="004077A4"/>
    <w:rsid w:val="00555BFF"/>
    <w:rsid w:val="006954B8"/>
    <w:rsid w:val="01DD7FBA"/>
    <w:rsid w:val="02074C66"/>
    <w:rsid w:val="029F2112"/>
    <w:rsid w:val="02F32FFC"/>
    <w:rsid w:val="049F3623"/>
    <w:rsid w:val="052102F4"/>
    <w:rsid w:val="05FB615F"/>
    <w:rsid w:val="071A5C17"/>
    <w:rsid w:val="077010BF"/>
    <w:rsid w:val="08327CEC"/>
    <w:rsid w:val="0841638F"/>
    <w:rsid w:val="09A3752A"/>
    <w:rsid w:val="09E433B1"/>
    <w:rsid w:val="0B183F48"/>
    <w:rsid w:val="0B831498"/>
    <w:rsid w:val="0C5114BF"/>
    <w:rsid w:val="0CE050E2"/>
    <w:rsid w:val="0D67767A"/>
    <w:rsid w:val="0E287CA7"/>
    <w:rsid w:val="10FE63CD"/>
    <w:rsid w:val="11290C5D"/>
    <w:rsid w:val="11373F3A"/>
    <w:rsid w:val="12237783"/>
    <w:rsid w:val="128D007D"/>
    <w:rsid w:val="12E65C16"/>
    <w:rsid w:val="136A6362"/>
    <w:rsid w:val="158A190A"/>
    <w:rsid w:val="162163A6"/>
    <w:rsid w:val="16870478"/>
    <w:rsid w:val="170F33E9"/>
    <w:rsid w:val="1763586C"/>
    <w:rsid w:val="17731392"/>
    <w:rsid w:val="19C43F83"/>
    <w:rsid w:val="1ACE70BA"/>
    <w:rsid w:val="1AEB0D31"/>
    <w:rsid w:val="1B1022FA"/>
    <w:rsid w:val="1B1C4B09"/>
    <w:rsid w:val="1B5763C6"/>
    <w:rsid w:val="1B8151F1"/>
    <w:rsid w:val="1C1A4FA9"/>
    <w:rsid w:val="1C242C1D"/>
    <w:rsid w:val="1C7A5D5E"/>
    <w:rsid w:val="1DE63A32"/>
    <w:rsid w:val="1E526ED0"/>
    <w:rsid w:val="1E870D71"/>
    <w:rsid w:val="1E8C3266"/>
    <w:rsid w:val="1F234D0E"/>
    <w:rsid w:val="1F7D680B"/>
    <w:rsid w:val="1FC84723"/>
    <w:rsid w:val="20030393"/>
    <w:rsid w:val="20B971DB"/>
    <w:rsid w:val="20C17627"/>
    <w:rsid w:val="20DB356E"/>
    <w:rsid w:val="2153414A"/>
    <w:rsid w:val="21FE134A"/>
    <w:rsid w:val="222F59A7"/>
    <w:rsid w:val="22DC448F"/>
    <w:rsid w:val="22E94F81"/>
    <w:rsid w:val="22FA0BC8"/>
    <w:rsid w:val="234D60A2"/>
    <w:rsid w:val="236A23D4"/>
    <w:rsid w:val="24A7216D"/>
    <w:rsid w:val="24BD2564"/>
    <w:rsid w:val="24C52FF4"/>
    <w:rsid w:val="24CA79A1"/>
    <w:rsid w:val="25267317"/>
    <w:rsid w:val="256D5162"/>
    <w:rsid w:val="262C0401"/>
    <w:rsid w:val="26DD1E76"/>
    <w:rsid w:val="26E52AD8"/>
    <w:rsid w:val="26F176CF"/>
    <w:rsid w:val="272332E8"/>
    <w:rsid w:val="273C662B"/>
    <w:rsid w:val="27862302"/>
    <w:rsid w:val="27AF2234"/>
    <w:rsid w:val="2826784C"/>
    <w:rsid w:val="297B52F6"/>
    <w:rsid w:val="297D349C"/>
    <w:rsid w:val="298F1421"/>
    <w:rsid w:val="29C52829"/>
    <w:rsid w:val="2A0239A1"/>
    <w:rsid w:val="2AA6415D"/>
    <w:rsid w:val="2AAB5C87"/>
    <w:rsid w:val="2AD73080"/>
    <w:rsid w:val="2B00148F"/>
    <w:rsid w:val="2B153E18"/>
    <w:rsid w:val="2B5946AE"/>
    <w:rsid w:val="2B8E74F6"/>
    <w:rsid w:val="2BA128FC"/>
    <w:rsid w:val="2BE11B8D"/>
    <w:rsid w:val="2C7C368B"/>
    <w:rsid w:val="2D012B76"/>
    <w:rsid w:val="2D182543"/>
    <w:rsid w:val="2D2D342B"/>
    <w:rsid w:val="2E4538AE"/>
    <w:rsid w:val="2ECD6C74"/>
    <w:rsid w:val="2ECE479A"/>
    <w:rsid w:val="2EE43FBD"/>
    <w:rsid w:val="2F414F6C"/>
    <w:rsid w:val="30056783"/>
    <w:rsid w:val="30426516"/>
    <w:rsid w:val="308F48CA"/>
    <w:rsid w:val="30BD26EF"/>
    <w:rsid w:val="310D15A9"/>
    <w:rsid w:val="31394D1A"/>
    <w:rsid w:val="31B11545"/>
    <w:rsid w:val="32384404"/>
    <w:rsid w:val="3260395B"/>
    <w:rsid w:val="327E41E9"/>
    <w:rsid w:val="32862773"/>
    <w:rsid w:val="32CA3CF0"/>
    <w:rsid w:val="33ED078E"/>
    <w:rsid w:val="340D2919"/>
    <w:rsid w:val="345160B9"/>
    <w:rsid w:val="36922BF5"/>
    <w:rsid w:val="37FD0B80"/>
    <w:rsid w:val="38E96FEE"/>
    <w:rsid w:val="3AFF624A"/>
    <w:rsid w:val="3B765F9D"/>
    <w:rsid w:val="3C4340D1"/>
    <w:rsid w:val="3C6420CF"/>
    <w:rsid w:val="3C86542D"/>
    <w:rsid w:val="3C8C5E89"/>
    <w:rsid w:val="3C8D359E"/>
    <w:rsid w:val="3D2507BC"/>
    <w:rsid w:val="3D476846"/>
    <w:rsid w:val="3D7D7AB7"/>
    <w:rsid w:val="3DE03BD8"/>
    <w:rsid w:val="3DEB4A20"/>
    <w:rsid w:val="3E0C4BC0"/>
    <w:rsid w:val="3EE15E23"/>
    <w:rsid w:val="3F5465F5"/>
    <w:rsid w:val="3F63690D"/>
    <w:rsid w:val="40965583"/>
    <w:rsid w:val="410A1661"/>
    <w:rsid w:val="410D197E"/>
    <w:rsid w:val="412B656E"/>
    <w:rsid w:val="41CA2B9F"/>
    <w:rsid w:val="42752803"/>
    <w:rsid w:val="4368266F"/>
    <w:rsid w:val="43A22AA6"/>
    <w:rsid w:val="43E95C9D"/>
    <w:rsid w:val="448C0198"/>
    <w:rsid w:val="44D400B9"/>
    <w:rsid w:val="44E946BC"/>
    <w:rsid w:val="44E96BCA"/>
    <w:rsid w:val="45453B75"/>
    <w:rsid w:val="45927E77"/>
    <w:rsid w:val="459531E3"/>
    <w:rsid w:val="459A6C3E"/>
    <w:rsid w:val="45D7563B"/>
    <w:rsid w:val="474A6C5C"/>
    <w:rsid w:val="47A11F37"/>
    <w:rsid w:val="48867E0F"/>
    <w:rsid w:val="48E575CC"/>
    <w:rsid w:val="48EC5AF0"/>
    <w:rsid w:val="49275D14"/>
    <w:rsid w:val="4BFC6264"/>
    <w:rsid w:val="4C0118B3"/>
    <w:rsid w:val="4C047120"/>
    <w:rsid w:val="4D241DED"/>
    <w:rsid w:val="4D39523E"/>
    <w:rsid w:val="4D6C26F7"/>
    <w:rsid w:val="4DCD5615"/>
    <w:rsid w:val="4EB611FA"/>
    <w:rsid w:val="4F396DB4"/>
    <w:rsid w:val="4FFC6B7C"/>
    <w:rsid w:val="510078F8"/>
    <w:rsid w:val="51316796"/>
    <w:rsid w:val="52FC61D2"/>
    <w:rsid w:val="532D0DC1"/>
    <w:rsid w:val="53EF7E41"/>
    <w:rsid w:val="53F248EE"/>
    <w:rsid w:val="54AD4386"/>
    <w:rsid w:val="560F50FF"/>
    <w:rsid w:val="561C3827"/>
    <w:rsid w:val="56285E1D"/>
    <w:rsid w:val="56723F44"/>
    <w:rsid w:val="569C1FC8"/>
    <w:rsid w:val="57364B06"/>
    <w:rsid w:val="57464733"/>
    <w:rsid w:val="57D305A7"/>
    <w:rsid w:val="57FF3FBA"/>
    <w:rsid w:val="58DA3BB7"/>
    <w:rsid w:val="58F24869"/>
    <w:rsid w:val="595A074E"/>
    <w:rsid w:val="596A1A70"/>
    <w:rsid w:val="59C04B5B"/>
    <w:rsid w:val="59CD0144"/>
    <w:rsid w:val="5A080ED6"/>
    <w:rsid w:val="5A476F12"/>
    <w:rsid w:val="5A68415D"/>
    <w:rsid w:val="5A96175A"/>
    <w:rsid w:val="5AA35772"/>
    <w:rsid w:val="5ACE0733"/>
    <w:rsid w:val="5B650EB8"/>
    <w:rsid w:val="5BA83801"/>
    <w:rsid w:val="5BD96703"/>
    <w:rsid w:val="5BFD7ECF"/>
    <w:rsid w:val="5C811A05"/>
    <w:rsid w:val="5C967F9D"/>
    <w:rsid w:val="5CA227C6"/>
    <w:rsid w:val="5CF5546B"/>
    <w:rsid w:val="5DAA43BA"/>
    <w:rsid w:val="5DD010E5"/>
    <w:rsid w:val="5E4845F2"/>
    <w:rsid w:val="5E8660F0"/>
    <w:rsid w:val="60BF5B6D"/>
    <w:rsid w:val="61BC3E5A"/>
    <w:rsid w:val="62D82F16"/>
    <w:rsid w:val="630867B5"/>
    <w:rsid w:val="6377272F"/>
    <w:rsid w:val="639B000C"/>
    <w:rsid w:val="63D447E6"/>
    <w:rsid w:val="6430641F"/>
    <w:rsid w:val="654A5952"/>
    <w:rsid w:val="655F16CC"/>
    <w:rsid w:val="65AA6D15"/>
    <w:rsid w:val="666F3B91"/>
    <w:rsid w:val="667024E1"/>
    <w:rsid w:val="67437E93"/>
    <w:rsid w:val="67954B54"/>
    <w:rsid w:val="682C160E"/>
    <w:rsid w:val="690507DD"/>
    <w:rsid w:val="69670B4F"/>
    <w:rsid w:val="697274F4"/>
    <w:rsid w:val="6ADA1790"/>
    <w:rsid w:val="6B216E94"/>
    <w:rsid w:val="6BCF37B3"/>
    <w:rsid w:val="6BE27293"/>
    <w:rsid w:val="6C62533D"/>
    <w:rsid w:val="6D0668D1"/>
    <w:rsid w:val="6D525A54"/>
    <w:rsid w:val="6D9B7125"/>
    <w:rsid w:val="6DF97BA2"/>
    <w:rsid w:val="6E931D09"/>
    <w:rsid w:val="6EC2221B"/>
    <w:rsid w:val="6F55156F"/>
    <w:rsid w:val="6FAF0247"/>
    <w:rsid w:val="714D0F73"/>
    <w:rsid w:val="71844269"/>
    <w:rsid w:val="71981F7B"/>
    <w:rsid w:val="727245D6"/>
    <w:rsid w:val="733D0B73"/>
    <w:rsid w:val="735A7977"/>
    <w:rsid w:val="73DD6FBC"/>
    <w:rsid w:val="742B06F0"/>
    <w:rsid w:val="74A92964"/>
    <w:rsid w:val="75616F60"/>
    <w:rsid w:val="75633696"/>
    <w:rsid w:val="75EA48C9"/>
    <w:rsid w:val="766259C8"/>
    <w:rsid w:val="76851190"/>
    <w:rsid w:val="769032E4"/>
    <w:rsid w:val="76B46E8C"/>
    <w:rsid w:val="76D21B2D"/>
    <w:rsid w:val="78E0091E"/>
    <w:rsid w:val="79480675"/>
    <w:rsid w:val="79921C19"/>
    <w:rsid w:val="799267E0"/>
    <w:rsid w:val="7A090895"/>
    <w:rsid w:val="7A0D3F38"/>
    <w:rsid w:val="7B287A9B"/>
    <w:rsid w:val="7BAB0371"/>
    <w:rsid w:val="7BAE6AB2"/>
    <w:rsid w:val="7BF17FB3"/>
    <w:rsid w:val="7C5F7DAC"/>
    <w:rsid w:val="7DB94C67"/>
    <w:rsid w:val="7E244FE2"/>
    <w:rsid w:val="7ED521D9"/>
    <w:rsid w:val="7F6D4F77"/>
    <w:rsid w:val="7FD45281"/>
    <w:rsid w:val="7FE70E4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iPriority="99"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1"/>
    <w:next w:val="1"/>
    <w:unhideWhenUsed/>
    <w:qFormat/>
    <w:uiPriority w:val="0"/>
    <w:pPr>
      <w:keepNext/>
      <w:keepLines/>
      <w:numPr>
        <w:ilvl w:val="2"/>
        <w:numId w:val="1"/>
      </w:numPr>
      <w:adjustRightInd w:val="0"/>
      <w:snapToGrid w:val="0"/>
      <w:spacing w:line="500" w:lineRule="exact"/>
      <w:outlineLvl w:val="2"/>
    </w:pPr>
    <w:rPr>
      <w:rFonts w:ascii="Times New Roman" w:hAnsi="Times New Roman" w:eastAsia="宋体"/>
      <w:b/>
      <w:bCs/>
      <w:sz w:val="28"/>
      <w:szCs w:val="32"/>
    </w:rPr>
  </w:style>
  <w:style w:type="character" w:default="1" w:styleId="21">
    <w:name w:val="Default Paragraph Font"/>
    <w:autoRedefine/>
    <w:semiHidden/>
    <w:qFormat/>
    <w:uiPriority w:val="0"/>
  </w:style>
  <w:style w:type="table" w:default="1" w:styleId="19">
    <w:name w:val="Normal Table"/>
    <w:semiHidden/>
    <w:qFormat/>
    <w:uiPriority w:val="0"/>
    <w:tblPr>
      <w:tblCellMar>
        <w:top w:w="0" w:type="dxa"/>
        <w:left w:w="108" w:type="dxa"/>
        <w:bottom w:w="0" w:type="dxa"/>
        <w:right w:w="108" w:type="dxa"/>
      </w:tblCellMar>
    </w:tblPr>
  </w:style>
  <w:style w:type="paragraph" w:styleId="5">
    <w:name w:val="List 3"/>
    <w:basedOn w:val="1"/>
    <w:qFormat/>
    <w:uiPriority w:val="0"/>
    <w:pPr>
      <w:numPr>
        <w:ilvl w:val="4"/>
        <w:numId w:val="2"/>
      </w:numPr>
      <w:tabs>
        <w:tab w:val="left" w:pos="431"/>
        <w:tab w:val="clear" w:pos="420"/>
      </w:tabs>
      <w:ind w:left="0" w:leftChars="0" w:firstLine="0" w:firstLineChars="0"/>
    </w:pPr>
  </w:style>
  <w:style w:type="paragraph" w:styleId="6">
    <w:name w:val="Note Heading"/>
    <w:basedOn w:val="1"/>
    <w:next w:val="1"/>
    <w:qFormat/>
    <w:uiPriority w:val="0"/>
    <w:pPr>
      <w:numPr>
        <w:ilvl w:val="0"/>
        <w:numId w:val="3"/>
      </w:numPr>
      <w:snapToGrid w:val="0"/>
      <w:spacing w:line="240" w:lineRule="auto"/>
      <w:ind w:left="0" w:firstLine="0"/>
      <w:jc w:val="center"/>
    </w:pPr>
    <w:rPr>
      <w:rFonts w:cs="Times New Roman"/>
      <w:b/>
      <w:sz w:val="21"/>
      <w:szCs w:val="24"/>
    </w:rPr>
  </w:style>
  <w:style w:type="paragraph" w:styleId="7">
    <w:name w:val="annotation text"/>
    <w:basedOn w:val="1"/>
    <w:qFormat/>
    <w:uiPriority w:val="0"/>
    <w:pPr>
      <w:jc w:val="left"/>
    </w:pPr>
  </w:style>
  <w:style w:type="paragraph" w:styleId="8">
    <w:name w:val="Body Text"/>
    <w:basedOn w:val="1"/>
    <w:qFormat/>
    <w:uiPriority w:val="0"/>
    <w:rPr>
      <w:rFonts w:ascii="Arial" w:hAnsi="Arial" w:eastAsia="Arial" w:cs="Arial"/>
      <w:sz w:val="21"/>
      <w:szCs w:val="21"/>
      <w:lang w:val="en-US" w:eastAsia="en-US" w:bidi="ar-SA"/>
    </w:rPr>
  </w:style>
  <w:style w:type="paragraph" w:styleId="9">
    <w:name w:val="Body Text Indent"/>
    <w:basedOn w:val="1"/>
    <w:unhideWhenUsed/>
    <w:qFormat/>
    <w:uiPriority w:val="0"/>
    <w:pPr>
      <w:spacing w:after="120"/>
      <w:ind w:left="420" w:leftChars="200"/>
    </w:pPr>
  </w:style>
  <w:style w:type="paragraph" w:styleId="10">
    <w:name w:val="toc 3"/>
    <w:basedOn w:val="1"/>
    <w:next w:val="1"/>
    <w:qFormat/>
    <w:uiPriority w:val="0"/>
    <w:pPr>
      <w:ind w:left="840" w:leftChars="400"/>
    </w:p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toc 1"/>
    <w:basedOn w:val="1"/>
    <w:next w:val="1"/>
    <w:qFormat/>
    <w:uiPriority w:val="0"/>
  </w:style>
  <w:style w:type="paragraph" w:styleId="14">
    <w:name w:val="Body Text Indent 3"/>
    <w:basedOn w:val="1"/>
    <w:qFormat/>
    <w:uiPriority w:val="0"/>
    <w:pPr>
      <w:spacing w:line="440" w:lineRule="atLeast"/>
      <w:ind w:firstLine="480" w:firstLineChars="200"/>
    </w:pPr>
    <w:rPr>
      <w:rFonts w:ascii="Arial" w:hAnsi="Arial" w:eastAsia="宋体" w:cs="Arial"/>
      <w:sz w:val="24"/>
      <w:szCs w:val="24"/>
    </w:rPr>
  </w:style>
  <w:style w:type="paragraph" w:styleId="15">
    <w:name w:val="toc 2"/>
    <w:basedOn w:val="1"/>
    <w:next w:val="1"/>
    <w:qFormat/>
    <w:uiPriority w:val="0"/>
    <w:pPr>
      <w:ind w:left="420" w:leftChars="200"/>
    </w:pPr>
  </w:style>
  <w:style w:type="paragraph" w:styleId="16">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7">
    <w:name w:val="Body Text First Indent"/>
    <w:basedOn w:val="8"/>
    <w:next w:val="1"/>
    <w:unhideWhenUsed/>
    <w:qFormat/>
    <w:uiPriority w:val="99"/>
    <w:pPr>
      <w:spacing w:line="240" w:lineRule="auto"/>
      <w:ind w:firstLine="420" w:firstLineChars="100"/>
    </w:pPr>
    <w:rPr>
      <w:sz w:val="21"/>
    </w:rPr>
  </w:style>
  <w:style w:type="paragraph" w:styleId="18">
    <w:name w:val="Body Text First Indent 2"/>
    <w:basedOn w:val="9"/>
    <w:next w:val="17"/>
    <w:unhideWhenUsed/>
    <w:qFormat/>
    <w:uiPriority w:val="99"/>
    <w:pPr>
      <w:ind w:firstLine="420" w:firstLineChars="200"/>
    </w:p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Hyperlink"/>
    <w:basedOn w:val="21"/>
    <w:qFormat/>
    <w:uiPriority w:val="0"/>
    <w:rPr>
      <w:color w:val="0000FF"/>
      <w:u w:val="single"/>
    </w:rPr>
  </w:style>
  <w:style w:type="paragraph" w:customStyle="1" w:styleId="23">
    <w:name w:val="xl27"/>
    <w:basedOn w:val="1"/>
    <w:qFormat/>
    <w:uiPriority w:val="99"/>
    <w:pPr>
      <w:widowControl/>
      <w:pBdr>
        <w:left w:val="single" w:color="auto" w:sz="4" w:space="0"/>
      </w:pBdr>
      <w:spacing w:before="100" w:beforeAutospacing="1" w:after="100" w:afterAutospacing="1"/>
      <w:jc w:val="center"/>
    </w:pPr>
    <w:rPr>
      <w:rFonts w:ascii="Times New Roman" w:hAnsi="Times New Roman" w:eastAsia="Arial Unicode MS" w:cs="Times New Roman"/>
      <w:kern w:val="0"/>
      <w:sz w:val="24"/>
      <w:szCs w:val="20"/>
      <w:lang w:eastAsia="zh-TW"/>
    </w:rPr>
  </w:style>
  <w:style w:type="paragraph" w:customStyle="1" w:styleId="24">
    <w:name w:val="1 正文"/>
    <w:basedOn w:val="1"/>
    <w:qFormat/>
    <w:uiPriority w:val="0"/>
    <w:pPr>
      <w:adjustRightInd w:val="0"/>
      <w:snapToGrid w:val="0"/>
      <w:ind w:firstLine="200"/>
    </w:pPr>
    <w:rPr>
      <w:rFonts w:eastAsia="仿宋_GB2312"/>
    </w:rPr>
  </w:style>
  <w:style w:type="paragraph" w:customStyle="1" w:styleId="25">
    <w:name w:val="Heading3"/>
    <w:basedOn w:val="1"/>
    <w:next w:val="1"/>
    <w:qFormat/>
    <w:uiPriority w:val="0"/>
    <w:pPr>
      <w:keepNext/>
      <w:keepLines/>
      <w:jc w:val="left"/>
      <w:textAlignment w:val="baseline"/>
    </w:pPr>
    <w:rPr>
      <w:rFonts w:ascii="Calibri" w:hAnsi="Calibri" w:cs="Times New Roman"/>
      <w:b/>
      <w:bCs/>
      <w:sz w:val="28"/>
      <w:szCs w:val="32"/>
    </w:rPr>
  </w:style>
  <w:style w:type="table" w:customStyle="1" w:styleId="26">
    <w:name w:val="Table Normal"/>
    <w:autoRedefine/>
    <w:semiHidden/>
    <w:unhideWhenUsed/>
    <w:qFormat/>
    <w:uiPriority w:val="0"/>
    <w:tblPr>
      <w:tblCellMar>
        <w:top w:w="0" w:type="dxa"/>
        <w:left w:w="0" w:type="dxa"/>
        <w:bottom w:w="0" w:type="dxa"/>
        <w:right w:w="0" w:type="dxa"/>
      </w:tblCellMar>
    </w:tblPr>
  </w:style>
  <w:style w:type="paragraph" w:customStyle="1" w:styleId="27">
    <w:name w:val="Table Text"/>
    <w:basedOn w:val="1"/>
    <w:semiHidden/>
    <w:qFormat/>
    <w:uiPriority w:val="0"/>
    <w:rPr>
      <w:rFonts w:ascii="宋体" w:hAnsi="宋体" w:eastAsia="宋体" w:cs="宋体"/>
      <w:sz w:val="21"/>
      <w:szCs w:val="21"/>
      <w:lang w:val="en-US" w:eastAsia="en-US" w:bidi="ar-SA"/>
    </w:rPr>
  </w:style>
  <w:style w:type="paragraph" w:customStyle="1" w:styleId="28">
    <w:name w:val="A正文"/>
    <w:basedOn w:val="1"/>
    <w:qFormat/>
    <w:uiPriority w:val="0"/>
    <w:pPr>
      <w:widowControl/>
      <w:overflowPunct w:val="0"/>
      <w:autoSpaceDE w:val="0"/>
      <w:autoSpaceDN w:val="0"/>
      <w:adjustRightInd w:val="0"/>
      <w:spacing w:line="360" w:lineRule="auto"/>
      <w:ind w:firstLine="200" w:firstLineChars="200"/>
      <w:jc w:val="left"/>
      <w:textAlignment w:val="baseline"/>
    </w:pPr>
    <w:rPr>
      <w:rFonts w:ascii="Times New Roman" w:hAnsi="Times New Roman" w:eastAsia="仿宋_GB2312" w:cs="Times New Roman"/>
      <w:kern w:val="0"/>
      <w:sz w:val="24"/>
      <w:szCs w:val="24"/>
    </w:rPr>
  </w:style>
  <w:style w:type="paragraph" w:customStyle="1" w:styleId="29">
    <w:name w:val="新正文"/>
    <w:basedOn w:val="1"/>
    <w:autoRedefine/>
    <w:qFormat/>
    <w:uiPriority w:val="0"/>
    <w:pPr>
      <w:spacing w:line="480" w:lineRule="exact"/>
      <w:ind w:firstLine="567"/>
    </w:pPr>
    <w:rPr>
      <w:rFonts w:ascii="仿宋_GB2312" w:hAnsi="Times New Roman" w:eastAsia="仿宋_GB2312" w:cs="Times New Roman"/>
      <w:kern w:val="0"/>
      <w:sz w:val="28"/>
      <w:szCs w:val="20"/>
    </w:rPr>
  </w:style>
  <w:style w:type="paragraph" w:customStyle="1" w:styleId="30">
    <w:name w:val="表格001"/>
    <w:basedOn w:val="1"/>
    <w:autoRedefine/>
    <w:qFormat/>
    <w:uiPriority w:val="0"/>
    <w:pPr>
      <w:adjustRightInd w:val="0"/>
      <w:snapToGrid w:val="0"/>
      <w:jc w:val="center"/>
    </w:pPr>
    <w:rPr>
      <w:rFonts w:ascii="Times New Roman" w:hAnsi="Times New Roman" w:eastAsia="宋体" w:cs="Times New Roman"/>
      <w:szCs w:val="21"/>
    </w:rPr>
  </w:style>
  <w:style w:type="paragraph" w:customStyle="1" w:styleId="31">
    <w:name w:val="表格标题1"/>
    <w:basedOn w:val="1"/>
    <w:autoRedefine/>
    <w:qFormat/>
    <w:uiPriority w:val="0"/>
    <w:pPr>
      <w:adjustRightInd w:val="0"/>
      <w:snapToGrid w:val="0"/>
      <w:spacing w:line="500" w:lineRule="exact"/>
      <w:jc w:val="center"/>
    </w:pPr>
    <w:rPr>
      <w:rFonts w:ascii="Times New Roman" w:hAnsi="Times New Roman" w:eastAsia="宋体" w:cs="Times New Roman"/>
      <w:sz w:val="24"/>
      <w:szCs w:val="24"/>
    </w:rPr>
  </w:style>
  <w:style w:type="character" w:customStyle="1" w:styleId="32">
    <w:name w:val="font31"/>
    <w:basedOn w:val="21"/>
    <w:qFormat/>
    <w:uiPriority w:val="0"/>
    <w:rPr>
      <w:rFonts w:hint="default" w:ascii="Times New Roman" w:hAnsi="Times New Roman" w:cs="Times New Roman"/>
      <w:color w:val="000000"/>
      <w:sz w:val="20"/>
      <w:szCs w:val="20"/>
      <w:u w:val="none"/>
    </w:rPr>
  </w:style>
  <w:style w:type="character" w:customStyle="1" w:styleId="33">
    <w:name w:val="font21"/>
    <w:basedOn w:val="21"/>
    <w:qFormat/>
    <w:uiPriority w:val="0"/>
    <w:rPr>
      <w:rFonts w:hint="eastAsia" w:ascii="宋体" w:hAnsi="宋体" w:eastAsia="宋体" w:cs="宋体"/>
      <w:color w:val="000000"/>
      <w:sz w:val="20"/>
      <w:szCs w:val="20"/>
      <w:u w:val="none"/>
    </w:rPr>
  </w:style>
  <w:style w:type="character" w:customStyle="1" w:styleId="34">
    <w:name w:val="font11"/>
    <w:basedOn w:val="21"/>
    <w:qFormat/>
    <w:uiPriority w:val="0"/>
    <w:rPr>
      <w:rFonts w:hint="eastAsia" w:ascii="宋体" w:hAnsi="宋体" w:eastAsia="宋体" w:cs="宋体"/>
      <w:color w:val="000000"/>
      <w:sz w:val="20"/>
      <w:szCs w:val="20"/>
      <w:u w:val="none"/>
    </w:rPr>
  </w:style>
  <w:style w:type="character" w:customStyle="1" w:styleId="35">
    <w:name w:val="font41"/>
    <w:basedOn w:val="21"/>
    <w:qFormat/>
    <w:uiPriority w:val="0"/>
    <w:rPr>
      <w:rFonts w:hint="default" w:ascii="Times New Roman" w:hAnsi="Times New Roman" w:cs="Times New Roman"/>
      <w:color w:val="000000"/>
      <w:sz w:val="20"/>
      <w:szCs w:val="20"/>
      <w:u w:val="none"/>
    </w:rPr>
  </w:style>
  <w:style w:type="paragraph" w:customStyle="1" w:styleId="36">
    <w:name w:val="WPSOffice手动目录 1"/>
    <w:qFormat/>
    <w:uiPriority w:val="0"/>
    <w:pPr>
      <w:ind w:leftChars="0"/>
    </w:pPr>
    <w:rPr>
      <w:rFonts w:ascii="Times New Roman" w:hAnsi="Times New Roman" w:eastAsia="宋体" w:cs="Times New Roman"/>
      <w:sz w:val="20"/>
      <w:szCs w:val="20"/>
    </w:rPr>
  </w:style>
  <w:style w:type="paragraph" w:customStyle="1" w:styleId="37">
    <w:name w:val="WPSOffice手动目录 2"/>
    <w:qFormat/>
    <w:uiPriority w:val="0"/>
    <w:pPr>
      <w:ind w:leftChars="200"/>
    </w:pPr>
    <w:rPr>
      <w:rFonts w:ascii="Times New Roman" w:hAnsi="Times New Roman" w:eastAsia="宋体" w:cs="Times New Roman"/>
      <w:sz w:val="20"/>
      <w:szCs w:val="20"/>
    </w:rPr>
  </w:style>
  <w:style w:type="paragraph" w:styleId="38">
    <w:name w:val="List Paragraph"/>
    <w:basedOn w:val="1"/>
    <w:qFormat/>
    <w:uiPriority w:val="1"/>
    <w:pPr>
      <w:ind w:left="1500" w:hanging="602"/>
    </w:pPr>
    <w:rPr>
      <w:rFonts w:ascii="宋体" w:hAnsi="宋体" w:eastAsia="宋体" w:cs="宋体"/>
      <w:lang w:val="zh-CN" w:eastAsia="zh-CN" w:bidi="zh-CN"/>
    </w:rPr>
  </w:style>
  <w:style w:type="paragraph" w:customStyle="1" w:styleId="39">
    <w:name w:val="封面标准名称"/>
    <w:qFormat/>
    <w:uiPriority w:val="0"/>
    <w:pPr>
      <w:framePr w:w="9639" w:h="6917" w:hRule="exact" w:wrap="around" w:vAnchor="page" w:hAnchor="page" w:xAlign="center" w:y="6408" w:anchorLock="1"/>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40">
    <w:name w:val="封面标准号2"/>
    <w:qFormat/>
    <w:uiPriority w:val="0"/>
    <w:pPr>
      <w:framePr w:w="9140" w:h="1242" w:hRule="exact" w:hSpace="284" w:wrap="around" w:vAnchor="page" w:hAnchor="page" w:x="1645" w:y="2910" w:anchorLock="1"/>
      <w:spacing w:before="357" w:line="280" w:lineRule="exact"/>
      <w:jc w:val="right"/>
    </w:pPr>
    <w:rPr>
      <w:rFonts w:ascii="黑体" w:hAnsi="Times New Roman" w:eastAsia="黑体" w:cs="Times New Roman"/>
      <w:sz w:val="28"/>
      <w:szCs w:val="28"/>
      <w:lang w:val="en-US" w:eastAsia="zh-CN" w:bidi="ar-SA"/>
    </w:rPr>
  </w:style>
  <w:style w:type="paragraph" w:customStyle="1" w:styleId="41">
    <w:name w:val="Default"/>
    <w:basedOn w:val="42"/>
    <w:unhideWhenUsed/>
    <w:qFormat/>
    <w:uiPriority w:val="0"/>
    <w:pPr>
      <w:autoSpaceDE w:val="0"/>
      <w:autoSpaceDN w:val="0"/>
      <w:spacing w:beforeLines="0" w:afterLines="0"/>
    </w:pPr>
    <w:rPr>
      <w:rFonts w:hint="eastAsia" w:cs="宋体"/>
      <w:color w:val="000000"/>
      <w:sz w:val="24"/>
      <w:szCs w:val="24"/>
    </w:rPr>
  </w:style>
  <w:style w:type="paragraph" w:customStyle="1" w:styleId="42">
    <w:name w:val="标题 段落4级"/>
    <w:qFormat/>
    <w:uiPriority w:val="0"/>
    <w:pPr>
      <w:spacing w:line="500" w:lineRule="exact"/>
      <w:outlineLvl w:val="3"/>
    </w:pPr>
    <w:rPr>
      <w:rFonts w:ascii="Calibri" w:hAnsi="Calibri" w:eastAsia="仿宋_GB2312" w:cs="Calibri"/>
      <w:b/>
      <w:kern w:val="2"/>
      <w:sz w:val="28"/>
      <w:szCs w:val="24"/>
      <w:lang w:val="en-US" w:eastAsia="zh-CN" w:bidi="ar-SA"/>
    </w:rPr>
  </w:style>
  <w:style w:type="paragraph" w:customStyle="1" w:styleId="43">
    <w:name w:val="01表格正文"/>
    <w:basedOn w:val="44"/>
    <w:qFormat/>
    <w:uiPriority w:val="0"/>
  </w:style>
  <w:style w:type="paragraph" w:customStyle="1" w:styleId="44">
    <w:name w:val="03表格正文"/>
    <w:basedOn w:val="1"/>
    <w:qFormat/>
    <w:uiPriority w:val="0"/>
    <w:pPr>
      <w:adjustRightInd w:val="0"/>
      <w:snapToGrid w:val="0"/>
      <w:jc w:val="center"/>
    </w:pPr>
    <w:rPr>
      <w:b/>
      <w:color w:val="3333FF"/>
      <w:szCs w:val="21"/>
    </w:rPr>
  </w:style>
  <w:style w:type="paragraph" w:customStyle="1" w:styleId="45">
    <w:name w:val="第一章表头"/>
    <w:basedOn w:val="1"/>
    <w:next w:val="1"/>
    <w:autoRedefine/>
    <w:qFormat/>
    <w:uiPriority w:val="0"/>
    <w:pPr>
      <w:keepNext/>
      <w:keepLines/>
      <w:numPr>
        <w:ilvl w:val="0"/>
        <w:numId w:val="4"/>
      </w:numPr>
      <w:adjustRightInd w:val="0"/>
      <w:spacing w:line="240" w:lineRule="auto"/>
      <w:jc w:val="center"/>
      <w:textAlignment w:val="baseline"/>
      <w:outlineLvl w:val="3"/>
    </w:pPr>
    <w:rPr>
      <w:rFonts w:ascii="Times New Roman" w:hAnsi="Times New Roman" w:eastAsia="宋体"/>
      <w:b/>
      <w:kern w:val="0"/>
      <w:sz w:val="21"/>
    </w:rPr>
  </w:style>
  <w:style w:type="paragraph" w:customStyle="1" w:styleId="46">
    <w:name w:val="表格内文字"/>
    <w:basedOn w:val="1"/>
    <w:autoRedefine/>
    <w:qFormat/>
    <w:uiPriority w:val="0"/>
    <w:pPr>
      <w:tabs>
        <w:tab w:val="left" w:pos="0"/>
      </w:tabs>
      <w:adjustRightInd w:val="0"/>
      <w:snapToGrid w:val="0"/>
      <w:spacing w:line="240" w:lineRule="auto"/>
      <w:ind w:firstLine="0" w:firstLineChars="0"/>
      <w:jc w:val="center"/>
    </w:pPr>
    <w:rPr>
      <w:kern w:val="0"/>
      <w:sz w:val="21"/>
    </w:rPr>
  </w:style>
  <w:style w:type="paragraph" w:customStyle="1" w:styleId="47">
    <w:name w:val="样式 正文文本 + 首行缩进:  2 字符"/>
    <w:qFormat/>
    <w:uiPriority w:val="0"/>
    <w:pPr>
      <w:spacing w:line="480" w:lineRule="exact"/>
      <w:ind w:firstLine="480" w:firstLineChars="200"/>
    </w:pPr>
    <w:rPr>
      <w:rFonts w:ascii="宋体" w:hAnsi="宋体" w:eastAsia="宋体" w:cs="宋体"/>
      <w:sz w:val="24"/>
      <w:lang w:val="en-US" w:eastAsia="zh-CN" w:bidi="ar-SA"/>
    </w:rPr>
  </w:style>
  <w:style w:type="paragraph" w:customStyle="1" w:styleId="48">
    <w:name w:val="WPSOffice手动目录 3"/>
    <w:qFormat/>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1" Type="http://schemas.openxmlformats.org/officeDocument/2006/relationships/fontTable" Target="fontTable.xml"/><Relationship Id="rId80" Type="http://schemas.openxmlformats.org/officeDocument/2006/relationships/customXml" Target="../customXml/item8.xml"/><Relationship Id="rId8" Type="http://schemas.openxmlformats.org/officeDocument/2006/relationships/footer" Target="footer3.xml"/><Relationship Id="rId79" Type="http://schemas.openxmlformats.org/officeDocument/2006/relationships/customXml" Target="../customXml/item7.xml"/><Relationship Id="rId78" Type="http://schemas.openxmlformats.org/officeDocument/2006/relationships/customXml" Target="../customXml/item6.xml"/><Relationship Id="rId77" Type="http://schemas.openxmlformats.org/officeDocument/2006/relationships/customXml" Target="../customXml/item5.xml"/><Relationship Id="rId76" Type="http://schemas.openxmlformats.org/officeDocument/2006/relationships/customXml" Target="../customXml/item4.xml"/><Relationship Id="rId75" Type="http://schemas.openxmlformats.org/officeDocument/2006/relationships/customXml" Target="../customXml/item3.xml"/><Relationship Id="rId74" Type="http://schemas.openxmlformats.org/officeDocument/2006/relationships/customXml" Target="../customXml/item2.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21.png"/><Relationship Id="rId70" Type="http://schemas.openxmlformats.org/officeDocument/2006/relationships/image" Target="media/image20.png"/><Relationship Id="rId7" Type="http://schemas.openxmlformats.org/officeDocument/2006/relationships/footer" Target="footer2.xml"/><Relationship Id="rId69" Type="http://schemas.openxmlformats.org/officeDocument/2006/relationships/image" Target="media/image19.png"/><Relationship Id="rId68" Type="http://schemas.openxmlformats.org/officeDocument/2006/relationships/chart" Target="charts/chart6.xml"/><Relationship Id="rId67" Type="http://schemas.openxmlformats.org/officeDocument/2006/relationships/chart" Target="charts/chart5.xml"/><Relationship Id="rId66" Type="http://schemas.openxmlformats.org/officeDocument/2006/relationships/chart" Target="charts/chart4.xml"/><Relationship Id="rId65" Type="http://schemas.openxmlformats.org/officeDocument/2006/relationships/chart" Target="charts/chart3.xml"/><Relationship Id="rId64" Type="http://schemas.openxmlformats.org/officeDocument/2006/relationships/chart" Target="charts/chart2.xml"/><Relationship Id="rId63" Type="http://schemas.openxmlformats.org/officeDocument/2006/relationships/chart" Target="charts/chart1.xml"/><Relationship Id="rId62" Type="http://schemas.openxmlformats.org/officeDocument/2006/relationships/image" Target="media/image18.png"/><Relationship Id="rId61" Type="http://schemas.openxmlformats.org/officeDocument/2006/relationships/image" Target="media/image17.png"/><Relationship Id="rId60" Type="http://schemas.openxmlformats.org/officeDocument/2006/relationships/image" Target="media/image16.png"/><Relationship Id="rId6" Type="http://schemas.openxmlformats.org/officeDocument/2006/relationships/footer" Target="footer1.xml"/><Relationship Id="rId59" Type="http://schemas.openxmlformats.org/officeDocument/2006/relationships/image" Target="media/image15.emf"/><Relationship Id="rId58" Type="http://schemas.openxmlformats.org/officeDocument/2006/relationships/oleObject" Target="embeddings/oleObject4.bin"/><Relationship Id="rId57" Type="http://schemas.openxmlformats.org/officeDocument/2006/relationships/image" Target="media/image14.emf"/><Relationship Id="rId56" Type="http://schemas.openxmlformats.org/officeDocument/2006/relationships/oleObject" Target="embeddings/oleObject3.bin"/><Relationship Id="rId55" Type="http://schemas.openxmlformats.org/officeDocument/2006/relationships/image" Target="media/image13.emf"/><Relationship Id="rId54" Type="http://schemas.openxmlformats.org/officeDocument/2006/relationships/image" Target="media/image12.wmf"/><Relationship Id="rId53" Type="http://schemas.openxmlformats.org/officeDocument/2006/relationships/oleObject" Target="embeddings/oleObject2.bin"/><Relationship Id="rId52" Type="http://schemas.openxmlformats.org/officeDocument/2006/relationships/image" Target="media/image11.png"/><Relationship Id="rId51" Type="http://schemas.openxmlformats.org/officeDocument/2006/relationships/image" Target="media/image10.wmf"/><Relationship Id="rId50" Type="http://schemas.openxmlformats.org/officeDocument/2006/relationships/image" Target="media/image9.wmf"/><Relationship Id="rId5" Type="http://schemas.openxmlformats.org/officeDocument/2006/relationships/header" Target="header1.xml"/><Relationship Id="rId49" Type="http://schemas.openxmlformats.org/officeDocument/2006/relationships/image" Target="media/image8.wmf"/><Relationship Id="rId48" Type="http://schemas.openxmlformats.org/officeDocument/2006/relationships/image" Target="media/image7.wmf"/><Relationship Id="rId47" Type="http://schemas.openxmlformats.org/officeDocument/2006/relationships/image" Target="media/image6.wmf"/><Relationship Id="rId46" Type="http://schemas.openxmlformats.org/officeDocument/2006/relationships/image" Target="media/image5.png"/><Relationship Id="rId45" Type="http://schemas.openxmlformats.org/officeDocument/2006/relationships/image" Target="media/image4.png"/><Relationship Id="rId44" Type="http://schemas.openxmlformats.org/officeDocument/2006/relationships/image" Target="media/image3.png"/><Relationship Id="rId43" Type="http://schemas.openxmlformats.org/officeDocument/2006/relationships/image" Target="media/image2.jpeg"/><Relationship Id="rId42" Type="http://schemas.openxmlformats.org/officeDocument/2006/relationships/image" Target="media/image1.emf"/><Relationship Id="rId41" Type="http://schemas.openxmlformats.org/officeDocument/2006/relationships/oleObject" Target="embeddings/oleObject1.bin"/><Relationship Id="rId40" Type="http://schemas.openxmlformats.org/officeDocument/2006/relationships/theme" Target="theme/theme1.xml"/><Relationship Id="rId4" Type="http://schemas.openxmlformats.org/officeDocument/2006/relationships/endnotes" Target="endnotes.xml"/><Relationship Id="rId39" Type="http://schemas.openxmlformats.org/officeDocument/2006/relationships/footer" Target="footer21.xml"/><Relationship Id="rId38" Type="http://schemas.openxmlformats.org/officeDocument/2006/relationships/footer" Target="footer20.xml"/><Relationship Id="rId37" Type="http://schemas.openxmlformats.org/officeDocument/2006/relationships/footer" Target="footer19.xml"/><Relationship Id="rId36" Type="http://schemas.openxmlformats.org/officeDocument/2006/relationships/header" Target="header14.xml"/><Relationship Id="rId35" Type="http://schemas.openxmlformats.org/officeDocument/2006/relationships/footer" Target="footer18.xml"/><Relationship Id="rId34" Type="http://schemas.openxmlformats.org/officeDocument/2006/relationships/header" Target="header13.xml"/><Relationship Id="rId33" Type="http://schemas.openxmlformats.org/officeDocument/2006/relationships/footer" Target="footer17.xml"/><Relationship Id="rId32" Type="http://schemas.openxmlformats.org/officeDocument/2006/relationships/header" Target="header12.xml"/><Relationship Id="rId31" Type="http://schemas.openxmlformats.org/officeDocument/2006/relationships/footer" Target="footer16.xml"/><Relationship Id="rId30" Type="http://schemas.openxmlformats.org/officeDocument/2006/relationships/header" Target="header11.xml"/><Relationship Id="rId3" Type="http://schemas.openxmlformats.org/officeDocument/2006/relationships/footnotes" Target="footnotes.xml"/><Relationship Id="rId29" Type="http://schemas.openxmlformats.org/officeDocument/2006/relationships/footer" Target="footer15.xml"/><Relationship Id="rId28" Type="http://schemas.openxmlformats.org/officeDocument/2006/relationships/header" Target="header10.xml"/><Relationship Id="rId27" Type="http://schemas.openxmlformats.org/officeDocument/2006/relationships/footer" Target="footer14.xml"/><Relationship Id="rId26" Type="http://schemas.openxmlformats.org/officeDocument/2006/relationships/header" Target="header9.xml"/><Relationship Id="rId25" Type="http://schemas.openxmlformats.org/officeDocument/2006/relationships/footer" Target="footer13.xml"/><Relationship Id="rId24" Type="http://schemas.openxmlformats.org/officeDocument/2006/relationships/header" Target="header8.xml"/><Relationship Id="rId23" Type="http://schemas.openxmlformats.org/officeDocument/2006/relationships/footer" Target="footer12.xml"/><Relationship Id="rId22" Type="http://schemas.openxmlformats.org/officeDocument/2006/relationships/header" Target="header7.xml"/><Relationship Id="rId21" Type="http://schemas.openxmlformats.org/officeDocument/2006/relationships/footer" Target="footer11.xml"/><Relationship Id="rId20" Type="http://schemas.openxmlformats.org/officeDocument/2006/relationships/header" Target="header6.xml"/><Relationship Id="rId2" Type="http://schemas.openxmlformats.org/officeDocument/2006/relationships/settings" Target="settings.xml"/><Relationship Id="rId19" Type="http://schemas.openxmlformats.org/officeDocument/2006/relationships/footer" Target="footer10.xml"/><Relationship Id="rId18" Type="http://schemas.openxmlformats.org/officeDocument/2006/relationships/footer" Target="footer9.xml"/><Relationship Id="rId17" Type="http://schemas.openxmlformats.org/officeDocument/2006/relationships/header" Target="header5.xml"/><Relationship Id="rId16" Type="http://schemas.openxmlformats.org/officeDocument/2006/relationships/footer" Target="footer8.xml"/><Relationship Id="rId15" Type="http://schemas.openxmlformats.org/officeDocument/2006/relationships/header" Target="header4.xml"/><Relationship Id="rId14" Type="http://schemas.openxmlformats.org/officeDocument/2006/relationships/footer" Target="footer7.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39033;&#30446;\&#21306;&#22495;&#35780;&#20272;&#25253;&#21578;\&#23457;&#26680;%20&#20462;&#25913;\&#20250;&#21518;&#20462;&#25913;\&#21517;&#21333;\&#26412;&#27425;&#35780;&#20272;&#30340;&#20225;&#19994;&#21517;&#21333;24.9.18.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E:\&#39033;&#30446;\&#21306;&#22495;&#35780;&#20272;&#25253;&#21578;\&#23457;&#26680;%20&#20462;&#25913;\&#20250;&#21518;&#20462;&#25913;\&#21517;&#21333;\&#26412;&#27425;&#35780;&#20272;&#30340;&#20225;&#19994;&#21517;&#21333;24.9.18.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file:///E:\&#39033;&#30446;\&#21306;&#22495;&#35780;&#20272;&#25253;&#21578;\&#23457;&#26680;%20&#20462;&#25913;\&#20250;&#21518;&#20462;&#25913;\&#21517;&#21333;\&#24320;&#21457;&#21306;&#35268;&#21010;&#33539;&#22260;&#20225;&#19994;&#26803;&#29702;9..xlsx"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E:\&#39033;&#30446;\&#21306;&#22495;&#35780;&#20272;&#25253;&#21578;\&#23457;&#26680;%20&#20462;&#25913;\&#20250;&#21518;&#20462;&#25913;\&#21517;&#21333;\&#26412;&#27425;&#35780;&#20272;&#30340;&#20225;&#19994;&#21517;&#21333;24.9.18.xlsx" TargetMode="External"/></Relationships>
</file>

<file path=word/charts/_rels/chart5.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E:\&#39033;&#30446;\&#21306;&#22495;&#35780;&#20272;&#25253;&#21578;\&#23457;&#26680;%20&#20462;&#25913;\&#20250;&#21518;&#20462;&#25913;\&#21517;&#21333;\&#24320;&#21457;&#21306;&#35268;&#21010;&#33539;&#22260;&#20225;&#19994;&#26803;&#29702;9..xlsx" TargetMode="External"/></Relationships>
</file>

<file path=word/charts/_rels/chart6.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E:\&#39033;&#30446;\&#21306;&#22495;&#35780;&#20272;&#25253;&#21578;\&#23457;&#26680;%20&#20462;&#25913;\&#20250;&#21518;&#20462;&#25913;\&#21517;&#21333;\&#24320;&#21457;&#21306;&#35268;&#21010;&#33539;&#22260;&#20225;&#19994;&#26803;&#29702;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277363483281"/>
          <c:y val="0.156966109847198"/>
          <c:w val="0.616347029636063"/>
          <c:h val="0.838127118808346"/>
        </c:manualLayout>
      </c:layout>
      <c:pieChart>
        <c:varyColors val="1"/>
        <c:ser>
          <c:idx val="0"/>
          <c:order val="0"/>
          <c:tx>
            <c:strRef>
              <c:f>[本次评估的企业名单24.9.18.xlsx]气图!$D$63</c:f>
              <c:strCache>
                <c:ptCount val="1"/>
                <c:pt idx="0">
                  <c:v>烟（粉）尘</c:v>
                </c:pt>
              </c:strCache>
            </c:strRef>
          </c:tx>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Pt>
            <c:idx val="11"/>
            <c:bubble3D val="0"/>
            <c:spPr>
              <a:solidFill>
                <a:schemeClr val="accent6">
                  <a:lumMod val="60000"/>
                </a:schemeClr>
              </a:solidFill>
              <a:ln w="19050">
                <a:solidFill>
                  <a:schemeClr val="lt1"/>
                </a:solidFill>
              </a:ln>
              <a:effectLst/>
            </c:spPr>
          </c:dPt>
          <c:dPt>
            <c:idx val="12"/>
            <c:bubble3D val="0"/>
            <c:spPr>
              <a:solidFill>
                <a:schemeClr val="accent1">
                  <a:lumMod val="80000"/>
                  <a:lumOff val="20000"/>
                </a:schemeClr>
              </a:solidFill>
              <a:ln w="19050">
                <a:solidFill>
                  <a:schemeClr val="lt1"/>
                </a:solidFill>
              </a:ln>
              <a:effectLst/>
            </c:spPr>
          </c:dPt>
          <c:dPt>
            <c:idx val="13"/>
            <c:bubble3D val="0"/>
            <c:spPr>
              <a:solidFill>
                <a:schemeClr val="accent2">
                  <a:lumMod val="80000"/>
                  <a:lumOff val="20000"/>
                </a:schemeClr>
              </a:solidFill>
              <a:ln w="19050">
                <a:solidFill>
                  <a:schemeClr val="lt1"/>
                </a:solidFill>
              </a:ln>
              <a:effectLst/>
            </c:spPr>
          </c:dPt>
          <c:dPt>
            <c:idx val="14"/>
            <c:bubble3D val="0"/>
            <c:spPr>
              <a:solidFill>
                <a:schemeClr val="accent3">
                  <a:lumMod val="80000"/>
                  <a:lumOff val="20000"/>
                </a:schemeClr>
              </a:solidFill>
              <a:ln w="19050">
                <a:solidFill>
                  <a:schemeClr val="lt1"/>
                </a:solidFill>
              </a:ln>
              <a:effectLst/>
            </c:spPr>
          </c:dPt>
          <c:dLbls>
            <c:dLbl>
              <c:idx val="0"/>
              <c:layout>
                <c:manualLayout>
                  <c:x val="-0.0862303767483561"/>
                  <c:y val="-0.0543678235903238"/>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
              <c:delete val="1"/>
            </c:dLbl>
            <c:dLbl>
              <c:idx val="2"/>
              <c:delete val="1"/>
            </c:dLbl>
            <c:dLbl>
              <c:idx val="3"/>
              <c:layout>
                <c:manualLayout>
                  <c:x val="-0.0708866840436416"/>
                  <c:y val="0.0269644334160463"/>
                </c:manualLayout>
              </c:layout>
              <c:numFmt formatCode="0.00%" sourceLinked="0"/>
              <c:spPr>
                <a:noFill/>
                <a:ln>
                  <a:noFill/>
                </a:ln>
                <a:effectLst/>
              </c:spPr>
              <c:txPr>
                <a:bodyPr rot="0" spcFirstLastPara="0" vertOverflow="ellipsis" vert="horz" wrap="square" lIns="38100" tIns="19050" rIns="38100" bIns="19050" anchor="ctr" anchorCtr="1" forceAA="0"/>
                <a:lstStyle/>
                <a:p>
                  <a:pPr>
                    <a:defRPr lang="zh-CN" sz="80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30299401197605"/>
                      <c:h val="0.0911497105045492"/>
                    </c:manualLayout>
                  </c15:layout>
                </c:ext>
              </c:extLst>
            </c:dLbl>
            <c:dLbl>
              <c:idx val="4"/>
              <c:layout>
                <c:manualLayout>
                  <c:x val="0.0251203997358733"/>
                  <c:y val="-0.0298718579885396"/>
                </c:manualLayout>
              </c:layout>
              <c:numFmt formatCode="0.00%" sourceLinked="0"/>
              <c:spPr>
                <a:noFill/>
                <a:ln>
                  <a:noFill/>
                </a:ln>
                <a:effectLst/>
              </c:spPr>
              <c:txPr>
                <a:bodyPr rot="0" spcFirstLastPara="0" vertOverflow="ellipsis" vert="horz" wrap="square" lIns="38100" tIns="19050" rIns="38100" bIns="19050" anchor="ctr" anchorCtr="1" forceAA="0"/>
                <a:lstStyle/>
                <a:p>
                  <a:pPr>
                    <a:defRPr lang="zh-CN" sz="80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82395209580838"/>
                      <c:h val="0.099586435070306"/>
                    </c:manualLayout>
                  </c15:layout>
                </c:ext>
              </c:extLst>
            </c:dLbl>
            <c:dLbl>
              <c:idx val="5"/>
              <c:layout>
                <c:manualLayout>
                  <c:x val="0.000603783025287435"/>
                  <c:y val="0.057621997152534"/>
                </c:manualLayout>
              </c:layout>
              <c:numFmt formatCode="0.00%" sourceLinked="0"/>
              <c:spPr>
                <a:noFill/>
                <a:ln>
                  <a:noFill/>
                </a:ln>
                <a:effectLst/>
              </c:spPr>
              <c:txPr>
                <a:bodyPr rot="0" spcFirstLastPara="0" vertOverflow="ellipsis" vert="horz" wrap="square" lIns="38100" tIns="19050" rIns="38100" bIns="19050" anchor="ctr" anchorCtr="1" forceAA="0"/>
                <a:lstStyle/>
                <a:p>
                  <a:pPr>
                    <a:defRPr lang="zh-CN" sz="80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24550898203593"/>
                      <c:h val="0.105872622001654"/>
                    </c:manualLayout>
                  </c15:layout>
                </c:ext>
              </c:extLst>
            </c:dLbl>
            <c:dLbl>
              <c:idx val="6"/>
              <c:layout>
                <c:manualLayout>
                  <c:x val="0.183540212942655"/>
                  <c:y val="-0.0622732252405297"/>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54131736526946"/>
                      <c:h val="0.0769230769230769"/>
                    </c:manualLayout>
                  </c15:layout>
                </c:ext>
              </c:extLst>
            </c:dLbl>
            <c:dLbl>
              <c:idx val="7"/>
              <c:layout>
                <c:manualLayout>
                  <c:x val="0.14016207579773"/>
                  <c:y val="0.00690456197161829"/>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8"/>
              <c:layout>
                <c:manualLayout>
                  <c:x val="-0.0454921000912669"/>
                  <c:y val="0.180582457502884"/>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26019184652278"/>
                      <c:h val="0.140126239855726"/>
                    </c:manualLayout>
                  </c15:layout>
                </c:ext>
              </c:extLst>
            </c:dLbl>
            <c:dLbl>
              <c:idx val="9"/>
              <c:layout>
                <c:manualLayout>
                  <c:x val="0.274539135062948"/>
                  <c:y val="-0.072593353589615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0"/>
              <c:layout>
                <c:manualLayout>
                  <c:x val="0.0464833579499408"/>
                  <c:y val="-0.289018538850884"/>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1"/>
              <c:layout>
                <c:manualLayout>
                  <c:x val="-0.298064981646918"/>
                  <c:y val="0.120595533498759"/>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57724550898204"/>
                      <c:h val="0.143755169561621"/>
                    </c:manualLayout>
                  </c15:layout>
                </c:ext>
              </c:extLst>
            </c:dLbl>
            <c:dLbl>
              <c:idx val="12"/>
              <c:layout>
                <c:manualLayout>
                  <c:x val="-0.307247814354038"/>
                  <c:y val="-0.0129775308188225"/>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5688622754491"/>
                      <c:h val="0.10818858560794"/>
                    </c:manualLayout>
                  </c15:layout>
                </c:ext>
              </c:extLst>
            </c:dLbl>
            <c:dLbl>
              <c:idx val="13"/>
              <c:layout>
                <c:manualLayout>
                  <c:x val="-0.140322403512017"/>
                  <c:y val="-0.0239497419727136"/>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84191616766467"/>
                      <c:h val="0.110835401157982"/>
                    </c:manualLayout>
                  </c15:layout>
                </c:ext>
              </c:extLst>
            </c:dLbl>
            <c:dLbl>
              <c:idx val="14"/>
              <c:layout>
                <c:manualLayout>
                  <c:x val="0.0176548375781926"/>
                  <c:y val="0.20366548182054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33413173652695"/>
                      <c:h val="0.133829611248966"/>
                    </c:manualLayout>
                  </c15:layout>
                </c:ext>
              </c:extLst>
            </c:dLbl>
            <c:numFmt formatCode="0.00%" sourceLinked="0"/>
            <c:spPr>
              <a:noFill/>
              <a:ln>
                <a:noFill/>
              </a:ln>
              <a:effectLst/>
            </c:spPr>
            <c:txPr>
              <a:bodyPr rot="0" spcFirstLastPara="0" vertOverflow="ellipsis" vert="horz" wrap="square" lIns="38100" tIns="19050" rIns="38100" bIns="19050" anchor="ctr" anchorCtr="1" forceAA="0">
                <a:spAutoFit/>
              </a:bodyPr>
              <a:lstStyle/>
              <a:p>
                <a:pPr>
                  <a:defRPr lang="zh-CN" sz="800" b="0" i="0" u="none" strike="noStrike" kern="1200" baseline="0">
                    <a:solidFill>
                      <a:schemeClr val="tx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in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[本次评估的企业名单24.9.18.xlsx]气图!$C$64:$C$78</c:f>
              <c:strCache>
                <c:ptCount val="15"/>
                <c:pt idx="0">
                  <c:v>食品制造业</c:v>
                </c:pt>
                <c:pt idx="1">
                  <c:v>纺织业</c:v>
                </c:pt>
                <c:pt idx="2">
                  <c:v>印刷和记录媒介复制业</c:v>
                </c:pt>
                <c:pt idx="3">
                  <c:v>生物医药业</c:v>
                </c:pt>
                <c:pt idx="4">
                  <c:v>橡胶和塑料制品业</c:v>
                </c:pt>
                <c:pt idx="5">
                  <c:v>非金属矿物制品业</c:v>
                </c:pt>
                <c:pt idx="6">
                  <c:v>有色金属冶炼和压延加工业</c:v>
                </c:pt>
                <c:pt idx="7">
                  <c:v>金属制品业</c:v>
                </c:pt>
                <c:pt idx="8">
                  <c:v>通用设备制造业</c:v>
                </c:pt>
                <c:pt idx="9">
                  <c:v>专用设备制造业</c:v>
                </c:pt>
                <c:pt idx="10">
                  <c:v>汽车制造业</c:v>
                </c:pt>
                <c:pt idx="11">
                  <c:v>铁路、船舶、航空航天和其他运输设备制造业</c:v>
                </c:pt>
                <c:pt idx="12">
                  <c:v>电气机械和器材制造业</c:v>
                </c:pt>
                <c:pt idx="13">
                  <c:v>计算机、通信和其他电子设备制造业</c:v>
                </c:pt>
                <c:pt idx="14">
                  <c:v>生态保护和环境治理业</c:v>
                </c:pt>
              </c:strCache>
            </c:strRef>
          </c:cat>
          <c:val>
            <c:numRef>
              <c:f>[本次评估的企业名单24.9.18.xlsx]气图!$D$64:$D$78</c:f>
              <c:numCache>
                <c:formatCode>General</c:formatCode>
                <c:ptCount val="15"/>
                <c:pt idx="0">
                  <c:v>0.633</c:v>
                </c:pt>
                <c:pt idx="1">
                  <c:v>0.0018</c:v>
                </c:pt>
                <c:pt idx="2">
                  <c:v>0.001</c:v>
                </c:pt>
                <c:pt idx="3">
                  <c:v>0.0884</c:v>
                </c:pt>
                <c:pt idx="4">
                  <c:v>0.1369</c:v>
                </c:pt>
                <c:pt idx="5">
                  <c:v>1.564</c:v>
                </c:pt>
                <c:pt idx="6">
                  <c:v>0.386908</c:v>
                </c:pt>
                <c:pt idx="7">
                  <c:v>0.244794</c:v>
                </c:pt>
                <c:pt idx="8">
                  <c:v>2.334324</c:v>
                </c:pt>
                <c:pt idx="9">
                  <c:v>0.3771</c:v>
                </c:pt>
                <c:pt idx="10">
                  <c:v>70.795</c:v>
                </c:pt>
                <c:pt idx="11">
                  <c:v>0.535</c:v>
                </c:pt>
                <c:pt idx="12">
                  <c:v>0.030659</c:v>
                </c:pt>
                <c:pt idx="13">
                  <c:v>0.3761</c:v>
                </c:pt>
                <c:pt idx="14">
                  <c:v>2.5094</c:v>
                </c:pt>
              </c:numCache>
            </c:numRef>
          </c:val>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uri="{0b15fc19-7d7d-44ad-8c2d-2c3a37ce22c3}">
        <chartProps xmlns="https://web.wps.cn/et/2018/main" chartId="{00e93261-1d0c-463a-b821-1a7a2e2bca9c}"/>
      </c:ext>
    </c:extLst>
  </c:chart>
  <c:spPr>
    <a:solidFill>
      <a:schemeClr val="bg1"/>
    </a:solidFill>
    <a:ln w="9525" cap="flat" cmpd="sng" algn="ctr">
      <a:noFill/>
      <a:round/>
    </a:ln>
    <a:effectLst>
      <a:outerShdw blurRad="63500" dist="37357" dir="2700000" sx="0" sy="0" rotWithShape="0">
        <a:scrgbClr r="0" g="0" b="0"/>
      </a:outerShdw>
    </a:effectLst>
  </c:spPr>
  <c:txPr>
    <a:bodyPr/>
    <a:lstStyle/>
    <a:p>
      <a:pPr>
        <a:defRPr lang="zh-CN">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322233212441"/>
          <c:y val="0.093382488234704"/>
          <c:w val="0.712276074293878"/>
          <c:h val="0.936425372056061"/>
        </c:manualLayout>
      </c:layout>
      <c:pieChart>
        <c:varyColors val="1"/>
        <c:ser>
          <c:idx val="0"/>
          <c:order val="0"/>
          <c:tx>
            <c:strRef>
              <c:f>[本次评估的企业名单24.9.18.xlsx]气图!$D$3</c:f>
              <c:strCache>
                <c:ptCount val="1"/>
                <c:pt idx="0">
                  <c:v>SO2</c:v>
                </c:pt>
              </c:strCache>
            </c:strRef>
          </c:tx>
          <c:spPr>
            <a:ln w="15875">
              <a:solidFill>
                <a:schemeClr val="bg1"/>
              </a:solidFill>
            </a:ln>
            <a:effectLst>
              <a:outerShdw blurRad="63500" sx="102000" sy="102000" algn="ctr" rotWithShape="0">
                <a:schemeClr val="bg1">
                  <a:lumMod val="50000"/>
                  <a:alpha val="40000"/>
                </a:schemeClr>
              </a:outerShdw>
            </a:effectLst>
            <a:sp3d contourW="15875"/>
          </c:spPr>
          <c:explosion val="0"/>
          <c:dPt>
            <c:idx val="0"/>
            <c:bubble3D val="0"/>
            <c:spPr>
              <a:solidFill>
                <a:schemeClr val="accent1"/>
              </a:solidFill>
              <a:ln w="15875">
                <a:solidFill>
                  <a:schemeClr val="bg1"/>
                </a:solidFill>
              </a:ln>
              <a:effectLst>
                <a:outerShdw blurRad="63500" sx="102000" sy="102000" algn="ctr" rotWithShape="0">
                  <a:schemeClr val="bg1">
                    <a:lumMod val="50000"/>
                    <a:alpha val="40000"/>
                  </a:schemeClr>
                </a:outerShdw>
              </a:effectLst>
              <a:sp3d contourW="15875"/>
            </c:spPr>
          </c:dPt>
          <c:dPt>
            <c:idx val="1"/>
            <c:bubble3D val="0"/>
            <c:spPr>
              <a:solidFill>
                <a:schemeClr val="accent2"/>
              </a:solidFill>
              <a:ln w="15875">
                <a:solidFill>
                  <a:schemeClr val="bg1"/>
                </a:solidFill>
              </a:ln>
              <a:effectLst>
                <a:outerShdw blurRad="63500" sx="102000" sy="102000" algn="ctr" rotWithShape="0">
                  <a:schemeClr val="bg1">
                    <a:lumMod val="50000"/>
                    <a:alpha val="40000"/>
                  </a:schemeClr>
                </a:outerShdw>
              </a:effectLst>
              <a:sp3d contourW="15875"/>
            </c:spPr>
          </c:dPt>
          <c:dPt>
            <c:idx val="2"/>
            <c:bubble3D val="0"/>
            <c:spPr>
              <a:solidFill>
                <a:schemeClr val="accent3"/>
              </a:solidFill>
              <a:ln w="19050">
                <a:solidFill>
                  <a:schemeClr val="bg1"/>
                </a:solidFill>
              </a:ln>
              <a:effectLst>
                <a:outerShdw blurRad="63500" sx="102000" sy="102000" algn="ctr" rotWithShape="0">
                  <a:schemeClr val="bg1">
                    <a:lumMod val="50000"/>
                    <a:alpha val="40000"/>
                  </a:schemeClr>
                </a:outerShdw>
              </a:effectLst>
              <a:sp3d contourW="19050"/>
            </c:spPr>
          </c:dPt>
          <c:dPt>
            <c:idx val="3"/>
            <c:bubble3D val="0"/>
            <c:spPr>
              <a:solidFill>
                <a:schemeClr val="accent4"/>
              </a:solidFill>
              <a:ln w="15875">
                <a:solidFill>
                  <a:schemeClr val="bg1"/>
                </a:solidFill>
              </a:ln>
              <a:effectLst>
                <a:outerShdw blurRad="63500" sx="102000" sy="102000" algn="ctr" rotWithShape="0">
                  <a:schemeClr val="bg1">
                    <a:lumMod val="50000"/>
                    <a:alpha val="40000"/>
                  </a:schemeClr>
                </a:outerShdw>
              </a:effectLst>
              <a:sp3d contourW="15875"/>
            </c:spPr>
          </c:dPt>
          <c:dPt>
            <c:idx val="4"/>
            <c:bubble3D val="0"/>
            <c:spPr>
              <a:solidFill>
                <a:schemeClr val="accent5"/>
              </a:solidFill>
              <a:ln w="15875">
                <a:solidFill>
                  <a:schemeClr val="bg1"/>
                </a:solidFill>
              </a:ln>
              <a:effectLst>
                <a:outerShdw blurRad="63500" sx="102000" sy="102000" algn="ctr" rotWithShape="0">
                  <a:schemeClr val="bg1">
                    <a:lumMod val="50000"/>
                    <a:alpha val="40000"/>
                  </a:schemeClr>
                </a:outerShdw>
              </a:effectLst>
              <a:sp3d contourW="15875"/>
            </c:spPr>
          </c:dPt>
          <c:dPt>
            <c:idx val="5"/>
            <c:bubble3D val="0"/>
            <c:spPr>
              <a:solidFill>
                <a:schemeClr val="accent6"/>
              </a:solidFill>
              <a:ln w="15875">
                <a:solidFill>
                  <a:schemeClr val="bg1"/>
                </a:solidFill>
              </a:ln>
              <a:effectLst>
                <a:outerShdw blurRad="63500" sx="102000" sy="102000" algn="ctr" rotWithShape="0">
                  <a:schemeClr val="bg1">
                    <a:lumMod val="50000"/>
                    <a:alpha val="40000"/>
                  </a:schemeClr>
                </a:outerShdw>
              </a:effectLst>
              <a:sp3d contourW="15875"/>
            </c:spPr>
          </c:dPt>
          <c:dPt>
            <c:idx val="6"/>
            <c:bubble3D val="0"/>
            <c:spPr>
              <a:solidFill>
                <a:schemeClr val="accent1">
                  <a:lumMod val="60000"/>
                </a:schemeClr>
              </a:solidFill>
              <a:ln w="15875">
                <a:solidFill>
                  <a:schemeClr val="bg1"/>
                </a:solidFill>
              </a:ln>
              <a:effectLst>
                <a:outerShdw blurRad="63500" sx="102000" sy="102000" algn="ctr" rotWithShape="0">
                  <a:schemeClr val="bg1">
                    <a:lumMod val="50000"/>
                    <a:alpha val="40000"/>
                  </a:schemeClr>
                </a:outerShdw>
              </a:effectLst>
              <a:sp3d contourW="15875"/>
            </c:spPr>
          </c:dPt>
          <c:dPt>
            <c:idx val="7"/>
            <c:bubble3D val="0"/>
            <c:spPr>
              <a:solidFill>
                <a:schemeClr val="accent2">
                  <a:lumMod val="60000"/>
                </a:schemeClr>
              </a:solidFill>
              <a:ln w="15875">
                <a:solidFill>
                  <a:schemeClr val="bg1"/>
                </a:solidFill>
              </a:ln>
              <a:effectLst>
                <a:outerShdw blurRad="63500" sx="102000" sy="102000" algn="ctr" rotWithShape="0">
                  <a:schemeClr val="bg1">
                    <a:lumMod val="50000"/>
                    <a:alpha val="40000"/>
                  </a:schemeClr>
                </a:outerShdw>
              </a:effectLst>
              <a:sp3d contourW="15875"/>
            </c:spPr>
          </c:dPt>
          <c:dPt>
            <c:idx val="8"/>
            <c:bubble3D val="0"/>
            <c:spPr>
              <a:solidFill>
                <a:schemeClr val="accent3">
                  <a:lumMod val="60000"/>
                </a:schemeClr>
              </a:solidFill>
              <a:ln w="15875">
                <a:solidFill>
                  <a:schemeClr val="bg1"/>
                </a:solidFill>
              </a:ln>
              <a:effectLst>
                <a:outerShdw blurRad="63500" sx="102000" sy="102000" algn="ctr" rotWithShape="0">
                  <a:schemeClr val="bg1">
                    <a:lumMod val="50000"/>
                    <a:alpha val="40000"/>
                  </a:schemeClr>
                </a:outerShdw>
              </a:effectLst>
              <a:sp3d contourW="15875"/>
            </c:spPr>
          </c:dPt>
          <c:dPt>
            <c:idx val="9"/>
            <c:bubble3D val="0"/>
            <c:spPr>
              <a:solidFill>
                <a:schemeClr val="accent4">
                  <a:lumMod val="60000"/>
                </a:schemeClr>
              </a:solidFill>
              <a:ln w="15875">
                <a:solidFill>
                  <a:schemeClr val="bg1"/>
                </a:solidFill>
              </a:ln>
              <a:effectLst>
                <a:outerShdw blurRad="63500" sx="102000" sy="102000" algn="ctr" rotWithShape="0">
                  <a:schemeClr val="bg1">
                    <a:lumMod val="50000"/>
                    <a:alpha val="40000"/>
                  </a:schemeClr>
                </a:outerShdw>
              </a:effectLst>
              <a:sp3d contourW="15875"/>
            </c:spPr>
          </c:dPt>
          <c:dPt>
            <c:idx val="10"/>
            <c:bubble3D val="0"/>
            <c:spPr>
              <a:solidFill>
                <a:schemeClr val="accent5">
                  <a:lumMod val="60000"/>
                </a:schemeClr>
              </a:solidFill>
              <a:ln w="15875">
                <a:solidFill>
                  <a:schemeClr val="bg1"/>
                </a:solidFill>
              </a:ln>
              <a:effectLst>
                <a:outerShdw blurRad="63500" sx="102000" sy="102000" algn="ctr" rotWithShape="0">
                  <a:schemeClr val="bg1">
                    <a:lumMod val="50000"/>
                    <a:alpha val="40000"/>
                  </a:schemeClr>
                </a:outerShdw>
              </a:effectLst>
              <a:sp3d contourW="15875"/>
            </c:spPr>
          </c:dPt>
          <c:dPt>
            <c:idx val="11"/>
            <c:bubble3D val="0"/>
            <c:spPr>
              <a:solidFill>
                <a:schemeClr val="accent6">
                  <a:lumMod val="60000"/>
                </a:schemeClr>
              </a:solidFill>
              <a:ln w="15875">
                <a:solidFill>
                  <a:schemeClr val="bg1"/>
                </a:solidFill>
              </a:ln>
              <a:effectLst>
                <a:outerShdw blurRad="63500" sx="102000" sy="102000" algn="ctr" rotWithShape="0">
                  <a:schemeClr val="bg1">
                    <a:lumMod val="50000"/>
                    <a:alpha val="40000"/>
                  </a:schemeClr>
                </a:outerShdw>
              </a:effectLst>
              <a:sp3d contourW="15875"/>
            </c:spPr>
          </c:dPt>
          <c:dPt>
            <c:idx val="12"/>
            <c:bubble3D val="0"/>
            <c:spPr>
              <a:solidFill>
                <a:schemeClr val="accent1">
                  <a:lumMod val="80000"/>
                  <a:lumOff val="20000"/>
                </a:schemeClr>
              </a:solidFill>
              <a:ln w="15875">
                <a:solidFill>
                  <a:schemeClr val="bg1"/>
                </a:solidFill>
              </a:ln>
              <a:effectLst>
                <a:outerShdw blurRad="63500" sx="102000" sy="102000" algn="ctr" rotWithShape="0">
                  <a:schemeClr val="bg1">
                    <a:lumMod val="50000"/>
                    <a:alpha val="40000"/>
                  </a:schemeClr>
                </a:outerShdw>
              </a:effectLst>
              <a:sp3d contourW="15875"/>
            </c:spPr>
          </c:dPt>
          <c:dPt>
            <c:idx val="13"/>
            <c:bubble3D val="0"/>
            <c:spPr>
              <a:solidFill>
                <a:schemeClr val="accent2">
                  <a:lumMod val="80000"/>
                  <a:lumOff val="20000"/>
                </a:schemeClr>
              </a:solidFill>
              <a:ln w="15875">
                <a:solidFill>
                  <a:schemeClr val="bg1"/>
                </a:solidFill>
              </a:ln>
              <a:effectLst>
                <a:outerShdw blurRad="63500" sx="102000" sy="102000" algn="ctr" rotWithShape="0">
                  <a:schemeClr val="bg1">
                    <a:lumMod val="50000"/>
                    <a:alpha val="40000"/>
                  </a:schemeClr>
                </a:outerShdw>
              </a:effectLst>
              <a:sp3d contourW="15875"/>
            </c:spPr>
          </c:dPt>
          <c:dPt>
            <c:idx val="14"/>
            <c:bubble3D val="0"/>
            <c:spPr>
              <a:solidFill>
                <a:schemeClr val="accent3">
                  <a:lumMod val="80000"/>
                  <a:lumOff val="20000"/>
                </a:schemeClr>
              </a:solidFill>
              <a:ln w="15875">
                <a:solidFill>
                  <a:schemeClr val="bg1"/>
                </a:solidFill>
              </a:ln>
              <a:effectLst>
                <a:outerShdw blurRad="63500" sx="102000" sy="102000" algn="ctr" rotWithShape="0">
                  <a:schemeClr val="bg1">
                    <a:lumMod val="50000"/>
                    <a:alpha val="40000"/>
                  </a:schemeClr>
                </a:outerShdw>
              </a:effectLst>
              <a:sp3d contourW="15875"/>
            </c:spPr>
          </c:dPt>
          <c:dPt>
            <c:idx val="15"/>
            <c:bubble3D val="0"/>
            <c:spPr>
              <a:solidFill>
                <a:schemeClr val="accent4">
                  <a:lumMod val="80000"/>
                  <a:lumOff val="20000"/>
                </a:schemeClr>
              </a:solidFill>
              <a:ln w="15875">
                <a:solidFill>
                  <a:schemeClr val="bg1"/>
                </a:solidFill>
              </a:ln>
              <a:effectLst>
                <a:outerShdw blurRad="63500" sx="102000" sy="102000" algn="ctr" rotWithShape="0">
                  <a:schemeClr val="bg1">
                    <a:lumMod val="50000"/>
                    <a:alpha val="40000"/>
                  </a:schemeClr>
                </a:outerShdw>
              </a:effectLst>
              <a:sp3d contourW="15875"/>
            </c:spPr>
          </c:dPt>
          <c:dPt>
            <c:idx val="16"/>
            <c:bubble3D val="0"/>
            <c:spPr>
              <a:solidFill>
                <a:schemeClr val="accent5">
                  <a:lumMod val="80000"/>
                  <a:lumOff val="20000"/>
                </a:schemeClr>
              </a:solidFill>
              <a:ln w="15875">
                <a:solidFill>
                  <a:schemeClr val="bg1"/>
                </a:solidFill>
              </a:ln>
              <a:effectLst>
                <a:outerShdw blurRad="63500" sx="102000" sy="102000" algn="ctr" rotWithShape="0">
                  <a:schemeClr val="bg1">
                    <a:lumMod val="50000"/>
                    <a:alpha val="40000"/>
                  </a:schemeClr>
                </a:outerShdw>
              </a:effectLst>
              <a:sp3d contourW="15875"/>
            </c:spPr>
          </c:dPt>
          <c:dLbls>
            <c:dLbl>
              <c:idx val="0"/>
              <c:layout>
                <c:manualLayout>
                  <c:x val="-0.179724015134654"/>
                  <c:y val="0"/>
                </c:manualLayout>
              </c:layout>
              <c:numFmt formatCode="0.00%" sourceLinked="0"/>
              <c:spPr>
                <a:noFill/>
                <a:ln>
                  <a:noFill/>
                </a:ln>
                <a:effectLst/>
              </c:spPr>
              <c:txPr>
                <a:bodyPr rot="0" spcFirstLastPara="0" vertOverflow="ellipsis" vert="horz" wrap="square" lIns="38100" tIns="19050" rIns="38100" bIns="19050" anchor="b" anchorCtr="1" forceAA="0"/>
                <a:lstStyle/>
                <a:p>
                  <a:pPr>
                    <a:defRPr lang="zh-CN" sz="900" b="0" i="0" u="none" strike="noStrike" kern="1200" baseline="0">
                      <a:solidFill>
                        <a:schemeClr val="tx1"/>
                      </a:solidFill>
                      <a:effectLst/>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24232456140351"/>
                      <c:h val="0.0794967880085653"/>
                    </c:manualLayout>
                  </c15:layout>
                </c:ext>
              </c:extLst>
            </c:dLbl>
            <c:dLbl>
              <c:idx val="1"/>
              <c:layout>
                <c:manualLayout>
                  <c:x val="-0.0464006275336471"/>
                  <c:y val="0"/>
                </c:manualLayout>
              </c:layout>
              <c:numFmt formatCode="0.00%" sourceLinked="0"/>
              <c:spPr>
                <a:noFill/>
                <a:ln>
                  <a:noFill/>
                </a:ln>
                <a:effectLst/>
              </c:spPr>
              <c:txPr>
                <a:bodyPr rot="0" spcFirstLastPara="0" vertOverflow="ellipsis" vert="horz" wrap="square" lIns="38100" tIns="19050" rIns="38100" bIns="19050" anchor="b" anchorCtr="1" forceAA="0"/>
                <a:lstStyle/>
                <a:p>
                  <a:pPr>
                    <a:defRPr lang="zh-CN" sz="900" b="0" i="0" u="none" strike="noStrike" kern="1200" baseline="0">
                      <a:solidFill>
                        <a:schemeClr val="tx1"/>
                      </a:solidFill>
                      <a:effectLst/>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2"/>
              <c:layout>
                <c:manualLayout>
                  <c:x val="0.129050145020513"/>
                  <c:y val="0"/>
                </c:manualLayout>
              </c:layout>
              <c:numFmt formatCode="0.00%" sourceLinked="0"/>
              <c:spPr>
                <a:noFill/>
                <a:ln>
                  <a:noFill/>
                </a:ln>
                <a:effectLst/>
              </c:spPr>
              <c:txPr>
                <a:bodyPr rot="0" spcFirstLastPara="0" vertOverflow="ellipsis" vert="horz" wrap="square" lIns="38100" tIns="19050" rIns="38100" bIns="19050" anchor="b" anchorCtr="1" forceAA="0"/>
                <a:lstStyle/>
                <a:p>
                  <a:pPr>
                    <a:defRPr lang="zh-CN" sz="900" b="0" i="0" u="none" strike="noStrike" kern="1200" baseline="0">
                      <a:solidFill>
                        <a:schemeClr val="tx1"/>
                      </a:solidFill>
                      <a:effectLst/>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84509711037423"/>
                      <c:h val="0.119312436804853"/>
                    </c:manualLayout>
                  </c15:layout>
                </c:ext>
              </c:extLst>
            </c:dLbl>
            <c:dLbl>
              <c:idx val="3"/>
              <c:delete val="1"/>
            </c:dLbl>
            <c:dLbl>
              <c:idx val="4"/>
              <c:layout>
                <c:manualLayout>
                  <c:x val="0.288041374782464"/>
                  <c:y val="0.0128370865989856"/>
                </c:manualLayout>
              </c:layout>
              <c:numFmt formatCode="0.00%" sourceLinked="0"/>
              <c:spPr>
                <a:noFill/>
                <a:ln>
                  <a:noFill/>
                </a:ln>
                <a:effectLst/>
              </c:spPr>
              <c:txPr>
                <a:bodyPr rot="0" spcFirstLastPara="0" vertOverflow="ellipsis" vert="horz" wrap="square" lIns="38100" tIns="19050" rIns="38100" bIns="19050" anchor="b" anchorCtr="1" forceAA="0"/>
                <a:lstStyle/>
                <a:p>
                  <a:pPr>
                    <a:defRPr lang="zh-CN" sz="900" b="0" i="0" u="none" strike="noStrike" kern="1200" baseline="0">
                      <a:solidFill>
                        <a:schemeClr val="tx1"/>
                      </a:solidFill>
                      <a:effectLst/>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9126006631928"/>
                      <c:h val="0.0735230391448794"/>
                    </c:manualLayout>
                  </c15:layout>
                </c:ext>
              </c:extLst>
            </c:dLbl>
            <c:dLbl>
              <c:idx val="5"/>
              <c:delete val="1"/>
            </c:dLbl>
            <c:dLbl>
              <c:idx val="6"/>
              <c:delete val="1"/>
            </c:dLbl>
            <c:dLbl>
              <c:idx val="7"/>
              <c:delete val="1"/>
            </c:dLbl>
            <c:dLbl>
              <c:idx val="8"/>
              <c:layout>
                <c:manualLayout>
                  <c:x val="-0.0254502193339911"/>
                  <c:y val="0.147966881556667"/>
                </c:manualLayout>
              </c:layout>
              <c:numFmt formatCode="0.00%" sourceLinked="0"/>
              <c:spPr>
                <a:noFill/>
                <a:ln>
                  <a:noFill/>
                </a:ln>
                <a:effectLst/>
              </c:spPr>
              <c:txPr>
                <a:bodyPr rot="0" spcFirstLastPara="0" vertOverflow="ellipsis" vert="horz" wrap="square" lIns="38100" tIns="19050" rIns="38100" bIns="19050" anchor="b" anchorCtr="1" forceAA="0"/>
                <a:lstStyle/>
                <a:p>
                  <a:pPr>
                    <a:defRPr lang="zh-CN" sz="900" b="0" i="0" u="none" strike="noStrike" kern="1200" baseline="0">
                      <a:solidFill>
                        <a:schemeClr val="tx1"/>
                      </a:solidFill>
                      <a:effectLst/>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76456655613453"/>
                      <c:h val="0.0865231835909288"/>
                    </c:manualLayout>
                  </c15:layout>
                </c:ext>
              </c:extLst>
            </c:dLbl>
            <c:dLbl>
              <c:idx val="9"/>
              <c:delete val="1"/>
            </c:dLbl>
            <c:dLbl>
              <c:idx val="10"/>
              <c:layout>
                <c:manualLayout>
                  <c:x val="-0.0267481078564219"/>
                  <c:y val="-0.257275592810569"/>
                </c:manualLayout>
              </c:layout>
              <c:numFmt formatCode="0.00%" sourceLinked="0"/>
              <c:spPr>
                <a:noFill/>
                <a:ln>
                  <a:noFill/>
                </a:ln>
                <a:effectLst/>
              </c:spPr>
              <c:txPr>
                <a:bodyPr rot="0" spcFirstLastPara="0" vertOverflow="ellipsis" vert="horz" wrap="square" lIns="38100" tIns="19050" rIns="38100" bIns="19050" anchor="b" anchorCtr="1" forceAA="0"/>
                <a:lstStyle/>
                <a:p>
                  <a:pPr>
                    <a:defRPr lang="zh-CN" sz="900" b="0" i="0" u="none" strike="noStrike" kern="1200" baseline="0">
                      <a:solidFill>
                        <a:schemeClr val="tx1"/>
                      </a:solidFill>
                      <a:effectLst/>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1"/>
              <c:delete val="1"/>
            </c:dLbl>
            <c:dLbl>
              <c:idx val="12"/>
              <c:delete val="1"/>
            </c:dLbl>
            <c:dLbl>
              <c:idx val="13"/>
              <c:layout>
                <c:manualLayout>
                  <c:x val="-0.113206569625994"/>
                  <c:y val="0.0596245397434503"/>
                </c:manualLayout>
              </c:layout>
              <c:numFmt formatCode="0.00%" sourceLinked="0"/>
              <c:spPr>
                <a:noFill/>
                <a:ln>
                  <a:noFill/>
                </a:ln>
                <a:effectLst/>
              </c:spPr>
              <c:txPr>
                <a:bodyPr rot="0" spcFirstLastPara="0" vertOverflow="ellipsis" vert="horz" wrap="square" lIns="38100" tIns="19050" rIns="38100" bIns="19050" anchor="b" anchorCtr="1" forceAA="0"/>
                <a:lstStyle/>
                <a:p>
                  <a:pPr>
                    <a:defRPr lang="zh-CN" sz="900" b="0" i="0" u="none" strike="noStrike" kern="1200" baseline="0">
                      <a:solidFill>
                        <a:schemeClr val="tx1"/>
                      </a:solidFill>
                      <a:effectLst/>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4"/>
              <c:delete val="1"/>
            </c:dLbl>
            <c:dLbl>
              <c:idx val="15"/>
              <c:delete val="1"/>
            </c:dLbl>
            <c:dLbl>
              <c:idx val="16"/>
              <c:layout>
                <c:manualLayout>
                  <c:x val="0.0488616425883042"/>
                  <c:y val="0.218432482362117"/>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33194474895856"/>
                      <c:h val="0.108256389669477"/>
                    </c:manualLayout>
                  </c15:layout>
                </c:ext>
              </c:extLst>
            </c:dLbl>
            <c:numFmt formatCode="General" sourceLinked="1"/>
            <c:spPr>
              <a:noFill/>
              <a:ln>
                <a:noFill/>
              </a:ln>
              <a:effectLst/>
            </c:spPr>
            <c:txPr>
              <a:bodyPr rot="0" spcFirstLastPara="0" vertOverflow="ellipsis" vert="horz" wrap="square" lIns="38100" tIns="19050" rIns="38100" bIns="19050" anchor="b" anchorCtr="1" forceAA="0"/>
              <a:lstStyle/>
              <a:p>
                <a:pPr>
                  <a:defRPr lang="zh-CN" sz="900" b="0" i="0" u="none" strike="noStrike" kern="1200" baseline="0">
                    <a:solidFill>
                      <a:schemeClr val="tx1"/>
                    </a:solidFill>
                    <a:effectLst/>
                    <a:latin typeface="+mn-lt"/>
                    <a:ea typeface="+mn-ea"/>
                    <a:cs typeface="+mn-cs"/>
                  </a:defRPr>
                </a:pPr>
              </a:p>
            </c:txPr>
            <c:dLblPos val="in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[本次评估的企业名单24.9.18.xlsx]气图!$C$4:$C$20</c:f>
              <c:strCache>
                <c:ptCount val="17"/>
                <c:pt idx="0">
                  <c:v>食品制造业</c:v>
                </c:pt>
                <c:pt idx="1">
                  <c:v>纺织业</c:v>
                </c:pt>
                <c:pt idx="2">
                  <c:v>印刷和记录媒介复制业</c:v>
                </c:pt>
                <c:pt idx="3">
                  <c:v>生物医药业</c:v>
                </c:pt>
                <c:pt idx="4">
                  <c:v>橡胶和塑料制品业</c:v>
                </c:pt>
                <c:pt idx="5">
                  <c:v>非金属矿物制品业</c:v>
                </c:pt>
                <c:pt idx="6">
                  <c:v>有色金属冶炼和压延加工业</c:v>
                </c:pt>
                <c:pt idx="7">
                  <c:v>金属制品业</c:v>
                </c:pt>
                <c:pt idx="8">
                  <c:v>通用设备制造业</c:v>
                </c:pt>
                <c:pt idx="9">
                  <c:v>专用设备制造业</c:v>
                </c:pt>
                <c:pt idx="10">
                  <c:v>汽车制造业</c:v>
                </c:pt>
                <c:pt idx="11">
                  <c:v>铁路、船舶、航空航天和其他运输设备制造业</c:v>
                </c:pt>
                <c:pt idx="12">
                  <c:v>电气机械和器材制造业</c:v>
                </c:pt>
                <c:pt idx="13">
                  <c:v>计算机、通信和其他电子设备制造业</c:v>
                </c:pt>
                <c:pt idx="14">
                  <c:v>仪器仪表制造业</c:v>
                </c:pt>
                <c:pt idx="15">
                  <c:v>金属制品、机械和设备修理业</c:v>
                </c:pt>
                <c:pt idx="16">
                  <c:v>生态保护和环境治理业</c:v>
                </c:pt>
              </c:strCache>
            </c:strRef>
          </c:cat>
          <c:val>
            <c:numRef>
              <c:f>[本次评估的企业名单24.9.18.xlsx]气图!$D$4:$D$20</c:f>
              <c:numCache>
                <c:formatCode>General</c:formatCode>
                <c:ptCount val="17"/>
                <c:pt idx="0">
                  <c:v>0.374</c:v>
                </c:pt>
                <c:pt idx="1">
                  <c:v>0.084</c:v>
                </c:pt>
                <c:pt idx="2">
                  <c:v>0.004</c:v>
                </c:pt>
                <c:pt idx="3">
                  <c:v>0</c:v>
                </c:pt>
                <c:pt idx="4">
                  <c:v>0.39</c:v>
                </c:pt>
                <c:pt idx="5">
                  <c:v>0</c:v>
                </c:pt>
                <c:pt idx="6">
                  <c:v>0</c:v>
                </c:pt>
                <c:pt idx="7">
                  <c:v>0</c:v>
                </c:pt>
                <c:pt idx="8">
                  <c:v>0.5</c:v>
                </c:pt>
                <c:pt idx="9">
                  <c:v>0</c:v>
                </c:pt>
                <c:pt idx="10">
                  <c:v>26.6864</c:v>
                </c:pt>
                <c:pt idx="11">
                  <c:v>0</c:v>
                </c:pt>
                <c:pt idx="12">
                  <c:v>0</c:v>
                </c:pt>
                <c:pt idx="13">
                  <c:v>0.061</c:v>
                </c:pt>
                <c:pt idx="14">
                  <c:v>0</c:v>
                </c:pt>
                <c:pt idx="15">
                  <c:v>0</c:v>
                </c:pt>
                <c:pt idx="16">
                  <c:v>2.18</c:v>
                </c:pt>
              </c:numCache>
            </c:numRef>
          </c:val>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uri="{0b15fc19-7d7d-44ad-8c2d-2c3a37ce22c3}">
        <chartProps xmlns="https://web.wps.cn/et/2018/main" chartId="{23e26a85-e1a7-4a98-a000-6a1dd36931c5}"/>
      </c:ext>
    </c:extLst>
  </c:chart>
  <c:spPr>
    <a:solidFill>
      <a:schemeClr val="bg1"/>
    </a:solidFill>
    <a:ln w="9525" cap="flat" cmpd="sng" algn="ctr">
      <a:solidFill>
        <a:schemeClr val="bg1">
          <a:lumMod val="85000"/>
        </a:schemeClr>
      </a:solidFill>
      <a:round/>
    </a:ln>
    <a:effectLst/>
  </c:spPr>
  <c:txPr>
    <a:bodyPr/>
    <a:lstStyle/>
    <a:p>
      <a:pPr>
        <a:defRPr lang="zh-CN">
          <a:solidFill>
            <a:schemeClr val="tx1"/>
          </a:solidFill>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c:explosion val="0"/>
          <c:dPt>
            <c:idx val="0"/>
            <c:bubble3D val="0"/>
            <c:spPr>
              <a:gradFill>
                <a:gsLst>
                  <a:gs pos="0">
                    <a:schemeClr val="accent1">
                      <a:hueOff val="-1670000"/>
                    </a:schemeClr>
                  </a:gs>
                  <a:gs pos="100000">
                    <a:schemeClr val="accent1"/>
                  </a:gs>
                </a:gsLst>
                <a:lin ang="5400000" scaled="0"/>
              </a:gradFill>
              <a:ln>
                <a:gradFill>
                  <a:gsLst>
                    <a:gs pos="0">
                      <a:schemeClr val="accent1">
                        <a:lumMod val="75000"/>
                        <a:hueOff val="-1670000"/>
                      </a:schemeClr>
                    </a:gs>
                    <a:gs pos="100000">
                      <a:schemeClr val="accent1">
                        <a:lumMod val="75000"/>
                      </a:schemeClr>
                    </a:gs>
                  </a:gsLst>
                  <a:lin ang="5400000" scaled="1"/>
                </a:gradFill>
              </a:ln>
              <a:effectLst/>
            </c:spPr>
          </c:dPt>
          <c:dPt>
            <c:idx val="1"/>
            <c:bubble3D val="0"/>
            <c:spPr>
              <a:gradFill>
                <a:gsLst>
                  <a:gs pos="0">
                    <a:schemeClr val="accent2">
                      <a:hueOff val="-1670000"/>
                    </a:schemeClr>
                  </a:gs>
                  <a:gs pos="100000">
                    <a:schemeClr val="accent2"/>
                  </a:gs>
                </a:gsLst>
                <a:lin ang="5400000" scaled="0"/>
              </a:gradFill>
              <a:ln>
                <a:gradFill>
                  <a:gsLst>
                    <a:gs pos="0">
                      <a:schemeClr val="accent2">
                        <a:lumMod val="75000"/>
                        <a:hueOff val="-1670000"/>
                      </a:schemeClr>
                    </a:gs>
                    <a:gs pos="100000">
                      <a:schemeClr val="accent2">
                        <a:lumMod val="75000"/>
                      </a:schemeClr>
                    </a:gs>
                  </a:gsLst>
                  <a:lin ang="5400000" scaled="1"/>
                </a:gradFill>
              </a:ln>
              <a:effectLst/>
            </c:spPr>
          </c:dPt>
          <c:dPt>
            <c:idx val="2"/>
            <c:bubble3D val="0"/>
            <c:spPr>
              <a:gradFill>
                <a:gsLst>
                  <a:gs pos="0">
                    <a:schemeClr val="accent3">
                      <a:hueOff val="-1670000"/>
                    </a:schemeClr>
                  </a:gs>
                  <a:gs pos="100000">
                    <a:schemeClr val="accent3"/>
                  </a:gs>
                </a:gsLst>
                <a:lin ang="5400000" scaled="0"/>
              </a:gradFill>
              <a:ln>
                <a:gradFill>
                  <a:gsLst>
                    <a:gs pos="0">
                      <a:schemeClr val="accent3">
                        <a:lumMod val="75000"/>
                        <a:hueOff val="-1670000"/>
                      </a:schemeClr>
                    </a:gs>
                    <a:gs pos="100000">
                      <a:schemeClr val="accent3">
                        <a:lumMod val="75000"/>
                      </a:schemeClr>
                    </a:gs>
                  </a:gsLst>
                  <a:lin ang="5400000" scaled="1"/>
                </a:gradFill>
              </a:ln>
              <a:effectLst/>
            </c:spPr>
          </c:dPt>
          <c:dPt>
            <c:idx val="3"/>
            <c:bubble3D val="0"/>
            <c:spPr>
              <a:gradFill>
                <a:gsLst>
                  <a:gs pos="0">
                    <a:schemeClr val="accent4">
                      <a:hueOff val="-1670000"/>
                    </a:schemeClr>
                  </a:gs>
                  <a:gs pos="100000">
                    <a:schemeClr val="accent4"/>
                  </a:gs>
                </a:gsLst>
                <a:lin ang="5400000" scaled="0"/>
              </a:gradFill>
              <a:ln>
                <a:gradFill>
                  <a:gsLst>
                    <a:gs pos="0">
                      <a:schemeClr val="accent4">
                        <a:lumMod val="75000"/>
                        <a:hueOff val="-1670000"/>
                      </a:schemeClr>
                    </a:gs>
                    <a:gs pos="100000">
                      <a:schemeClr val="accent4">
                        <a:lumMod val="75000"/>
                      </a:schemeClr>
                    </a:gs>
                  </a:gsLst>
                  <a:lin ang="5400000" scaled="1"/>
                </a:gradFill>
              </a:ln>
              <a:effectLst/>
            </c:spPr>
          </c:dPt>
          <c:dPt>
            <c:idx val="4"/>
            <c:bubble3D val="0"/>
            <c:spPr>
              <a:gradFill>
                <a:gsLst>
                  <a:gs pos="0">
                    <a:schemeClr val="accent5">
                      <a:hueOff val="-1670000"/>
                    </a:schemeClr>
                  </a:gs>
                  <a:gs pos="100000">
                    <a:schemeClr val="accent5"/>
                  </a:gs>
                </a:gsLst>
                <a:lin ang="5400000" scaled="0"/>
              </a:gradFill>
              <a:ln>
                <a:gradFill>
                  <a:gsLst>
                    <a:gs pos="0">
                      <a:schemeClr val="accent5">
                        <a:lumMod val="75000"/>
                        <a:hueOff val="-1670000"/>
                      </a:schemeClr>
                    </a:gs>
                    <a:gs pos="100000">
                      <a:schemeClr val="accent5">
                        <a:lumMod val="75000"/>
                      </a:schemeClr>
                    </a:gs>
                  </a:gsLst>
                  <a:lin ang="5400000" scaled="1"/>
                </a:gradFill>
              </a:ln>
              <a:effectLst/>
            </c:spPr>
          </c:dPt>
          <c:dPt>
            <c:idx val="5"/>
            <c:bubble3D val="0"/>
            <c:spPr>
              <a:gradFill>
                <a:gsLst>
                  <a:gs pos="0">
                    <a:schemeClr val="accent6">
                      <a:hueOff val="-1670000"/>
                    </a:schemeClr>
                  </a:gs>
                  <a:gs pos="100000">
                    <a:schemeClr val="accent6"/>
                  </a:gs>
                </a:gsLst>
                <a:lin ang="5400000" scaled="0"/>
              </a:gradFill>
              <a:ln>
                <a:gradFill>
                  <a:gsLst>
                    <a:gs pos="0">
                      <a:schemeClr val="accent6">
                        <a:lumMod val="75000"/>
                        <a:hueOff val="-1670000"/>
                      </a:schemeClr>
                    </a:gs>
                    <a:gs pos="100000">
                      <a:schemeClr val="accent6">
                        <a:lumMod val="75000"/>
                      </a:schemeClr>
                    </a:gs>
                  </a:gsLst>
                  <a:lin ang="5400000" scaled="1"/>
                </a:gradFill>
              </a:ln>
              <a:effectLst/>
            </c:spPr>
          </c:dPt>
          <c:dPt>
            <c:idx val="6"/>
            <c:bubble3D val="0"/>
            <c:spPr>
              <a:gradFill>
                <a:gsLst>
                  <a:gs pos="0">
                    <a:schemeClr val="accent1">
                      <a:lumMod val="60000"/>
                      <a:hueOff val="-1670000"/>
                    </a:schemeClr>
                  </a:gs>
                  <a:gs pos="100000">
                    <a:schemeClr val="accent1">
                      <a:lumMod val="60000"/>
                    </a:schemeClr>
                  </a:gs>
                </a:gsLst>
                <a:lin ang="5400000" scaled="0"/>
              </a:gradFill>
              <a:ln>
                <a:gradFill>
                  <a:gsLst>
                    <a:gs pos="0">
                      <a:schemeClr val="accent1">
                        <a:lumMod val="60000"/>
                        <a:lumMod val="75000"/>
                        <a:hueOff val="-1670000"/>
                      </a:schemeClr>
                    </a:gs>
                    <a:gs pos="100000">
                      <a:schemeClr val="accent1">
                        <a:lumMod val="60000"/>
                        <a:lumMod val="75000"/>
                      </a:schemeClr>
                    </a:gs>
                  </a:gsLst>
                  <a:lin ang="5400000" scaled="1"/>
                </a:gradFill>
              </a:ln>
              <a:effectLst/>
            </c:spPr>
          </c:dPt>
          <c:dPt>
            <c:idx val="7"/>
            <c:bubble3D val="0"/>
            <c:spPr>
              <a:gradFill>
                <a:gsLst>
                  <a:gs pos="0">
                    <a:schemeClr val="accent2">
                      <a:lumMod val="60000"/>
                      <a:hueOff val="-1670000"/>
                    </a:schemeClr>
                  </a:gs>
                  <a:gs pos="100000">
                    <a:schemeClr val="accent2">
                      <a:lumMod val="60000"/>
                    </a:schemeClr>
                  </a:gs>
                </a:gsLst>
                <a:lin ang="5400000" scaled="0"/>
              </a:gradFill>
              <a:ln>
                <a:gradFill>
                  <a:gsLst>
                    <a:gs pos="0">
                      <a:schemeClr val="accent2">
                        <a:lumMod val="60000"/>
                        <a:lumMod val="75000"/>
                        <a:hueOff val="-1670000"/>
                      </a:schemeClr>
                    </a:gs>
                    <a:gs pos="100000">
                      <a:schemeClr val="accent2">
                        <a:lumMod val="60000"/>
                        <a:lumMod val="75000"/>
                      </a:schemeClr>
                    </a:gs>
                  </a:gsLst>
                  <a:lin ang="5400000" scaled="1"/>
                </a:gradFill>
              </a:ln>
              <a:effectLst/>
            </c:spPr>
          </c:dPt>
          <c:dPt>
            <c:idx val="8"/>
            <c:bubble3D val="0"/>
            <c:spPr>
              <a:gradFill>
                <a:gsLst>
                  <a:gs pos="0">
                    <a:schemeClr val="accent3">
                      <a:lumMod val="60000"/>
                      <a:hueOff val="-1670000"/>
                    </a:schemeClr>
                  </a:gs>
                  <a:gs pos="100000">
                    <a:schemeClr val="accent3">
                      <a:lumMod val="60000"/>
                    </a:schemeClr>
                  </a:gs>
                </a:gsLst>
                <a:lin ang="5400000" scaled="0"/>
              </a:gradFill>
              <a:ln>
                <a:gradFill>
                  <a:gsLst>
                    <a:gs pos="0">
                      <a:schemeClr val="accent3">
                        <a:lumMod val="60000"/>
                        <a:lumMod val="75000"/>
                        <a:hueOff val="-1670000"/>
                      </a:schemeClr>
                    </a:gs>
                    <a:gs pos="100000">
                      <a:schemeClr val="accent3">
                        <a:lumMod val="60000"/>
                        <a:lumMod val="75000"/>
                      </a:schemeClr>
                    </a:gs>
                  </a:gsLst>
                  <a:lin ang="5400000" scaled="1"/>
                </a:gradFill>
              </a:ln>
              <a:effectLst/>
            </c:spPr>
          </c:dPt>
          <c:dPt>
            <c:idx val="9"/>
            <c:bubble3D val="0"/>
            <c:spPr>
              <a:gradFill>
                <a:gsLst>
                  <a:gs pos="0">
                    <a:schemeClr val="accent4">
                      <a:lumMod val="60000"/>
                      <a:hueOff val="-1670000"/>
                    </a:schemeClr>
                  </a:gs>
                  <a:gs pos="100000">
                    <a:schemeClr val="accent4">
                      <a:lumMod val="60000"/>
                    </a:schemeClr>
                  </a:gs>
                </a:gsLst>
                <a:lin ang="5400000" scaled="0"/>
              </a:gradFill>
              <a:ln>
                <a:gradFill>
                  <a:gsLst>
                    <a:gs pos="0">
                      <a:schemeClr val="accent4">
                        <a:lumMod val="60000"/>
                        <a:lumMod val="75000"/>
                        <a:hueOff val="-1670000"/>
                      </a:schemeClr>
                    </a:gs>
                    <a:gs pos="100000">
                      <a:schemeClr val="accent4">
                        <a:lumMod val="60000"/>
                        <a:lumMod val="75000"/>
                      </a:schemeClr>
                    </a:gs>
                  </a:gsLst>
                  <a:lin ang="5400000" scaled="1"/>
                </a:gradFill>
              </a:ln>
              <a:effectLst/>
            </c:spPr>
          </c:dPt>
          <c:dPt>
            <c:idx val="10"/>
            <c:bubble3D val="0"/>
            <c:spPr>
              <a:gradFill>
                <a:gsLst>
                  <a:gs pos="0">
                    <a:schemeClr val="accent5">
                      <a:lumMod val="60000"/>
                      <a:hueOff val="-1670000"/>
                    </a:schemeClr>
                  </a:gs>
                  <a:gs pos="100000">
                    <a:schemeClr val="accent5">
                      <a:lumMod val="60000"/>
                    </a:schemeClr>
                  </a:gs>
                </a:gsLst>
                <a:lin ang="5400000" scaled="0"/>
              </a:gradFill>
              <a:ln>
                <a:gradFill>
                  <a:gsLst>
                    <a:gs pos="0">
                      <a:schemeClr val="accent5">
                        <a:lumMod val="60000"/>
                        <a:lumMod val="75000"/>
                        <a:hueOff val="-1670000"/>
                      </a:schemeClr>
                    </a:gs>
                    <a:gs pos="100000">
                      <a:schemeClr val="accent5">
                        <a:lumMod val="60000"/>
                        <a:lumMod val="75000"/>
                      </a:schemeClr>
                    </a:gs>
                  </a:gsLst>
                  <a:lin ang="5400000" scaled="1"/>
                </a:gradFill>
              </a:ln>
              <a:effectLst/>
            </c:spPr>
          </c:dPt>
          <c:dPt>
            <c:idx val="11"/>
            <c:bubble3D val="0"/>
            <c:spPr>
              <a:gradFill>
                <a:gsLst>
                  <a:gs pos="0">
                    <a:schemeClr val="accent6">
                      <a:lumMod val="60000"/>
                      <a:hueOff val="-1670000"/>
                    </a:schemeClr>
                  </a:gs>
                  <a:gs pos="100000">
                    <a:schemeClr val="accent6">
                      <a:lumMod val="60000"/>
                    </a:schemeClr>
                  </a:gs>
                </a:gsLst>
                <a:lin ang="5400000" scaled="0"/>
              </a:gradFill>
              <a:ln>
                <a:gradFill>
                  <a:gsLst>
                    <a:gs pos="0">
                      <a:schemeClr val="accent6">
                        <a:lumMod val="60000"/>
                        <a:lumMod val="75000"/>
                        <a:hueOff val="-1670000"/>
                      </a:schemeClr>
                    </a:gs>
                    <a:gs pos="100000">
                      <a:schemeClr val="accent6">
                        <a:lumMod val="60000"/>
                        <a:lumMod val="75000"/>
                      </a:schemeClr>
                    </a:gs>
                  </a:gsLst>
                  <a:lin ang="5400000" scaled="1"/>
                </a:gradFill>
              </a:ln>
              <a:effectLst/>
            </c:spPr>
          </c:dPt>
          <c:dPt>
            <c:idx val="12"/>
            <c:bubble3D val="0"/>
            <c:spPr>
              <a:gradFill>
                <a:gsLst>
                  <a:gs pos="0">
                    <a:schemeClr val="accent1">
                      <a:lumMod val="80000"/>
                      <a:lumOff val="20000"/>
                      <a:hueOff val="-1670000"/>
                    </a:schemeClr>
                  </a:gs>
                  <a:gs pos="100000">
                    <a:schemeClr val="accent1">
                      <a:lumMod val="80000"/>
                      <a:lumOff val="20000"/>
                    </a:schemeClr>
                  </a:gs>
                </a:gsLst>
                <a:lin ang="5400000" scaled="0"/>
              </a:gradFill>
              <a:ln>
                <a:gradFill>
                  <a:gsLst>
                    <a:gs pos="0">
                      <a:schemeClr val="accent1">
                        <a:lumMod val="80000"/>
                        <a:lumOff val="20000"/>
                        <a:lumMod val="75000"/>
                        <a:hueOff val="-1670000"/>
                      </a:schemeClr>
                    </a:gs>
                    <a:gs pos="100000">
                      <a:schemeClr val="accent1">
                        <a:lumMod val="80000"/>
                        <a:lumOff val="20000"/>
                        <a:lumMod val="75000"/>
                      </a:schemeClr>
                    </a:gs>
                  </a:gsLst>
                  <a:lin ang="5400000" scaled="1"/>
                </a:gradFill>
              </a:ln>
              <a:effectLst/>
            </c:spPr>
          </c:dPt>
          <c:dPt>
            <c:idx val="13"/>
            <c:bubble3D val="0"/>
            <c:spPr>
              <a:gradFill>
                <a:gsLst>
                  <a:gs pos="0">
                    <a:schemeClr val="accent2">
                      <a:lumMod val="80000"/>
                      <a:lumOff val="20000"/>
                      <a:hueOff val="-1670000"/>
                    </a:schemeClr>
                  </a:gs>
                  <a:gs pos="100000">
                    <a:schemeClr val="accent2">
                      <a:lumMod val="80000"/>
                      <a:lumOff val="20000"/>
                    </a:schemeClr>
                  </a:gs>
                </a:gsLst>
                <a:lin ang="5400000" scaled="0"/>
              </a:gradFill>
              <a:ln>
                <a:gradFill>
                  <a:gsLst>
                    <a:gs pos="0">
                      <a:schemeClr val="accent2">
                        <a:lumMod val="80000"/>
                        <a:lumOff val="20000"/>
                        <a:lumMod val="75000"/>
                        <a:hueOff val="-1670000"/>
                      </a:schemeClr>
                    </a:gs>
                    <a:gs pos="100000">
                      <a:schemeClr val="accent2">
                        <a:lumMod val="80000"/>
                        <a:lumOff val="20000"/>
                        <a:lumMod val="75000"/>
                      </a:schemeClr>
                    </a:gs>
                  </a:gsLst>
                  <a:lin ang="5400000" scaled="1"/>
                </a:gradFill>
              </a:ln>
              <a:effectLst/>
            </c:spPr>
          </c:dPt>
          <c:dPt>
            <c:idx val="14"/>
            <c:bubble3D val="0"/>
            <c:spPr>
              <a:gradFill>
                <a:gsLst>
                  <a:gs pos="0">
                    <a:schemeClr val="accent3">
                      <a:lumMod val="80000"/>
                      <a:lumOff val="20000"/>
                      <a:hueOff val="-1670000"/>
                    </a:schemeClr>
                  </a:gs>
                  <a:gs pos="100000">
                    <a:schemeClr val="accent3">
                      <a:lumMod val="80000"/>
                      <a:lumOff val="20000"/>
                    </a:schemeClr>
                  </a:gs>
                </a:gsLst>
                <a:lin ang="5400000" scaled="0"/>
              </a:gradFill>
              <a:ln>
                <a:gradFill>
                  <a:gsLst>
                    <a:gs pos="0">
                      <a:schemeClr val="accent3">
                        <a:lumMod val="80000"/>
                        <a:lumOff val="20000"/>
                        <a:lumMod val="75000"/>
                        <a:hueOff val="-1670000"/>
                      </a:schemeClr>
                    </a:gs>
                    <a:gs pos="100000">
                      <a:schemeClr val="accent3">
                        <a:lumMod val="80000"/>
                        <a:lumOff val="20000"/>
                        <a:lumMod val="75000"/>
                      </a:schemeClr>
                    </a:gs>
                  </a:gsLst>
                  <a:lin ang="5400000" scaled="1"/>
                </a:gradFill>
              </a:ln>
              <a:effectLst/>
            </c:spPr>
          </c:dPt>
          <c:dPt>
            <c:idx val="15"/>
            <c:bubble3D val="0"/>
            <c:spPr>
              <a:gradFill>
                <a:gsLst>
                  <a:gs pos="0">
                    <a:schemeClr val="accent4">
                      <a:lumMod val="80000"/>
                      <a:lumOff val="20000"/>
                      <a:hueOff val="-1670000"/>
                    </a:schemeClr>
                  </a:gs>
                  <a:gs pos="100000">
                    <a:schemeClr val="accent4">
                      <a:lumMod val="80000"/>
                      <a:lumOff val="20000"/>
                    </a:schemeClr>
                  </a:gs>
                </a:gsLst>
                <a:lin ang="5400000" scaled="0"/>
              </a:gradFill>
              <a:ln>
                <a:gradFill>
                  <a:gsLst>
                    <a:gs pos="0">
                      <a:schemeClr val="accent4">
                        <a:lumMod val="80000"/>
                        <a:lumOff val="20000"/>
                        <a:lumMod val="75000"/>
                        <a:hueOff val="-1670000"/>
                      </a:schemeClr>
                    </a:gs>
                    <a:gs pos="100000">
                      <a:schemeClr val="accent4">
                        <a:lumMod val="80000"/>
                        <a:lumOff val="20000"/>
                        <a:lumMod val="75000"/>
                      </a:schemeClr>
                    </a:gs>
                  </a:gsLst>
                  <a:lin ang="5400000" scaled="1"/>
                </a:gradFill>
              </a:ln>
              <a:effectLst/>
            </c:spPr>
          </c:dPt>
          <c:dPt>
            <c:idx val="16"/>
            <c:bubble3D val="0"/>
            <c:spPr>
              <a:gradFill>
                <a:gsLst>
                  <a:gs pos="0">
                    <a:schemeClr val="accent5">
                      <a:lumMod val="80000"/>
                      <a:lumOff val="20000"/>
                      <a:hueOff val="-1670000"/>
                    </a:schemeClr>
                  </a:gs>
                  <a:gs pos="100000">
                    <a:schemeClr val="accent5">
                      <a:lumMod val="80000"/>
                      <a:lumOff val="20000"/>
                    </a:schemeClr>
                  </a:gs>
                </a:gsLst>
                <a:lin ang="5400000" scaled="0"/>
              </a:gradFill>
              <a:ln>
                <a:gradFill>
                  <a:gsLst>
                    <a:gs pos="0">
                      <a:schemeClr val="accent5">
                        <a:lumMod val="80000"/>
                        <a:lumOff val="20000"/>
                        <a:lumMod val="75000"/>
                        <a:hueOff val="-1670000"/>
                      </a:schemeClr>
                    </a:gs>
                    <a:gs pos="100000">
                      <a:schemeClr val="accent5">
                        <a:lumMod val="80000"/>
                        <a:lumOff val="20000"/>
                        <a:lumMod val="75000"/>
                      </a:schemeClr>
                    </a:gs>
                  </a:gsLst>
                  <a:lin ang="5400000" scaled="1"/>
                </a:gradFill>
              </a:ln>
              <a:effectLst/>
            </c:spPr>
          </c:dPt>
          <c:dLbls>
            <c:dLbl>
              <c:idx val="0"/>
              <c:layout>
                <c:manualLayout>
                  <c:x val="-0.0501054456160623"/>
                  <c:y val="0"/>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
              <c:layout>
                <c:manualLayout>
                  <c:x val="0.0595782242556645"/>
                  <c:y val="0"/>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2"/>
              <c:layout>
                <c:manualLayout>
                  <c:x val="-0.239852657532746"/>
                  <c:y val="0"/>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34984833164813"/>
                      <c:h val="0.112602858380251"/>
                    </c:manualLayout>
                  </c15:layout>
                </c:ext>
              </c:extLst>
            </c:dLbl>
            <c:dLbl>
              <c:idx val="3"/>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dLbl>
              <c:idx val="4"/>
              <c:layout>
                <c:manualLayout>
                  <c:x val="0.192555701381993"/>
                  <c:y val="0"/>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5"/>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6"/>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2083031369707"/>
                      <c:h val="0.133002999087234"/>
                    </c:manualLayout>
                  </c15:layout>
                </c:ext>
              </c:extLst>
            </c:dLbl>
            <c:dLbl>
              <c:idx val="7"/>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outEnd"/>
              <c:showLegendKey val="0"/>
              <c:showVal val="0"/>
              <c:showCatName val="1"/>
              <c:showSerName val="0"/>
              <c:showPercent val="1"/>
              <c:showBubbleSize val="0"/>
              <c:separator>
</c:separator>
              <c:extLst>
                <c:ext xmlns:c15="http://schemas.microsoft.com/office/drawing/2012/chart" uri="{CE6537A1-D6FC-4f65-9D91-7224C49458BB}">
                  <c15:layout>
                    <c:manualLayout>
                      <c:w val="0.116471684439383"/>
                      <c:h val="0.101708175772591"/>
                    </c:manualLayout>
                  </c15:layout>
                </c:ext>
              </c:extLst>
            </c:dLbl>
            <c:dLbl>
              <c:idx val="8"/>
              <c:layout>
                <c:manualLayout>
                  <c:x val="0.338825243106648"/>
                  <c:y val="0.0395284376257759"/>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9"/>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16782275597888"/>
                      <c:h val="0.101708175772591"/>
                    </c:manualLayout>
                  </c15:layout>
                </c:ext>
              </c:extLst>
            </c:dLbl>
            <c:dLbl>
              <c:idx val="10"/>
              <c:layout>
                <c:manualLayout>
                  <c:x val="0.0389723745799161"/>
                  <c:y val="-0.318549254326636"/>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1"/>
              <c:layout>
                <c:manualLayout>
                  <c:x val="0.0245919063182036"/>
                  <c:y val="0.189009267719619"/>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2"/>
              <c:layout>
                <c:manualLayout>
                  <c:x val="-0.216107838107838"/>
                  <c:y val="0.0323717530348518"/>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3991683991684"/>
                      <c:h val="0.101814384545099"/>
                    </c:manualLayout>
                  </c15:layout>
                </c:ext>
              </c:extLst>
            </c:dLbl>
            <c:dLbl>
              <c:idx val="13"/>
              <c:layout>
                <c:manualLayout>
                  <c:x val="-0.293235301364323"/>
                  <c:y val="0.0798053268491476"/>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16279069767442"/>
                      <c:h val="0.129637649776238"/>
                    </c:manualLayout>
                  </c15:layout>
                </c:ext>
              </c:extLst>
            </c:dLbl>
            <c:dLbl>
              <c:idx val="14"/>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dLbl>
              <c:idx val="15"/>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dLbl>
              <c:idx val="16"/>
              <c:layout>
                <c:manualLayout>
                  <c:x val="0.0213448337663334"/>
                  <c:y val="0.120398440883499"/>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49848331648129"/>
                      <c:h val="0.185072903132669"/>
                    </c:manualLayout>
                  </c15:layout>
                </c:ext>
              </c:extLst>
            </c:dLbl>
            <c:numFmt formatCode="0.00%" sourceLinked="0"/>
            <c:spPr>
              <a:noFill/>
              <a:ln>
                <a:noFill/>
              </a:ln>
              <a:effectLst/>
            </c:spPr>
            <c:txPr>
              <a:bodyPr rot="0" spcFirstLastPara="0" vertOverflow="ellipsis" vert="horz" wrap="square" lIns="38100" tIns="19050" rIns="38100" bIns="19050" anchor="ctr" anchorCtr="1"/>
              <a:lstStyle/>
              <a:p>
                <a:pPr>
                  <a:defRPr lang="zh-CN" sz="900" b="0" i="0" u="none" strike="noStrike" kern="1200" spc="0" baseline="0">
                    <a:solidFill>
                      <a:sysClr val="windowText" lastClr="000000"/>
                    </a:solidFill>
                    <a:latin typeface="微软雅黑 Light" panose="020B0502040204020203" charset="-122"/>
                    <a:ea typeface="微软雅黑 Light" panose="020B0502040204020203" charset="-122"/>
                    <a:cs typeface="微软雅黑 Light" panose="020B0502040204020203" charset="-122"/>
                    <a:sym typeface="微软雅黑 Light" panose="020B0502040204020203" charset="-122"/>
                  </a:defRPr>
                </a:pPr>
              </a:p>
            </c:txPr>
            <c:dLblPos val="out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a:solidFill>
                        <a:schemeClr val="dk1">
                          <a:lumMod val="35000"/>
                          <a:lumOff val="65000"/>
                        </a:schemeClr>
                      </a:solidFill>
                    </a:ln>
                    <a:effectLst/>
                  </c:spPr>
                </c15:leaderLines>
              </c:ext>
            </c:extLst>
          </c:dLbls>
          <c:cat>
            <c:strRef>
              <c:f>[开发区规划范围企业梳理9..xlsx]附表2企业气!$D$169:$D$185</c:f>
              <c:strCache>
                <c:ptCount val="17"/>
                <c:pt idx="0">
                  <c:v>食品制造业</c:v>
                </c:pt>
                <c:pt idx="1">
                  <c:v>纺织业</c:v>
                </c:pt>
                <c:pt idx="2">
                  <c:v>印刷和记录媒介复制业</c:v>
                </c:pt>
                <c:pt idx="4">
                  <c:v>橡胶和塑料制品业</c:v>
                </c:pt>
                <c:pt idx="8">
                  <c:v>通用设备制造业</c:v>
                </c:pt>
                <c:pt idx="10">
                  <c:v>汽车制造业</c:v>
                </c:pt>
                <c:pt idx="13">
                  <c:v>计算机、通信和其他电子设备制造业</c:v>
                </c:pt>
                <c:pt idx="16">
                  <c:v>生态保护和环境治理业</c:v>
                </c:pt>
              </c:strCache>
            </c:strRef>
          </c:cat>
          <c:val>
            <c:numRef>
              <c:f>[开发区规划范围企业梳理9..xlsx]附表2企业气!$E$169:$E$185</c:f>
              <c:numCache>
                <c:formatCode>General</c:formatCode>
                <c:ptCount val="17"/>
                <c:pt idx="0">
                  <c:v>1.413</c:v>
                </c:pt>
                <c:pt idx="1">
                  <c:v>0.0257</c:v>
                </c:pt>
                <c:pt idx="2">
                  <c:v>0.0068</c:v>
                </c:pt>
                <c:pt idx="4">
                  <c:v>0.65</c:v>
                </c:pt>
                <c:pt idx="8">
                  <c:v>0.8</c:v>
                </c:pt>
                <c:pt idx="10">
                  <c:v>117.5735</c:v>
                </c:pt>
                <c:pt idx="13">
                  <c:v>1.018</c:v>
                </c:pt>
                <c:pt idx="16">
                  <c:v>3.9852</c:v>
                </c:pt>
              </c:numCache>
            </c:numRef>
          </c:val>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uri="{0b15fc19-7d7d-44ad-8c2d-2c3a37ce22c3}">
        <chartProps xmlns="https://web.wps.cn/et/2018/main" chartId="{7dfeb0b5-ede1-4afb-81f6-de12ae6b094b}"/>
      </c:ext>
    </c:extLst>
  </c:chart>
  <c:spPr>
    <a:solidFill>
      <a:schemeClr val="lt1">
        <a:lumMod val="96000"/>
      </a:schemeClr>
    </a:solidFill>
    <a:ln w="9525" cap="flat" cmpd="sng" algn="ctr">
      <a:solidFill>
        <a:schemeClr val="tx1">
          <a:lumMod val="15000"/>
          <a:lumOff val="85000"/>
        </a:schemeClr>
      </a:solidFill>
      <a:round/>
    </a:ln>
    <a:effectLst/>
  </c:spPr>
  <c:txPr>
    <a:bodyPr/>
    <a:lstStyle/>
    <a:p>
      <a:pPr>
        <a:defRPr lang="zh-CN">
          <a:solidFill>
            <a:sysClr val="windowText" lastClr="000000"/>
          </a:solidFill>
        </a:defRPr>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[本次评估的企业名单24.9.18.xlsx]气图!$D$88</c:f>
              <c:strCache>
                <c:ptCount val="1"/>
                <c:pt idx="0">
                  <c:v>非甲烷总烃</c:v>
                </c:pt>
              </c:strCache>
            </c:strRef>
          </c:tx>
          <c:spPr/>
          <c:explosion val="0"/>
          <c:dPt>
            <c:idx val="0"/>
            <c:bubble3D val="0"/>
            <c:spPr>
              <a:solidFill>
                <a:schemeClr val="accent1"/>
              </a:solidFill>
              <a:ln w="19050">
                <a:solidFill>
                  <a:schemeClr val="lt1"/>
                </a:solidFill>
              </a:ln>
              <a:effectLst/>
            </c:spPr>
          </c:dPt>
          <c:dPt>
            <c:idx val="1"/>
            <c:bubble3D val="0"/>
            <c:spPr>
              <a:solidFill>
                <a:schemeClr val="accent3"/>
              </a:solidFill>
              <a:ln w="19050">
                <a:solidFill>
                  <a:schemeClr val="lt1"/>
                </a:solidFill>
              </a:ln>
              <a:effectLst/>
            </c:spPr>
          </c:dPt>
          <c:dPt>
            <c:idx val="2"/>
            <c:bubble3D val="0"/>
            <c:spPr>
              <a:solidFill>
                <a:schemeClr val="accent5"/>
              </a:solidFill>
              <a:ln w="19050">
                <a:solidFill>
                  <a:schemeClr val="lt1"/>
                </a:solidFill>
              </a:ln>
              <a:effectLst/>
            </c:spPr>
          </c:dPt>
          <c:dPt>
            <c:idx val="3"/>
            <c:bubble3D val="0"/>
            <c:spPr>
              <a:solidFill>
                <a:schemeClr val="accent1">
                  <a:lumMod val="60000"/>
                </a:schemeClr>
              </a:solidFill>
              <a:ln w="19050">
                <a:solidFill>
                  <a:schemeClr val="lt1"/>
                </a:solidFill>
              </a:ln>
              <a:effectLst/>
            </c:spPr>
          </c:dPt>
          <c:dPt>
            <c:idx val="4"/>
            <c:bubble3D val="0"/>
            <c:spPr>
              <a:solidFill>
                <a:schemeClr val="accent3">
                  <a:lumMod val="60000"/>
                </a:schemeClr>
              </a:solidFill>
              <a:ln w="19050">
                <a:solidFill>
                  <a:schemeClr val="lt1"/>
                </a:solidFill>
              </a:ln>
              <a:effectLst/>
            </c:spPr>
          </c:dPt>
          <c:dPt>
            <c:idx val="5"/>
            <c:bubble3D val="0"/>
            <c:spPr>
              <a:solidFill>
                <a:schemeClr val="accent5">
                  <a:lumMod val="60000"/>
                </a:schemeClr>
              </a:solidFill>
              <a:ln w="19050">
                <a:solidFill>
                  <a:schemeClr val="lt1"/>
                </a:solidFill>
              </a:ln>
              <a:effectLst/>
            </c:spPr>
          </c:dPt>
          <c:dPt>
            <c:idx val="6"/>
            <c:bubble3D val="0"/>
            <c:spPr>
              <a:solidFill>
                <a:schemeClr val="accent1">
                  <a:lumMod val="80000"/>
                  <a:lumOff val="20000"/>
                </a:schemeClr>
              </a:solidFill>
              <a:ln w="19050">
                <a:solidFill>
                  <a:schemeClr val="lt1"/>
                </a:solidFill>
              </a:ln>
              <a:effectLst/>
            </c:spPr>
          </c:dPt>
          <c:dPt>
            <c:idx val="7"/>
            <c:bubble3D val="0"/>
            <c:spPr>
              <a:solidFill>
                <a:schemeClr val="accent3">
                  <a:lumMod val="80000"/>
                  <a:lumOff val="20000"/>
                </a:schemeClr>
              </a:solidFill>
              <a:ln w="19050">
                <a:solidFill>
                  <a:schemeClr val="lt1"/>
                </a:solidFill>
              </a:ln>
              <a:effectLst/>
            </c:spPr>
          </c:dPt>
          <c:dPt>
            <c:idx val="8"/>
            <c:bubble3D val="0"/>
            <c:spPr>
              <a:solidFill>
                <a:schemeClr val="accent5">
                  <a:lumMod val="80000"/>
                  <a:lumOff val="20000"/>
                </a:schemeClr>
              </a:solidFill>
              <a:ln w="19050">
                <a:solidFill>
                  <a:schemeClr val="lt1"/>
                </a:solidFill>
              </a:ln>
              <a:effectLst/>
            </c:spPr>
          </c:dPt>
          <c:dPt>
            <c:idx val="9"/>
            <c:bubble3D val="0"/>
            <c:spPr>
              <a:solidFill>
                <a:schemeClr val="accent1">
                  <a:lumMod val="80000"/>
                </a:schemeClr>
              </a:solidFill>
              <a:ln w="19050">
                <a:solidFill>
                  <a:schemeClr val="lt1"/>
                </a:solidFill>
              </a:ln>
              <a:effectLst/>
            </c:spPr>
          </c:dPt>
          <c:dPt>
            <c:idx val="10"/>
            <c:bubble3D val="0"/>
            <c:spPr>
              <a:solidFill>
                <a:schemeClr val="accent3">
                  <a:lumMod val="80000"/>
                </a:schemeClr>
              </a:solidFill>
              <a:ln w="19050">
                <a:solidFill>
                  <a:schemeClr val="lt1"/>
                </a:solidFill>
              </a:ln>
              <a:effectLst/>
            </c:spPr>
          </c:dPt>
          <c:dPt>
            <c:idx val="11"/>
            <c:bubble3D val="0"/>
            <c:spPr>
              <a:solidFill>
                <a:schemeClr val="accent5">
                  <a:lumMod val="80000"/>
                </a:schemeClr>
              </a:solidFill>
              <a:ln w="19050">
                <a:solidFill>
                  <a:schemeClr val="lt1"/>
                </a:solidFill>
              </a:ln>
              <a:effectLst/>
            </c:spPr>
          </c:dPt>
          <c:dPt>
            <c:idx val="12"/>
            <c:bubble3D val="0"/>
            <c:spPr>
              <a:solidFill>
                <a:schemeClr val="accent1">
                  <a:lumMod val="60000"/>
                  <a:lumOff val="40000"/>
                </a:schemeClr>
              </a:solidFill>
              <a:ln w="19050">
                <a:solidFill>
                  <a:schemeClr val="lt1"/>
                </a:solidFill>
              </a:ln>
              <a:effectLst/>
            </c:spPr>
          </c:dPt>
          <c:dPt>
            <c:idx val="13"/>
            <c:bubble3D val="0"/>
            <c:spPr>
              <a:solidFill>
                <a:schemeClr val="accent3">
                  <a:lumMod val="60000"/>
                  <a:lumOff val="40000"/>
                </a:schemeClr>
              </a:solidFill>
              <a:ln w="19050">
                <a:solidFill>
                  <a:schemeClr val="lt1"/>
                </a:solidFill>
              </a:ln>
              <a:effectLst/>
            </c:spPr>
          </c:dPt>
          <c:dPt>
            <c:idx val="14"/>
            <c:bubble3D val="0"/>
            <c:spPr>
              <a:solidFill>
                <a:schemeClr val="accent5">
                  <a:lumMod val="60000"/>
                  <a:lumOff val="40000"/>
                </a:schemeClr>
              </a:solidFill>
              <a:ln w="19050">
                <a:solidFill>
                  <a:schemeClr val="lt1"/>
                </a:solidFill>
              </a:ln>
              <a:effectLst/>
            </c:spPr>
          </c:dPt>
          <c:dLbls>
            <c:dLbl>
              <c:idx val="0"/>
              <c:layout>
                <c:manualLayout>
                  <c:x val="0.0450323877071191"/>
                  <c:y val="0"/>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55481251492716"/>
                      <c:h val="0.123287671232877"/>
                    </c:manualLayout>
                  </c15:layout>
                </c:ext>
              </c:extLst>
            </c:dLbl>
            <c:dLbl>
              <c:idx val="1"/>
              <c:layout>
                <c:manualLayout>
                  <c:x val="0.168913085833007"/>
                  <c:y val="0"/>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2"/>
              <c:layout>
                <c:manualLayout>
                  <c:x val="-0.0879460991629854"/>
                  <c:y val="0.1694237900969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3"/>
              <c:layout>
                <c:manualLayout>
                  <c:x val="0.0186143264823283"/>
                  <c:y val="-0.153935753526059"/>
                </c:manualLayout>
              </c:layout>
              <c:numFmt formatCode="0.00%" sourceLinked="0"/>
              <c:spPr>
                <a:noFill/>
                <a:ln>
                  <a:noFill/>
                </a:ln>
                <a:effectLst/>
              </c:spPr>
              <c:txPr>
                <a:bodyPr rot="0" spcFirstLastPara="0" vertOverflow="ellipsis" vert="horz" wrap="square" lIns="38100" tIns="19050" rIns="38100" bIns="19050" anchor="ctr" anchorCtr="1" forceAA="0"/>
                <a:lstStyle/>
                <a:p>
                  <a:pPr>
                    <a:defRPr lang="zh-CN" sz="900" b="0" i="0" u="none" strike="noStrike" kern="1200" baseline="0">
                      <a:solidFill>
                        <a:schemeClr val="tx1"/>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4"/>
              <c:layout>
                <c:manualLayout>
                  <c:x val="0.0347966970335608"/>
                  <c:y val="-0.0804857596389706"/>
                </c:manualLayout>
              </c:layout>
              <c:numFmt formatCode="0.00%" sourceLinked="0"/>
              <c:spPr>
                <a:noFill/>
                <a:ln>
                  <a:noFill/>
                </a:ln>
                <a:effectLst/>
              </c:spPr>
              <c:txPr>
                <a:bodyPr rot="0" spcFirstLastPara="0" vertOverflow="ellipsis" vert="horz" wrap="square" lIns="38100" tIns="19050" rIns="38100" bIns="19050" anchor="ctr" anchorCtr="1" forceAA="0"/>
                <a:lstStyle/>
                <a:p>
                  <a:pPr>
                    <a:defRPr lang="zh-CN" sz="900" b="0" i="0" u="none" strike="noStrike" kern="1200" baseline="0">
                      <a:solidFill>
                        <a:schemeClr val="tx1"/>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5"/>
              <c:layout>
                <c:manualLayout>
                  <c:x val="0.0239144384015253"/>
                  <c:y val="-0.0178572984695967"/>
                </c:manualLayout>
              </c:layout>
              <c:numFmt formatCode="0.00%" sourceLinked="0"/>
              <c:spPr>
                <a:noFill/>
                <a:ln>
                  <a:noFill/>
                </a:ln>
                <a:effectLst/>
              </c:spPr>
              <c:txPr>
                <a:bodyPr rot="0" spcFirstLastPara="0" vertOverflow="ellipsis" vert="horz" wrap="square" lIns="38100" tIns="19050" rIns="38100" bIns="19050" anchor="ctr" anchorCtr="1" forceAA="0"/>
                <a:lstStyle/>
                <a:p>
                  <a:pPr>
                    <a:defRPr lang="zh-CN" sz="900" b="0" i="0" u="none" strike="noStrike" kern="1200" baseline="0">
                      <a:solidFill>
                        <a:schemeClr val="tx1"/>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6"/>
              <c:layout>
                <c:manualLayout>
                  <c:x val="0.0313372414437246"/>
                  <c:y val="0.0708076281786645"/>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7"/>
              <c:layout>
                <c:manualLayout>
                  <c:x val="0.0364388191472707"/>
                  <c:y val="0.124486408792844"/>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8"/>
              <c:layout>
                <c:manualLayout>
                  <c:x val="0.0339062178476557"/>
                  <c:y val="-0.275977732534379"/>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9"/>
              <c:layout>
                <c:manualLayout>
                  <c:x val="-0.0227211534671015"/>
                  <c:y val="0.117385439799887"/>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9668020062097"/>
                      <c:h val="0.162822958210508"/>
                    </c:manualLayout>
                  </c15:layout>
                </c:ext>
              </c:extLst>
            </c:dLbl>
            <c:dLbl>
              <c:idx val="10"/>
              <c:layout>
                <c:manualLayout>
                  <c:x val="0.00215350478583521"/>
                  <c:y val="-0.0723625348551749"/>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1"/>
              <c:layout>
                <c:manualLayout>
                  <c:x val="0.0975400031667496"/>
                  <c:y val="0.164579978948651"/>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12"/>
              <c:layout>
                <c:manualLayout>
                  <c:x val="-0.20808643875012"/>
                  <c:y val="0"/>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67064724146167"/>
                      <c:h val="0.121033466273626"/>
                    </c:manualLayout>
                  </c15:layout>
                </c:ext>
              </c:extLst>
            </c:dLbl>
            <c:dLbl>
              <c:idx val="13"/>
              <c:delete val="1"/>
            </c:dLbl>
            <c:dLbl>
              <c:idx val="14"/>
              <c:layout>
                <c:manualLayout>
                  <c:x val="-0.0887309869621475"/>
                  <c:y val="0"/>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44853116790064"/>
                      <c:h val="0.125368475810647"/>
                    </c:manualLayout>
                  </c15:layout>
                </c:ext>
              </c:extLst>
            </c:dLbl>
            <c:numFmt formatCode="0.00%" sourceLinked="0"/>
            <c:spPr>
              <a:noFill/>
              <a:ln>
                <a:noFill/>
              </a:ln>
              <a:effectLst/>
            </c:spPr>
            <c:txPr>
              <a:bodyPr rot="0" spcFirstLastPara="0" vertOverflow="ellipsis" vert="horz" wrap="square" lIns="38100" tIns="19050" rIns="38100" bIns="19050" anchor="ctr" anchorCtr="1" forceAA="0">
                <a:spAutoFit/>
              </a:bodyPr>
              <a:lstStyle/>
              <a:p>
                <a:pPr>
                  <a:defRPr lang="zh-CN" sz="900" b="0" i="0" u="none" strike="noStrike" kern="1200" baseline="0">
                    <a:solidFill>
                      <a:schemeClr val="tx1"/>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in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[本次评估的企业名单24.9.18.xlsx]气图!$C$89:$C$103</c:f>
              <c:strCache>
                <c:ptCount val="15"/>
                <c:pt idx="0">
                  <c:v>印刷和记录媒介复制业</c:v>
                </c:pt>
                <c:pt idx="1">
                  <c:v>生物医药业</c:v>
                </c:pt>
                <c:pt idx="2">
                  <c:v>橡胶和塑料制品业</c:v>
                </c:pt>
                <c:pt idx="3">
                  <c:v>非金属矿物制品业</c:v>
                </c:pt>
                <c:pt idx="4">
                  <c:v>有色金属冶炼和压延加工业</c:v>
                </c:pt>
                <c:pt idx="5">
                  <c:v>金属制品业</c:v>
                </c:pt>
                <c:pt idx="6">
                  <c:v>通用设备制造业</c:v>
                </c:pt>
                <c:pt idx="7">
                  <c:v>专用设备制造业</c:v>
                </c:pt>
                <c:pt idx="8">
                  <c:v>汽车制造业</c:v>
                </c:pt>
                <c:pt idx="9">
                  <c:v>铁路、船舶、航空航天和其他运输设备制造业</c:v>
                </c:pt>
                <c:pt idx="10">
                  <c:v>电气机械和器材制造业</c:v>
                </c:pt>
                <c:pt idx="11">
                  <c:v>计算机、通信和其他电子设备制造业</c:v>
                </c:pt>
                <c:pt idx="12">
                  <c:v>仪器仪表制造业</c:v>
                </c:pt>
                <c:pt idx="13">
                  <c:v>金属制品、机械和设备修理业</c:v>
                </c:pt>
                <c:pt idx="14">
                  <c:v>生态保护和环境治理业</c:v>
                </c:pt>
              </c:strCache>
            </c:strRef>
          </c:cat>
          <c:val>
            <c:numRef>
              <c:f>[本次评估的企业名单24.9.18.xlsx]气图!$D$89:$D$103</c:f>
              <c:numCache>
                <c:formatCode>General</c:formatCode>
                <c:ptCount val="15"/>
                <c:pt idx="0">
                  <c:v>2.5121</c:v>
                </c:pt>
                <c:pt idx="1">
                  <c:v>0.27268</c:v>
                </c:pt>
                <c:pt idx="2">
                  <c:v>29.414</c:v>
                </c:pt>
                <c:pt idx="3">
                  <c:v>3.084</c:v>
                </c:pt>
                <c:pt idx="4">
                  <c:v>0.015518</c:v>
                </c:pt>
                <c:pt idx="5">
                  <c:v>0.64636</c:v>
                </c:pt>
                <c:pt idx="6">
                  <c:v>1.58388</c:v>
                </c:pt>
                <c:pt idx="7">
                  <c:v>1.9106</c:v>
                </c:pt>
                <c:pt idx="8">
                  <c:v>142.0506</c:v>
                </c:pt>
                <c:pt idx="9">
                  <c:v>0.0378</c:v>
                </c:pt>
                <c:pt idx="10">
                  <c:v>0.9402</c:v>
                </c:pt>
                <c:pt idx="11">
                  <c:v>33.8456</c:v>
                </c:pt>
                <c:pt idx="12">
                  <c:v>0.2849</c:v>
                </c:pt>
                <c:pt idx="13">
                  <c:v>0.0072</c:v>
                </c:pt>
                <c:pt idx="14">
                  <c:v>1.05</c:v>
                </c:pt>
              </c:numCache>
            </c:numRef>
          </c:val>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uri="{0b15fc19-7d7d-44ad-8c2d-2c3a37ce22c3}">
        <chartProps xmlns="https://web.wps.cn/et/2018/main" chartId="{b938e1ed-3754-400b-a007-cdac916955bd}"/>
      </c:ext>
    </c:extLst>
  </c:chart>
  <c:spPr>
    <a:solidFill>
      <a:schemeClr val="bg1"/>
    </a:solidFill>
    <a:ln w="9525" cap="flat" cmpd="sng" algn="ctr">
      <a:noFill/>
      <a:round/>
    </a:ln>
    <a:effectLst/>
  </c:spPr>
  <c:txPr>
    <a:bodyPr/>
    <a:lstStyle/>
    <a:p>
      <a:pPr>
        <a:defRPr lang="zh-CN">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248344370860927"/>
          <c:y val="0.174485125858124"/>
          <c:w val="0.607726269315673"/>
          <c:h val="0.787471395881007"/>
        </c:manualLayout>
      </c:layout>
      <c:pieChart>
        <c:varyColors val="1"/>
        <c:ser>
          <c:idx val="0"/>
          <c:order val="0"/>
          <c:tx>
            <c:strRef>
              <c:f>[开发区规划范围企业梳理9..xlsx]附表3企业水!$D$136</c:f>
              <c:strCache>
                <c:ptCount val="1"/>
                <c:pt idx="0">
                  <c:v>工业废水排放量</c:v>
                </c:pt>
              </c:strCache>
            </c:strRef>
          </c:tx>
          <c:spPr>
            <a:effectLst>
              <a:outerShdw blurRad="63500" sx="102000" sy="102000" algn="ctr" rotWithShape="0">
                <a:schemeClr val="tx1">
                  <a:lumMod val="50000"/>
                  <a:lumOff val="50000"/>
                  <a:alpha val="40000"/>
                </a:schemeClr>
              </a:outerShdw>
            </a:effectLst>
            <a:sp3d contourW="15875"/>
          </c:spPr>
          <c:explosion val="0"/>
          <c:dPt>
            <c:idx val="0"/>
            <c:bubble3D val="0"/>
            <c:spPr>
              <a:solidFill>
                <a:schemeClr val="accent1"/>
              </a:solidFill>
              <a:ln>
                <a:noFill/>
              </a:ln>
              <a:effectLst>
                <a:outerShdw blurRad="63500" sx="102000" sy="102000" algn="ctr" rotWithShape="0">
                  <a:schemeClr val="tx1">
                    <a:lumMod val="50000"/>
                    <a:lumOff val="50000"/>
                    <a:alpha val="40000"/>
                  </a:schemeClr>
                </a:outerShdw>
              </a:effectLst>
              <a:sp3d contourW="15875"/>
            </c:spPr>
          </c:dPt>
          <c:dPt>
            <c:idx val="1"/>
            <c:bubble3D val="0"/>
            <c:spPr>
              <a:solidFill>
                <a:schemeClr val="accent2"/>
              </a:solidFill>
              <a:ln>
                <a:noFill/>
              </a:ln>
              <a:effectLst>
                <a:outerShdw blurRad="63500" sx="102000" sy="102000" algn="ctr" rotWithShape="0">
                  <a:schemeClr val="tx1">
                    <a:lumMod val="50000"/>
                    <a:lumOff val="50000"/>
                    <a:alpha val="40000"/>
                  </a:schemeClr>
                </a:outerShdw>
              </a:effectLst>
              <a:sp3d contourW="15875"/>
            </c:spPr>
          </c:dPt>
          <c:dPt>
            <c:idx val="2"/>
            <c:bubble3D val="0"/>
            <c:spPr>
              <a:solidFill>
                <a:schemeClr val="accent3"/>
              </a:solidFill>
              <a:ln>
                <a:noFill/>
              </a:ln>
              <a:effectLst>
                <a:outerShdw blurRad="63500" sx="102000" sy="102000" algn="ctr" rotWithShape="0">
                  <a:schemeClr val="tx1">
                    <a:lumMod val="50000"/>
                    <a:lumOff val="50000"/>
                    <a:alpha val="40000"/>
                  </a:schemeClr>
                </a:outerShdw>
              </a:effectLst>
              <a:sp3d contourW="15875"/>
            </c:spPr>
          </c:dPt>
          <c:dPt>
            <c:idx val="3"/>
            <c:bubble3D val="0"/>
            <c:spPr>
              <a:solidFill>
                <a:schemeClr val="accent4"/>
              </a:solidFill>
              <a:ln>
                <a:noFill/>
              </a:ln>
              <a:effectLst>
                <a:outerShdw blurRad="63500" sx="102000" sy="102000" algn="ctr" rotWithShape="0">
                  <a:schemeClr val="tx1">
                    <a:lumMod val="50000"/>
                    <a:lumOff val="50000"/>
                    <a:alpha val="40000"/>
                  </a:schemeClr>
                </a:outerShdw>
              </a:effectLst>
              <a:sp3d contourW="15875"/>
            </c:spPr>
          </c:dPt>
          <c:dPt>
            <c:idx val="4"/>
            <c:bubble3D val="0"/>
            <c:spPr>
              <a:solidFill>
                <a:schemeClr val="accent5"/>
              </a:solidFill>
              <a:ln>
                <a:noFill/>
              </a:ln>
              <a:effectLst>
                <a:outerShdw blurRad="63500" sx="102000" sy="102000" algn="ctr" rotWithShape="0">
                  <a:schemeClr val="tx1">
                    <a:lumMod val="50000"/>
                    <a:lumOff val="50000"/>
                    <a:alpha val="40000"/>
                  </a:schemeClr>
                </a:outerShdw>
              </a:effectLst>
              <a:sp3d contourW="15875"/>
            </c:spPr>
          </c:dPt>
          <c:dPt>
            <c:idx val="5"/>
            <c:bubble3D val="0"/>
            <c:spPr>
              <a:solidFill>
                <a:schemeClr val="accent6"/>
              </a:solidFill>
              <a:ln>
                <a:noFill/>
              </a:ln>
              <a:effectLst>
                <a:outerShdw blurRad="63500" sx="102000" sy="102000" algn="ctr" rotWithShape="0">
                  <a:schemeClr val="tx1">
                    <a:lumMod val="50000"/>
                    <a:lumOff val="50000"/>
                    <a:alpha val="40000"/>
                  </a:schemeClr>
                </a:outerShdw>
              </a:effectLst>
              <a:sp3d contourW="15875"/>
            </c:spPr>
          </c:dPt>
          <c:dPt>
            <c:idx val="6"/>
            <c:bubble3D val="0"/>
            <c:spPr>
              <a:solidFill>
                <a:schemeClr val="accent1">
                  <a:lumMod val="60000"/>
                </a:schemeClr>
              </a:solidFill>
              <a:ln>
                <a:noFill/>
              </a:ln>
              <a:effectLst>
                <a:outerShdw blurRad="63500" sx="102000" sy="102000" algn="ctr" rotWithShape="0">
                  <a:schemeClr val="tx1">
                    <a:lumMod val="50000"/>
                    <a:lumOff val="50000"/>
                    <a:alpha val="40000"/>
                  </a:schemeClr>
                </a:outerShdw>
              </a:effectLst>
              <a:sp3d contourW="15875"/>
            </c:spPr>
          </c:dPt>
          <c:dPt>
            <c:idx val="7"/>
            <c:bubble3D val="0"/>
            <c:spPr>
              <a:solidFill>
                <a:schemeClr val="accent2">
                  <a:lumMod val="60000"/>
                </a:schemeClr>
              </a:solidFill>
              <a:ln>
                <a:noFill/>
              </a:ln>
              <a:effectLst>
                <a:outerShdw blurRad="63500" sx="102000" sy="102000" algn="ctr" rotWithShape="0">
                  <a:schemeClr val="tx1">
                    <a:lumMod val="50000"/>
                    <a:lumOff val="50000"/>
                    <a:alpha val="40000"/>
                  </a:schemeClr>
                </a:outerShdw>
              </a:effectLst>
              <a:sp3d contourW="15875"/>
            </c:spPr>
          </c:dPt>
          <c:dPt>
            <c:idx val="8"/>
            <c:bubble3D val="0"/>
            <c:spPr>
              <a:solidFill>
                <a:schemeClr val="accent3">
                  <a:lumMod val="60000"/>
                </a:schemeClr>
              </a:solidFill>
              <a:ln>
                <a:noFill/>
              </a:ln>
              <a:effectLst>
                <a:outerShdw blurRad="63500" sx="102000" sy="102000" algn="ctr" rotWithShape="0">
                  <a:schemeClr val="tx1">
                    <a:lumMod val="50000"/>
                    <a:lumOff val="50000"/>
                    <a:alpha val="40000"/>
                  </a:schemeClr>
                </a:outerShdw>
              </a:effectLst>
              <a:sp3d contourW="15875"/>
            </c:spPr>
          </c:dPt>
          <c:dPt>
            <c:idx val="9"/>
            <c:bubble3D val="0"/>
            <c:spPr>
              <a:solidFill>
                <a:schemeClr val="accent4">
                  <a:lumMod val="60000"/>
                </a:schemeClr>
              </a:solidFill>
              <a:ln>
                <a:noFill/>
              </a:ln>
              <a:effectLst>
                <a:outerShdw blurRad="63500" sx="102000" sy="102000" algn="ctr" rotWithShape="0">
                  <a:schemeClr val="tx1">
                    <a:lumMod val="50000"/>
                    <a:lumOff val="50000"/>
                    <a:alpha val="40000"/>
                  </a:schemeClr>
                </a:outerShdw>
              </a:effectLst>
              <a:sp3d contourW="15875"/>
            </c:spPr>
          </c:dPt>
          <c:dPt>
            <c:idx val="10"/>
            <c:bubble3D val="0"/>
            <c:spPr>
              <a:solidFill>
                <a:schemeClr val="accent5">
                  <a:lumMod val="60000"/>
                </a:schemeClr>
              </a:solidFill>
              <a:ln>
                <a:noFill/>
              </a:ln>
              <a:effectLst>
                <a:outerShdw blurRad="63500" sx="102000" sy="102000" algn="ctr" rotWithShape="0">
                  <a:schemeClr val="tx1">
                    <a:lumMod val="50000"/>
                    <a:lumOff val="50000"/>
                    <a:alpha val="40000"/>
                  </a:schemeClr>
                </a:outerShdw>
              </a:effectLst>
              <a:sp3d contourW="15875"/>
            </c:spPr>
          </c:dPt>
          <c:dPt>
            <c:idx val="11"/>
            <c:bubble3D val="0"/>
            <c:spPr>
              <a:solidFill>
                <a:schemeClr val="accent6">
                  <a:lumMod val="60000"/>
                </a:schemeClr>
              </a:solidFill>
              <a:ln>
                <a:noFill/>
              </a:ln>
              <a:effectLst>
                <a:outerShdw blurRad="63500" sx="102000" sy="102000" algn="ctr" rotWithShape="0">
                  <a:schemeClr val="tx1">
                    <a:lumMod val="50000"/>
                    <a:lumOff val="50000"/>
                    <a:alpha val="40000"/>
                  </a:schemeClr>
                </a:outerShdw>
              </a:effectLst>
              <a:sp3d contourW="15875"/>
            </c:spPr>
          </c:dPt>
          <c:dPt>
            <c:idx val="12"/>
            <c:bubble3D val="0"/>
            <c:spPr>
              <a:solidFill>
                <a:schemeClr val="accent1">
                  <a:lumMod val="80000"/>
                  <a:lumOff val="20000"/>
                </a:schemeClr>
              </a:solidFill>
              <a:ln>
                <a:noFill/>
              </a:ln>
              <a:effectLst>
                <a:outerShdw blurRad="63500" sx="102000" sy="102000" algn="ctr" rotWithShape="0">
                  <a:schemeClr val="tx1">
                    <a:lumMod val="50000"/>
                    <a:lumOff val="50000"/>
                    <a:alpha val="40000"/>
                  </a:schemeClr>
                </a:outerShdw>
              </a:effectLst>
              <a:sp3d contourW="15875"/>
            </c:spPr>
          </c:dPt>
          <c:dPt>
            <c:idx val="13"/>
            <c:bubble3D val="0"/>
            <c:spPr>
              <a:solidFill>
                <a:schemeClr val="accent2">
                  <a:lumMod val="80000"/>
                  <a:lumOff val="20000"/>
                </a:schemeClr>
              </a:solidFill>
              <a:ln>
                <a:noFill/>
              </a:ln>
              <a:effectLst>
                <a:outerShdw blurRad="63500" sx="102000" sy="102000" algn="ctr" rotWithShape="0">
                  <a:schemeClr val="tx1">
                    <a:lumMod val="50000"/>
                    <a:lumOff val="50000"/>
                    <a:alpha val="40000"/>
                  </a:schemeClr>
                </a:outerShdw>
              </a:effectLst>
              <a:sp3d contourW="15875"/>
            </c:spPr>
          </c:dPt>
          <c:dPt>
            <c:idx val="14"/>
            <c:bubble3D val="0"/>
            <c:spPr>
              <a:solidFill>
                <a:schemeClr val="accent3">
                  <a:lumMod val="80000"/>
                  <a:lumOff val="20000"/>
                </a:schemeClr>
              </a:solidFill>
              <a:ln>
                <a:noFill/>
              </a:ln>
              <a:effectLst>
                <a:outerShdw blurRad="63500" sx="102000" sy="102000" algn="ctr" rotWithShape="0">
                  <a:schemeClr val="tx1">
                    <a:lumMod val="50000"/>
                    <a:lumOff val="50000"/>
                    <a:alpha val="40000"/>
                  </a:schemeClr>
                </a:outerShdw>
              </a:effectLst>
              <a:sp3d contourW="15875"/>
            </c:spPr>
          </c:dPt>
          <c:dPt>
            <c:idx val="15"/>
            <c:bubble3D val="0"/>
            <c:spPr>
              <a:solidFill>
                <a:schemeClr val="accent4">
                  <a:lumMod val="80000"/>
                  <a:lumOff val="20000"/>
                </a:schemeClr>
              </a:solidFill>
              <a:ln>
                <a:noFill/>
              </a:ln>
              <a:effectLst>
                <a:outerShdw blurRad="63500" sx="102000" sy="102000" algn="ctr" rotWithShape="0">
                  <a:schemeClr val="tx1">
                    <a:lumMod val="50000"/>
                    <a:lumOff val="50000"/>
                    <a:alpha val="40000"/>
                  </a:schemeClr>
                </a:outerShdw>
              </a:effectLst>
              <a:sp3d contourW="15875"/>
            </c:spPr>
          </c:dPt>
          <c:dPt>
            <c:idx val="16"/>
            <c:bubble3D val="0"/>
            <c:spPr>
              <a:solidFill>
                <a:schemeClr val="accent5">
                  <a:lumMod val="80000"/>
                  <a:lumOff val="20000"/>
                </a:schemeClr>
              </a:solidFill>
              <a:ln>
                <a:noFill/>
              </a:ln>
              <a:effectLst>
                <a:outerShdw blurRad="63500" sx="102000" sy="102000" algn="ctr" rotWithShape="0">
                  <a:schemeClr val="tx1">
                    <a:lumMod val="50000"/>
                    <a:lumOff val="50000"/>
                    <a:alpha val="40000"/>
                  </a:schemeClr>
                </a:outerShdw>
              </a:effectLst>
              <a:sp3d contourW="15875"/>
            </c:spPr>
          </c:dPt>
          <c:dPt>
            <c:idx val="17"/>
            <c:bubble3D val="0"/>
            <c:spPr>
              <a:solidFill>
                <a:schemeClr val="accent6">
                  <a:lumMod val="80000"/>
                  <a:lumOff val="20000"/>
                </a:schemeClr>
              </a:solidFill>
              <a:ln>
                <a:noFill/>
              </a:ln>
              <a:effectLst>
                <a:outerShdw blurRad="63500" sx="102000" sy="102000" algn="ctr" rotWithShape="0">
                  <a:schemeClr val="tx1">
                    <a:lumMod val="50000"/>
                    <a:lumOff val="50000"/>
                    <a:alpha val="40000"/>
                  </a:schemeClr>
                </a:outerShdw>
              </a:effectLst>
              <a:sp3d contourW="15875"/>
            </c:spPr>
          </c:dPt>
          <c:dPt>
            <c:idx val="18"/>
            <c:bubble3D val="0"/>
            <c:spPr>
              <a:solidFill>
                <a:schemeClr val="accent1">
                  <a:lumMod val="80000"/>
                </a:schemeClr>
              </a:solidFill>
              <a:ln>
                <a:noFill/>
              </a:ln>
              <a:effectLst>
                <a:outerShdw blurRad="63500" sx="102000" sy="102000" algn="ctr" rotWithShape="0">
                  <a:schemeClr val="tx1">
                    <a:lumMod val="50000"/>
                    <a:lumOff val="50000"/>
                    <a:alpha val="40000"/>
                  </a:schemeClr>
                </a:outerShdw>
              </a:effectLst>
              <a:sp3d contourW="15875"/>
            </c:spPr>
          </c:dPt>
          <c:dPt>
            <c:idx val="19"/>
            <c:bubble3D val="0"/>
            <c:spPr>
              <a:solidFill>
                <a:schemeClr val="accent2">
                  <a:lumMod val="80000"/>
                </a:schemeClr>
              </a:solidFill>
              <a:ln>
                <a:noFill/>
              </a:ln>
              <a:effectLst>
                <a:outerShdw blurRad="63500" sx="102000" sy="102000" algn="ctr" rotWithShape="0">
                  <a:schemeClr val="tx1">
                    <a:lumMod val="50000"/>
                    <a:lumOff val="50000"/>
                    <a:alpha val="40000"/>
                  </a:schemeClr>
                </a:outerShdw>
              </a:effectLst>
              <a:sp3d contourW="15875"/>
            </c:spPr>
          </c:dPt>
          <c:dLbls>
            <c:dLbl>
              <c:idx val="0"/>
              <c:layout>
                <c:manualLayout>
                  <c:x val="-0.033192217069449"/>
                  <c:y val="-0.123331981936203"/>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1"/>
              <c:layout>
                <c:manualLayout>
                  <c:x val="-0.0594165068410227"/>
                  <c:y val="-0.0154801531446327"/>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2"/>
              <c:layout>
                <c:manualLayout>
                  <c:x val="-0.06785188024303"/>
                  <c:y val="-0.0704362149780863"/>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3"/>
              <c:layout>
                <c:manualLayout>
                  <c:x val="-0.0116880732515499"/>
                  <c:y val="-0.0953555460946128"/>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4"/>
              <c:layout>
                <c:manualLayout>
                  <c:x val="0.0400126382642184"/>
                  <c:y val="-0.120619373030129"/>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5"/>
              <c:layout>
                <c:manualLayout>
                  <c:x val="0.0890053404506733"/>
                  <c:y val="-0.123717420038501"/>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6"/>
              <c:layout>
                <c:manualLayout>
                  <c:x val="-0.0455291846821537"/>
                  <c:y val="0.112030298586393"/>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7"/>
              <c:layout>
                <c:manualLayout>
                  <c:x val="0.0649811941630851"/>
                  <c:y val="-0.0988801630342312"/>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8"/>
              <c:layout>
                <c:manualLayout>
                  <c:x val="0.083793149019694"/>
                  <c:y val="-0.0537694203635868"/>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9"/>
              <c:layout>
                <c:manualLayout>
                  <c:x val="-0.00396722146883944"/>
                  <c:y val="0.0477692347507514"/>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10"/>
              <c:layout>
                <c:manualLayout>
                  <c:x val="-0.046721678154498"/>
                  <c:y val="0.0561671764144987"/>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11"/>
              <c:layout>
                <c:manualLayout>
                  <c:x val="-0.0694114251665602"/>
                  <c:y val="0.0559119249915827"/>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15"/>
              <c:layout>
                <c:manualLayout>
                  <c:x val="0.167213078817308"/>
                  <c:y val="-0.143079337374104"/>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16"/>
              <c:layout>
                <c:manualLayout>
                  <c:x val="0.0271106527787068"/>
                  <c:y val="0.104365437400475"/>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17"/>
              <c:layout>
                <c:manualLayout>
                  <c:x val="-0.0876452166232204"/>
                  <c:y val="-0.012353494239805"/>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18"/>
              <c:layout>
                <c:manualLayout>
                  <c:x val="-0.0971476558734287"/>
                  <c:y val="-0.0569975754833406"/>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dLbl>
              <c:idx val="19"/>
              <c:layout>
                <c:manualLayout>
                  <c:x val="-0.114694065559713"/>
                  <c:y val="-0.113324987095863"/>
                </c:manualLayout>
              </c:layout>
              <c:dLblPos val="bestFit"/>
              <c:showLegendKey val="0"/>
              <c:showVal val="0"/>
              <c:showCatName val="0"/>
              <c:showSerName val="0"/>
              <c:showPercent val="1"/>
              <c:showBubbleSize val="0"/>
              <c:separator>.</c:separator>
              <c:extLst>
                <c:ext xmlns:c15="http://schemas.microsoft.com/office/drawing/2012/chart" uri="{CE6537A1-D6FC-4f65-9D91-7224C49458BB}">
                  <c15:layout/>
                </c:ext>
              </c:extLst>
            </c:dLbl>
            <c:numFmt formatCode="0.00%" sourceLinked="0"/>
            <c:spPr>
              <a:solidFill>
                <a:schemeClr val="lt1"/>
              </a:solidFill>
              <a:ln>
                <a:solidFill>
                  <a:schemeClr val="dk1">
                    <a:lumMod val="25000"/>
                    <a:lumOff val="75000"/>
                  </a:schemeClr>
                </a:solidFill>
              </a:ln>
              <a:effectLst>
                <a:outerShdw blurRad="63500" sx="102000" sy="102000" algn="ctr" rotWithShape="0">
                  <a:prstClr val="black">
                    <a:alpha val="40000"/>
                  </a:prstClr>
                </a:outerShdw>
              </a:effectLst>
            </c:spPr>
            <c:txPr>
              <a:bodyPr rot="0" spcFirstLastPara="0" vertOverflow="clip" horzOverflow="clip" vert="horz" wrap="square" lIns="36576" tIns="18288" rIns="36576" bIns="18288" anchor="ctr" anchorCtr="1" forceAA="0">
                <a:spAutoFit/>
              </a:bodyPr>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inEnd"/>
            <c:showLegendKey val="0"/>
            <c:showVal val="0"/>
            <c:showCatName val="0"/>
            <c:showSerName val="0"/>
            <c:showPercent val="1"/>
            <c:showBubbleSize val="0"/>
            <c:separator>.</c:separator>
            <c:showLeaderLines val="1"/>
            <c:extLst>
              <c:ext xmlns:c15="http://schemas.microsoft.com/office/drawing/2012/chart" uri="{CE6537A1-D6FC-4f65-9D91-7224C49458BB}">
                <c15:spPr xmlns:c15="http://schemas.microsoft.com/office/drawing/2012/chart">
                  <a:prstGeom prst="roundRect">
                    <a:avLst/>
                  </a:prstGeom>
                  <a:noFill/>
                  <a:ln>
                    <a:noFill/>
                  </a:ln>
                </c15:spPr>
                <c15:layout/>
                <c15:showLeaderLines val="1"/>
                <c15:leaderLines>
                  <c:spPr>
                    <a:ln w="9525" cap="flat" cmpd="sng" algn="ctr">
                      <a:solidFill>
                        <a:schemeClr val="tx1">
                          <a:lumMod val="35000"/>
                          <a:lumOff val="65000"/>
                        </a:schemeClr>
                      </a:solidFill>
                      <a:round/>
                    </a:ln>
                    <a:effectLst/>
                  </c:spPr>
                </c15:leaderLines>
              </c:ext>
            </c:extLst>
          </c:dLbls>
          <c:cat>
            <c:strRef>
              <c:f>[开发区规划范围企业梳理9..xlsx]附表3企业水!$C$137:$C$156</c:f>
              <c:strCache>
                <c:ptCount val="20"/>
                <c:pt idx="0">
                  <c:v>食品制造业</c:v>
                </c:pt>
                <c:pt idx="1">
                  <c:v>酒、饮料和精制茶制造业</c:v>
                </c:pt>
                <c:pt idx="2">
                  <c:v>纺织业</c:v>
                </c:pt>
                <c:pt idx="3">
                  <c:v>纺织服装、服饰业</c:v>
                </c:pt>
                <c:pt idx="4">
                  <c:v>印刷和记录媒介复制业</c:v>
                </c:pt>
                <c:pt idx="5">
                  <c:v>生物医药业</c:v>
                </c:pt>
                <c:pt idx="6">
                  <c:v>橡胶和塑料制品业</c:v>
                </c:pt>
                <c:pt idx="7">
                  <c:v>非金属矿物制品业</c:v>
                </c:pt>
                <c:pt idx="8">
                  <c:v>有色金属冶炼和压延加工业</c:v>
                </c:pt>
                <c:pt idx="9">
                  <c:v>金属制品业</c:v>
                </c:pt>
                <c:pt idx="10">
                  <c:v>通用设备制造业</c:v>
                </c:pt>
                <c:pt idx="11">
                  <c:v>专用设备制造业</c:v>
                </c:pt>
                <c:pt idx="12">
                  <c:v>汽车制造业</c:v>
                </c:pt>
                <c:pt idx="13">
                  <c:v>铁路、船舶、航空航天和其他运输设备制造业</c:v>
                </c:pt>
                <c:pt idx="14">
                  <c:v>电气机械和器材制造业</c:v>
                </c:pt>
                <c:pt idx="15">
                  <c:v>计算机、通信和其他电子设备制造业</c:v>
                </c:pt>
                <c:pt idx="16">
                  <c:v>仪器仪表制造业</c:v>
                </c:pt>
                <c:pt idx="17">
                  <c:v>装卸搬运和仓储业</c:v>
                </c:pt>
                <c:pt idx="18">
                  <c:v>研究与试验发展</c:v>
                </c:pt>
                <c:pt idx="19">
                  <c:v>其他服务业</c:v>
                </c:pt>
              </c:strCache>
            </c:strRef>
          </c:cat>
          <c:val>
            <c:numRef>
              <c:f>[开发区规划范围企业梳理9..xlsx]附表3企业水!$D$137:$D$156</c:f>
              <c:numCache>
                <c:formatCode>General</c:formatCode>
                <c:ptCount val="20"/>
                <c:pt idx="0">
                  <c:v>85090.4</c:v>
                </c:pt>
                <c:pt idx="1">
                  <c:v>49498.24</c:v>
                </c:pt>
                <c:pt idx="2">
                  <c:v>12800</c:v>
                </c:pt>
                <c:pt idx="3">
                  <c:v>73373.02</c:v>
                </c:pt>
                <c:pt idx="4">
                  <c:v>51224.4</c:v>
                </c:pt>
                <c:pt idx="5">
                  <c:v>106518.47</c:v>
                </c:pt>
                <c:pt idx="6">
                  <c:v>103043</c:v>
                </c:pt>
                <c:pt idx="7">
                  <c:v>10210</c:v>
                </c:pt>
                <c:pt idx="8">
                  <c:v>4906</c:v>
                </c:pt>
                <c:pt idx="9">
                  <c:v>158528</c:v>
                </c:pt>
                <c:pt idx="10">
                  <c:v>230832.8</c:v>
                </c:pt>
                <c:pt idx="11">
                  <c:v>372117.76</c:v>
                </c:pt>
                <c:pt idx="12">
                  <c:v>1316239.06</c:v>
                </c:pt>
                <c:pt idx="13">
                  <c:v>176483.2</c:v>
                </c:pt>
                <c:pt idx="14">
                  <c:v>156217.86</c:v>
                </c:pt>
                <c:pt idx="15">
                  <c:v>3828529.42</c:v>
                </c:pt>
                <c:pt idx="16">
                  <c:v>284852.8</c:v>
                </c:pt>
                <c:pt idx="17">
                  <c:v>23200</c:v>
                </c:pt>
                <c:pt idx="18">
                  <c:v>141258</c:v>
                </c:pt>
                <c:pt idx="19">
                  <c:v>37020</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54864328259431"/>
          <c:y val="0.00428021115708375"/>
          <c:w val="0.333333333333333"/>
          <c:h val="0.991439577685832"/>
        </c:manualLayout>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
    <c:plotVisOnly val="1"/>
    <c:dispBlanksAs val="gap"/>
    <c:showDLblsOverMax val="0"/>
    <c:extLst>
      <c:ext uri="{0b15fc19-7d7d-44ad-8c2d-2c3a37ce22c3}">
        <chartProps xmlns="https://web.wps.cn/et/2018/main" chartId="{e1717683-c6a3-4940-8625-c731919c9b3b}"/>
      </c:ext>
    </c:extLst>
  </c:chart>
  <c:spPr>
    <a:solidFill>
      <a:schemeClr val="bg1"/>
    </a:solidFill>
    <a:ln w="6350" cap="flat" cmpd="sng" algn="ctr">
      <a:solidFill>
        <a:schemeClr val="tx1">
          <a:lumMod val="50000"/>
          <a:lumOff val="50000"/>
          <a:alpha val="25000"/>
        </a:schemeClr>
      </a:solidFill>
      <a:round/>
    </a:ln>
    <a:effectLst>
      <a:outerShdw blurRad="63500" dist="37357" dir="2700000" sx="0" sy="0" rotWithShape="0">
        <a:scrgbClr r="0" g="0" b="0"/>
      </a:outerShdw>
    </a:effectLst>
  </c:spPr>
  <c:txPr>
    <a:bodyPr/>
    <a:lstStyle/>
    <a:p>
      <a:pPr>
        <a:defRPr lang="zh-CN">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[开发区规划范围企业梳理9..xlsx]附表4企业固废!$D$149</c:f>
              <c:strCache>
                <c:ptCount val="1"/>
                <c:pt idx="0">
                  <c:v>危险固废</c:v>
                </c:pt>
              </c:strCache>
            </c:strRef>
          </c:tx>
          <c:spPr/>
          <c:explosion val="0"/>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1000" b="0" i="0" u="none" strike="noStrike" kern="1200" spc="0" baseline="0">
                    <a:solidFill>
                      <a:schemeClr val="bg1"/>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[开发区规划范围企业梳理9..xlsx]附表4企业固废!$C$150:$C$170</c:f>
              <c:strCache>
                <c:ptCount val="21"/>
                <c:pt idx="0">
                  <c:v>食品制造业</c:v>
                </c:pt>
                <c:pt idx="1">
                  <c:v>酒、饮料和精制茶制造业</c:v>
                </c:pt>
                <c:pt idx="2">
                  <c:v>纺织业</c:v>
                </c:pt>
                <c:pt idx="3">
                  <c:v>纺织服装、服饰业</c:v>
                </c:pt>
                <c:pt idx="4">
                  <c:v>造纸和纸制品业</c:v>
                </c:pt>
                <c:pt idx="5">
                  <c:v>印刷和记录媒介复制业</c:v>
                </c:pt>
                <c:pt idx="6">
                  <c:v>生物医药业</c:v>
                </c:pt>
                <c:pt idx="7">
                  <c:v>橡胶和塑料制品业</c:v>
                </c:pt>
                <c:pt idx="8">
                  <c:v>有色金属冶炼和压延加工业</c:v>
                </c:pt>
                <c:pt idx="9">
                  <c:v>金属制品业</c:v>
                </c:pt>
                <c:pt idx="10">
                  <c:v>通用设备制造业</c:v>
                </c:pt>
                <c:pt idx="11">
                  <c:v>专用设备制造业</c:v>
                </c:pt>
                <c:pt idx="12">
                  <c:v>汽车制造业</c:v>
                </c:pt>
                <c:pt idx="13">
                  <c:v>铁路、船舶、航空航天和其他运输设备制造业</c:v>
                </c:pt>
                <c:pt idx="14">
                  <c:v>电气机械和器材制造业</c:v>
                </c:pt>
                <c:pt idx="15">
                  <c:v>计算机、通信和其他电子设备制造业</c:v>
                </c:pt>
                <c:pt idx="16">
                  <c:v>仪器仪表制造业</c:v>
                </c:pt>
                <c:pt idx="17">
                  <c:v>装卸搬运和仓储业</c:v>
                </c:pt>
                <c:pt idx="18">
                  <c:v>研究与试验发展</c:v>
                </c:pt>
                <c:pt idx="19">
                  <c:v>生态保护和环境治理业</c:v>
                </c:pt>
                <c:pt idx="20">
                  <c:v>其他服务业</c:v>
                </c:pt>
              </c:strCache>
            </c:strRef>
          </c:cat>
          <c:val>
            <c:numRef>
              <c:f>[开发区规划范围企业梳理9..xlsx]附表4企业固废!$D$150:$D$170</c:f>
            </c:numRef>
          </c:val>
        </c:ser>
        <c:ser>
          <c:idx val="1"/>
          <c:order val="1"/>
          <c:tx>
            <c:strRef>
              <c:f>[开发区规划范围企业梳理9..xlsx]附表4企业固废!$E$149</c:f>
              <c:strCache>
                <c:ptCount val="1"/>
                <c:pt idx="0">
                  <c:v>危险固废</c:v>
                </c:pt>
              </c:strCache>
            </c:strRef>
          </c:tx>
          <c:spPr/>
          <c:explosion val="0"/>
          <c:dPt>
            <c:idx val="0"/>
            <c:bubble3D val="0"/>
            <c:explosion val="10"/>
            <c:spPr>
              <a:solidFill>
                <a:schemeClr val="accent1"/>
              </a:solidFill>
              <a:ln>
                <a:noFill/>
              </a:ln>
              <a:effectLst>
                <a:glow rad="88900">
                  <a:schemeClr val="accent1">
                    <a:satMod val="175000"/>
                    <a:alpha val="40000"/>
                  </a:schemeClr>
                </a:glow>
              </a:effectLst>
            </c:spPr>
          </c:dPt>
          <c:dPt>
            <c:idx val="1"/>
            <c:bubble3D val="0"/>
            <c:spPr>
              <a:solidFill>
                <a:schemeClr val="accent2"/>
              </a:solidFill>
              <a:ln>
                <a:noFill/>
              </a:ln>
              <a:effectLst>
                <a:glow rad="88900">
                  <a:schemeClr val="accent2">
                    <a:satMod val="175000"/>
                    <a:alpha val="40000"/>
                  </a:schemeClr>
                </a:glow>
              </a:effectLst>
            </c:spPr>
          </c:dPt>
          <c:dPt>
            <c:idx val="2"/>
            <c:bubble3D val="0"/>
            <c:spPr>
              <a:solidFill>
                <a:schemeClr val="accent3"/>
              </a:solidFill>
              <a:ln>
                <a:noFill/>
              </a:ln>
              <a:effectLst>
                <a:glow rad="88900">
                  <a:schemeClr val="accent3">
                    <a:satMod val="175000"/>
                    <a:alpha val="40000"/>
                  </a:schemeClr>
                </a:glow>
              </a:effectLst>
            </c:spPr>
          </c:dPt>
          <c:dPt>
            <c:idx val="3"/>
            <c:bubble3D val="0"/>
            <c:spPr>
              <a:solidFill>
                <a:schemeClr val="accent4"/>
              </a:solidFill>
              <a:ln>
                <a:noFill/>
              </a:ln>
              <a:effectLst>
                <a:glow rad="88900">
                  <a:schemeClr val="accent4">
                    <a:satMod val="175000"/>
                    <a:alpha val="40000"/>
                  </a:schemeClr>
                </a:glow>
              </a:effectLst>
            </c:spPr>
          </c:dPt>
          <c:dPt>
            <c:idx val="4"/>
            <c:bubble3D val="0"/>
            <c:spPr>
              <a:solidFill>
                <a:schemeClr val="accent5"/>
              </a:solidFill>
              <a:ln>
                <a:noFill/>
              </a:ln>
              <a:effectLst>
                <a:glow rad="88900">
                  <a:schemeClr val="accent5">
                    <a:satMod val="175000"/>
                    <a:alpha val="40000"/>
                  </a:schemeClr>
                </a:glow>
              </a:effectLst>
            </c:spPr>
          </c:dPt>
          <c:dPt>
            <c:idx val="5"/>
            <c:bubble3D val="0"/>
            <c:spPr>
              <a:solidFill>
                <a:schemeClr val="accent6"/>
              </a:solidFill>
              <a:ln>
                <a:noFill/>
              </a:ln>
              <a:effectLst>
                <a:glow rad="88900">
                  <a:schemeClr val="accent6">
                    <a:satMod val="175000"/>
                    <a:alpha val="40000"/>
                  </a:schemeClr>
                </a:glow>
              </a:effectLst>
            </c:spPr>
          </c:dPt>
          <c:dPt>
            <c:idx val="6"/>
            <c:bubble3D val="0"/>
            <c:spPr>
              <a:solidFill>
                <a:schemeClr val="accent1">
                  <a:lumMod val="60000"/>
                </a:schemeClr>
              </a:solidFill>
              <a:ln>
                <a:noFill/>
              </a:ln>
              <a:effectLst>
                <a:outerShdw blurRad="63500" sx="102000" sy="102000" algn="ctr" rotWithShape="0">
                  <a:prstClr val="black">
                    <a:alpha val="20000"/>
                  </a:prstClr>
                </a:outerShdw>
              </a:effectLst>
            </c:spPr>
          </c:dPt>
          <c:dPt>
            <c:idx val="7"/>
            <c:bubble3D val="0"/>
            <c:spPr>
              <a:solidFill>
                <a:schemeClr val="accent2">
                  <a:lumMod val="60000"/>
                </a:schemeClr>
              </a:solidFill>
              <a:ln>
                <a:noFill/>
              </a:ln>
              <a:effectLst>
                <a:outerShdw blurRad="63500" sx="102000" sy="102000" algn="ctr" rotWithShape="0">
                  <a:prstClr val="black">
                    <a:alpha val="20000"/>
                  </a:prstClr>
                </a:outerShdw>
              </a:effectLst>
            </c:spPr>
          </c:dPt>
          <c:dPt>
            <c:idx val="8"/>
            <c:bubble3D val="0"/>
            <c:spPr>
              <a:solidFill>
                <a:schemeClr val="accent3">
                  <a:lumMod val="60000"/>
                </a:schemeClr>
              </a:solidFill>
              <a:ln>
                <a:noFill/>
              </a:ln>
              <a:effectLst>
                <a:outerShdw blurRad="63500" sx="102000" sy="102000" algn="ctr" rotWithShape="0">
                  <a:prstClr val="black">
                    <a:alpha val="20000"/>
                  </a:prstClr>
                </a:outerShdw>
              </a:effectLst>
            </c:spPr>
          </c:dPt>
          <c:dPt>
            <c:idx val="9"/>
            <c:bubble3D val="0"/>
            <c:spPr>
              <a:solidFill>
                <a:schemeClr val="accent4">
                  <a:lumMod val="60000"/>
                </a:schemeClr>
              </a:solidFill>
              <a:ln>
                <a:noFill/>
              </a:ln>
              <a:effectLst>
                <a:outerShdw blurRad="63500" sx="102000" sy="102000" algn="ctr" rotWithShape="0">
                  <a:prstClr val="black">
                    <a:alpha val="20000"/>
                  </a:prstClr>
                </a:outerShdw>
              </a:effectLst>
            </c:spPr>
          </c:dPt>
          <c:dPt>
            <c:idx val="10"/>
            <c:bubble3D val="0"/>
            <c:spPr>
              <a:solidFill>
                <a:schemeClr val="accent5">
                  <a:lumMod val="60000"/>
                </a:schemeClr>
              </a:solidFill>
              <a:ln>
                <a:noFill/>
              </a:ln>
              <a:effectLst>
                <a:outerShdw blurRad="63500" sx="102000" sy="102000" algn="ctr" rotWithShape="0">
                  <a:prstClr val="black">
                    <a:alpha val="20000"/>
                  </a:prstClr>
                </a:outerShdw>
              </a:effectLst>
            </c:spPr>
          </c:dPt>
          <c:dPt>
            <c:idx val="11"/>
            <c:bubble3D val="0"/>
            <c:spPr>
              <a:solidFill>
                <a:schemeClr val="accent6">
                  <a:lumMod val="60000"/>
                </a:schemeClr>
              </a:solidFill>
              <a:ln>
                <a:noFill/>
              </a:ln>
              <a:effectLst>
                <a:outerShdw blurRad="63500" sx="102000" sy="102000" algn="ctr" rotWithShape="0">
                  <a:prstClr val="black">
                    <a:alpha val="20000"/>
                  </a:prstClr>
                </a:outerShdw>
              </a:effectLst>
            </c:spPr>
          </c:dPt>
          <c:dPt>
            <c:idx val="12"/>
            <c:bubble3D val="0"/>
            <c:spPr>
              <a:solidFill>
                <a:schemeClr val="accent1">
                  <a:lumMod val="80000"/>
                  <a:lumOff val="20000"/>
                </a:schemeClr>
              </a:solidFill>
              <a:ln>
                <a:noFill/>
              </a:ln>
              <a:effectLst>
                <a:outerShdw blurRad="63500" sx="102000" sy="102000" algn="ctr" rotWithShape="0">
                  <a:prstClr val="black">
                    <a:alpha val="20000"/>
                  </a:prstClr>
                </a:outerShdw>
              </a:effectLst>
            </c:spPr>
          </c:dPt>
          <c:dPt>
            <c:idx val="13"/>
            <c:bubble3D val="0"/>
            <c:spPr>
              <a:solidFill>
                <a:schemeClr val="accent2">
                  <a:lumMod val="80000"/>
                  <a:lumOff val="20000"/>
                </a:schemeClr>
              </a:solidFill>
              <a:ln>
                <a:noFill/>
              </a:ln>
              <a:effectLst>
                <a:outerShdw blurRad="63500" sx="102000" sy="102000" algn="ctr" rotWithShape="0">
                  <a:prstClr val="black">
                    <a:alpha val="20000"/>
                  </a:prstClr>
                </a:outerShdw>
              </a:effectLst>
            </c:spPr>
          </c:dPt>
          <c:dPt>
            <c:idx val="14"/>
            <c:bubble3D val="0"/>
            <c:spPr>
              <a:solidFill>
                <a:schemeClr val="accent3">
                  <a:lumMod val="80000"/>
                  <a:lumOff val="20000"/>
                </a:schemeClr>
              </a:solidFill>
              <a:ln>
                <a:noFill/>
              </a:ln>
              <a:effectLst>
                <a:outerShdw blurRad="63500" sx="102000" sy="102000" algn="ctr" rotWithShape="0">
                  <a:prstClr val="black">
                    <a:alpha val="20000"/>
                  </a:prstClr>
                </a:outerShdw>
              </a:effectLst>
            </c:spPr>
          </c:dPt>
          <c:dPt>
            <c:idx val="15"/>
            <c:bubble3D val="0"/>
            <c:spPr>
              <a:solidFill>
                <a:schemeClr val="accent4">
                  <a:lumMod val="80000"/>
                  <a:lumOff val="20000"/>
                </a:schemeClr>
              </a:solidFill>
              <a:ln>
                <a:noFill/>
              </a:ln>
              <a:effectLst>
                <a:outerShdw blurRad="63500" sx="102000" sy="102000" algn="ctr" rotWithShape="0">
                  <a:prstClr val="black">
                    <a:alpha val="20000"/>
                  </a:prstClr>
                </a:outerShdw>
              </a:effectLst>
            </c:spPr>
          </c:dPt>
          <c:dPt>
            <c:idx val="16"/>
            <c:bubble3D val="0"/>
            <c:spPr>
              <a:solidFill>
                <a:schemeClr val="accent5">
                  <a:lumMod val="80000"/>
                  <a:lumOff val="20000"/>
                </a:schemeClr>
              </a:solidFill>
              <a:ln>
                <a:noFill/>
              </a:ln>
              <a:effectLst>
                <a:outerShdw blurRad="63500" sx="102000" sy="102000" algn="ctr" rotWithShape="0">
                  <a:prstClr val="black">
                    <a:alpha val="20000"/>
                  </a:prstClr>
                </a:outerShdw>
              </a:effectLst>
            </c:spPr>
          </c:dPt>
          <c:dPt>
            <c:idx val="17"/>
            <c:bubble3D val="0"/>
            <c:spPr>
              <a:solidFill>
                <a:schemeClr val="accent6">
                  <a:lumMod val="80000"/>
                  <a:lumOff val="20000"/>
                </a:schemeClr>
              </a:solidFill>
              <a:ln>
                <a:noFill/>
              </a:ln>
              <a:effectLst>
                <a:outerShdw blurRad="63500" sx="102000" sy="102000" algn="ctr" rotWithShape="0">
                  <a:prstClr val="black">
                    <a:alpha val="20000"/>
                  </a:prstClr>
                </a:outerShdw>
              </a:effectLst>
            </c:spPr>
          </c:dPt>
          <c:dPt>
            <c:idx val="18"/>
            <c:bubble3D val="0"/>
            <c:spPr>
              <a:solidFill>
                <a:schemeClr val="accent1">
                  <a:lumMod val="80000"/>
                </a:schemeClr>
              </a:solidFill>
              <a:ln>
                <a:noFill/>
              </a:ln>
              <a:effectLst>
                <a:outerShdw blurRad="63500" sx="102000" sy="102000" algn="ctr" rotWithShape="0">
                  <a:prstClr val="black">
                    <a:alpha val="20000"/>
                  </a:prstClr>
                </a:outerShdw>
              </a:effectLst>
            </c:spPr>
          </c:dPt>
          <c:dPt>
            <c:idx val="19"/>
            <c:bubble3D val="0"/>
            <c:spPr>
              <a:solidFill>
                <a:schemeClr val="accent2">
                  <a:lumMod val="80000"/>
                </a:schemeClr>
              </a:solidFill>
              <a:ln>
                <a:noFill/>
              </a:ln>
              <a:effectLst>
                <a:outerShdw blurRad="63500" sx="102000" sy="102000" algn="ctr" rotWithShape="0">
                  <a:prstClr val="black">
                    <a:alpha val="20000"/>
                  </a:prstClr>
                </a:outerShdw>
              </a:effectLst>
            </c:spPr>
          </c:dPt>
          <c:dPt>
            <c:idx val="20"/>
            <c:bubble3D val="0"/>
            <c:spPr>
              <a:solidFill>
                <a:schemeClr val="accent3">
                  <a:lumMod val="80000"/>
                </a:schemeClr>
              </a:solidFill>
              <a:ln>
                <a:noFill/>
              </a:ln>
              <a:effectLst>
                <a:outerShdw blurRad="63500" sx="102000" sy="102000" algn="ctr" rotWithShape="0">
                  <a:prstClr val="black">
                    <a:alpha val="20000"/>
                  </a:prstClr>
                </a:outerShdw>
              </a:effectLst>
            </c:spPr>
          </c:dPt>
          <c:dLbls>
            <c:dLbl>
              <c:idx val="0"/>
              <c:layout>
                <c:manualLayout>
                  <c:x val="-0.00796005058007544"/>
                  <c:y val="-0.0697920667490839"/>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1"/>
              <c:layout>
                <c:manualLayout>
                  <c:x val="-0.151338270824223"/>
                  <c:y val="-0.136250493651338"/>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2"/>
              <c:layout>
                <c:manualLayout>
                  <c:x val="0.0461666727418456"/>
                  <c:y val="-0.102437379023697"/>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3"/>
              <c:layout>
                <c:manualLayout>
                  <c:x val="-0.00843390495410627"/>
                  <c:y val="-0.0213787439879217"/>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4"/>
              <c:layout>
                <c:manualLayout>
                  <c:x val="0.00113456059532785"/>
                  <c:y val="-0.0491967696070676"/>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5"/>
              <c:layout>
                <c:manualLayout>
                  <c:x val="0.00353440603479916"/>
                  <c:y val="-0.13636708081468"/>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6"/>
              <c:layout>
                <c:manualLayout>
                  <c:x val="0.016851501445829"/>
                  <c:y val="-0.0775219339143129"/>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7"/>
              <c:layout>
                <c:manualLayout>
                  <c:x val="0.0239193429436652"/>
                  <c:y val="-0.142369261382087"/>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8"/>
              <c:layout>
                <c:manualLayout>
                  <c:x val="0.0737460532279789"/>
                  <c:y val="-0.133288132164817"/>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9"/>
              <c:layout>
                <c:manualLayout>
                  <c:x val="0.0760758059014152"/>
                  <c:y val="-0.111927426880493"/>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10"/>
              <c:layout>
                <c:manualLayout>
                  <c:x val="-0.0263157978533482"/>
                  <c:y val="0.0590205576916756"/>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11"/>
              <c:layout>
                <c:manualLayout>
                  <c:x val="-0.0364446156305701"/>
                  <c:y val="0.0600130660767968"/>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12"/>
              <c:layout>
                <c:manualLayout>
                  <c:x val="-0.129178902907404"/>
                  <c:y val="-0.116667857880851"/>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13"/>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inEnd"/>
              <c:showLegendKey val="0"/>
              <c:showVal val="0"/>
              <c:showCatName val="0"/>
              <c:showSerName val="0"/>
              <c:showPercent val="1"/>
              <c:showBubbleSize val="0"/>
              <c:separator> </c:separator>
              <c:extLst>
                <c:ext xmlns:c15="http://schemas.microsoft.com/office/drawing/2012/chart" uri="{CE6537A1-D6FC-4f65-9D91-7224C49458BB}"/>
              </c:extLst>
            </c:dLbl>
            <c:dLbl>
              <c:idx val="14"/>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inEnd"/>
              <c:showLegendKey val="0"/>
              <c:showVal val="0"/>
              <c:showCatName val="0"/>
              <c:showSerName val="0"/>
              <c:showPercent val="1"/>
              <c:showBubbleSize val="0"/>
              <c:separator> </c:separator>
              <c:extLst>
                <c:ext xmlns:c15="http://schemas.microsoft.com/office/drawing/2012/chart" uri="{CE6537A1-D6FC-4f65-9D91-7224C49458BB}">
                  <c15:layout>
                    <c:manualLayout>
                      <c:w val="0.247397841171935"/>
                      <c:h val="0.0848158874637981"/>
                    </c:manualLayout>
                  </c15:layout>
                </c:ext>
              </c:extLst>
            </c:dLbl>
            <c:dLbl>
              <c:idx val="15"/>
              <c:layout>
                <c:manualLayout>
                  <c:x val="0.121344658198223"/>
                  <c:y val="0.112597564224319"/>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manualLayout>
                      <c:w val="0.138587217683806"/>
                      <c:h val="0.0711836129391046"/>
                    </c:manualLayout>
                  </c15:layout>
                </c:ext>
              </c:extLst>
            </c:dLbl>
            <c:dLbl>
              <c:idx val="16"/>
              <c:layout>
                <c:manualLayout>
                  <c:x val="-0.177092707258943"/>
                  <c:y val="-0.0589159428306944"/>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17"/>
              <c:layout>
                <c:manualLayout>
                  <c:x val="-0.172799158775323"/>
                  <c:y val="-0.0927970522133341"/>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18"/>
              <c:layout>
                <c:manualLayout>
                  <c:x val="-0.155081206257311"/>
                  <c:y val="-0.114567223122684"/>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19"/>
              <c:layout>
                <c:manualLayout>
                  <c:x val="-0.0879238691466849"/>
                  <c:y val="-0.0794341748925585"/>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dLbl>
              <c:idx val="20"/>
              <c:layout>
                <c:manualLayout>
                  <c:x val="-0.0659030875175122"/>
                  <c:y val="-0.122809149186197"/>
                </c:manualLayout>
              </c:layout>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bestFit"/>
              <c:showLegendKey val="0"/>
              <c:showVal val="0"/>
              <c:showCatName val="0"/>
              <c:showSerName val="0"/>
              <c:showPercent val="1"/>
              <c:showBubbleSize val="0"/>
              <c:separator> </c:separator>
              <c:extLst>
                <c:ext xmlns:c15="http://schemas.microsoft.com/office/drawing/2012/chart" uri="{CE6537A1-D6FC-4f65-9D91-7224C49458BB}">
                  <c15:layout/>
                </c:ext>
              </c:extLst>
            </c:dLbl>
            <c:numFmt formatCode="0.00%" sourceLinked="0"/>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dLblPos val="inEnd"/>
            <c:showLegendKey val="0"/>
            <c:showVal val="0"/>
            <c:showCatName val="0"/>
            <c:showSerName val="0"/>
            <c:showPercent val="1"/>
            <c:showBubbleSize val="0"/>
            <c:separator> </c:separator>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[开发区规划范围企业梳理9..xlsx]附表4企业固废!$C$150:$C$170</c:f>
              <c:strCache>
                <c:ptCount val="21"/>
                <c:pt idx="0">
                  <c:v>食品制造业</c:v>
                </c:pt>
                <c:pt idx="1">
                  <c:v>酒、饮料和精制茶制造业</c:v>
                </c:pt>
                <c:pt idx="2">
                  <c:v>纺织业</c:v>
                </c:pt>
                <c:pt idx="3">
                  <c:v>纺织服装、服饰业</c:v>
                </c:pt>
                <c:pt idx="4">
                  <c:v>造纸和纸制品业</c:v>
                </c:pt>
                <c:pt idx="5">
                  <c:v>印刷和记录媒介复制业</c:v>
                </c:pt>
                <c:pt idx="6">
                  <c:v>生物医药业</c:v>
                </c:pt>
                <c:pt idx="7">
                  <c:v>橡胶和塑料制品业</c:v>
                </c:pt>
                <c:pt idx="8">
                  <c:v>有色金属冶炼和压延加工业</c:v>
                </c:pt>
                <c:pt idx="9">
                  <c:v>金属制品业</c:v>
                </c:pt>
                <c:pt idx="10">
                  <c:v>通用设备制造业</c:v>
                </c:pt>
                <c:pt idx="11">
                  <c:v>专用设备制造业</c:v>
                </c:pt>
                <c:pt idx="12">
                  <c:v>汽车制造业</c:v>
                </c:pt>
                <c:pt idx="13">
                  <c:v>铁路、船舶、航空航天和其他运输设备制造业</c:v>
                </c:pt>
                <c:pt idx="14">
                  <c:v>电气机械和器材制造业</c:v>
                </c:pt>
                <c:pt idx="15">
                  <c:v>计算机、通信和其他电子设备制造业</c:v>
                </c:pt>
                <c:pt idx="16">
                  <c:v>仪器仪表制造业</c:v>
                </c:pt>
                <c:pt idx="17">
                  <c:v>装卸搬运和仓储业</c:v>
                </c:pt>
                <c:pt idx="18">
                  <c:v>研究与试验发展</c:v>
                </c:pt>
                <c:pt idx="19">
                  <c:v>生态保护和环境治理业</c:v>
                </c:pt>
                <c:pt idx="20">
                  <c:v>其他服务业</c:v>
                </c:pt>
              </c:strCache>
            </c:strRef>
          </c:cat>
          <c:val>
            <c:numRef>
              <c:f>[开发区规划范围企业梳理9..xlsx]附表4企业固废!$E$150:$E$170</c:f>
              <c:numCache>
                <c:formatCode>General</c:formatCode>
                <c:ptCount val="21"/>
                <c:pt idx="0">
                  <c:v>13.7025</c:v>
                </c:pt>
                <c:pt idx="1">
                  <c:v>0.0743</c:v>
                </c:pt>
                <c:pt idx="2">
                  <c:v>50.949</c:v>
                </c:pt>
                <c:pt idx="3">
                  <c:v>9.0763</c:v>
                </c:pt>
                <c:pt idx="4">
                  <c:v>3.55</c:v>
                </c:pt>
                <c:pt idx="5">
                  <c:v>36.365</c:v>
                </c:pt>
                <c:pt idx="6">
                  <c:v>164.705</c:v>
                </c:pt>
                <c:pt idx="7">
                  <c:v>76.005</c:v>
                </c:pt>
                <c:pt idx="8">
                  <c:v>48.275</c:v>
                </c:pt>
                <c:pt idx="9">
                  <c:v>33.5242</c:v>
                </c:pt>
                <c:pt idx="10">
                  <c:v>268.442</c:v>
                </c:pt>
                <c:pt idx="11">
                  <c:v>187.0341</c:v>
                </c:pt>
                <c:pt idx="12">
                  <c:v>5473.9258</c:v>
                </c:pt>
                <c:pt idx="13">
                  <c:v>621</c:v>
                </c:pt>
                <c:pt idx="14">
                  <c:v>116.3473</c:v>
                </c:pt>
                <c:pt idx="15">
                  <c:v>2105.0316</c:v>
                </c:pt>
                <c:pt idx="16">
                  <c:v>49.2115</c:v>
                </c:pt>
                <c:pt idx="17">
                  <c:v>11.4</c:v>
                </c:pt>
                <c:pt idx="18">
                  <c:v>16</c:v>
                </c:pt>
                <c:pt idx="19">
                  <c:v>1.6907</c:v>
                </c:pt>
                <c:pt idx="20">
                  <c:v>14.993</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r"/>
      <c:legendEntry>
        <c:idx val="0"/>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1"/>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2"/>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3"/>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4"/>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5"/>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6"/>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7"/>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8"/>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9"/>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10"/>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11"/>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12"/>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13"/>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14"/>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15"/>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16"/>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17"/>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18"/>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19"/>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20"/>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ayout>
        <c:manualLayout>
          <c:xMode val="edge"/>
          <c:yMode val="edge"/>
          <c:x val="0.663996337834745"/>
          <c:y val="0.0449243561612195"/>
          <c:w val="0.332570382238498"/>
          <c:h val="0.922623859568079"/>
        </c:manualLayout>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
    <c:plotVisOnly val="1"/>
    <c:dispBlanksAs val="gap"/>
    <c:showDLblsOverMax val="0"/>
    <c:extLst>
      <c:ext uri="{0b15fc19-7d7d-44ad-8c2d-2c3a37ce22c3}">
        <chartProps xmlns="https://web.wps.cn/et/2018/main" chartId="{6c406740-a50d-46af-9c42-229f3707feeb}"/>
      </c:ext>
    </c:extLst>
  </c:chart>
  <c:spPr>
    <a:solidFill>
      <a:schemeClr val="bg1"/>
    </a:solidFill>
    <a:ln w="6350" cap="flat" cmpd="sng" algn="ctr">
      <a:solidFill>
        <a:schemeClr val="tx1">
          <a:lumMod val="50000"/>
          <a:lumOff val="50000"/>
          <a:alpha val="25000"/>
        </a:schemeClr>
      </a:solidFill>
      <a:round/>
    </a:ln>
    <a:effectLst>
      <a:outerShdw blurRad="63500" dist="37357" dir="2700000" sx="0" sy="0" rotWithShape="0">
        <a:scrgbClr r="0" g="0" b="0"/>
      </a:outerShdw>
    </a:effectLst>
  </c:spPr>
  <c:txPr>
    <a:bodyPr/>
    <a:lstStyle/>
    <a:p>
      <a:pPr>
        <a:defRPr lang="zh-CN">
          <a:solidFill>
            <a:schemeClr val="tx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10090">
  <cs:axisTitle>
    <cs:lnRef idx="0"/>
    <cs:fillRef idx="0"/>
    <cs:effectRef idx="0"/>
    <cs:fontRef idx="minor">
      <a:schemeClr val="dk1">
        <a:lumMod val="65000"/>
        <a:lumOff val="35000"/>
      </a:schemeClr>
    </cs:fontRef>
    <cs:defRPr sz="10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lt1">
          <a:lumMod val="96000"/>
        </a:schemeClr>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hueOff val="-1670000"/>
            </a:schemeClr>
          </a:gs>
          <a:gs pos="100000">
            <a:schemeClr val="phClr"/>
          </a:gs>
        </a:gsLst>
        <a:lin ang="5400000" scaled="0"/>
      </a:gradFill>
      <a:ln>
        <a:gradFill>
          <a:gsLst>
            <a:gs pos="0">
              <a:schemeClr val="phClr">
                <a:lumMod val="75000"/>
                <a:hueOff val="-1670000"/>
              </a:schemeClr>
            </a:gs>
            <a:gs pos="100000">
              <a:schemeClr val="phClr">
                <a:lumMod val="75000"/>
              </a:schemeClr>
            </a:gs>
          </a:gsLst>
          <a:lin ang="5400000" scaled="1"/>
        </a:gradFill>
      </a:ln>
      <a:effectLst/>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a:solidFill>
          <a:schemeClr val="dk1">
            <a:lumMod val="35000"/>
            <a:lumOff val="65000"/>
          </a:schemeClr>
        </a:solidFill>
      </a:ln>
    </cs:spPr>
  </cs:dropLine>
  <cs:errorBar>
    <cs:lnRef idx="0"/>
    <cs:fillRef idx="0"/>
    <cs:effectRef idx="0"/>
    <cs:fontRef idx="minor">
      <a:schemeClr val="tx1"/>
    </cs:fontRef>
    <cs:spPr>
      <a:ln w="9525" cap="flat" cmpd="sng" algn="ctr">
        <a:solidFill>
          <a:schemeClr val="dk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a:solidFill>
          <a:schemeClr val="dk1">
            <a:lumMod val="75000"/>
            <a:lumOff val="25000"/>
          </a:schemeClr>
        </a:solidFill>
      </a:ln>
    </cs:spPr>
  </cs:hiLoLine>
  <cs:leaderLine>
    <cs:lnRef idx="0"/>
    <cs:fillRef idx="0"/>
    <cs:effectRef idx="0"/>
    <cs:fontRef idx="minor">
      <a:schemeClr val="tx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tx1"/>
    </cs:fontRef>
    <cs:spPr>
      <a:ln w="9525">
        <a:solidFill>
          <a:schemeClr val="dk1">
            <a:lumMod val="35000"/>
            <a:lumOff val="65000"/>
          </a:schemeClr>
        </a:solidFill>
      </a:ln>
    </cs:spPr>
  </cs:seriesLine>
  <cs:title>
    <cs:lnRef idx="0"/>
    <cs:fillRef idx="0"/>
    <cs:effectRef idx="0"/>
    <cs:fontRef idx="minor">
      <a:schemeClr val="dk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78"/>
    <customShpInfo spid="_x0000_s2106"/>
    <customShpInfo spid="_x0000_s2107"/>
    <customShpInfo spid="_x0000_s2112"/>
    <customShpInfo spid="_x0000_s2113"/>
    <customShpInfo spid="_x0000_s2115"/>
    <customShpInfo spid="_x0000_s2116"/>
    <customShpInfo spid="_x0000_s2137"/>
  </customShpExts>
</s:customData>
</file>

<file path=customXml/item2.xml><?xml version="1.0" encoding="utf-8"?>
<Root xmlns="http://www.founder.com/ProofFile">
  <Root proofFileId="657bc017-b1c6-4ceb-aa32-f351860f5773" proofVersionId="5"/>
</Root>
</file>

<file path=customXml/item3.xml><?xml version="1.0" encoding="utf-8"?>
<ReviewRoot xmlns="http://www.founder.com/style">
  <Review xmlPath="d:\Documents\方正审校\Temp\Space\20241104\wordStyle\ccf372a0-8673-4216-bd24-09931bc6012f.xml" httpUrl="https://gateway.book.founderss.cn/book-review-api/api/doc/d49af5ce-79ce-43d2-acad-ca8132533290/docx"/>
</ReviewRoot>
</file>

<file path=customXml/item4.xml><?xml version="1.0" encoding="utf-8"?>
<ReviewRoot xmlns="http://www.founder.com/review">
  <DuplicateChecking Path="C:\Users\Administrator\AppData\Local\Temp\7ead6b5e-dcc2-48d1-a329-f3f99a1d5f94.xml"/>
  <Review inspectType="易错词检查" inspectCategory="错误" amend="0" rule="" lookup="2020—2035" content="2020-2035" source="来源：注意“一字线”正确书写" errorType="1" AllIndex="0" context="为更好地贯彻落实国家、江苏省、南京市和江宁区有关要求，加快推进江宁经济技术开发区产业结构调整和产业布局优化，提升区域环境承载力，促进开发区全面协调可持续发展，江宁经济技术开发区管委会决定组织编制《江宁经济技术开发区总体发展规划（2020-2035）》，并重新开展规划环境影响评价工作，规划范围和面积同上一轮规划环评，即348.7平方公里，于2022年4月25日获得中华人民共和国生态环境部的审查意见（环审〔2022〕46号）。" id="2180452" bkName="bkReivew2180452" note="0" index="25"/>
  <Review inspectType="易错词检查" inspectCategory="错误" amend="0" rule="" lookup="2020—2035" content="2020-2035" source="来源：注意“一字线”正确书写" errorType="1" AllIndex="0" context="由于江宁经济技术开发区更新了区域规划和规划环评，现状监测数据已满3年，本次区域评估修订主要对现状监测数据进行了更新，以及对照最新的《江宁经济技术开发区总体发展规划（2020-2035）环境影响报告书》中相关调整的内容进行更新。" id="1002610" bkName="bkReivew1002610" note="0" index="25"/>
  <Review inspectType="易错词检查" inspectCategory="错误" amend="0" rule="" lookup="2020—2035" content="2020-2035" source="来源：注意“一字线”正确书写" errorType="1" AllIndex="0" context="《江宁经济技术开发区总体发展规划（2020-2035）》" id="1013546" bkName="bkReivew1013546" note="0" index="17"/>
  <Review inspectType="易错词检查" inspectCategory="错误" amend="0" rule="" lookup="2020—2035" content="2020-2035" source="来源：注意“一字线”正确书写" errorType="1" AllIndex="0" context="规划期限：2020-2035年，其中近期：2020-2025年，远期：2026-2035年；" id="2080222" bkName="bkReivew2080222" note="0" index="5"/>
  <Review inspectType="易错词检查" inspectCategory="错误" amend="0" rule="" lookup="园" content="元" source="" errorType="0" AllIndex="0" context="规划至2030年江宁经济技术开发区的总体空间结构为：“1核2元、2轴连心、3楔2廊、分片统筹”" id="3011103" bkName="bkReivew3011103" note="0" index="25"/>
  <Review inspectType="易错词检查" inspectCategory="错误" amend="0" rule="" lookup="园" content="元" source="" errorType="0" AllIndex="0" context="规划至2035年江宁经济技术开发区的总体空间结构为：“1核2元、2轴连心、3楔2廊、分片统筹”。" id="2040640" bkName="bkReivew2040640" note="0" index="25"/>
  <Review inspectType="标点符号检查" inspectCategory="可疑" amend="0" rule="" lookup="建议修改为可书写在段首的标点符号" content="/" source="" errorType="102" AllIndex="0" context="/" id="1101442" bkName="bkReivew1101442" note="0" index="0"/>
  <Review inspectType="易错词检查" inspectCategory="错误" amend="0" rule="" lookup="版" content="本" source="" errorType="0" AllIndex="0" context="后续可入区建设项目均符合开发区规划产业定位，以及《产业结构调整指导目录》（2024年本）、《外商投资准入特别管理措施（负面清单）》（2021年版）《鼓励外商投资产业目录》（2022年版）等相关产业政策。" id="2011626" bkName="bkReivew2011626" note="0" index="25"/>
  <Review inspectType="易错词检查" inspectCategory="错误" amend="0" rule="" lookup="公审" content="公参" source="" errorType="0" AllIndex="0" context="同时对于符合规划审查意见的项目可适当简化公参方式、加快评估流程、压缩审批时限，达到优化环评审批流程目的。" id="3151103" bkName="bkReivew3151103" note="0" index="25"/>
  <Review inspectType="易错词检查" inspectCategory="错误" amend="0" rule="" lookup="2020—2035" content="2020-2035" source="来源：注意“一字线”正确书写" errorType="1" AllIndex="0" context="(24)《江宁经济技术开发区总体发展规划（2020-2035）环境影响报告书》；" id="152140" bkName="bkReivew152140" note="0" index="21"/>
  <Review inspectType="易错词检查" inspectCategory="错误" amend="0" rule="" lookup="2020—2035" content="2020-2035" source="来源：注意“一字线”正确书写" errorType="1" AllIndex="0" context="（25）关于《江宁经济技术开发区总体发展规划（2020-2035）环境影响报告书》的审查意见，环审〔2022〕46号。" id="1060603" bkName="bkReivew1060603" note="0" index="23"/>
  <Review inspectType="标点符号检查" inspectCategory="错误" amend="0" rule="" lookup="圆括号不成对，请注意核查。" content="（" source="" errorType="103" AllIndex="0" context="根据《声环境质量标准》（GB3096-2008）及《市政府关于批转市环保局〈南京市声环境功能区划分调整方案〉的通知》（宁政发〔2014〕34号），本次评价范围秣陵集镇（欣旺花苑二期北-兴旺路-龙秣路-秣隆农行-秣陵初级中学-双龙大道-苏源大道南段-秣周中路-阳山河-双龙大道金杓桥-双龙大道-正方东路-天秣路）、百家湖街道（秦淮河河定桥-天元中路-秦淮河大桥-青沙嘴-新河村-双龙大道-苏源大道-将军大道一麻田路-秦淮路-双龙大道-河定桥（扣除百家湖片：双龙大道-天元西路-利源中路-胜太路-双龙大道）、东善桥集镇（将军大道吉印大道口-秣周中路口-基督教东善桥教堂-东虹花苑东-东善桥中心幼儿园-丹阳大道-丹阳大道铁路口-东阁街西头-吉印大道-将军大道）执行2类标准；" id="173811" bkName="bkReivew173811" note="0" index="25"/>
  <Review inspectType="易错词检查" inspectCategory="错误" amend="0" rule="" lookup="-丹阳大道" content="-丹阳大道-丹阳大道" source="" errorType="0" AllIndex="0" context="根据《声环境质量标准》（GB3096-2008）及《市政府关于批转市环保局〈南京市声环境功能区划分调整方案〉的通知》（宁政发〔2014〕34号），本次评价范围秣陵集镇（欣旺花苑二期北-兴旺路-龙秣路-秣隆农行-秣陵初级中学-双龙大道-苏源大道南段-秣周中路-阳山河-双龙大道金杓桥-双龙大道-正方东路-天秣路）、百家湖街道（秦淮河河定桥-天元中路-秦淮河大桥-青沙嘴-新河村-双龙大道-苏源大道-将军大道一麻田路-秦淮路-双龙大道-河定桥（扣除百家湖片：双龙大道-天元西路-利源中路-胜太路-双龙大道）、东善桥集镇（将军大道吉印大道口-秣周中路口-基督教东善桥教堂-东虹花苑东-东善桥中心幼儿园-丹阳大道-丹阳大道铁路口-东阁街西头-吉印大道-将军大道）执行2类标准；" id="1150316" bkName="bkReivew1150316" note="0" index="25"/>
  <Review inspectType="易错词检查" inspectCategory="错误" amend="0" rule="" lookup="物" content="雾" source="" errorType="0" AllIndex="0" context="氨、苯、硫酸雾、氯化氢、硫化氢参照执行《环境影响评价技术导则 大气环境》（HJ2.2—2018）附录D其他污染物空气质量浓度参考限值；" id="20656" bkName="bkReivew20656" note="0" index="25"/>
  <Review inspectType="标点符号检查" inspectCategory="可疑" amend="0" rule="" lookup="建议修改为可书写在段首的标点符号" content="-" source="" errorType="102" AllIndex="0" context="-" id="171316" bkName="bkReivew171316" note="0" index="0"/>
  <Review inspectType="标点符号检查" inspectCategory="可疑" amend="0" rule="" lookup="建议修改为可书写在段首的标点符号" content="-" source="" errorType="102" AllIndex="0" context="-" id="3021624" bkName="bkReivew3021624" note="0" index="0"/>
  <Review inspectType="易错词检查" inspectCategory="错误" amend="0" rule="" lookup="燃料" content="染料" source="" errorType="0" AllIndex="0" context="碳黑尘、染料尘" id="141734" bkName="bkReivew141734" note="0" index="4"/>
  <Review inspectType="易错词检查" inspectCategory="错误" amend="0" rule="" lookup="须" content="需" source="" errorType="0" AllIndex="0" context="a原辅材料成分含硫的，需监控该项目。" id="3112850" bkName="bkReivew3112850" note="0" index="11"/>
  <Review inspectType="易错词检查" inspectCategory="错误" amend="0" rule="" lookup="标" content="表" source="" errorType="0" AllIndex="0" context="当企业废水排向其他污水集中处理设施时，第1-8项指标可协商确定间接排放限值，未协商的指标以及第9-21项指标执行本表规定的间接排放限值。" id="3061414" bkName="bkReivew3061414" note="0" index="25"/>
  <Review inspectType="易错词检查" inspectCategory="错误" amend="0" rule="" lookup="的" content="了" source="" errorType="0" AllIndex="0" context="同步开展了规划环评工作于2015年10月12日获得原环境保护部的审查意见（环审〔2015〕210号）。" id="3083540" bkName="bkReivew3083540" note="0" index="25"/>
  <Review inspectType="易错词检查" inspectCategory="错误" amend="0" rule="" lookup="2020—2035" content="2020-2035" source="来源：注意“一字线”正确书写" errorType="1" AllIndex="0" context="2022年2月，江宁经济技术开发区管理委员会委托南京大学环境规划设计研究院集团股份公司编制《江宁经济技术开发区总体发展规划（2020-2035）环境影响报告书》，于2022年4月25日获得生态环境部审查意见（环审〔2022〕46号）。" id="181503" bkName="bkReivew181503" note="0" index="25"/>
  <Review inspectType="易错词检查" inspectCategory="错误" amend="0" rule="" lookup="2020—2035" content="2020-2035" source="来源：注意“一字线”正确书写" errorType="1" AllIndex="0" context="根据《江宁经济技术开发区总体发展规划（2020-2035）环境影响报告书》，江宁经济技术开发区规划范围为东至青龙山-大连山，东南至汤铜公路，南至禄口新城、城市三环，西至吉山及吉山水库，和牛首山、祖堂山沿线，北至秦淮新河、东山老城和上坊地区，规划面积为348.7平方公里。" id="21334" bkName="bkReivew21334" note="0" index="19"/>
  <Review inspectType="易错词检查" inspectCategory="错误" amend="0" rule="" lookup="2020—2035" content="2020-2035" source="来源：注意“一字线”正确书写" errorType="1" AllIndex="0" context="本次规划分析依据《江宁经济技术开发区总体发展规划（2020-2035）环境影响报告书》进行分析。" id="141225" bkName="bkReivew141225" note="0" index="25"/>
  <Review inspectType="易错词检查" inspectCategory="错误" amend="0" rule="" lookup="2020—2035" content="2020-2035" source="来源：注意“一字线”正确书写" errorType="1" AllIndex="0" context="根据《江宁经济技术开发区总体发展规划（2020-2035）环境影响报告书》，江宁经济技术开发区分为江南主城东山片区、淳化-湖熟片区和禄口空港片区。" id="3162702" bkName="bkReivew3162702" note="0" index="19"/>
  <Review inspectType="易错词检查" inspectCategory="错误" amend="0" rule="" lookup="2020—2035" content="2020-2035" source="来源：注意“一字线”正确书写" errorType="1" AllIndex="0" context="根据《江宁经济技术开发区总体发展规划（2020-2035）环境影响报告书》，江宁经济技术开发区整体产业定位为：打造地标产业、壮大新兴产业、提升现代服务业，前瞻布局未来产业，构建形成包含绿色智能汽车、新一代信息技术、智能制造、智能电网四大主导产业；" id="2153424" bkName="bkReivew2153424" note="0" index="19"/>
  <Review inspectType="标点符号检查" inspectCategory="可疑" amend="0" rule="" lookup="建议修改为可书写在段首的标点符号" content="/" source="" errorType="102" AllIndex="0" context="/" id="3103805" bkName="bkReivew3103805" note="0" index="0"/>
  <Review inspectType="易错词检查" inspectCategory="错误" amend="0" rule="" lookup="免责" content="负责" source="" errorType="0" AllIndex="0" context="污水处理厂出水负责原则" id="1122153" bkName="bkReivew1122153" note="0" index="7"/>
  <Review inspectType="标点符号检查" inspectCategory="可疑" amend="0" rule="" lookup="建议修改为可书写在段尾的标点符号" content="，" source="" errorType="102" AllIndex="0" context="新增220KV变电站电源进线就近接入220KV环网，走廊路径结合规划道路，减少对建设用地的影响，" id="33036" bkName="bkReivew33036" note="0" index="25"/>
  <Review inspectType="易错词检查" inspectCategory="错误" amend="0" rule="" lookup="2020—2035" content="2020-2035" source="来源：注意“一字线”正确书写" errorType="1" AllIndex="0" context="根据《江宁经济技术开发区总体发展规划（2020-2035）环境影响报告书》，本次评估范围属于江南主城东山片区，准入清单见下表：" id="12732" bkName="bkReivew12732" note="0" index="19"/>
  <Review inspectType="易错词检查" inspectCategory="错误" amend="0" rule="" lookup="一般说遇到瓶颈、陷入瓶颈、打破瓶颈、突破瓶颈" content="制约" source="" errorType="1" AllIndex="0" context="重点突破制约续航里程技术瓶颈，鼓励发展轻量化车身等关键材料。" id="52156" bkName="bkReivew52156" note="0" index="25"/>
  <Review inspectType="易错词检查" inspectCategory="错误" amend="0" rule="" lookup="版" content="本" source="" errorType="0" AllIndex="0" context="规划实施后，后续可入区建设项目均符合开发区规划产业定位，以及《产业结构调整指导目录》（2024年本）、《外商投资准入特别管理措施（负面清单）》（2021年版）《鼓励外商投资产业目录》（2022年版）等相关产业政策。" id="30524" bkName="bkReivew30524" note="0" index="25"/>
  <Review inspectType="易错词检查" inspectCategory="错误" amend="0" rule="" lookup="清淤" content="清疏" source="" errorType="0" AllIndex="0" context="累计排查企事业单位排水户441家，完成园区范围内268公里污水管网清疏检测工作，同步进入常态化管养。" id="2052426" bkName="bkReivew2052426" note="0" index="25"/>
  <Review inspectType="易错词检查" inspectCategory="错误" amend="0" rule="" lookup="处治" content="处置" source="" errorType="1" AllIndex="0" context="持续开展工业企业固废危废排查整治行动，2023年度，在2022年未发现典型问题和重大隐患的基础上，继续对157家企业开展持续性固危废精细化行动，进一步规范企业收集、转移、贮存、处置危险废物的各个环节，未发现典型问题和重大隐患。" id="1151206" bkName="bkReivew1151206" note="0" index="25"/>
  <Review inspectType="易错词检查" inspectCategory="错误" amend="0" rule="" lookup="2020—2035" content="2020-2035" source="来源：注意“一字线”正确书写" errorType="1" AllIndex="0" context="于2022年4月获生态环境部《关于江宁经济技术开发区总体发展规划（2020-2035）环境影响报告书的审查意见》（环审〔2022〕46号），目前尚未达开展跟踪评价时限，后续江宁开发区将严格按照《规划环境影响评价条例》等相关要求，开展修编及跟踪评价工作。" id="2101346" bkName="bkReivew2101346" note="0" index="25"/>
  <Review inspectType="易错词检查" inspectCategory="错误" amend="0" rule="" lookup="交会" content="交汇" source="" errorType="0" AllIndex="0" context="江宁开发区地处沿海和长江经济带发展带的交汇处，位于华东中心城市南京市都市圈内，距市中心仅7公里，是南京主城发展的核心区域。" id="30312" bkName="bkReivew30312" note="0" index="19"/>
  <Review inspectType="易错词检查" inspectCategory="错误" amend="0" rule="" lookup="地" content="的" source="" errorType="0" AllIndex="0" context="江宁区地貌由南向北明显的可分为三带：一是西南部低山丘陵；" id="2140701" bkName="bkReivew2140701" note="0" index="25"/>
  <Review inspectType="易错词检查" inspectCategory="错误" amend="0" rule="" lookup="总体" content="总的" source="" errorType="0" AllIndex="0" context="西南区地质构造十分复杂，皱褶断裂构造形成于燕山期，总的具有近似等距的网状格局。" id="3171453" bkName="bkReivew3171453" note="0" index="25"/>
  <Review inspectType="易错词检查" inspectCategory="错误" amend="0" rule="" lookup="纪录" content="记录" source="" errorType="0" AllIndex="0" context="秦淮新河是1975年开挖的一条河流，东起河定桥，西至双闸入长江，全长18公里，是一条人工挖掘的闸控河流，关闸100天以上记录为两年一遇，最枯水位5.12m，平均水位7.65m，年最大流量500m3/s，平均流量为309930m3/d。" id="2180406" bkName="bkReivew2180406" note="0" index="25"/>
  <Review inspectType="易错词检查" inspectCategory="错误" amend="0" rule="" lookup="检" content="监" source="" errorType="0" AllIndex="0" context="（1）监测点布设" id="2052355" bkName="bkReivew2052355" note="0" index="3"/>
  <Review inspectType="易错词检查" inspectCategory="错误" amend="0" rule="" lookup="物" content="雾" source="" errorType="0" AllIndex="0" context="TSP、NOX、HCl、H2S、NH3、氟化物、苯、硫酸雾、非甲烷总烃，同时记录风向、风速、温度、气压等气象参数" id="3003356" bkName="bkReivew3003356" note="0" index="25"/>
  <Review inspectType="易错词检查" inspectCategory="错误" amend="0" rule="" lookup="物" content="雾" source="" errorType="0" AllIndex="0" context="已测氯化氢、氟化物、氨、硫酸雾" id="3072430" bkName="bkReivew3072430" note="0" index="14"/>
  <Review inspectType="易错词检查" inspectCategory="错误" amend="0" rule="" lookup="物" content="雾" source="" errorType="0" AllIndex="0" context="已测氯化氢、氟化物、硫化氢、氨、苯、硫酸雾" id="2113345" bkName="bkReivew2113345" note="0" index="20"/>
  <Review inspectType="易错词检查" inspectCategory="错误" amend="0" rule="" lookup="物" content="雾" source="" errorType="0" AllIndex="0" context="TSP（需测日均）、NOX、HCl、H2S、NH3、氟化物、硫酸雾、苯、非甲烷总烃连续7天，其1小时浓度值每天监测4次，获取当地时间02、08、14、20时4个小时浓度值（每小时至少有45分钟采样时间）。" id="1163013" bkName="bkReivew1163013" note="0" index="25"/>
  <Review inspectType="易错词检查" inspectCategory="错误" amend="0" rule="" lookup="物" content="雾" source="" errorType="0" AllIndex="0" context="NOX、HCl、H2S、NH3、氟化物、硫酸雾、苯、非甲烷总烃" id="2163730" bkName="bkReivew2163730" note="0" index="22"/>
  <Review inspectType="易错词检查" inspectCategory="错误" amend="0" rule="" lookup="检测" content="监测" source="" errorType="0" AllIndex="0" context="（4）监测时间" id="2172406" bkName="bkReivew2172406" note="0" index="3"/>
  <Review inspectType="易错词检查" inspectCategory="错误" amend="0" rule="" lookup="位" content="位位" source="" errorType="0" AllIndex="0" context="引用监测报告基本情况如下表所示，监测点位位于评估范围内，且时间未超过三年，因此监测数据可以引用。" id="2020734" bkName="bkReivew2020734" note="0" index="19"/>
  <Review inspectType="易错词检查" inspectCategory="错误" amend="0" rule="" lookup="物" content="雾" source="" errorType="0" AllIndex="0" context="硫酸雾、氯化氢、氟化物、氨" id="52100" bkName="bkReivew52100" note="0" index="2"/>
  <Review inspectType="标点符号检查" inspectCategory="可疑" amend="0" rule="" lookup="套用错误" content="（" source="" errorType="106" AllIndex="0" context="《江宁经济技术开发区环境质量跟踪监测》（报告编号：（2024）环检（综）字第（H0002）号）" id="161254" bkName="bkReivew161254" note="0" index="25"/>
  <Review inspectType="标点符号检查" inspectCategory="可疑" amend="0" rule="" lookup="套用错误" content="）" source="" errorType="106" AllIndex="0" context="《江宁经济技术开发区环境质量跟踪监测》（报告编号：（2024）环检（综）字第（H0002）号）" id="1112406" bkName="bkReivew1112406" note="0" index="25"/>
  <Review inspectType="标点符号检查" inspectCategory="可疑" amend="0" rule="" lookup="套用错误" content="（" source="" errorType="106" AllIndex="0" context="《江宁经济技术开发区环境质量跟踪监测》（报告编号：（2024）环检（综）字第（H0002）号）" id="151255" bkName="bkReivew151255" note="0" index="25"/>
  <Review inspectType="标点符号检查" inspectCategory="可疑" amend="0" rule="" lookup="套用错误" content="）" source="" errorType="106" AllIndex="0" context="《江宁经济技术开发区环境质量跟踪监测》（报告编号：（2024）环检（综）字第（H0002）号）" id="1003221" bkName="bkReivew1003221" note="0" index="25"/>
  <Review inspectType="标点符号检查" inspectCategory="可疑" amend="0" rule="" lookup="套用错误" content="（" source="" errorType="106" AllIndex="0" context="《江宁经济技术开发区环境质量跟踪监测》（报告编号：（2024）环检（综）字第（H0002）号）" id="2043550" bkName="bkReivew2043550" note="0" index="25"/>
  <Review inspectType="标点符号检查" inspectCategory="可疑" amend="0" rule="" lookup="套用错误" content="）" source="" errorType="106" AllIndex="0" context="《江宁经济技术开发区环境质量跟踪监测》（报告编号：（2024）环检（综）字第（H0002）号）" id="3071021" bkName="bkReivew3071021" note="0" index="25"/>
  <Review inspectType="易错词检查" inspectCategory="错误" amend="0" rule="" lookup="物" content="雾" source="" errorType="0" AllIndex="0" context="硫酸雾、氯化氢、氟化物、硫化氢、氨、苯" id="10603" bkName="bkReivew10603" note="0" index="2"/>
  <Review inspectType="易错词检查" inspectCategory="错误" amend="0" rule="" lookup="物" content="雾" source="" errorType="0" AllIndex="0" context="氨、苯、氯化氢、硫化氢、硫酸雾浓度符合《环境影响评价技术导则 大气环境》（HJ2.2-2018）附录D 其他污染物空气质量浓度限值；" id="1080626" bkName="bkReivew1080626" note="0" index="25"/>
  <Review inspectType="易错词检查" inspectCategory="错误" amend="0" rule="" lookup="物" content="雾" source="" errorType="0" AllIndex="0" context="根据监测数据，TSP、NOx、氟化物、苯、非甲烷总烃、氯化氢、氨、硫化氢、硫酸雾等浓度均满足相关环境质量标准。" id="1183846" bkName="bkReivew1183846" note="0" index="25"/>
  <Review inspectType="易错词检查" inspectCategory="错误" amend="0" rule="" lookup="控" content="考" source="" errorType="0" AllIndex="0" context="表6.3-13  洋桥国考断面近期水质评价结果（单位：mg/L）" id="3082250" bkName="bkReivew3082250" note="0" index="12"/>
  <Review inspectType="易错词检查" inspectCategory="错误" amend="0" rule="" lookup="于" content="与" source="" errorType="0" AllIndex="0" context="距与秦淮河交界处1000m" id="130534" bkName="bkReivew130534" note="0" index="1"/>
  <Review inspectType="易错词检查" inspectCategory="错误" amend="0" rule="" lookup="交会" content="交汇" source="" errorType="0" AllIndex="0" context="与秦淮新河交汇处上游300米" id="1120132" bkName="bkReivew1120132" note="0" index="5"/>
  <Review inspectType="易错词检查" inspectCategory="错误" amend="0" rule="" lookup="交会" content="交汇" source="" errorType="0" AllIndex="0" context="与南京三环线交汇处" id="2000132" bkName="bkReivew2000132" note="0" index="6"/>
  <Review inspectType="标点符号检查" inspectCategory="可疑" amend="0" rule="" lookup="套用错误" content="（" source="" errorType="106" AllIndex="0" context="引用报告来源于《江宁经济技术开发区环境质量跟踪监测》（报告编号：（2024）环检（综）字第（H0002）号）中百家湖（白龙桥W1）、九龙湖（五库桥W2）pH、水温、透明度、溶解氧、高锰酸盐指数、化学需氧量、五日生化需氧量、氨氮、总磷、总氮、石油类、硫化物、氟化物、挥发酚、阴离子表面活性剂、铅、镉、锌、砷、六价铬、镍、锰数据，检测时间为2024年5月7日。" id="3012426" bkName="bkReivew3012426" note="0" index="25"/>
  <Review inspectType="标点符号检查" inspectCategory="可疑" amend="0" rule="" lookup="套用错误" content="）" source="" errorType="106" AllIndex="0" context="引用报告来源于《江宁经济技术开发区环境质量跟踪监测》（报告编号：（2024）环检（综）字第（H0002）号）中百家湖（白龙桥W1）、九龙湖（五库桥W2）pH、水温、透明度、溶解氧、高锰酸盐指数、化学需氧量、五日生化需氧量、氨氮、总磷、总氮、石油类、硫化物、氟化物、挥发酚、阴离子表面活性剂、铅、镉、锌、砷、六价铬、镍、锰数据，检测时间为2024年5月7日。" id="3825" bkName="bkReivew3825" note="0" index="25"/>
  <Review inspectType="标点符号检查" inspectCategory="可疑" amend="0" rule="" lookup="套用错误" content="（" source="" errorType="106" AllIndex="0" context="引用报告来源于《江宁经济技术开发区环境质量跟踪监测》（报告编号：（2024）环检（综）字第（H0002）号）中百家湖（白龙桥W1）、九龙湖（五库桥W2）pH、水温、透明度、溶解氧、高锰酸盐指数、化学需氧量、五日生化需氧量、氨氮、总磷、总氮、石油类、硫化物、氟化物、挥发酚、阴离子表面活性剂、铅、镉、锌、砷、六价铬、镍、锰数据，检测时间为2024年5月7日。" id="63803" bkName="bkReivew63803" note="0" index="25"/>
  <Review inspectType="标点符号检查" inspectCategory="可疑" amend="0" rule="" lookup="套用错误" content="）" source="" errorType="106" AllIndex="0" context="引用报告来源于《江宁经济技术开发区环境质量跟踪监测》（报告编号：（2024）环检（综）字第（H0002）号）中百家湖（白龙桥W1）、九龙湖（五库桥W2）pH、水温、透明度、溶解氧、高锰酸盐指数、化学需氧量、五日生化需氧量、氨氮、总磷、总氮、石油类、硫化物、氟化物、挥发酚、阴离子表面活性剂、铅、镉、锌、砷、六价铬、镍、锰数据，检测时间为2024年5月7日。" id="3100532" bkName="bkReivew3100532" note="0" index="25"/>
  <Review inspectType="标点符号检查" inspectCategory="可疑" amend="0" rule="" lookup="套用错误" content="（" source="" errorType="106" AllIndex="0" context="引用报告来源于《江宁经济技术开发区环境质量跟踪监测》（报告编号：（2024）环检（综）字第（H0002）号）中百家湖（白龙桥W1）、九龙湖（五库桥W2）pH、水温、透明度、溶解氧、高锰酸盐指数、化学需氧量、五日生化需氧量、氨氮、总磷、总氮、石油类、硫化物、氟化物、挥发酚、阴离子表面活性剂、铅、镉、锌、砷、六价铬、镍、锰数据，检测时间为2024年5月7日。" id="3123353" bkName="bkReivew3123353" note="0" index="25"/>
  <Review inspectType="标点符号检查" inspectCategory="可疑" amend="0" rule="" lookup="套用错误" content="）" source="" errorType="106" AllIndex="0" context="引用报告来源于《江宁经济技术开发区环境质量跟踪监测》（报告编号：（2024）环检（综）字第（H0002）号）中百家湖（白龙桥W1）、九龙湖（五库桥W2）pH、水温、透明度、溶解氧、高锰酸盐指数、化学需氧量、五日生化需氧量、氨氮、总磷、总氮、石油类、硫化物、氟化物、挥发酚、阴离子表面活性剂、铅、镉、锌、砷、六价铬、镍、锰数据，检测时间为2024年5月7日。" id="2111202" bkName="bkReivew2111202" note="0" index="25"/>
  <Review inspectType="易错词检查" inspectCategory="错误" amend="0" rule="" lookup="位" content="位位" source="" errorType="0" AllIndex="0" context="监测点位位于评估范围内，且时间未超过三年，因此监测数据可以引用。" id="3121733" bkName="bkReivew3121733" note="0" index="25"/>
  <Review inspectType="易错词检查" inspectCategory="错误" amend="0" rule="" lookup="检测方法" content="监测方法" source="" errorType="0" AllIndex="0" context="（3）监测方法" id="1173720" bkName="bkReivew1173720" note="0" index="3"/>
  <Review inspectType="易错词检查" inspectCategory="错误" amend="0" rule="" lookup="水体" content="水温" source="" errorType="0" AllIndex="0" context="DOf：为该水温的饱和溶解氧值，mg/L；" id="1152601" bkName="bkReivew1152601" note="0" index="6"/>
  <Review inspectType="易错词检查" inspectCategory="错误" amend="0" rule="" lookup="检测方法" content="监测方法" source="" errorType="0" AllIndex="0" context="（3）监测方法" id="3111003" bkName="bkReivew3111003" note="0" index="3"/>
  <Review inspectType="易错词检查" inspectCategory="错误" amend="0" rule="" lookup="检测方法" content="监测方法" source="" errorType="0" AllIndex="0" context="监测方法为《声环境质量标准》（GB3096-2008）中规定的方法。" id="173623" bkName="bkReivew173623" note="0" index="0"/>
  <Review inspectType="易错词检查" inspectCategory="错误" amend="0" rule="" lookup="检测结果" content="监测结果" source="" errorType="0" AllIndex="0" context="（4）监测结果" id="1143425" bkName="bkReivew1143425" note="0" index="3"/>
  <Review inspectType="易错词检查" inspectCategory="错误" amend="0" rule="" lookup="检" content="监" source="" errorType="0" AllIndex="0" context="各监测点噪声的监测、评价结果见表6.3-17-表6.3-18。" id="172702" bkName="bkReivew172702" note="0" index="1"/>
  <Review inspectType="易错词检查" inspectCategory="错误" amend="0" rule="" lookup="例子" content="离子" source="" errorType="0" AllIndex="0" context="八大离子：K+、Na+、Ca2+、Mg2+、CO32-、HCO3-、Cl-、SO42-；" id="1150310" bkName="bkReivew1150310" note="0" index="2"/>
  <Review inspectType="易错词检查" inspectCategory="错误" amend="0" rule="" lookup="大粒子" content="大离子" source="" errorType="0" AllIndex="0" context="监测因子：本次监测的监测因子为八大离子：K+、Na+、Ca2+、Mg2+、CO32-、HCO3-、Cl-、SO42-；" id="3042825" bkName="bkReivew3042825" note="0" index="16"/>
  <Review inspectType="易错词检查" inspectCategory="错误" amend="0" rule="" lookup="位" content="位位" source="" errorType="0" AllIndex="0" context="监测点位位于评估范围内，且时间未超过三年，因此监测数据可以引用。" id="30113" bkName="bkReivew30113" note="0" index="25"/>
  <Review inspectType="易错词检查" inspectCategory="错误" amend="0" rule="" lookup="检测方法" content="监测方法" source="" errorType="0" AllIndex="0" context="（3）监测方法" id="2020055" bkName="bkReivew2020055" note="0" index="3"/>
  <Review inspectType="易错词检查" inspectCategory="错误" amend="0" rule="" lookup="检测" content="监测" source="" errorType="0" AllIndex="0" context="（1）监测点位" id="1123244" bkName="bkReivew1123244" note="0" index="3"/>
  <Review inspectType="易错词检查" inspectCategory="错误" amend="0" rule="" lookup="检" content="监" source="" errorType="0" AllIndex="0" context="监测点位置" id="1162713" bkName="bkReivew1162713" note="0" index="0"/>
  <Review inspectType="标点符号检查" inspectCategory="可疑" amend="0" rule="" lookup="套用错误" content="（" source="" errorType="106" AllIndex="0" context="引用报告分别来源于《江宁经济技术开发区环境质量跟踪监测》（报告编号：（2024）环检（综）字第（H0002）号）中九龙湖T1土壤检测数据，检测时间为2024年3月29日，监测点位位于评估范围内，且时间未超过三年，因此检测数据可以引用。" id="2061321" bkName="bkReivew2061321" note="0" index="25"/>
  <Review inspectType="标点符号检查" inspectCategory="可疑" amend="0" rule="" lookup="套用错误" content="）" source="" errorType="106" AllIndex="0" context="引用报告分别来源于《江宁经济技术开发区环境质量跟踪监测》（报告编号：（2024）环检（综）字第（H0002）号）中九龙湖T1土壤检测数据，检测时间为2024年3月29日，监测点位位于评估范围内，且时间未超过三年，因此检测数据可以引用。" id="2182741" bkName="bkReivew2182741" note="0" index="25"/>
  <Review inspectType="标点符号检查" inspectCategory="可疑" amend="0" rule="" lookup="套用错误" content="（" source="" errorType="106" AllIndex="0" context="引用报告分别来源于《江宁经济技术开发区环境质量跟踪监测》（报告编号：（2024）环检（综）字第（H0002）号）中九龙湖T1土壤检测数据，检测时间为2024年3月29日，监测点位位于评估范围内，且时间未超过三年，因此检测数据可以引用。" id="61322" bkName="bkReivew61322" note="0" index="25"/>
  <Review inspectType="标点符号检查" inspectCategory="可疑" amend="0" rule="" lookup="套用错误" content="）" source="" errorType="106" AllIndex="0" context="引用报告分别来源于《江宁经济技术开发区环境质量跟踪监测》（报告编号：（2024）环检（综）字第（H0002）号）中九龙湖T1土壤检测数据，检测时间为2024年3月29日，监测点位位于评估范围内，且时间未超过三年，因此检测数据可以引用。" id="3170852" bkName="bkReivew3170852" note="0" index="25"/>
  <Review inspectType="标点符号检查" inspectCategory="可疑" amend="0" rule="" lookup="套用错误" content="（" source="" errorType="106" AllIndex="0" context="引用报告分别来源于《江宁经济技术开发区环境质量跟踪监测》（报告编号：（2024）环检（综）字第（H0002）号）中九龙湖T1土壤检测数据，检测时间为2024年3月29日，监测点位位于评估范围内，且时间未超过三年，因此检测数据可以引用。" id="32604" bkName="bkReivew32604" note="0" index="25"/>
  <Review inspectType="标点符号检查" inspectCategory="可疑" amend="0" rule="" lookup="套用错误" content="）" source="" errorType="106" AllIndex="0" context="引用报告分别来源于《江宁经济技术开发区环境质量跟踪监测》（报告编号：（2024）环检（综）字第（H0002）号）中九龙湖T1土壤检测数据，检测时间为2024年3月29日，监测点位位于评估范围内，且时间未超过三年，因此检测数据可以引用。" id="1131044" bkName="bkReivew1131044" note="0" index="25"/>
  <Review inspectType="易错词检查" inspectCategory="错误" amend="0" rule="" lookup="位" content="位位" source="" errorType="0" AllIndex="0" context="引用报告分别来源于《江宁经济技术开发区环境质量跟踪监测》（报告编号：（2024）环检（综）字第（H0002）号）中九龙湖T1土壤检测数据，检测时间为2024年3月29日，监测点位位于评估范围内，且时间未超过三年，因此检测数据可以引用。" id="1062014" bkName="bkReivew1062014" note="0" index="25"/>
  <Review inspectType="易错词检查" inspectCategory="错误" amend="0" rule="" lookup="检测方法" content="监测方法" source="" errorType="0" AllIndex="0" context="（3）监测方法" id="1070736" bkName="bkReivew1070736" note="0" index="3"/>
  <Review inspectType="标点符号检查" inspectCategory="可疑" amend="0" rule="" lookup="建议修改为可书写在段首的标点符号" content="-" source="" errorType="102" AllIndex="0" context="-" id="152624" bkName="bkReivew152624" note="0" index="0"/>
  <Review inspectType="标点符号检查" inspectCategory="可疑" amend="0" rule="" lookup="建议修改为可书写在段首的标点符号" content="-" source="" errorType="102" AllIndex="0" context="-" id="1183042" bkName="bkReivew1183042" note="0" index="0"/>
  <Review inspectType="易错词检查" inspectCategory="错误" amend="0" rule="" lookup="检测" content="监测" source="" errorType="0" AllIndex="0" context="（1）监测因子" id="2070236" bkName="bkReivew2070236" note="0" index="3"/>
  <Review inspectType="易错词检查" inspectCategory="错误" amend="0" rule="" lookup="检测" content="监测" source="" errorType="0" AllIndex="0" context="（2）监测点位" id="2022833" bkName="bkReivew2022833" note="0" index="3"/>
  <Review inspectType="易错词检查" inspectCategory="错误" amend="0" rule="" lookup="检测" content="监测" source="" errorType="0" AllIndex="0" context="监测点位名称" id="180633" bkName="bkReivew180633" note="0" index="0"/>
  <Review inspectType="易错词检查" inspectCategory="错误" amend="0" rule="" lookup="检测" content="监测" source="" errorType="0" AllIndex="0" context="（3）监测时间及频次" id="1102620" bkName="bkReivew1102620" note="0" index="3"/>
  <Review inspectType="易错词检查" inspectCategory="错误" amend="0" rule="" lookup="出入口" content="次入口" source="" errorType="0" AllIndex="0" context="根据江宁区统一协调规划，南京市规划局于2014年4月21日在《关于南京蓝天燃气热电项目选址意见函》中同意将南京蓝天燃机热电联产项目迁址至江宁区绕城高速以南、规划前庄路以西地块，厂址东侧紧邻规划前庄路，主次入口仍设在靠前庄路一侧。" id="2003345" bkName="bkReivew2003345" note="0" index="25"/>
  <Review inspectType="标点符号检查" inspectCategory="可疑" amend="0" rule="" lookup="套用错误" content="（" source="" errorType="106" AllIndex="0" context="废水主要为生活污水、生产废水、洗涤塔废水、车间清洗废水等，纯水制备过程中产生的弃水作为清下水排放酸洗废水、清洗循环系统排水、地面及设备清洗废水经车间内污水处理站处理（其中钒车间排口达《钒工业污染物排放标准》（GB26452-2011）），最终综合污水达到空港污水处理厂接管标准后，经市政管网进入空港污水处理厂处理，达标尾水排入云台山河。" id="31233" bkName="bkReivew31233" note="0" index="25"/>
  <Review inspectType="标点符号检查" inspectCategory="可疑" amend="0" rule="" lookup="套用错误" content="）" source="" errorType="106" AllIndex="0" context="废水主要为生活污水、生产废水、洗涤塔废水、车间清洗废水等，纯水制备过程中产生的弃水作为清下水排放酸洗废水、清洗循环系统排水、地面及设备清洗废水经车间内污水处理站处理（其中钒车间排口达《钒工业污染物排放标准》（GB26452-2011）），最终综合污水达到空港污水处理厂接管标准后，经市政管网进入空港污水处理厂处理，达标尾水排入云台山河。" id="2146" bkName="bkReivew2146" note="0" index="25"/>
  <Review inspectType="易错词检查" inspectCategory="错误" amend="0" rule="" lookup="天气" content="大气" source="" errorType="0" AllIndex="0" context="7.1.2大气预测参数" id="1013606" bkName="bkReivew1013606" note="0" index="5"/>
  <Review inspectType="易错词检查" inspectCategory="错误" amend="0" rule="" lookup="平" content="干" source="" errorType="0" AllIndex="0" context="风速、风向、干球温度、相对湿度、总云量、低云量" id="3003026" bkName="bkReivew3003026" note="0" index="6"/>
  <Review inspectType="易错词检查" inspectCategory="错误" amend="0" rule="" lookup="纪录" content="记录" source="" errorType="0" AllIndex="0" context="秦淮新河是1975年开挖的一条河流，东起河定桥，西至双闸入长江，全长18公里，是一条人工挖掘的闸控河流，关闸100天以上记录为两年一遇，最枯水位5.12m，平均水位7.65m，年最大流量500m3/s，平均流量为309930m3/d。" id="3080511" bkName="bkReivew3080511" note="0" index="25"/>
  <Review inspectType="易错词检查" inspectCategory="错误" amend="0" rule="" lookup="浦口、" content="浦口、浦口、" source="" errorType="0" AllIndex="0" context="浦口、浦口、江宁、高淳" id="3011101" bkName="bkReivew3011101" note="0" index="0"/>
  <Review inspectType="易错词检查" inspectCategory="错误" amend="0" rule="" lookup="质" content="纸" source="" errorType="0" AllIndex="0" context="上部紫红色砂岩、砂纸泥岩夹石膏；" id="1100531" bkName="bkReivew1100531" note="0" index="9"/>
  <Review inspectType="易错词检查" inspectCategory="错误" amend="0" rule="" lookup="吉林" content="其林" source="" errorType="0" AllIndex="0" context="紫金山北面、其林门" id="31402" bkName="bkReivew31402" note="0" index="6"/>
  <Review inspectType="易错词检查" inspectCategory="错误" amend="0" rule="" lookup="龙" content="隆" source="" errorType="0" AllIndex="0" context="大隆组龙潭组" id="170535" bkName="bkReivew170535" note="0" index="1"/>
  <Review inspectType="易错词检查" inspectCategory="错误" amend="0" rule="" lookup="层次" content="期次" source="" errorType="0" AllIndex="0" context="沿线地质构造主要处于宁镇弧形褶皱西段，各类不同期次、不同性质，不同方向的褶皱，断裂十分发育，沿线重要地质构造有：" id="3011554" bkName="bkReivew3011554" note="0" index="25"/>
  <Review inspectType="易错词检查" inspectCategory="错误" amend="0" rule="" lookup="东西" content="东东" source="" errorType="1" AllIndex="0" context="北东东向延伸，长达36公里，断层面倾向北，倾角陡，南北盘落差可达数公里。" id="3023613" bkName="bkReivew3023613" note="0" index="25"/>
  <Review inspectType="易错词检查" inspectCategory="可疑" amend="0" rule="" lookup="沙砾及" content="砂砾及" source="" errorType="2" AllIndex="0" context="砂、砂砾及玄武岩孔洞" id="2160751" bkName="bkReivew2160751" note="0" index="2"/>
  <Review inspectType="易错词检查" inspectCategory="错误" amend="0" rule="" lookup="灰岩、" content="灰岩、灰岩、" source="" errorType="0" AllIndex="0" context="角砾状灰岩、灰岩、白云岩、白云质灰岩、硅质灰岩、泥灰岩" id="12140" bkName="bkReivew12140" note="0" index="3"/>
  <Review inspectType="易错词检查" inspectCategory="错误" amend="0" rule="" lookup="黏土" content="粘土" source="来源：质检办：全国84家报纸差错整理" errorType="1" AllIndex="0" context="上层为亚粘土、亚砂土与粉砂互层；" id="41821" bkName="bkReivew41821" note="0" index="25"/>
  <Review inspectType="易错词检查" inspectCategory="错误" amend="0" rule="" lookup="合" content="核" source="" errorType="0" AllIndex="0" context="岩溶发育程度与所处的构造部位有关，一般在向斜核部、背斜的末端是岩溶发育与地下水富集的有利地段。" id="3022840" bkName="bkReivew3022840" note="0" index="25"/>
  <Review inspectType="易错词检查" inspectCategory="错误" amend="0" rule="" lookup="传输" content="转输" source="" errorType="0" AllIndex="0" context="事故现场产生事故废水（消防废水），经市政污水管网或临时污水传输设备转输至事故单位应急池或污水处理厂集中处理，确保事故废水全部得以处理。" id="2152651" bkName="bkReivew2152651" note="0" index="25"/>
  <Review inspectType="标点符号检查" inspectCategory="可疑" amend="0" rule="" lookup="套用错误" content="（" source="" errorType="106" AllIndex="0" context="开发区域内建有专业应急物资储备库（江苏省生态环境厅应急物资储备（南京）基地，江宁区隆盛路58号），同时，开发区还依托南京市江宁生态环境局、江宁区公安消防大队应急物资及装备。" id="122755" bkName="bkReivew122755" note="0" index="25"/>
  <Review inspectType="标点符号检查" inspectCategory="可疑" amend="0" rule="" lookup="套用错误" content="）" source="" errorType="106" AllIndex="0" context="开发区域内建有专业应急物资储备库（江苏省生态环境厅应急物资储备（南京）基地，江宁区隆盛路58号），同时，开发区还依托南京市江宁生态环境局、江宁区公安消防大队应急物资及装备。" id="31105" bkName="bkReivew31105" note="0" index="25"/>
  <Review inspectType="易错词检查" inspectCategory="错误" amend="0" rule="" lookup="使用" content="四用" source="" errorType="0" AllIndex="0" context="四用气体探测仪" id="2110433" bkName="bkReivew2110433" note="0" index="0"/>
  <Review inspectType="易错词检查" inspectCategory="错误" amend="0" rule="" lookup="防暴" content="防爆" source="" errorType="0" AllIndex="0" context="手持式防爆手电筒" id="170334" bkName="bkReivew170334" note="0" index="3"/>
  <Review inspectType="易错词检查" inspectCategory="错误" amend="0" rule="" lookup="通信设备" content="通讯设备" source="" errorType="1" AllIndex="0" context="通讯设备" id="3052624" bkName="bkReivew3052624" note="0" index="0"/>
  <Review inspectType="易错词检查" inspectCategory="错误" amend="0" rule="" lookup="带" content="袋" source="" errorType="0" AllIndex="0" context="下水道阻流袋" id="2010116" bkName="bkReivew2010116" note="0" index="5"/>
  <Review inspectType="易错词检查" inspectCategory="错误" amend="0" rule="" lookup="防暴" content="防爆" source="" errorType="0" AllIndex="0" context="应急防爆手电筒" id="2003023" bkName="bkReivew2003023" note="0" index="2"/>
  <Review inspectType="易错词检查" inspectCategory="错误" amend="0" rule="" lookup="动检" content="动监" source="" errorType="0" AllIndex="0" context="表9-1  评估范围内自动监测站基本信息" id="2121124" bkName="bkReivew2121124" note="0" index="12"/>
  <Review inspectType="易错词检查" inspectCategory="错误" amend="0" rule="" lookup="检" content="监" source="" errorType="0" AllIndex="0" context="监测站名称" id="3041146" bkName="bkReivew3041146" note="0" index="0"/>
  <Review inspectType="易错词检查" inspectCategory="错误" amend="0" rule="" lookup="检" content="监" source="" errorType="0" AllIndex="0" context="（1）监测点设置" id="2061414" bkName="bkReivew2061414" note="0" index="3"/>
  <Review inspectType="易错词检查" inspectCategory="错误" amend="0" rule="" lookup="物" content="雾" source="" errorType="0" AllIndex="0" context="TSP、NOX、HCl、H2S、NH3、氟化物、硫酸雾、苯、非甲烷总烃" id="132515" bkName="bkReivew132515" note="0" index="25"/>
  <Review inspectType="易错词检查" inspectCategory="错误" amend="0" rule="" lookup="物" content="雾" source="" errorType="0" AllIndex="0" context="TSP、NOX、HCl、H2S、NH3、氟化物、硫酸雾、苯、非甲烷总烃。" id="2163503" bkName="bkReivew2163503" note="0" index="25"/>
  <Review inspectType="易错词检查" inspectCategory="错误" amend="0" rule="" lookup="检测" content="监测" source="" errorType="0" AllIndex="0" context="（3）监测时间和频次" id="1122846" bkName="bkReivew1122846" note="0" index="3"/>
  <Review inspectType="易错词检查" inspectCategory="错误" amend="0" rule="" lookup="物" content="雾" source="" errorType="0" AllIndex="0" context="TSP、NOX、HCl、H2S、NH3、氟化物、硫酸雾、苯、非甲烷总烃连续7天，其1小时浓度值每天监测4次，获取当地时间02、08、14、20时4个小时浓度值（每小时至少有45分钟采样时间）。" id="2172222" bkName="bkReivew2172222" note="0" index="25"/>
  <Review inspectType="易错词检查" inspectCategory="错误" amend="0" rule="" lookup="检" content="监" source="" errorType="0" AllIndex="0" context="监测点设置" id="1030642" bkName="bkReivew1030642" note="0" index="0"/>
  <Review inspectType="易错词检查" inspectCategory="错误" amend="0" rule="" lookup="于" content="与" source="" errorType="0" AllIndex="0" context="距与秦淮河交界处1000m" id="2033411" bkName="bkReivew2033411" note="0" index="1"/>
  <Review inspectType="易错词检查" inspectCategory="错误" amend="0" rule="" lookup="交会" content="交汇" source="" errorType="0" AllIndex="0" context="与秦淮新河交汇处上游300米" id="2140141" bkName="bkReivew2140141" note="0" index="5"/>
  <Review inspectType="易错词检查" inspectCategory="错误" amend="0" rule="" lookup="交会" content="交汇" source="" errorType="0" AllIndex="0" context="与南京三环线交汇处" id="2081332" bkName="bkReivew2081332" note="0" index="6"/>
  <Review inspectType="易错词检查" inspectCategory="错误" amend="0" rule="" lookup="检测" content="监测" source="" errorType="0" AllIndex="0" context="（3）监测时间和频次" id="3132350" bkName="bkReivew3132350" note="0" index="3"/>
  <Review inspectType="易错词检查" inspectCategory="错误" amend="0" rule="" lookup="检" content="监" source="" errorType="0" AllIndex="0" context="（1）监测点位置" id="1111716" bkName="bkReivew1111716" note="0" index="3"/>
  <Review inspectType="易错词检查" inspectCategory="错误" amend="0" rule="" lookup="升级" content="声级" source="" errorType="0" AllIndex="0" context="连续等效A声级" id="150424" bkName="bkReivew150424" note="0" index="5"/>
  <Review inspectType="易错词检查" inspectCategory="错误" amend="0" rule="" lookup="检测" content="监测" source="" errorType="0" AllIndex="0" context="（2）监测因子" id="51532" bkName="bkReivew51532" note="0" index="3"/>
  <Review inspectType="易错词检查" inspectCategory="错误" amend="0" rule="" lookup="升级" content="声级" source="" errorType="0" AllIndex="0" context="连续等效A声级" id="3072156" bkName="bkReivew3072156" note="0" index="5"/>
  <Review inspectType="易错词检查" inspectCategory="错误" amend="0" rule="" lookup="检测" content="监测" source="" errorType="0" AllIndex="0" context="（1）监测因子" id="3132815" bkName="bkReivew3132815" note="0" index="3"/>
  <Review inspectType="易错词检查" inspectCategory="错误" amend="0" rule="" lookup="例子" content="离子" source="" errorType="0" AllIndex="0" context="八大离子：K+、Na+、Ca2+、Mg2+、CO32-、HCO3-、Cl-、SO42-；" id="3102140" bkName="bkReivew3102140" note="0" index="2"/>
  <Review inspectType="易错词检查" inspectCategory="错误" amend="0" rule="" lookup="检测" content="监测" source="" errorType="0" AllIndex="0" context="（2）监测点位" id="70403" bkName="bkReivew70403" note="0" index="3"/>
  <Review inspectType="易错词检查" inspectCategory="错误" amend="0" rule="" lookup="检测" content="监测" source="" errorType="0" AllIndex="0" context="监测点位详见下表9.4-1、附图5。" id="2000633" bkName="bkReivew2000633" note="0" index="0"/>
  <Review inspectType="易错词检查" inspectCategory="错误" amend="0" rule="" lookup="大粒子" content="大离子" source="" errorType="0" AllIndex="0" context="八大离子+基本因子+特征因子+水位、水温" id="3100745" bkName="bkReivew3100745" note="0" index="1"/>
  <Review inspectType="易错词检查" inspectCategory="错误" amend="0" rule="" lookup="检测" content="监测" source="" errorType="0" AllIndex="0" context="（3）监测时间" id="32210" bkName="bkReivew32210" note="0" index="3"/>
  <Review inspectType="易错词检查" inspectCategory="错误" amend="0" rule="" lookup="检测" content="监测" source="" errorType="0" AllIndex="0" context="（1）监测因子" id="3053444" bkName="bkReivew3053444" note="0" index="3"/>
  <Review inspectType="易错词检查" inspectCategory="错误" amend="0" rule="" lookup="检测" content="监测" source="" errorType="0" AllIndex="0" context="（2）监测点位" id="1172201" bkName="bkReivew1172201" note="0" index="3"/>
  <Review inspectType="易错词检查" inspectCategory="错误" amend="0" rule="" lookup="检测" content="监测" source="" errorType="0" AllIndex="0" context="监测点位详见下表9.5-1、附图5。" id="1023240" bkName="bkReivew1023240" note="0" index="0"/>
  <Review inspectType="易错词检查" inspectCategory="错误" amend="0" rule="" lookup="检测" content="监测" source="" errorType="0" AllIndex="0" context="（3）监测时间" id="170323" bkName="bkReivew170323" note="0" index="3"/>
  <Review inspectType="易错词检查" inspectCategory="错误" amend="0" rule="" lookup="检测" content="监测" source="" errorType="0" AllIndex="0" context="（2）监测点位" id="1162042" bkName="bkReivew1162042" note="0" index="3"/>
  <Review inspectType="易错词检查" inspectCategory="错误" amend="0" rule="" lookup="检测" content="监测" source="" errorType="0" AllIndex="0" context="（3）监测时间及频次" id="1132422" bkName="bkReivew1132422" note="0" index="3"/>
  <Review inspectType="易错词检查" inspectCategory="错误" amend="0" rule="" lookup="物" content="雾" source="" errorType="0" AllIndex="0" context="氨、苯、硫酸雾、氯化氢、硫化氢浓度符合《环境影响评价技术导则 大气环境》（HJ2.2-2018）附录D 其他污染物空气质量浓度限值；" id="101853" bkName="bkReivew101853" note="0" index="25"/>
  <Review inspectType="标点符号检查" inspectCategory="可疑" amend="0" rule="" lookup="建议修改为可书写在段首的标点符号" content="/" source="" errorType="102" AllIndex="0" context="/" id="1180306" bkName="bkReivew1180306" note="0" index="0"/>
  <Review inspectType="标点符号检查" inspectCategory="可疑" amend="0" rule="" lookup="建议修改为可书写在段首的标点符号" content="/" source="" errorType="102" AllIndex="0" context="/" id="1132556" bkName="bkReivew1132556" note="0" index="0"/>
  <Review inspectType="易错词检查" inspectCategory="错误" amend="0" rule="" lookup="上限" content="上线" source="" errorType="0" AllIndex="0" context="10.3资源利用上线" id="2172022" bkName="bkReivew2172022" note="0" index="8"/>
  <Review inspectType="易错词检查" inspectCategory="错误" amend="0" rule="" lookup="上限" content="上线" source="" errorType="0" AllIndex="0" context="10.3.1水资源利用上线" id="1141653" bkName="bkReivew1141653" note="0" index="11"/>
  <Review inspectType="易错词检查" inspectCategory="错误" amend="0" rule="" lookup="2020—2035" content="2020-2035" source="来源：注意“一字线”正确书写" errorType="1" AllIndex="0" context="根据《国家生态工业示范园区标准》（HJ274-2015），生态工业示范园单位工业增加值新鲜水耗不得超过9立方米/万元，考虑到江宁开发区2015年工业增加值新鲜水耗已达到4立方米/万元，参考《江宁经济技术开发区总体发展规划（2020-2035）环境影响报告书》2025年目标，江宁开发区单位工业增加值新鲜水耗不高于2立方米/万元；" id="1013820" bkName="bkReivew1013820" note="0" index="25"/>
  <Review inspectType="易错词检查" inspectCategory="错误" amend="0" rule="" lookup="2020—2035" content="2020-2035" source="来源：注意“一字线”正确书写" errorType="1" AllIndex="0" context="根据《江宁经济技术开发区总体发展规划（2020-2035）环境影响报告书》，规划期末江宁经济技术开发区规划范围内的水资源需求量约为89.54万m3/d。" id="122433" bkName="bkReivew122433" note="0" index="19"/>
  <Review inspectType="易错词检查" inspectCategory="错误" amend="0" rule="" lookup="上限" content="上线" source="" errorType="0" AllIndex="0" context="10.3.2土地资源利用上线" id="123133" bkName="bkReivew123133" note="0" index="12"/>
  <Review inspectType="易错词检查" inspectCategory="错误" amend="0" rule="" lookup="2020—2035" content="2020-2035" source="来源：注意“一字线”正确书写" errorType="1" AllIndex="0" context="本次评估区域主要为江宁经济技术开发区江南片区，资源利用上线相关数据引用《江宁经济技术开发区总体发展规划（2020-2035）环境影响报告书》。" id="2020044" bkName="bkReivew2020044" note="0" index="25"/>
  <Review inspectType="易错词检查" inspectCategory="错误" amend="0" rule="" lookup="上限" content="上线" source="" errorType="0" AllIndex="0" context="表10.3-1  土地资源利用上线清单" id="1101426" bkName="bkReivew1101426" note="0" index="15"/>
  <Review inspectType="易错词检查" inspectCategory="错误" amend="0" rule="" lookup="上限" content="上线" source="" errorType="0" AllIndex="0" context="土地资源总量上线" id="2141754" bkName="bkReivew2141754" note="0" index="6"/>
  <Review inspectType="易错词检查" inspectCategory="错误" amend="0" rule="" lookup="上限" content="上线" source="" errorType="0" AllIndex="0" context="建设用地总量上线" id="3051426" bkName="bkReivew3051426" note="0" index="6"/>
  <Review inspectType="易错词检查" inspectCategory="错误" amend="0" rule="" lookup="上限" content="上线" source="" errorType="0" AllIndex="0" context="工业用地总量上线" id="1151332" bkName="bkReivew1151332" note="0" index="6"/>
  <Review inspectType="易错词检查" inspectCategory="错误" amend="0" rule="" lookup="2020—2035" content="2020-2035" source="来源：注意“一字线”正确书写" errorType="1" AllIndex="0" context="注：上表数据来源于《江宁经济技术开发区总体发展规划（2020-2035）环境影响报告书》。" id="61214" bkName="bkReivew61214" note="0" index="25"/>
  <Review inspectType="易错词检查" inspectCategory="错误" amend="0" rule="" lookup="上限" content="上线" source="" errorType="0" AllIndex="0" context="10.3.3能源利用上线" id="1011214" bkName="bkReivew1011214" note="0" index="10"/>
  <Review inspectType="易错词检查" inspectCategory="错误" amend="0" rule="" lookup="2020—2035" content="2020-2035" source="来源：注意“一字线”正确书写" errorType="1" AllIndex="0" context="参考《江宁经济技术开发区总体发展规划（2020-2035）环境影响报告书》到2035年，单位工业增加值综合能耗不高于0.05吨标煤/万元。" id="2153243" bkName="bkReivew2153243" note="0" index="19"/>
  <Review inspectType="易错词检查" inspectCategory="错误" amend="0" rule="" lookup="上限" content="上线" source="" errorType="0" AllIndex="0" context="产业园区遵循绿色发展的理念，按照“以供定需”的原则，结合各区水资源条件和不同行业特点，参考各行业清洁生产指标体系，制定园区水资源利用上线指标。" id="133523" bkName="bkReivew133523" note="0" index="25"/>
  <Review inspectType="易错词检查" inspectCategory="错误" amend="0" rule="" lookup="物" content="雾" source="" errorType="0" AllIndex="0" context="氨、苯、硫酸雾、氯化氢、硫化氢浓度符合《环境影响评价技术导则 大气环境》（HJ2.2-2018）附录D 其他污染物空气质量浓度限值；" id="1122800" bkName="bkReivew1122800" note="0" index="25"/>
  <Review inspectType="易错词检查" inspectCategory="错误" amend="0" rule="" lookup="河" content="河河" source="" errorType="0" AllIndex="0" context="根据地表水环境质量现状监测结果可知，秦淮河（牛首山河河口-江宁上坊门桥段）、胜利河、百家湖、九龙湖监测断面水质监测因子均能达到《地表水环境质量标准》（GB3838-2002）中Ⅳ类水质标准，秦淮河（云台山河河口-牛首山河口）、牛首山河、秦淮新河、云台山河句容河、风波坟水库、谷里水库达到《地表水环境质量标准》（GB3838-2002）中Ⅲ类水质标准。" id="150232" bkName="bkReivew150232" note="0" index="25"/>
  <Review inspectType="易错词检查" inspectCategory="错误" amend="0" rule="" lookup="河" content="河河" source="" errorType="0" AllIndex="0" context="根据地表水环境质量现状监测结果可知，秦淮河（牛首山河河口-江宁上坊门桥段）、胜利河、百家湖、九龙湖监测断面水质监测因子均能达到《地表水环境质量标准》（GB3838-2002）中Ⅳ类水质标准，秦淮河（云台山河河口-牛首山河口）、牛首山河、秦淮新河、云台山河句容河、风波坟水库、谷里水库达到《地表水环境质量标准》（GB3838-2002）中Ⅲ类水质标准。" id="3021035" bkName="bkReivew3021035" note="0" index="25"/>
  <Review inspectType="易错词检查" inspectCategory="错误" amend="0" rule="" lookup="的" content="中" source="" errorType="0" AllIndex="0" context="根据噪声环境质量现状监测结果，江宁经济技术开发区噪声均达到《声环境质量标准》（GB3096-2008）中相应标准，项目所在地声环境质量现状良好。" id="2032206" bkName="bkReivew2032206" note="0" index="25"/>
  <Review inspectType="易错词检查" inspectCategory="错误" amend="0" rule="" lookup="上限" content="上线" source="" errorType="0" AllIndex="0" context="（3）资源利用上线" id="150355" bkName="bkReivew150355" note="0" index="7"/>
  <Review inspectType="易错词检查" inspectCategory="错误" amend="0" rule="" lookup="上限" content="上线" source="" errorType="0" AllIndex="0" context="运营过程中耗电量、耗水量和工业蒸汽均在城市供电、供水、供气、供热负荷范围内，后续建设项目不得超出资源利用上线。" id="2115" bkName="bkReivew2115" note="0" index="25"/>
  <Review inspectType="易错词检查" inspectCategory="错误" amend="0" rule="" lookup="2020—2035" content="2020-2035" source="来源：注意“一字线”正确书写" errorType="1" AllIndex="0" context="附件3  关于《江宁经济技术开发区总体发展规划（2020-2035）环境影响报告书》的审查意见 （环审〔2022〕46号）" id="2001345" bkName="bkReivew2001345" note="0" index="24"/>
</ReviewRoot>
</file>

<file path=customXml/item5.xml><?xml version="1.0" encoding="utf-8"?>
<ReviewRoot xmlns="http://www.founder.com/politics">
  <Review inspectType="敏感词检查" inspectCategory="可疑" amend="0" rule="" lookup="落马官员" content="周路" source="敏感词类型：落马官员；来源：中共中央纪律检查委员会；建议规则：中国银行河南省分行副行长周路接受审查调查2021-04-02；" errorType="2" AllIndex="0" context="北至秣周路→宁丹路→绕越高速→吉印大道→将军大道→阳山河，南至秣陵四横沟；" id="111752" bkName="bkPolitics111752" note="0" index="3"/>
  <Review inspectType="敏感词检查" inspectCategory="错误" amend="0" rule="" lookup="十六大" content="16大" source="敏感词类型：行政用语规范；建议规则：重要会议用语规范；" errorType="1" AllIndex="0" context="N16大协西川东阳汽车部件" id="3111520" bkName="bkPolitics3111520" note="0" index="1"/>
  <Review inspectType="敏感词检查" inspectCategory="可疑" amend="0" rule="" lookup="落马官员" content="周路" source="敏感词类型：落马官员；来源：中共中央纪律检查委员会；建议规则：中国银行河南省分行副行长周路接受审查调查2021-04-02；" errorType="2" AllIndex="0" context="北至秣周路→宁丹路→绕越高速→吉印大道→将军大道→阳山河，南至秣陵四横沟；" id="1073601" bkName="bkPolitics1073601" note="0" index="3"/>
  <Review inspectType="敏感词检查" inspectCategory="可疑" amend="0" rule="" lookup="落马官员" content="周路" source="敏感词类型：落马官员；来源：中共中央纪律检查委员会；建议规则：中国银行河南省分行副行长周路接受审查调查2021-04-02；" errorType="2" AllIndex="0" context="南区污水处理厂范围包括东山副城部分区域，具体范围为：北至秣周路→宁丹路→绕越高速→吉印大道→将军大道→阳山河，南至秣陵四横沟；" id="133111" bkName="bkPolitics133111" note="0" index="25"/>
</ReviewRoot>
</file>

<file path=customXml/item6.xml><?xml version="1.0" encoding="utf-8"?>
<ReviewRoot xmlns="http://www.founder.com/knowledge">
  <Review inspectType="地名检查" inspectCategory="错误" amend="0" rule="" lookup="溧阳市" content="溧阳县" source="" errorType="层级错误" AllIndex="0" context="依靠溧阳县境内的500KV宁东南变电站、南京栖霞区的500KV龙王山变电站，作为本规划区内220KV变电站的补充电源。" id="71526" bkName="bkKnowledge71526" note="0" index="2"/>
  <Review inspectType="地名检查" inspectCategory="错误" amend="0" rule="" lookup="方山县" content="方山省" source="" errorType="层级错误" AllIndex="0" context="取消南京大塘金省级森林公园、牛首-祖堂风景名胜区、江宁方山省级森林公园和汤山-方山国家地质公园等生态保护红线和生态空间管控区域内不符合管控要求的规划建设安排。" id="3153020" bkName="bkKnowledge3153020" note="0" index="25"/>
  <Review inspectType="地名检查" inspectCategory="错误" amend="0" rule="" lookup="江苏省-南京市" content="江宁县" source="" errorType="曾用名" AllIndex="0" context="江宁县环保局" id="1023012" bkName="bkKnowledge1023012" note="0" index="0"/>
  <Review inspectType="地名检查" inspectCategory="错误" amend="0" rule="" lookup="河北省邢台市新河县" content="新河南京" source="" errorType="所属区划错误" AllIndex="0" context="秦淮新河南京工业、农业用水区" id="1012555" bkName="bkKnowledge1012555" note="0" index="2"/>
  <Review inspectType="地名检查" inspectCategory="错误" amend="0" rule="" lookup="吉林省吉林市龙潭区" content="南京龙潭" source="" errorType="所属区划错误" AllIndex="0" context="南京龙潭、湖山、青龙山、珠山" id="3083352" bkName="bkKnowledge3083352" note="0" index="0"/>
  <Review inspectType="地名检查" inspectCategory="错误" amend="0" rule="" lookup="江苏省南京市秦淮区" content="秦淮河源" source="" errorType="所属区划错误" AllIndex="0" context="（d）中等富水、弱富水的秦淮河漫滩孔隙水。" id="80855" bkName="bkKnowledge80855" note="0" index="21"/>
</ReviewRoot>
</file>

<file path=customXml/item7.xml><?xml version="1.0" encoding="utf-8"?>
<ReviewRoot xmlns="http://www.founder.com/format"/>
</file>

<file path=customXml/item8.xml><?xml version="1.0" encoding="utf-8"?>
<ReviewRoot xmlns="http://www.founder.com/operation">
  <CorrigendumButton current="150232" previous="1122800"/>
</ReviewRoot>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b43b2d7-994d-4429-bc33-c387efe8e02a}">
  <ds:schemaRefs/>
</ds:datastoreItem>
</file>

<file path=customXml/itemProps3.xml><?xml version="1.0" encoding="utf-8"?>
<ds:datastoreItem xmlns:ds="http://schemas.openxmlformats.org/officeDocument/2006/customXml" ds:itemID="{291c7928-a185-4664-95e8-e543d539f543}">
  <ds:schemaRefs/>
</ds:datastoreItem>
</file>

<file path=customXml/itemProps4.xml><?xml version="1.0" encoding="utf-8"?>
<ds:datastoreItem xmlns:ds="http://schemas.openxmlformats.org/officeDocument/2006/customXml" ds:itemID="{202b03b1-f623-4457-aa21-2b870ff3695d}">
  <ds:schemaRefs/>
</ds:datastoreItem>
</file>

<file path=customXml/itemProps5.xml><?xml version="1.0" encoding="utf-8"?>
<ds:datastoreItem xmlns:ds="http://schemas.openxmlformats.org/officeDocument/2006/customXml" ds:itemID="{1fe77a40-9ad2-4b07-b695-ec8a3d61d94c}">
  <ds:schemaRefs/>
</ds:datastoreItem>
</file>

<file path=customXml/itemProps6.xml><?xml version="1.0" encoding="utf-8"?>
<ds:datastoreItem xmlns:ds="http://schemas.openxmlformats.org/officeDocument/2006/customXml" ds:itemID="{1017e190-c221-4ec2-9378-fd69ab3ebb91}">
  <ds:schemaRefs/>
</ds:datastoreItem>
</file>

<file path=customXml/itemProps7.xml><?xml version="1.0" encoding="utf-8"?>
<ds:datastoreItem xmlns:ds="http://schemas.openxmlformats.org/officeDocument/2006/customXml" ds:itemID="{5ff6c2fa-29bd-4e61-841e-c8e8b3e16468}">
  <ds:schemaRefs/>
</ds:datastoreItem>
</file>

<file path=customXml/itemProps8.xml><?xml version="1.0" encoding="utf-8"?>
<ds:datastoreItem xmlns:ds="http://schemas.openxmlformats.org/officeDocument/2006/customXml" ds:itemID="{14cc13d4-7331-4d54-9c6b-d105b3c40e57}">
  <ds:schemaRefs/>
</ds:datastoreItem>
</file>

<file path=docProps/app.xml><?xml version="1.0" encoding="utf-8"?>
<Properties xmlns="http://schemas.openxmlformats.org/officeDocument/2006/extended-properties" xmlns:vt="http://schemas.openxmlformats.org/officeDocument/2006/docPropsVTypes">
  <Pages>195</Pages>
  <Words>2145</Words>
  <Characters>2802</Characters>
  <TotalTime>0</TotalTime>
  <ScaleCrop>false</ScaleCrop>
  <LinksUpToDate>false</LinksUpToDate>
  <CharactersWithSpaces>3185</CharactersWithSpaces>
  <Application>WPS Office_12.1.0.18608_F1E327BC-269C-435d-A152-05C5408002CA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2024-01-05T09:58:00Z</dcterms:created>
  <dc:creator>Administrator</dc:creator>
  <cp:lastModifiedBy>yj</cp:lastModifiedBy>
  <dcterms:modified xsi:type="dcterms:W3CDTF">2024-11-05T05:35:43Z</dcterms:modified>
  <dc:title>区域评估报告</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2024-07-02T09:46:10Z</vt:filetime>
  </property>
  <property fmtid="{D5CDD505-2E9C-101B-9397-08002B2CF9AE}" pid="4" name="KSOProductBuildVer">
    <vt:lpwstr>2052-12.1.0.18608</vt:lpwstr>
  </property>
  <property fmtid="{D5CDD505-2E9C-101B-9397-08002B2CF9AE}" pid="5" name="ICV">
    <vt:lpwstr>DD96E9DCB4E948C89B5B33497EE91E9B_13</vt:lpwstr>
  </property>
</Properties>
</file>